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EC0F5" w14:textId="77777777" w:rsidR="002005FC" w:rsidRPr="002005FC" w:rsidRDefault="002005FC" w:rsidP="002005FC">
      <w:pPr>
        <w:rPr>
          <w:b/>
          <w:bCs/>
        </w:rPr>
      </w:pPr>
      <w:r w:rsidRPr="002005FC">
        <w:rPr>
          <w:b/>
          <w:bCs/>
        </w:rPr>
        <w:t>Reference list</w:t>
      </w:r>
    </w:p>
    <w:p w14:paraId="0C0D5E8F" w14:textId="77777777" w:rsidR="002005FC" w:rsidRPr="002005FC" w:rsidRDefault="002005FC" w:rsidP="002005FC">
      <w:r w:rsidRPr="002005FC">
        <w:t xml:space="preserve">Anam Nyembezi (2023). A life course approach to promote health and wellbeing of boys and men. </w:t>
      </w:r>
      <w:r w:rsidRPr="002005FC">
        <w:rPr>
          <w:i/>
          <w:iCs/>
        </w:rPr>
        <w:t>International Journal of Health Promotion and Education</w:t>
      </w:r>
      <w:r w:rsidRPr="002005FC">
        <w:t>, 61(4), pp.157–157. doi:https://doi.org/10.1080/14635240.2023.2225954.</w:t>
      </w:r>
    </w:p>
    <w:p w14:paraId="77F1489F" w14:textId="77777777" w:rsidR="002005FC" w:rsidRPr="002005FC" w:rsidRDefault="002005FC" w:rsidP="002005FC">
      <w:r w:rsidRPr="002005FC">
        <w:t xml:space="preserve">Asbjørnslett, M., Skarpaas, L.S. and Stigen, L. (2023). ‘Being Holistic Is a Lot to Ask’: a Qualitative, Cross-National Exploration of Occupational Therapists’ Perceptions and Experiences of Holistic Practice. </w:t>
      </w:r>
      <w:r w:rsidRPr="002005FC">
        <w:rPr>
          <w:i/>
          <w:iCs/>
        </w:rPr>
        <w:t>Occupational Therapy International</w:t>
      </w:r>
      <w:r w:rsidRPr="002005FC">
        <w:t>, [online] 2023(1). doi:https://doi.org/10.1155/2023/2432879.</w:t>
      </w:r>
    </w:p>
    <w:p w14:paraId="7E7BF032" w14:textId="77777777" w:rsidR="002005FC" w:rsidRPr="002005FC" w:rsidRDefault="002005FC" w:rsidP="002005FC">
      <w:r w:rsidRPr="002005FC">
        <w:t xml:space="preserve">Bültmann, U., Broberg, K. and Selander, J. (2024). Integrating a life course perspective in work environment and health research: empirical challenges and interdisciplinary opportunities. </w:t>
      </w:r>
      <w:r w:rsidRPr="002005FC">
        <w:rPr>
          <w:i/>
          <w:iCs/>
        </w:rPr>
        <w:t>Scandinavian Journal of Work, Environment &amp; Health</w:t>
      </w:r>
      <w:r w:rsidRPr="002005FC">
        <w:t>, [online] 50(5), pp.311–316. doi:https://doi.org/10.5271/sjweh.4174.</w:t>
      </w:r>
    </w:p>
    <w:p w14:paraId="73BAB8DA" w14:textId="77777777" w:rsidR="002005FC" w:rsidRPr="002005FC" w:rsidRDefault="002005FC" w:rsidP="002005FC">
      <w:r w:rsidRPr="002005FC">
        <w:t xml:space="preserve">Cassinelli, E.H., McKinley, M.C., Kent, L., Eastwood, K.-A., Schoenaker, D.A.J.M., Trew, D., Stoikidou, T. and McGowan, L. (2024). Preconception health and care policies, strategies and guidelines in the UK and Ireland: a scoping review. </w:t>
      </w:r>
      <w:r w:rsidRPr="002005FC">
        <w:rPr>
          <w:i/>
          <w:iCs/>
        </w:rPr>
        <w:t>BMC Public Health</w:t>
      </w:r>
      <w:r w:rsidRPr="002005FC">
        <w:t>, 24(1). doi:https://doi.org/10.1186/s12889-024-19188-0.</w:t>
      </w:r>
    </w:p>
    <w:p w14:paraId="5D528BCA" w14:textId="77777777" w:rsidR="002005FC" w:rsidRPr="002005FC" w:rsidRDefault="002005FC" w:rsidP="002005FC">
      <w:r w:rsidRPr="002005FC">
        <w:t xml:space="preserve">Creative Health Toolkit (2020). </w:t>
      </w:r>
      <w:r w:rsidRPr="002005FC">
        <w:rPr>
          <w:i/>
          <w:iCs/>
        </w:rPr>
        <w:t>Wider Determinants of Health</w:t>
      </w:r>
      <w:r w:rsidRPr="002005FC">
        <w:t>. [online] Creative Health Toolkit. Available at: https://creativehealthtoolkit.org.uk/creative-health-in-context/wider-determinants-of-health.</w:t>
      </w:r>
    </w:p>
    <w:p w14:paraId="42C9A351" w14:textId="77777777" w:rsidR="002005FC" w:rsidRPr="002005FC" w:rsidRDefault="002005FC" w:rsidP="002005FC">
      <w:r w:rsidRPr="002005FC">
        <w:t xml:space="preserve">Doyle, M.-A. (2025). </w:t>
      </w:r>
      <w:r w:rsidRPr="002005FC">
        <w:rPr>
          <w:i/>
          <w:iCs/>
        </w:rPr>
        <w:t>Why do the early years matter so much for later life?</w:t>
      </w:r>
      <w:r w:rsidRPr="002005FC">
        <w:t xml:space="preserve"> [online] nesta. Available at: https://www.nesta.org.uk/toolkit/why-do-the-early-years-matter-so-much-for-later-life/.</w:t>
      </w:r>
    </w:p>
    <w:p w14:paraId="4C8B3996" w14:textId="77777777" w:rsidR="002005FC" w:rsidRPr="002005FC" w:rsidRDefault="002005FC" w:rsidP="002005FC">
      <w:r w:rsidRPr="002005FC">
        <w:t xml:space="preserve">Foster, L. and Walker, A. (2021). Active Ageing across the Life Course: Towards a Comprehensive Approach to Prevention. </w:t>
      </w:r>
      <w:r w:rsidRPr="002005FC">
        <w:rPr>
          <w:i/>
          <w:iCs/>
        </w:rPr>
        <w:t>BioMed Research International</w:t>
      </w:r>
      <w:r w:rsidRPr="002005FC">
        <w:t>, 2021(1), pp.1–11. doi:https://doi.org/10.1155/2021/6650414.</w:t>
      </w:r>
    </w:p>
    <w:p w14:paraId="142CFD32" w14:textId="77777777" w:rsidR="002005FC" w:rsidRPr="002005FC" w:rsidRDefault="002005FC" w:rsidP="002005FC">
      <w:r w:rsidRPr="002005FC">
        <w:t xml:space="preserve">Landy, R., Head, J., Richards, M. and Hardy, R. (2017). The effect of life course socioeconomic position on crystallised cognitive ability in two large UK cohort studies: a structured modelling approach. </w:t>
      </w:r>
      <w:r w:rsidRPr="002005FC">
        <w:rPr>
          <w:i/>
          <w:iCs/>
        </w:rPr>
        <w:t>BMJ Open</w:t>
      </w:r>
      <w:r w:rsidRPr="002005FC">
        <w:t>, 7(5), p.e014461. doi:https://doi.org/10.1136/bmjopen-2016-014461.</w:t>
      </w:r>
    </w:p>
    <w:p w14:paraId="1CFA2881" w14:textId="77777777" w:rsidR="002005FC" w:rsidRPr="002005FC" w:rsidRDefault="002005FC" w:rsidP="002005FC">
      <w:r w:rsidRPr="002005FC">
        <w:t xml:space="preserve">Maindal, H.T. and Aagaard-Hansen, J. (2020). Health literacy meets the life-course perspective: towards a conceptual framework. </w:t>
      </w:r>
      <w:r w:rsidRPr="002005FC">
        <w:rPr>
          <w:i/>
          <w:iCs/>
        </w:rPr>
        <w:t>Global Health Action</w:t>
      </w:r>
      <w:r w:rsidRPr="002005FC">
        <w:t>, 13(1), p.1775063. doi:https://doi.org/10.1080/16549716.2020.1775063.</w:t>
      </w:r>
    </w:p>
    <w:p w14:paraId="43F09F53" w14:textId="77777777" w:rsidR="002005FC" w:rsidRPr="002005FC" w:rsidRDefault="002005FC" w:rsidP="002005FC">
      <w:r w:rsidRPr="002005FC">
        <w:t xml:space="preserve">National Institute for Health and Care Research (2023). </w:t>
      </w:r>
      <w:r w:rsidRPr="002005FC">
        <w:rPr>
          <w:i/>
          <w:iCs/>
        </w:rPr>
        <w:t>Health determinants research collaborations</w:t>
      </w:r>
      <w:r w:rsidRPr="002005FC">
        <w:t>. [online] Nihr.ac.uk. Available at: https://www.nihr.ac.uk/about-us/what-we-do/core-workstreams/working-with-partners/local-authorities/health-determinants-research-collaborations.</w:t>
      </w:r>
    </w:p>
    <w:p w14:paraId="011D116B" w14:textId="77777777" w:rsidR="002005FC" w:rsidRPr="002005FC" w:rsidRDefault="002005FC" w:rsidP="002005FC">
      <w:r w:rsidRPr="002005FC">
        <w:t xml:space="preserve">ONS (2023). </w:t>
      </w:r>
      <w:r w:rsidRPr="002005FC">
        <w:rPr>
          <w:i/>
          <w:iCs/>
        </w:rPr>
        <w:t>Profile of the older population living in England and Wales in 2021 and changes since 2011</w:t>
      </w:r>
      <w:r w:rsidRPr="002005FC">
        <w:t>. [online] www.ons.gov.uk. Available at: https://www.ons.gov.uk/peoplepopulationandcommunity/birthsdeathsandmarriages/ageing/articles/profileoftheolderpopulationlivinginenglandandwalesin2021andchangessince2011/2023-04-03.</w:t>
      </w:r>
    </w:p>
    <w:p w14:paraId="5331D650" w14:textId="77777777" w:rsidR="002005FC" w:rsidRPr="002005FC" w:rsidRDefault="002005FC" w:rsidP="002005FC">
      <w:r w:rsidRPr="002005FC">
        <w:lastRenderedPageBreak/>
        <w:t xml:space="preserve">Public Health England (2015). </w:t>
      </w:r>
      <w:r w:rsidRPr="002005FC">
        <w:rPr>
          <w:i/>
          <w:iCs/>
        </w:rPr>
        <w:t>Local action on health inequalities Reducing social isolation across the lifecourse</w:t>
      </w:r>
      <w:r w:rsidRPr="002005FC">
        <w:t>.</w:t>
      </w:r>
    </w:p>
    <w:p w14:paraId="39F7ADDB" w14:textId="77777777" w:rsidR="002005FC" w:rsidRPr="002005FC" w:rsidRDefault="002005FC" w:rsidP="002005FC">
      <w:r w:rsidRPr="002005FC">
        <w:t xml:space="preserve">Public Health England (2017). </w:t>
      </w:r>
      <w:r w:rsidRPr="002005FC">
        <w:rPr>
          <w:i/>
          <w:iCs/>
        </w:rPr>
        <w:t>Social Determinants of Health</w:t>
      </w:r>
      <w:r w:rsidRPr="002005FC">
        <w:t>. [online] gov.uk. Available at: https://www.gov.uk/government/publications/health-profile-for-england/chapter-6-social-determinants-of-health.</w:t>
      </w:r>
    </w:p>
    <w:p w14:paraId="6DD573FC" w14:textId="77777777" w:rsidR="002005FC" w:rsidRPr="002005FC" w:rsidRDefault="002005FC" w:rsidP="002005FC">
      <w:r w:rsidRPr="002005FC">
        <w:t xml:space="preserve">Rashbrook, E. (2019). </w:t>
      </w:r>
      <w:r w:rsidRPr="002005FC">
        <w:rPr>
          <w:i/>
          <w:iCs/>
        </w:rPr>
        <w:t>Health Matters: Prevention - A Life Course Approach - UK Health Security Agency</w:t>
      </w:r>
      <w:r w:rsidRPr="002005FC">
        <w:t>. [online] ukhsa.blog.gov.uk. Available at: https://ukhsa.blog.gov.uk/2019/05/23/health-matters-prevention-a-life-course-approach/.</w:t>
      </w:r>
    </w:p>
    <w:p w14:paraId="30CF8B0D" w14:textId="77777777" w:rsidR="002005FC" w:rsidRPr="002005FC" w:rsidRDefault="002005FC" w:rsidP="002005FC">
      <w:r w:rsidRPr="002005FC">
        <w:t xml:space="preserve">Robertson, E., Leyland, A. and Pearce, A. (2024). The potential of early years’ childcare to reduce mental health inequalities of school age children in Scotland. </w:t>
      </w:r>
      <w:r w:rsidRPr="002005FC">
        <w:rPr>
          <w:i/>
          <w:iCs/>
        </w:rPr>
        <w:t>SSM - Population Health</w:t>
      </w:r>
      <w:r w:rsidRPr="002005FC">
        <w:t>, [online] 26, pp.101682–101682. doi:https://doi.org/10.1016/j.ssmph.2024.101682.</w:t>
      </w:r>
    </w:p>
    <w:p w14:paraId="251638FB" w14:textId="77777777" w:rsidR="002005FC" w:rsidRPr="002005FC" w:rsidRDefault="002005FC" w:rsidP="002005FC">
      <w:r w:rsidRPr="002005FC">
        <w:t xml:space="preserve">Wagner, C., Cristian Carmeli, Jackisch, J., Kivimäki, M., Bernadette, Stéphane Cullati and Arnaud Chiolero (2024). Life course epidemiology and public health. </w:t>
      </w:r>
      <w:r w:rsidRPr="002005FC">
        <w:rPr>
          <w:rFonts w:ascii="Aptos" w:hAnsi="Aptos" w:cs="Aptos"/>
          <w:i/>
          <w:iCs/>
        </w:rPr>
        <w:t></w:t>
      </w:r>
      <w:r w:rsidRPr="002005FC">
        <w:rPr>
          <w:i/>
          <w:iCs/>
        </w:rPr>
        <w:t xml:space="preserve">The </w:t>
      </w:r>
      <w:r w:rsidRPr="002005FC">
        <w:rPr>
          <w:rFonts w:ascii="Aptos" w:hAnsi="Aptos" w:cs="Aptos"/>
          <w:i/>
          <w:iCs/>
        </w:rPr>
        <w:t></w:t>
      </w:r>
      <w:r w:rsidRPr="002005FC">
        <w:rPr>
          <w:i/>
          <w:iCs/>
        </w:rPr>
        <w:t>Lancet. Public health</w:t>
      </w:r>
      <w:r w:rsidRPr="002005FC">
        <w:t>, 9(4), pp.e261–e269. doi:https://doi.org/10.1016/s2468-2667(24)00018-5.</w:t>
      </w:r>
    </w:p>
    <w:p w14:paraId="6094C50E" w14:textId="77777777" w:rsidR="002005FC" w:rsidRPr="002005FC" w:rsidRDefault="002005FC" w:rsidP="002005FC">
      <w:r w:rsidRPr="002005FC">
        <w:t xml:space="preserve">WHO (2021). </w:t>
      </w:r>
      <w:r w:rsidRPr="002005FC">
        <w:rPr>
          <w:i/>
          <w:iCs/>
        </w:rPr>
        <w:t>The life-course approach: from theory to practice: case stories from two small countries in Europe</w:t>
      </w:r>
      <w:r w:rsidRPr="002005FC">
        <w:t>. [online] www.who.int. Available at: https://www.who.int/europe/publications/i/item/9789289053266.</w:t>
      </w:r>
    </w:p>
    <w:p w14:paraId="46589C0D" w14:textId="77777777" w:rsidR="002005FC" w:rsidRPr="002005FC" w:rsidRDefault="002005FC" w:rsidP="002005FC">
      <w:r w:rsidRPr="002005FC">
        <w:t xml:space="preserve">Ye, X., Liang, M., Chen, Z., Jiang, X., Xie, M., Xie, X., Lan, G., Lu, X., Huang, Z., Xu, T. and Xie, X. (2024). Association between healthy lifestyle on life course and multimorbidity in adults: results from two national prospective cohort studies. </w:t>
      </w:r>
      <w:r w:rsidRPr="002005FC">
        <w:rPr>
          <w:i/>
          <w:iCs/>
        </w:rPr>
        <w:t>BMC Public Health</w:t>
      </w:r>
      <w:r w:rsidRPr="002005FC">
        <w:t>, 24(1). doi:https://doi.org/10.1186/s12889-024-20443-7.</w:t>
      </w:r>
    </w:p>
    <w:p w14:paraId="50678320" w14:textId="77777777" w:rsidR="002005FC" w:rsidRPr="002005FC" w:rsidRDefault="002005FC" w:rsidP="002005FC">
      <w:r w:rsidRPr="002005FC">
        <w:t xml:space="preserve">Young minds (2021). </w:t>
      </w:r>
      <w:r w:rsidRPr="002005FC">
        <w:rPr>
          <w:i/>
          <w:iCs/>
        </w:rPr>
        <w:t>Guide to CAMHS</w:t>
      </w:r>
      <w:r w:rsidRPr="002005FC">
        <w:t>. [online] YoungMinds. Available at: https://www.youngminds.org.uk/young-person/your-guide-to-support/guide-to-camhs/.</w:t>
      </w:r>
    </w:p>
    <w:p w14:paraId="1DF4563D" w14:textId="77777777" w:rsidR="00AC3B35" w:rsidRDefault="00AC3B35"/>
    <w:sectPr w:rsidR="00AC3B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FC"/>
    <w:rsid w:val="00046EA2"/>
    <w:rsid w:val="00054D23"/>
    <w:rsid w:val="002005FC"/>
    <w:rsid w:val="002C1F46"/>
    <w:rsid w:val="00385615"/>
    <w:rsid w:val="00AC3B35"/>
    <w:rsid w:val="00BD107D"/>
    <w:rsid w:val="00C54D52"/>
    <w:rsid w:val="00F7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C0659"/>
  <w15:chartTrackingRefBased/>
  <w15:docId w15:val="{A721F88A-7C7F-49E9-BD1B-4C5FBCB92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5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5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5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5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5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5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5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5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5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5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5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5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5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5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5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5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5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5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5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5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5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5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5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5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5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5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5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5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5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692</Words>
  <Characters>3948</Characters>
  <Application>Microsoft Office Word</Application>
  <DocSecurity>0</DocSecurity>
  <Lines>32</Lines>
  <Paragraphs>9</Paragraphs>
  <ScaleCrop>false</ScaleCrop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Maynard</dc:creator>
  <cp:keywords/>
  <dc:description/>
  <cp:lastModifiedBy>Ryan Maynard</cp:lastModifiedBy>
  <cp:revision>1</cp:revision>
  <dcterms:created xsi:type="dcterms:W3CDTF">2026-03-22T23:18:00Z</dcterms:created>
  <dcterms:modified xsi:type="dcterms:W3CDTF">2026-03-22T23:18:00Z</dcterms:modified>
</cp:coreProperties>
</file>