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pPr>
      <w:r>
        <w:drawing>
          <wp:anchor distT="0" distB="0" distL="114300" distR="114300" simplePos="0" relativeHeight="251660288" behindDoc="0" locked="0" layoutInCell="1" allowOverlap="1">
            <wp:simplePos x="0" y="0"/>
            <wp:positionH relativeFrom="column">
              <wp:posOffset>469265</wp:posOffset>
            </wp:positionH>
            <wp:positionV relativeFrom="paragraph">
              <wp:posOffset>154305</wp:posOffset>
            </wp:positionV>
            <wp:extent cx="3886200" cy="1533525"/>
            <wp:effectExtent l="0" t="0" r="0" b="3175"/>
            <wp:wrapSquare wrapText="bothSides"/>
            <wp:docPr id="2" name="Picture 4" descr="Image result for trinity saint david log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Image result for trinity saint david logo"/>
                    <pic:cNvPicPr>
                      <a:picLocks noChangeAspect="1" noChangeArrowheads="1"/>
                    </pic:cNvPicPr>
                  </pic:nvPicPr>
                  <pic:blipFill>
                    <a:blip r:embed="rId6"/>
                    <a:srcRect/>
                    <a:stretch>
                      <a:fillRect/>
                    </a:stretch>
                  </pic:blipFill>
                  <pic:spPr>
                    <a:xfrm>
                      <a:off x="0" y="0"/>
                      <a:ext cx="3886200" cy="1533525"/>
                    </a:xfrm>
                    <a:prstGeom prst="rect">
                      <a:avLst/>
                    </a:prstGeom>
                    <a:noFill/>
                    <a:ln w="9525">
                      <a:noFill/>
                      <a:miter lim="800000"/>
                      <a:headEnd/>
                      <a:tailEnd/>
                    </a:ln>
                  </pic:spPr>
                </pic:pic>
              </a:graphicData>
            </a:graphic>
          </wp:anchor>
        </w:drawing>
      </w:r>
    </w:p>
    <w:p>
      <w:pPr>
        <w:bidi w:val="0"/>
        <w:rPr>
          <w:rFonts w:asciiTheme="minorHAnsi" w:hAnsiTheme="minorHAnsi" w:eastAsiaTheme="minorEastAsia" w:cstheme="minorBidi"/>
          <w:kern w:val="2"/>
          <w:sz w:val="21"/>
          <w:szCs w:val="22"/>
          <w:lang w:val="en-US" w:eastAsia="zh-CN" w:bidi="ar-SA"/>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tabs>
          <w:tab w:val="left" w:pos="3144"/>
        </w:tabs>
        <w:bidi w:val="0"/>
        <w:jc w:val="left"/>
        <w:rPr>
          <w:rFonts w:hint="eastAsia" w:ascii="Times New Roman" w:hAnsi="Times New Roman" w:cs="Times New Roman"/>
          <w:sz w:val="56"/>
          <w:szCs w:val="56"/>
        </w:rPr>
      </w:pPr>
      <w:r>
        <w:rPr>
          <w:rFonts w:hint="eastAsia" w:ascii="Times New Roman" w:hAnsi="Times New Roman" w:cs="Times New Roman"/>
          <w:sz w:val="56"/>
          <w:szCs w:val="56"/>
        </w:rPr>
        <w:t>Research on combination between digital marketing and traditional of agriculture products</w:t>
      </w:r>
    </w:p>
    <w:p>
      <w:pPr>
        <w:tabs>
          <w:tab w:val="left" w:pos="3144"/>
        </w:tabs>
        <w:bidi w:val="0"/>
        <w:jc w:val="left"/>
        <w:rPr>
          <w:rFonts w:hint="eastAsia" w:ascii="Times New Roman" w:hAnsi="Times New Roman" w:cs="Times New Roman"/>
          <w:sz w:val="56"/>
          <w:szCs w:val="56"/>
        </w:rPr>
      </w:pPr>
    </w:p>
    <w:p>
      <w:pPr>
        <w:spacing w:line="360" w:lineRule="auto"/>
        <w:rPr>
          <w:rFonts w:hint="eastAsia" w:ascii="Times New Roman" w:hAnsi="Times New Roman" w:cs="Times New Roman"/>
          <w:sz w:val="56"/>
          <w:szCs w:val="56"/>
          <w:lang w:val="en-US" w:eastAsia="zh-CN"/>
        </w:rPr>
      </w:pPr>
      <w:r>
        <w:rPr>
          <w:rFonts w:hint="eastAsia" w:ascii="Times New Roman" w:hAnsi="Times New Roman" w:cs="Times New Roman"/>
          <w:sz w:val="56"/>
          <w:szCs w:val="56"/>
        </w:rPr>
        <w:t xml:space="preserve">By </w:t>
      </w:r>
      <w:r>
        <w:rPr>
          <w:rFonts w:hint="eastAsia" w:ascii="Times New Roman" w:hAnsi="Times New Roman" w:cs="Times New Roman"/>
          <w:sz w:val="56"/>
          <w:szCs w:val="56"/>
          <w:lang w:val="en-US" w:eastAsia="zh-CN"/>
        </w:rPr>
        <w:t>Yixuan Deng</w:t>
      </w:r>
    </w:p>
    <w:p>
      <w:pPr>
        <w:spacing w:line="360" w:lineRule="auto"/>
        <w:rPr>
          <w:rFonts w:hint="default" w:ascii="Times New Roman" w:hAnsi="Times New Roman" w:cs="Times New Roman" w:eastAsiaTheme="minorEastAsia"/>
          <w:sz w:val="56"/>
          <w:szCs w:val="56"/>
          <w:lang w:val="en-US" w:eastAsia="zh-CN"/>
        </w:rPr>
      </w:pPr>
      <w:r>
        <w:rPr>
          <w:rFonts w:hint="eastAsia" w:ascii="Times New Roman" w:hAnsi="Times New Roman" w:cs="Times New Roman"/>
          <w:sz w:val="56"/>
          <w:szCs w:val="56"/>
          <w:lang w:val="en-US" w:eastAsia="zh-CN"/>
        </w:rPr>
        <w:t>2008082</w:t>
      </w:r>
    </w:p>
    <w:p>
      <w:pPr>
        <w:spacing w:line="360" w:lineRule="auto"/>
        <w:rPr>
          <w:rFonts w:hint="eastAsia" w:ascii="Times New Roman" w:hAnsi="Times New Roman" w:cs="Times New Roman"/>
          <w:sz w:val="56"/>
          <w:szCs w:val="56"/>
          <w:lang w:val="en-US" w:eastAsia="zh-CN"/>
        </w:rPr>
      </w:pPr>
      <w:r>
        <w:rPr>
          <w:rFonts w:hint="eastAsia" w:ascii="Times New Roman" w:hAnsi="Times New Roman" w:cs="Times New Roman"/>
          <w:sz w:val="56"/>
          <w:szCs w:val="56"/>
          <w:lang w:val="en-US" w:eastAsia="zh-CN"/>
        </w:rPr>
        <w:t>Submitted date: 7</w:t>
      </w:r>
      <w:r>
        <w:rPr>
          <w:rFonts w:hint="eastAsia" w:ascii="Times New Roman" w:hAnsi="Times New Roman" w:cs="Times New Roman"/>
          <w:sz w:val="56"/>
          <w:szCs w:val="56"/>
          <w:vertAlign w:val="superscript"/>
          <w:lang w:val="en-US" w:eastAsia="zh-CN"/>
        </w:rPr>
        <w:t>th</w:t>
      </w:r>
      <w:r>
        <w:rPr>
          <w:rFonts w:hint="eastAsia" w:ascii="Times New Roman" w:hAnsi="Times New Roman" w:cs="Times New Roman"/>
          <w:sz w:val="56"/>
          <w:szCs w:val="56"/>
          <w:lang w:val="en-US" w:eastAsia="zh-CN"/>
        </w:rPr>
        <w:t xml:space="preserve"> February, 2021</w:t>
      </w:r>
    </w:p>
    <w:p>
      <w:pPr>
        <w:spacing w:line="360" w:lineRule="auto"/>
        <w:rPr>
          <w:rFonts w:hint="eastAsia" w:ascii="Times New Roman" w:hAnsi="Times New Roman" w:cs="Times New Roman"/>
          <w:sz w:val="56"/>
          <w:szCs w:val="56"/>
          <w:lang w:val="en-US" w:eastAsia="zh-CN"/>
        </w:rPr>
      </w:pPr>
      <w:r>
        <w:rPr>
          <w:rFonts w:hint="eastAsia" w:ascii="Times New Roman" w:hAnsi="Times New Roman" w:cs="Times New Roman"/>
          <w:sz w:val="56"/>
          <w:szCs w:val="56"/>
          <w:lang w:val="en-US" w:eastAsia="zh-CN"/>
        </w:rPr>
        <w:t>For Caroline Jawad</w:t>
      </w:r>
    </w:p>
    <w:p>
      <w:pPr>
        <w:spacing w:line="360" w:lineRule="auto"/>
        <w:rPr>
          <w:rFonts w:hint="default" w:ascii="Times New Roman" w:hAnsi="Times New Roman" w:cs="Times New Roman"/>
          <w:sz w:val="56"/>
          <w:szCs w:val="56"/>
          <w:lang w:val="en-US" w:eastAsia="zh-CN"/>
        </w:rPr>
      </w:pPr>
      <w:r>
        <w:rPr>
          <w:rFonts w:hint="eastAsia" w:ascii="Times New Roman" w:hAnsi="Times New Roman" w:cs="Times New Roman"/>
          <w:sz w:val="56"/>
          <w:szCs w:val="56"/>
          <w:lang w:val="en-US" w:eastAsia="zh-CN"/>
        </w:rPr>
        <w:t>BA International Finance</w:t>
      </w:r>
    </w:p>
    <w:p>
      <w:pPr>
        <w:spacing w:line="360" w:lineRule="auto"/>
        <w:rPr>
          <w:rFonts w:hint="default" w:ascii="Times New Roman" w:hAnsi="Times New Roman" w:cs="Times New Roman"/>
          <w:sz w:val="56"/>
          <w:szCs w:val="56"/>
          <w:lang w:val="en-US" w:eastAsia="zh-CN"/>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36"/>
          <w:szCs w:val="36"/>
          <w:lang w:val="en-US" w:eastAsia="zh-CN"/>
        </w:rPr>
      </w:pPr>
    </w:p>
    <w:p>
      <w:pPr>
        <w:keepNext w:val="0"/>
        <w:keepLines w:val="0"/>
        <w:pageBreakBefore w:val="0"/>
        <w:widowControl w:val="0"/>
        <w:kinsoku/>
        <w:wordWrap/>
        <w:overflowPunct/>
        <w:topLinePunct w:val="0"/>
        <w:autoSpaceDE/>
        <w:autoSpaceDN/>
        <w:bidi w:val="0"/>
        <w:adjustRightInd/>
        <w:snapToGrid/>
        <w:spacing w:line="30" w:lineRule="atLeast"/>
        <w:ind w:firstLine="2520" w:firstLineChars="700"/>
        <w:textAlignment w:val="auto"/>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Table of contents</w:t>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lang w:val="en-US" w:eastAsia="zh-CN"/>
        </w:rPr>
      </w:pP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TOC \o "1-9" \h \u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_Toc4566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1.0 Background</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_Toc4566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_Toc30293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2</w:t>
      </w:r>
      <w:r>
        <w:rPr>
          <w:rFonts w:hint="default" w:ascii="Times New Roman" w:hAnsi="Times New Roman" w:cs="Times New Roman"/>
          <w:bCs/>
          <w:sz w:val="30"/>
          <w:szCs w:val="30"/>
        </w:rPr>
        <w:t>.0 The definition of digital marketing and O2O e-commerce</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_Toc30293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_Toc23553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3</w:t>
      </w:r>
      <w:r>
        <w:rPr>
          <w:rFonts w:hint="default" w:ascii="Times New Roman" w:hAnsi="Times New Roman" w:cs="Times New Roman"/>
          <w:bCs/>
          <w:sz w:val="30"/>
          <w:szCs w:val="30"/>
        </w:rPr>
        <w:t xml:space="preserve">.0 </w:t>
      </w:r>
      <w:r>
        <w:rPr>
          <w:rFonts w:hint="default" w:ascii="Times New Roman" w:hAnsi="Times New Roman" w:cs="Times New Roman"/>
          <w:bCs/>
          <w:sz w:val="30"/>
          <w:szCs w:val="30"/>
          <w:lang w:val="en-US" w:eastAsia="zh-CN"/>
        </w:rPr>
        <w:t>E</w:t>
      </w:r>
      <w:r>
        <w:rPr>
          <w:rFonts w:hint="default" w:ascii="Times New Roman" w:hAnsi="Times New Roman" w:cs="Times New Roman"/>
          <w:bCs/>
          <w:sz w:val="30"/>
          <w:szCs w:val="30"/>
        </w:rPr>
        <w:t>-commerce research review</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_Toc23553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_Toc19890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4</w:t>
      </w:r>
      <w:r>
        <w:rPr>
          <w:rFonts w:hint="default" w:ascii="Times New Roman" w:hAnsi="Times New Roman" w:cs="Times New Roman"/>
          <w:bCs/>
          <w:sz w:val="30"/>
          <w:szCs w:val="30"/>
        </w:rPr>
        <w:t xml:space="preserve">.0 The situation of agricultural e-commerce in </w:t>
      </w:r>
      <w:r>
        <w:rPr>
          <w:rFonts w:hint="default" w:ascii="Times New Roman" w:hAnsi="Times New Roman" w:cs="Times New Roman"/>
          <w:bCs/>
          <w:sz w:val="30"/>
          <w:szCs w:val="30"/>
          <w:lang w:val="en-US" w:eastAsia="zh-CN"/>
        </w:rPr>
        <w:t>foreign</w:t>
      </w:r>
      <w:r>
        <w:rPr>
          <w:rFonts w:hint="default" w:ascii="Times New Roman" w:hAnsi="Times New Roman" w:cs="Times New Roman"/>
          <w:bCs/>
          <w:sz w:val="30"/>
          <w:szCs w:val="30"/>
        </w:rPr>
        <w:t xml:space="preserve"> countries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_Toc19890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6</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_Toc15345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5</w:t>
      </w:r>
      <w:r>
        <w:rPr>
          <w:rFonts w:hint="default" w:ascii="Times New Roman" w:hAnsi="Times New Roman" w:cs="Times New Roman"/>
          <w:bCs/>
          <w:sz w:val="30"/>
          <w:szCs w:val="30"/>
        </w:rPr>
        <w:t>.0 The current situation of e-commerce in China</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_Toc15345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8</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_Toc25833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6.0 The research on farmer product marketing</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_Toc25833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_Toc5587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7.0 Digital marketing of foreign agricultural products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_Toc5587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_Toc10963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8.0 Digital marketing of domestic digital marketing</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_Toc10963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0" w:lineRule="atLeast"/>
        <w:textAlignment w:val="auto"/>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_Toc13069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bCs/>
          <w:sz w:val="30"/>
          <w:szCs w:val="30"/>
          <w:lang w:val="en-US" w:eastAsia="zh-CN"/>
        </w:rPr>
        <w:t>9.0 References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_Toc13069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11</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30"/>
          <w:szCs w:val="30"/>
          <w:lang w:val="en-US" w:eastAsia="zh-CN"/>
        </w:rPr>
        <w:fldChar w:fldCharType="end"/>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keepNext w:val="0"/>
        <w:keepLines w:val="0"/>
        <w:pageBreakBefore w:val="0"/>
        <w:widowControl w:val="0"/>
        <w:tabs>
          <w:tab w:val="left" w:pos="4762"/>
        </w:tabs>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lang w:val="en-US" w:eastAsia="zh-CN"/>
          <w14:textFill>
            <w14:solidFill>
              <w14:schemeClr w14:val="tx1"/>
            </w14:solidFill>
          </w14:textFill>
        </w:rPr>
      </w:pPr>
      <w:bookmarkStart w:id="0" w:name="_Toc4566"/>
      <w:r>
        <w:rPr>
          <w:rFonts w:hint="default" w:ascii="Times New Roman" w:hAnsi="Times New Roman" w:cs="Times New Roman"/>
          <w:b w:val="0"/>
          <w:bCs/>
          <w:color w:val="000000" w:themeColor="text1"/>
          <w:sz w:val="28"/>
          <w:szCs w:val="28"/>
          <w:lang w:val="en-US" w:eastAsia="zh-CN"/>
          <w14:textFill>
            <w14:solidFill>
              <w14:schemeClr w14:val="tx1"/>
            </w14:solidFill>
          </w14:textFill>
        </w:rPr>
        <w:t>1</w:t>
      </w:r>
      <w:bookmarkStart w:id="11" w:name="_GoBack"/>
      <w:r>
        <w:rPr>
          <w:rFonts w:hint="default" w:ascii="Times New Roman" w:hAnsi="Times New Roman" w:cs="Times New Roman"/>
          <w:b w:val="0"/>
          <w:bCs/>
          <w:color w:val="000000" w:themeColor="text1"/>
          <w:sz w:val="28"/>
          <w:szCs w:val="28"/>
          <w:lang w:val="en-US" w:eastAsia="zh-CN"/>
          <w14:textFill>
            <w14:solidFill>
              <w14:schemeClr w14:val="tx1"/>
            </w14:solidFill>
          </w14:textFill>
        </w:rPr>
        <w:t>.0 Background</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When the Internet became a part of people's lives, it became an indispensable tool for excellent communication between people's work and social life. As the cost of the Internet decreased, the opportunities for access to services increased, and companies could conduct market transactions in electronic ways: E-commerce emerged.</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Electronic commerce "refers to financial and information transactions conducted electronically between an organization and any third party with which it transmits" that change decisions in terms of cost and time, beginning with the company's decision to adopt the Internet."No one can imagine what impact technology will have on the information or business world "(Ohmae+ 2005) The Internet has transformed the business and marketing of enterprises. Hill (2011) points out that technological change is a driving factor of globalization, especially the technological change in communication technology, transportation and information processing.When every business transaction is carried out by computer, traditional marketing methods must be attached to the Internet.Chaffey and Ellis - Chadwick (2014) said, "Internet marketing strategy is essentially a channel marketing strategy, need integration with other channel, as part of a multi-channel strategy" Gonzales (2011) use the term "ubiquitous" to refer to "across time and space constraints, the number and the reality to dilute it, that the calculation can integrated into the human environment", no matter where the customer can access the company's web site.According to Czinkota-Ronkainen (2013), "E-commerce has opened up new worlds for the scope of global services, greatly reducing the meaning of distance".</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14:textFill>
            <w14:solidFill>
              <w14:schemeClr w14:val="tx1"/>
            </w14:solidFill>
          </w14:textFill>
        </w:rPr>
      </w:pPr>
      <w:bookmarkStart w:id="1" w:name="_Toc30293"/>
      <w:r>
        <w:rPr>
          <w:rFonts w:hint="default" w:ascii="Times New Roman" w:hAnsi="Times New Roman" w:cs="Times New Roman"/>
          <w:b w:val="0"/>
          <w:bCs/>
          <w:color w:val="000000" w:themeColor="text1"/>
          <w:sz w:val="28"/>
          <w:szCs w:val="28"/>
          <w:lang w:val="en-US" w:eastAsia="zh-CN"/>
          <w14:textFill>
            <w14:solidFill>
              <w14:schemeClr w14:val="tx1"/>
            </w14:solidFill>
          </w14:textFill>
        </w:rPr>
        <w:t>2</w:t>
      </w:r>
      <w:r>
        <w:rPr>
          <w:rFonts w:hint="default" w:ascii="Times New Roman" w:hAnsi="Times New Roman" w:cs="Times New Roman"/>
          <w:b w:val="0"/>
          <w:bCs/>
          <w:color w:val="000000" w:themeColor="text1"/>
          <w:sz w:val="28"/>
          <w:szCs w:val="28"/>
          <w14:textFill>
            <w14:solidFill>
              <w14:schemeClr w14:val="tx1"/>
            </w14:solidFill>
          </w14:textFill>
        </w:rPr>
        <w:t>.0 The definition of digital marketing and O2O e-commerce</w:t>
      </w:r>
      <w:bookmarkEnd w:id="1"/>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The digital marketing </w:t>
      </w:r>
      <w:r>
        <w:rPr>
          <w:rFonts w:hint="eastAsia" w:ascii="Times New Roman" w:hAnsi="Times New Roman" w:cs="Times New Roman"/>
          <w:color w:val="000000" w:themeColor="text1"/>
          <w:sz w:val="24"/>
          <w:szCs w:val="24"/>
          <w14:textFill>
            <w14:solidFill>
              <w14:schemeClr w14:val="tx1"/>
            </w14:solidFill>
          </w14:textFill>
        </w:rPr>
        <w:t xml:space="preserve">is the practice of using digital communication channels to promote products and services in order to communicate with consumers in a timely, relevant, customized and cost-effective manner（Barnes et al,2013）. Another </w:t>
      </w:r>
      <w:r>
        <w:rPr>
          <w:rFonts w:ascii="Times New Roman" w:hAnsi="Times New Roman" w:cs="Times New Roman"/>
          <w:color w:val="000000" w:themeColor="text1"/>
          <w:sz w:val="24"/>
          <w:szCs w:val="24"/>
          <w14:textFill>
            <w14:solidFill>
              <w14:schemeClr w14:val="tx1"/>
            </w14:solidFill>
          </w14:textFill>
        </w:rPr>
        <w:t>definition</w:t>
      </w:r>
      <w:r>
        <w:rPr>
          <w:rFonts w:hint="eastAsia" w:ascii="Times New Roman" w:hAnsi="Times New Roman" w:cs="Times New Roman"/>
          <w:color w:val="000000" w:themeColor="text1"/>
          <w:sz w:val="24"/>
          <w:szCs w:val="24"/>
          <w14:textFill>
            <w14:solidFill>
              <w14:schemeClr w14:val="tx1"/>
            </w14:solidFill>
          </w14:textFill>
        </w:rPr>
        <w:t xml:space="preserve"> from Kotler is determined by the connection possessed between buyers  and sellers and how they </w:t>
      </w:r>
      <w:r>
        <w:rPr>
          <w:rFonts w:ascii="Times New Roman" w:hAnsi="Times New Roman" w:cs="Times New Roman"/>
          <w:color w:val="000000" w:themeColor="text1"/>
          <w:sz w:val="24"/>
          <w:szCs w:val="24"/>
          <w14:textFill>
            <w14:solidFill>
              <w14:schemeClr w14:val="tx1"/>
            </w14:solidFill>
          </w14:textFill>
        </w:rPr>
        <w:t>interact</w:t>
      </w:r>
      <w:r>
        <w:rPr>
          <w:rFonts w:hint="eastAsia" w:ascii="Times New Roman" w:hAnsi="Times New Roman" w:cs="Times New Roman"/>
          <w:color w:val="000000" w:themeColor="text1"/>
          <w:sz w:val="24"/>
          <w:szCs w:val="24"/>
          <w14:textFill>
            <w14:solidFill>
              <w14:schemeClr w14:val="tx1"/>
            </w14:solidFill>
          </w14:textFill>
        </w:rPr>
        <w:t xml:space="preserve"> with each other ( Kotler Wong et al,2009)</w:t>
      </w:r>
      <w:r>
        <w:rPr>
          <w:rFonts w:ascii="Times New Roman" w:hAnsi="Times New Roman" w:cs="Times New Roman"/>
          <w:color w:val="000000" w:themeColor="text1"/>
          <w:sz w:val="24"/>
          <w:szCs w:val="24"/>
          <w14:textFill>
            <w14:solidFill>
              <w14:schemeClr w14:val="tx1"/>
            </w14:solidFill>
          </w14:textFill>
        </w:rPr>
        <w:t xml:space="preserve">The </w:t>
      </w:r>
      <w:r>
        <w:rPr>
          <w:rFonts w:ascii="Times New Roman" w:hAnsi="Times New Roman" w:cs="Times New Roman"/>
          <w:b/>
          <w:color w:val="000000" w:themeColor="text1"/>
          <w:sz w:val="24"/>
          <w:szCs w:val="24"/>
          <w14:textFill>
            <w14:solidFill>
              <w14:schemeClr w14:val="tx1"/>
            </w14:solidFill>
          </w14:textFill>
        </w:rPr>
        <w:t>characteristic of digital marketing is efficient, quick, low-cost, spread widely. It is also</w:t>
      </w:r>
      <w:r>
        <w:rPr>
          <w:rFonts w:ascii="Times New Roman" w:hAnsi="Times New Roman" w:cs="Times New Roman"/>
          <w:color w:val="000000" w:themeColor="text1"/>
          <w:sz w:val="24"/>
          <w:szCs w:val="24"/>
          <w14:textFill>
            <w14:solidFill>
              <w14:schemeClr w14:val="tx1"/>
            </w14:solidFill>
          </w14:textFill>
        </w:rPr>
        <w:t xml:space="preserve"> a convenient way Promoted by the government, the publicity is limited, it also has longitudinal surface. Digital marketing make full use of technology to help marketing activities, it improves customers’ knowledge to satisfy the customers’ need.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O</w:t>
      </w:r>
      <w:r>
        <w:rPr>
          <w:rFonts w:hint="eastAsia" w:ascii="Times New Roman" w:hAnsi="Times New Roman" w:cs="Times New Roman"/>
          <w:color w:val="000000" w:themeColor="text1"/>
          <w:sz w:val="24"/>
          <w:szCs w:val="24"/>
          <w14:textFill>
            <w14:solidFill>
              <w14:schemeClr w14:val="tx1"/>
            </w14:solidFill>
          </w14:textFill>
        </w:rPr>
        <w:t>2oe-commerce is an emerging business model of online and offline interaction created by the network (Zhang</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eastAsia" w:ascii="Times New Roman" w:hAnsi="Times New Roman" w:cs="Times New Roman"/>
          <w:color w:val="000000" w:themeColor="text1"/>
          <w:sz w:val="24"/>
          <w:szCs w:val="24"/>
          <w14:textFill>
            <w14:solidFill>
              <w14:schemeClr w14:val="tx1"/>
            </w14:solidFill>
          </w14:textFill>
        </w:rPr>
        <w:t>Bo,</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eastAsia" w:ascii="Times New Roman" w:hAnsi="Times New Roman" w:cs="Times New Roman"/>
          <w:color w:val="000000" w:themeColor="text1"/>
          <w:sz w:val="24"/>
          <w:szCs w:val="24"/>
          <w14:textFill>
            <w14:solidFill>
              <w14:schemeClr w14:val="tx1"/>
            </w14:solidFill>
          </w14:textFill>
        </w:rPr>
        <w:t>2013) , under the o2omode, offline users can easily obtain the information they need through the network without extra cost ,and merchants can release various information about commodities at any time through the network. For example, by offering discounts and providing information and services ,o2o pushes the information of offline businesses to internet users, so as to convert them into its offline customers. At the same time ,o2o solves the problem that it is difficult for users to find suitable merchants and merchants to find users.</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14:textFill>
            <w14:solidFill>
              <w14:schemeClr w14:val="tx1"/>
            </w14:solidFill>
          </w14:textFill>
        </w:rPr>
      </w:pPr>
      <w:bookmarkStart w:id="2" w:name="_Toc23553"/>
      <w:r>
        <w:rPr>
          <w:rFonts w:hint="default" w:ascii="Times New Roman" w:hAnsi="Times New Roman" w:cs="Times New Roman"/>
          <w:b w:val="0"/>
          <w:bCs/>
          <w:color w:val="000000" w:themeColor="text1"/>
          <w:sz w:val="28"/>
          <w:szCs w:val="28"/>
          <w:lang w:val="en-US" w:eastAsia="zh-CN"/>
          <w14:textFill>
            <w14:solidFill>
              <w14:schemeClr w14:val="tx1"/>
            </w14:solidFill>
          </w14:textFill>
        </w:rPr>
        <w:t>3</w:t>
      </w:r>
      <w:r>
        <w:rPr>
          <w:rFonts w:hint="default" w:ascii="Times New Roman" w:hAnsi="Times New Roman" w:cs="Times New Roman"/>
          <w:b w:val="0"/>
          <w:bCs/>
          <w:color w:val="000000" w:themeColor="text1"/>
          <w:sz w:val="28"/>
          <w:szCs w:val="28"/>
          <w14:textFill>
            <w14:solidFill>
              <w14:schemeClr w14:val="tx1"/>
            </w14:solidFill>
          </w14:textFill>
        </w:rPr>
        <w:t xml:space="preserve">.0 </w:t>
      </w:r>
      <w:r>
        <w:rPr>
          <w:rFonts w:hint="default" w:ascii="Times New Roman" w:hAnsi="Times New Roman" w:cs="Times New Roman"/>
          <w:b w:val="0"/>
          <w:bCs/>
          <w:color w:val="000000" w:themeColor="text1"/>
          <w:sz w:val="28"/>
          <w:szCs w:val="28"/>
          <w:lang w:val="en-US" w:eastAsia="zh-CN"/>
          <w14:textFill>
            <w14:solidFill>
              <w14:schemeClr w14:val="tx1"/>
            </w14:solidFill>
          </w14:textFill>
        </w:rPr>
        <w:t>E</w:t>
      </w:r>
      <w:r>
        <w:rPr>
          <w:rFonts w:hint="default" w:ascii="Times New Roman" w:hAnsi="Times New Roman" w:cs="Times New Roman"/>
          <w:b w:val="0"/>
          <w:bCs/>
          <w:color w:val="000000" w:themeColor="text1"/>
          <w:sz w:val="28"/>
          <w:szCs w:val="28"/>
          <w14:textFill>
            <w14:solidFill>
              <w14:schemeClr w14:val="tx1"/>
            </w14:solidFill>
          </w14:textFill>
        </w:rPr>
        <w:t>-commerce research review</w:t>
      </w:r>
      <w:bookmarkEnd w:id="2"/>
      <w:r>
        <w:rPr>
          <w:rFonts w:hint="default" w:ascii="Times New Roman" w:hAnsi="Times New Roman" w:cs="Times New Roman"/>
          <w:b w:val="0"/>
          <w:bCs/>
          <w:color w:val="000000" w:themeColor="text1"/>
          <w:sz w:val="28"/>
          <w:szCs w:val="28"/>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In recent years, B2B, B2C,C2C and C2B e-commerce models have developed rapidly and become matureFelipa, </w:t>
      </w:r>
      <w:r>
        <w:rPr>
          <w:rFonts w:hint="eastAsia" w:ascii="Times New Roman" w:hAnsi="Times New Roman" w:cs="Times New Roman"/>
          <w:color w:val="000000" w:themeColor="text1"/>
          <w:sz w:val="24"/>
          <w:szCs w:val="24"/>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but they also show their limitations respectively. In order to develop their advantages and make up for their shortcomings</w:t>
      </w:r>
      <w:bookmarkStart w:id="3" w:name="OLE_LINK1"/>
      <w:r>
        <w:rPr>
          <w:rFonts w:hint="eastAsia" w:ascii="Times New Roman" w:hAnsi="Times New Roman" w:cs="Times New Roman"/>
          <w:color w:val="000000" w:themeColor="text1"/>
          <w:sz w:val="24"/>
          <w:szCs w:val="24"/>
          <w14:textFill>
            <w14:solidFill>
              <w14:schemeClr w14:val="tx1"/>
            </w14:solidFill>
          </w14:textFill>
        </w:rPr>
        <w:t>(</w:t>
      </w:r>
      <w:r>
        <w:rPr>
          <w:rFonts w:ascii="Times New Roman" w:hAnsi="Times New Roman" w:cs="Times New Roman"/>
          <w:color w:val="000000" w:themeColor="text1"/>
          <w:sz w:val="24"/>
          <w:szCs w:val="24"/>
          <w14:textFill>
            <w14:solidFill>
              <w14:schemeClr w14:val="tx1"/>
            </w14:solidFill>
          </w14:textFill>
        </w:rPr>
        <w:t>Chou Haifeng</w:t>
      </w:r>
      <w:r>
        <w:rPr>
          <w:rFonts w:hint="eastAsia" w:ascii="Times New Roman" w:hAnsi="Times New Roman" w:cs="Times New Roman"/>
          <w:color w:val="000000" w:themeColor="text1"/>
          <w:sz w:val="24"/>
          <w:szCs w:val="24"/>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201</w:t>
      </w:r>
      <w:r>
        <w:rPr>
          <w:rFonts w:hint="eastAsia" w:ascii="Times New Roman" w:hAnsi="Times New Roman" w:cs="Times New Roman"/>
          <w:color w:val="000000" w:themeColor="text1"/>
          <w:sz w:val="24"/>
          <w:szCs w:val="24"/>
          <w14:textFill>
            <w14:solidFill>
              <w14:schemeClr w14:val="tx1"/>
            </w14:solidFill>
          </w14:textFill>
        </w:rPr>
        <w:t>1)</w:t>
      </w:r>
      <w:bookmarkEnd w:id="3"/>
      <w:r>
        <w:rPr>
          <w:rFonts w:hint="eastAsia" w:ascii="Times New Roman" w:hAnsi="Times New Roman" w:cs="Times New Roman"/>
          <w:color w:val="000000" w:themeColor="text1"/>
          <w:sz w:val="24"/>
          <w:szCs w:val="24"/>
          <w14:textFill>
            <w14:solidFill>
              <w14:schemeClr w14:val="tx1"/>
            </w14:solidFill>
          </w14:textFill>
        </w:rPr>
        <w:t xml:space="preserve">.In this article, it is also emphasized that the government should create a good environment for the development of rural e-commerce, and strengthen the infrastructure construction to complete the agricultural information system. </w:t>
      </w:r>
      <w:r>
        <w:rPr>
          <w:rFonts w:ascii="Times New Roman" w:hAnsi="Times New Roman" w:cs="Times New Roman"/>
          <w:color w:val="000000" w:themeColor="text1"/>
          <w:sz w:val="24"/>
          <w:szCs w:val="24"/>
          <w14:textFill>
            <w14:solidFill>
              <w14:schemeClr w14:val="tx1"/>
            </w14:solidFill>
          </w14:textFill>
        </w:rPr>
        <w:t>the O2O e-commerce model based on the combination of digital marketing online and traditional market offline emerged at the right moment and has been widely used</w:t>
      </w:r>
      <w:r>
        <w:rPr>
          <w:rFonts w:ascii="Arial" w:hAnsi="Arial" w:eastAsia="宋体" w:cs="Arial"/>
          <w:color w:val="000000" w:themeColor="text1"/>
          <w:sz w:val="14"/>
          <w:szCs w:val="14"/>
          <w:shd w:val="clear" w:color="auto" w:fill="F7F8FA"/>
          <w14:textFill>
            <w14:solidFill>
              <w14:schemeClr w14:val="tx1"/>
            </w14:solidFill>
          </w14:textFill>
        </w:rPr>
        <w:t xml:space="preserve">B2B, </w:t>
      </w:r>
      <w:r>
        <w:rPr>
          <w:rFonts w:ascii="Times New Roman" w:hAnsi="Times New Roman" w:cs="Times New Roman"/>
          <w:color w:val="000000" w:themeColor="text1"/>
          <w:sz w:val="24"/>
          <w:szCs w:val="24"/>
          <w14:textFill>
            <w14:solidFill>
              <w14:schemeClr w14:val="tx1"/>
            </w14:solidFill>
          </w14:textFill>
        </w:rPr>
        <w:t>Many scholars and research institutions at home and abroad have made meaningful explorations on this new electronic commerce model</w:t>
      </w:r>
      <w:r>
        <w:rPr>
          <w:rFonts w:hint="eastAsia"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 xml:space="preserve">Famous scholars, Ravi Lakota and Andrew B. wheston ,they studied and published a book named the frontier of e-commerce, in which describe </w:t>
      </w:r>
      <w:r>
        <w:rPr>
          <w:rFonts w:ascii="Times New Roman" w:hAnsi="Times New Roman" w:cs="Times New Roman"/>
          <w:color w:val="000000" w:themeColor="text1"/>
          <w:sz w:val="24"/>
          <w:szCs w:val="24"/>
          <w14:textFill>
            <w14:solidFill>
              <w14:schemeClr w14:val="tx1"/>
            </w14:solidFill>
          </w14:textFill>
        </w:rPr>
        <w:t>“</w:t>
      </w:r>
      <w:r>
        <w:rPr>
          <w:rFonts w:hint="eastAsia" w:ascii="Times New Roman" w:hAnsi="Times New Roman" w:cs="Times New Roman"/>
          <w:color w:val="000000" w:themeColor="text1"/>
          <w:sz w:val="24"/>
          <w:szCs w:val="24"/>
          <w14:textFill>
            <w14:solidFill>
              <w14:schemeClr w14:val="tx1"/>
            </w14:solidFill>
          </w14:textFill>
        </w:rPr>
        <w:t>e-commerce is a modern business method, which can improve the quality of products and services, improve the speed of service delivery, and meet the needs of government organization, manufactures and consumers to reduce cost</w:t>
      </w:r>
      <w:r>
        <w:rPr>
          <w:rFonts w:ascii="Times New Roman" w:hAnsi="Times New Roman" w:cs="Times New Roman"/>
          <w:color w:val="000000" w:themeColor="text1"/>
          <w:sz w:val="24"/>
          <w:szCs w:val="24"/>
          <w14:textFill>
            <w14:solidFill>
              <w14:schemeClr w14:val="tx1"/>
            </w14:solidFill>
          </w14:textFill>
        </w:rPr>
        <w:t>”</w:t>
      </w:r>
      <w:r>
        <w:rPr>
          <w:rFonts w:hint="eastAsia" w:ascii="Times New Roman" w:hAnsi="Times New Roman" w:cs="Times New Roman"/>
          <w:color w:val="000000" w:themeColor="text1"/>
          <w:sz w:val="24"/>
          <w:szCs w:val="24"/>
          <w14:textFill>
            <w14:solidFill>
              <w14:schemeClr w14:val="tx1"/>
            </w14:solidFill>
          </w14:textFill>
        </w:rPr>
        <w:t>( Xue Liang, 1998）in other word, Electronic commerce connects buyers and sellers with information, products and services through computer networks。</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 xml:space="preserve">Fritz. Machlup who is a famous American scholar studied the expression of information activities in economic activities through the combination and promotion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of online and offline between the economic industry and the media industry. Taking films as an example, it is found that the more platforms the cinema chooses to connect, the higher the benefit of the cinema, which confirms the relationship between the choice of O2O e-commerce platform and the benefit of suppliers. ( Xin Wan, Chen Jing,2017)</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 xml:space="preserve">WenXin Xue etc Chinese scholar </w:t>
      </w:r>
      <w:r>
        <w:rPr>
          <w:rFonts w:ascii="Times New Roman" w:hAnsi="Times New Roman" w:cs="Times New Roman"/>
          <w:color w:val="000000" w:themeColor="text1"/>
          <w:sz w:val="24"/>
          <w:szCs w:val="24"/>
          <w14:textFill>
            <w14:solidFill>
              <w14:schemeClr w14:val="tx1"/>
            </w14:solidFill>
          </w14:textFill>
        </w:rPr>
        <w:t>Research on Comprehensive Evaluation of Network Marketing Performance in O2O Model-Measuring by GIOWA Operator</w:t>
      </w:r>
      <w:r>
        <w:rPr>
          <w:rFonts w:hint="eastAsia" w:ascii="Times New Roman" w:hAnsi="Times New Roman" w:cs="Times New Roman"/>
          <w:color w:val="000000" w:themeColor="text1"/>
          <w:sz w:val="24"/>
          <w:szCs w:val="24"/>
          <w14:textFill>
            <w14:solidFill>
              <w14:schemeClr w14:val="tx1"/>
            </w14:solidFill>
          </w14:textFill>
        </w:rPr>
        <w:t xml:space="preserve">( Wenxin Xue, Yilei Pei,  Danan Li 2014)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bookmarkStart w:id="4" w:name="OLE_LINK2"/>
      <w:r>
        <w:rPr>
          <w:rFonts w:ascii="Times New Roman" w:hAnsi="Times New Roman" w:cs="Times New Roman"/>
          <w:color w:val="000000" w:themeColor="text1"/>
          <w:sz w:val="24"/>
          <w:szCs w:val="24"/>
          <w14:textFill>
            <w14:solidFill>
              <w14:schemeClr w14:val="tx1"/>
            </w14:solidFill>
          </w14:textFill>
        </w:rPr>
        <w:t>Karin Roma and other scholars studied the decision system and use method of O2O e-commerce platform</w:t>
      </w:r>
      <w:bookmarkEnd w:id="4"/>
      <w:r>
        <w:rPr>
          <w:rFonts w:hint="eastAsia" w:ascii="Times New Roman" w:hAnsi="Times New Roman" w:cs="Times New Roman"/>
          <w:color w:val="000000" w:themeColor="text1"/>
          <w:sz w:val="24"/>
          <w:szCs w:val="24"/>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Internet age filled with large amounts of data and information, in the face of e-commerce platform, in a wide range of customers can't browse all of the information in a short time, so the electric developers are trying to improve electric business platform of the recommendation system, puts forward the neural model (NCF) collaborative filtering result shows that "(NFM) using function between senior interactive information, induction of recommendation system can be increased by 3% - 4% of agricultural products in the field of electronic commerce recommendation accuracy</w:t>
      </w:r>
      <w:r>
        <w:rPr>
          <w:rFonts w:hint="eastAsia" w:ascii="Times New Roman" w:hAnsi="Times New Roman" w:cs="Times New Roman"/>
          <w:color w:val="000000" w:themeColor="text1"/>
          <w:sz w:val="24"/>
          <w:szCs w:val="24"/>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When recommending personalized and appropriate agricultural products to consumers, neural factorization (NFM) is used as a recommendation algorithm to promote the development of rural e-commerce</w:t>
      </w:r>
      <w:r>
        <w:rPr>
          <w:rFonts w:hint="eastAsia" w:ascii="Times New Roman" w:hAnsi="Times New Roman" w:cs="Times New Roman"/>
          <w:color w:val="000000" w:themeColor="text1"/>
          <w:sz w:val="24"/>
          <w:szCs w:val="24"/>
          <w14:textFill>
            <w14:solidFill>
              <w14:schemeClr w14:val="tx1"/>
            </w14:solidFill>
          </w14:textFill>
        </w:rPr>
        <w:t>. (YuCan Hu, 2020)</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While American farmers use the Internet and e-commerce to manage their farms, and some farmers prefer to connect urban and rural areas via the Internet, scholars have always focused on the differences in the frequency of Internet use and envisioned the use of information technology on American farms in the future</w:t>
      </w:r>
      <w:r>
        <w:rPr>
          <w:rFonts w:hint="eastAsia" w:ascii="Times New Roman" w:hAnsi="Times New Roman" w:cs="Times New Roman"/>
          <w:color w:val="000000" w:themeColor="text1"/>
          <w:sz w:val="24"/>
          <w:szCs w:val="24"/>
          <w14:textFill>
            <w14:solidFill>
              <w14:schemeClr w14:val="tx1"/>
            </w14:solidFill>
          </w14:textFill>
        </w:rPr>
        <w:t>. Nick Mandeloff pointed out that the structure of the industry, the complexity of agricultural products, and the high threshold of trade are the three main factors that restrict the development of agricultural e-</w:t>
      </w:r>
      <w:r>
        <w:rPr>
          <w:rFonts w:hint="eastAsia" w:ascii="Times New Roman" w:hAnsi="Times New Roman" w:cs="Times New Roman"/>
          <w:color w:val="000000" w:themeColor="text1"/>
          <w:sz w:val="24"/>
          <w:szCs w:val="24"/>
          <w:lang w:val="en-US" w:eastAsia="zh-CN"/>
          <w14:textFill>
            <w14:solidFill>
              <w14:schemeClr w14:val="tx1"/>
            </w14:solidFill>
          </w14:textFill>
        </w:rPr>
        <w:t>c</w:t>
      </w:r>
      <w:r>
        <w:rPr>
          <w:rFonts w:hint="eastAsia" w:ascii="Times New Roman" w:hAnsi="Times New Roman" w:cs="Times New Roman"/>
          <w:color w:val="000000" w:themeColor="text1"/>
          <w:sz w:val="24"/>
          <w:szCs w:val="24"/>
          <w14:textFill>
            <w14:solidFill>
              <w14:schemeClr w14:val="tx1"/>
            </w14:solidFill>
          </w14:textFill>
        </w:rPr>
        <w:t>ommerce.</w:t>
      </w:r>
      <w:r>
        <w:rPr>
          <w:rFonts w:ascii="Times New Roman" w:hAnsi="Times New Roman" w:cs="Times New Roman"/>
          <w:color w:val="000000" w:themeColor="text1"/>
          <w:sz w:val="24"/>
          <w:szCs w:val="24"/>
          <w14:textFill>
            <w14:solidFill>
              <w14:schemeClr w14:val="tx1"/>
            </w14:solidFill>
          </w14:textFill>
        </w:rPr>
        <w:t xml:space="preserve">To achieve brand expansion and alliance management through the expansion strategy of online brand </w:t>
      </w:r>
      <w:r>
        <w:rPr>
          <w:rFonts w:hint="eastAsia" w:ascii="Times New Roman" w:hAnsi="Times New Roman" w:cs="Times New Roman"/>
          <w:color w:val="000000" w:themeColor="text1"/>
          <w:sz w:val="24"/>
          <w:szCs w:val="24"/>
          <w:lang w:val="en-US" w:eastAsia="zh-CN"/>
          <w14:textFill>
            <w14:solidFill>
              <w14:schemeClr w14:val="tx1"/>
            </w14:solidFill>
          </w14:textFill>
        </w:rPr>
        <w:t>off</w:t>
      </w:r>
      <w:r>
        <w:rPr>
          <w:rFonts w:ascii="Times New Roman" w:hAnsi="Times New Roman" w:cs="Times New Roman"/>
          <w:color w:val="000000" w:themeColor="text1"/>
          <w:sz w:val="24"/>
          <w:szCs w:val="24"/>
          <w14:textFill>
            <w14:solidFill>
              <w14:schemeClr w14:val="tx1"/>
            </w14:solidFill>
          </w14:textFill>
        </w:rPr>
        <w:t>line</w:t>
      </w:r>
      <w:r>
        <w:rPr>
          <w:rFonts w:hint="eastAsia" w:ascii="Times New Roman" w:hAnsi="Times New Roman" w:cs="Times New Roman"/>
          <w:color w:val="000000" w:themeColor="text1"/>
          <w:sz w:val="24"/>
          <w:szCs w:val="24"/>
          <w14:textFill>
            <w14:solidFill>
              <w14:schemeClr w14:val="tx1"/>
            </w14:solidFill>
          </w14:textFill>
        </w:rPr>
        <w:t xml:space="preserve"> ( </w:t>
      </w:r>
      <w:r>
        <w:rPr>
          <w:rFonts w:ascii="Times New Roman" w:hAnsi="Times New Roman" w:cs="Times New Roman"/>
          <w:color w:val="000000" w:themeColor="text1"/>
          <w:sz w:val="24"/>
          <w:szCs w:val="24"/>
          <w14:textFill>
            <w14:solidFill>
              <w14:schemeClr w14:val="tx1"/>
            </w14:solidFill>
          </w14:textFill>
        </w:rPr>
        <w:t>Bravo, Raphael; Iversen, Nina M; Pina,</w:t>
      </w:r>
      <w:r>
        <w:rPr>
          <w:rFonts w:hint="eastAsia" w:ascii="Times New Roman" w:hAnsi="Times New Roman" w:cs="Times New Roman"/>
          <w:color w:val="000000" w:themeColor="text1"/>
          <w:sz w:val="24"/>
          <w:szCs w:val="24"/>
          <w14:textFill>
            <w14:solidFill>
              <w14:schemeClr w14:val="tx1"/>
            </w14:solidFill>
          </w14:textFill>
        </w:rPr>
        <w:t>2011）</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In order to settke a matter of semantic heterogeneity in agricultural e-commerce and raise standardization of agricultural products in agricultural e-commerce, the agricultural e-commerce is made an investigation of the perspective of ontology. At first,the paper definites ideas and theory of ontology, analyze agricultural products activities in the course of e-commerce and evaluates the ontology technology application in agricultural e-commerce, then it develops the e-commerce standards for the agricultural products, and it sets up the ontology technology in agricultural e-commerce,then it develops the e-commerce standards for the agricultural products, and builds the ontology knowledge base of agricultural e-commerce. the simulation results indicate that the application of ontology in the agricultural e-commerce solves the problems of traditional agricultural e-commerce, and provides sharing platform for agricultural knowledge, contributing to the development of agricultural e-commerce.</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Dong, Wei; Zhang Jing; Zhu Jie; Liu, Xu Ning</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 2013)</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14:textFill>
            <w14:solidFill>
              <w14:schemeClr w14:val="tx1"/>
            </w14:solidFill>
          </w14:textFill>
        </w:rPr>
      </w:pPr>
      <w:bookmarkStart w:id="5" w:name="_Toc19890"/>
      <w:r>
        <w:rPr>
          <w:rFonts w:hint="default" w:ascii="Times New Roman" w:hAnsi="Times New Roman" w:cs="Times New Roman"/>
          <w:b w:val="0"/>
          <w:bCs/>
          <w:color w:val="000000" w:themeColor="text1"/>
          <w:sz w:val="28"/>
          <w:szCs w:val="28"/>
          <w:lang w:val="en-US" w:eastAsia="zh-CN"/>
          <w14:textFill>
            <w14:solidFill>
              <w14:schemeClr w14:val="tx1"/>
            </w14:solidFill>
          </w14:textFill>
        </w:rPr>
        <w:t>4</w:t>
      </w:r>
      <w:r>
        <w:rPr>
          <w:rFonts w:hint="default" w:ascii="Times New Roman" w:hAnsi="Times New Roman" w:cs="Times New Roman"/>
          <w:b w:val="0"/>
          <w:bCs/>
          <w:color w:val="000000" w:themeColor="text1"/>
          <w:sz w:val="28"/>
          <w:szCs w:val="28"/>
          <w14:textFill>
            <w14:solidFill>
              <w14:schemeClr w14:val="tx1"/>
            </w14:solidFill>
          </w14:textFill>
        </w:rPr>
        <w:t xml:space="preserve">.0 The situation of agricultural e-commerce in </w:t>
      </w:r>
      <w:r>
        <w:rPr>
          <w:rFonts w:hint="default" w:ascii="Times New Roman" w:hAnsi="Times New Roman" w:cs="Times New Roman"/>
          <w:b w:val="0"/>
          <w:bCs/>
          <w:color w:val="000000" w:themeColor="text1"/>
          <w:sz w:val="28"/>
          <w:szCs w:val="28"/>
          <w:lang w:val="en-US" w:eastAsia="zh-CN"/>
          <w14:textFill>
            <w14:solidFill>
              <w14:schemeClr w14:val="tx1"/>
            </w14:solidFill>
          </w14:textFill>
        </w:rPr>
        <w:t>foreign</w:t>
      </w:r>
      <w:r>
        <w:rPr>
          <w:rFonts w:hint="default" w:ascii="Times New Roman" w:hAnsi="Times New Roman" w:cs="Times New Roman"/>
          <w:b w:val="0"/>
          <w:bCs/>
          <w:color w:val="000000" w:themeColor="text1"/>
          <w:sz w:val="28"/>
          <w:szCs w:val="28"/>
          <w14:textFill>
            <w14:solidFill>
              <w14:schemeClr w14:val="tx1"/>
            </w14:solidFill>
          </w14:textFill>
        </w:rPr>
        <w:t xml:space="preserve"> countries</w:t>
      </w:r>
      <w:bookmarkEnd w:id="5"/>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 xml:space="preserve">In foreign country, especially advanced agriculture country, O2O e-commerce can be applied to the agricultural field because of the support of the government, the guidance of specialized research and training institutions, and the implementation of the concept .First of all, the development of electronic commerce each country is different, with the emphasis of agricultural e-commerce and incentive is different also, from the point of reality, the world of government support and encouragement of the marketing of agricultural products, in the developed countries, through public funds and public financial methods such as huge money in agriculture and the combination of Internet technology. Even if there is no obvious output of agricultural marketing, such as the largest support, through the allocation of the most favorable conditions, not only to ensure the income of farmers, but also support the promotion of agricultural products, to ensure the stability of the agricultural market. In addition, countries have not stopped the research in the combination of agriculture and high-tech fields, and attach great importance to funds and talents. </w:t>
      </w:r>
      <w:r>
        <w:rPr>
          <w:rFonts w:ascii="Times New Roman" w:hAnsi="Times New Roman" w:cs="Times New Roman"/>
          <w:color w:val="000000" w:themeColor="text1"/>
          <w:sz w:val="24"/>
          <w:szCs w:val="24"/>
          <w14:textFill>
            <w14:solidFill>
              <w14:schemeClr w14:val="tx1"/>
            </w14:solidFill>
          </w14:textFill>
        </w:rPr>
        <w:t>All these are of great significance to the construction and promotion of agricultural brands</w:t>
      </w:r>
      <w:r>
        <w:rPr>
          <w:rFonts w:hint="eastAsia" w:ascii="Times New Roman" w:hAnsi="Times New Roman" w:cs="Times New Roman"/>
          <w:color w:val="000000" w:themeColor="text1"/>
          <w:sz w:val="24"/>
          <w:szCs w:val="24"/>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The t</w:t>
      </w:r>
      <w:r>
        <w:rPr>
          <w:rFonts w:ascii="Times New Roman" w:hAnsi="Times New Roman" w:cs="Times New Roman"/>
          <w:color w:val="000000" w:themeColor="text1"/>
          <w:sz w:val="24"/>
          <w:szCs w:val="24"/>
          <w14:textFill>
            <w14:solidFill>
              <w14:schemeClr w14:val="tx1"/>
            </w14:solidFill>
          </w14:textFill>
        </w:rPr>
        <w:t>hird, in addition to financial support from the government and academic support from research institutions, foreign developed countries also attach great importance to the technical training of personnel directly engaged in agricultural production.</w:t>
      </w:r>
      <w:r>
        <w:rPr>
          <w:rFonts w:hint="eastAsia" w:ascii="Times New Roman" w:hAnsi="Times New Roman" w:cs="Times New Roman"/>
          <w:color w:val="000000" w:themeColor="text1"/>
          <w:sz w:val="24"/>
          <w:szCs w:val="24"/>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Special scientific research institutions are organized to carry out comprehensive technical training for them. Through the establishment of demonstration bases, farmers are made aware of the practical significance and benefits of the combination of agriculture and the Internet, and pay more attention to the operation procedures, which play a very key role in the expansion of the agricultural market.</w:t>
      </w:r>
      <w:r>
        <w:rPr>
          <w:rFonts w:hint="eastAsia" w:ascii="Times New Roman" w:hAnsi="Times New Roman" w:cs="Times New Roman"/>
          <w:color w:val="000000" w:themeColor="text1"/>
          <w:sz w:val="24"/>
          <w:szCs w:val="24"/>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On the one hand, through training, demonstration and service to help farmers and agricultural production enterprises to establish the awareness of marketing and promotion, at the same time, also let consumers understand the value and characteristics of agricultural products.Producers and consumers of the agricultural production chain have reached a consensus.</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In recent years, with the development of the era of global e-commerce, rural areas in developing countries have also participated in e-commerce activities. However, due to the limitations of infrastructure such as network, cities in developing countries have more opportunities to conduct e-commerce</w:t>
      </w:r>
      <w:r>
        <w:rPr>
          <w:rFonts w:hint="eastAsia" w:ascii="Times New Roman" w:hAnsi="Times New Roman" w:cs="Times New Roman"/>
          <w:color w:val="000000" w:themeColor="text1"/>
          <w:sz w:val="24"/>
          <w:szCs w:val="24"/>
          <w:lang w:val="en-US" w:eastAsia="zh-CN"/>
          <w14:textFill>
            <w14:solidFill>
              <w14:schemeClr w14:val="tx1"/>
            </w14:solidFill>
          </w14:textFill>
        </w:rPr>
        <w:t>. ( Kshetri, Nir. 2018)</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14:textFill>
            <w14:solidFill>
              <w14:schemeClr w14:val="tx1"/>
            </w14:solidFill>
          </w14:textFill>
        </w:rPr>
      </w:pPr>
      <w:bookmarkStart w:id="6" w:name="_Toc15345"/>
      <w:r>
        <w:rPr>
          <w:rFonts w:hint="default" w:ascii="Times New Roman" w:hAnsi="Times New Roman" w:cs="Times New Roman"/>
          <w:b w:val="0"/>
          <w:bCs/>
          <w:color w:val="000000" w:themeColor="text1"/>
          <w:sz w:val="28"/>
          <w:szCs w:val="28"/>
          <w:lang w:val="en-US" w:eastAsia="zh-CN"/>
          <w14:textFill>
            <w14:solidFill>
              <w14:schemeClr w14:val="tx1"/>
            </w14:solidFill>
          </w14:textFill>
        </w:rPr>
        <w:t>5</w:t>
      </w:r>
      <w:r>
        <w:rPr>
          <w:rFonts w:hint="default" w:ascii="Times New Roman" w:hAnsi="Times New Roman" w:cs="Times New Roman"/>
          <w:b w:val="0"/>
          <w:bCs/>
          <w:color w:val="000000" w:themeColor="text1"/>
          <w:sz w:val="28"/>
          <w:szCs w:val="28"/>
          <w14:textFill>
            <w14:solidFill>
              <w14:schemeClr w14:val="tx1"/>
            </w14:solidFill>
          </w14:textFill>
        </w:rPr>
        <w:t>.0 The current situation of e-commerce in China</w:t>
      </w:r>
      <w:bookmarkEnd w:id="6"/>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recent years, China's agricultural products e-commerce is booming, agriculture-related websites tens of thousands.</w:t>
      </w:r>
      <w:r>
        <w:rPr>
          <w:rFonts w:hint="eastAsia" w:ascii="Times New Roman" w:hAnsi="Times New Roman" w:cs="Times New Roman"/>
          <w:color w:val="000000" w:themeColor="text1"/>
          <w:sz w:val="24"/>
          <w:szCs w:val="24"/>
          <w14:textFill>
            <w14:solidFill>
              <w14:schemeClr w14:val="tx1"/>
            </w14:solidFill>
          </w14:textFill>
        </w:rPr>
        <w:t xml:space="preserve"> </w:t>
      </w:r>
      <w:r>
        <w:rPr>
          <w:rFonts w:ascii="Times New Roman" w:hAnsi="Times New Roman" w:cs="Times New Roman"/>
          <w:color w:val="000000" w:themeColor="text1"/>
          <w:sz w:val="24"/>
          <w:szCs w:val="24"/>
          <w14:textFill>
            <w14:solidFill>
              <w14:schemeClr w14:val="tx1"/>
            </w14:solidFill>
          </w14:textFill>
        </w:rPr>
        <w:t>Have data statistics rural Internet users in China exceeded 37 million, agricultural site has reached 17822, basically covers all aspects in agriculture, agricultural e-commerce transactions amounted to RMB 50 billion in 2013, especially some leading agricultural, tourism culture form and rapid urbanization of the rural, more need to accelerate the development of e-commerce</w:t>
      </w:r>
      <w:r>
        <w:rPr>
          <w:rFonts w:hint="eastAsia" w:ascii="Times New Roman" w:hAnsi="Times New Roman" w:cs="Times New Roman"/>
          <w:color w:val="000000" w:themeColor="text1"/>
          <w:sz w:val="24"/>
          <w:szCs w:val="24"/>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addition to the agriculture-related websites in Ta</w:t>
      </w:r>
      <w:r>
        <w:rPr>
          <w:rFonts w:hint="eastAsia" w:ascii="Times New Roman" w:hAnsi="Times New Roman" w:cs="Times New Roman"/>
          <w:color w:val="000000" w:themeColor="text1"/>
          <w:sz w:val="24"/>
          <w:szCs w:val="24"/>
          <w14:textFill>
            <w14:solidFill>
              <w14:schemeClr w14:val="tx1"/>
            </w14:solidFill>
          </w14:textFill>
        </w:rPr>
        <w:t>o</w:t>
      </w:r>
      <w:r>
        <w:rPr>
          <w:rFonts w:hint="eastAsia" w:ascii="Times New Roman" w:hAnsi="Times New Roman" w:cs="Times New Roman"/>
          <w:color w:val="000000" w:themeColor="text1"/>
          <w:sz w:val="24"/>
          <w:szCs w:val="24"/>
          <w:lang w:val="en-US" w:eastAsia="zh-CN"/>
          <w14:textFill>
            <w14:solidFill>
              <w14:schemeClr w14:val="tx1"/>
            </w14:solidFill>
          </w14:textFill>
        </w:rPr>
        <w:t>B</w:t>
      </w:r>
      <w:r>
        <w:rPr>
          <w:rFonts w:ascii="Times New Roman" w:hAnsi="Times New Roman" w:cs="Times New Roman"/>
          <w:color w:val="000000" w:themeColor="text1"/>
          <w:sz w:val="24"/>
          <w:szCs w:val="24"/>
          <w14:textFill>
            <w14:solidFill>
              <w14:schemeClr w14:val="tx1"/>
            </w14:solidFill>
          </w14:textFill>
        </w:rPr>
        <w:t>ao, other agricultural professional websites such as Zhong</w:t>
      </w:r>
      <w:r>
        <w:rPr>
          <w:rFonts w:hint="eastAsia" w:ascii="Times New Roman" w:hAnsi="Times New Roman" w:cs="Times New Roman"/>
          <w:color w:val="000000" w:themeColor="text1"/>
          <w:sz w:val="24"/>
          <w:szCs w:val="24"/>
          <w:lang w:val="en-US" w:eastAsia="zh-CN"/>
          <w14:textFill>
            <w14:solidFill>
              <w14:schemeClr w14:val="tx1"/>
            </w14:solidFill>
          </w14:textFill>
        </w:rPr>
        <w:t>N</w:t>
      </w:r>
      <w:r>
        <w:rPr>
          <w:rFonts w:ascii="Times New Roman" w:hAnsi="Times New Roman" w:cs="Times New Roman"/>
          <w:color w:val="000000" w:themeColor="text1"/>
          <w:sz w:val="24"/>
          <w:szCs w:val="24"/>
          <w14:textFill>
            <w14:solidFill>
              <w14:schemeClr w14:val="tx1"/>
            </w14:solidFill>
          </w14:textFill>
        </w:rPr>
        <w:t>ong</w:t>
      </w:r>
      <w:r>
        <w:rPr>
          <w:rFonts w:hint="eastAsia" w:ascii="Times New Roman" w:hAnsi="Times New Roman" w:cs="Times New Roman"/>
          <w:color w:val="000000" w:themeColor="text1"/>
          <w:sz w:val="24"/>
          <w:szCs w:val="24"/>
          <w14:textFill>
            <w14:solidFill>
              <w14:schemeClr w14:val="tx1"/>
            </w14:solidFill>
          </w14:textFill>
        </w:rPr>
        <w:t xml:space="preserve"> W</w:t>
      </w:r>
      <w:r>
        <w:rPr>
          <w:rFonts w:ascii="Times New Roman" w:hAnsi="Times New Roman" w:cs="Times New Roman"/>
          <w:color w:val="000000" w:themeColor="text1"/>
          <w:sz w:val="24"/>
          <w:szCs w:val="24"/>
          <w14:textFill>
            <w14:solidFill>
              <w14:schemeClr w14:val="tx1"/>
            </w14:solidFill>
          </w14:textFill>
        </w:rPr>
        <w:t>ang, Guopin.com and Cuiseguanjia also broke through 20,000</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Chinese government has long prioritized agricultural networking and electronic agricultural products as development projects and included them into key projects of the Ministry of Commerce. Traditional agricultural products and agricultural circulation enterprises are encouraged to innovate, transform and develop new agricultural promotion models combining online and offline.</w:t>
      </w:r>
      <w:r>
        <w:rPr>
          <w:rFonts w:hint="default" w:ascii="Times New Roman" w:hAnsi="Times New Roman" w:cs="Times New Roman"/>
          <w:color w:val="000000" w:themeColor="text1"/>
          <w:sz w:val="24"/>
          <w:szCs w:val="24"/>
          <w14:textFill>
            <w14:solidFill>
              <w14:schemeClr w14:val="tx1"/>
            </w14:solidFill>
          </w14:textFill>
        </w:rPr>
        <w:t xml:space="preserve">Take Jurong City as an example to illustrate this policy.Jurong City, a key agricultural development city in Jiangsu Province, has created related brands in tea, strawberry, grape and other industries. Jurong cooperated with Jiangsu Vocational College of Agriculture and Forestry to carry out "one-to-one" connection service for college students, and started the "e-commerce project into the village and households" by taking advantage of its own advantages.Through college students majoring in e-commerce, help farmers to open Taobao stores, carry out network marketing and regularly organize network knowledge training for farmers, establish a unified e-commerce basic application platform and provide professional design, </w:t>
      </w:r>
      <w:r>
        <w:rPr>
          <w:rFonts w:hint="eastAsia" w:ascii="Times New Roman" w:hAnsi="Times New Roman" w:cs="Times New Roman"/>
          <w:color w:val="000000" w:themeColor="text1"/>
          <w:sz w:val="24"/>
          <w:szCs w:val="24"/>
          <w:lang w:val="en-US" w:eastAsia="zh-CN"/>
          <w14:textFill>
            <w14:solidFill>
              <w14:schemeClr w14:val="tx1"/>
            </w14:solidFill>
          </w14:textFill>
        </w:rPr>
        <w:t>c</w:t>
      </w:r>
      <w:r>
        <w:rPr>
          <w:rFonts w:hint="default" w:ascii="Times New Roman" w:hAnsi="Times New Roman" w:cs="Times New Roman"/>
          <w:color w:val="000000" w:themeColor="text1"/>
          <w:sz w:val="24"/>
          <w:szCs w:val="24"/>
          <w14:textFill>
            <w14:solidFill>
              <w14:schemeClr w14:val="tx1"/>
            </w14:solidFill>
          </w14:textFill>
        </w:rPr>
        <w:t>opywriting planning and store name decoration services.Through the investigation of the current situation of the project of "e-commerce into village and household", the pace of training e-commerce talents in Jurong is accelerated, the popularization of rural e-commerce is strengthened, and the management concept of farmers' e-commerce is improved.College students' entering into villages has an effective and significant impact on the development of rural e-commerce. It realizes the superposition effect of economy and Internet, which is conducive to the innovation of rural business model and the promotion of rural development and the increase of farmers' income</w:t>
      </w:r>
      <w:r>
        <w:rPr>
          <w:rFonts w:hint="eastAsia" w:ascii="Times New Roman" w:hAnsi="Times New Roman" w:cs="Times New Roman"/>
          <w:color w:val="000000" w:themeColor="text1"/>
          <w:sz w:val="24"/>
          <w:szCs w:val="24"/>
          <w:lang w:val="en-US" w:eastAsia="zh-CN"/>
          <w14:textFill>
            <w14:solidFill>
              <w14:schemeClr w14:val="tx1"/>
            </w14:solidFill>
          </w14:textFill>
        </w:rPr>
        <w:t>. (</w:t>
      </w:r>
      <w:r>
        <w:rPr>
          <w:rFonts w:hint="default" w:ascii="Times New Roman" w:hAnsi="Times New Roman" w:cs="Times New Roman"/>
          <w:color w:val="000000" w:themeColor="text1"/>
          <w:sz w:val="24"/>
          <w:szCs w:val="24"/>
          <w:lang w:val="en-US" w:eastAsia="zh-CN"/>
          <w14:textFill>
            <w14:solidFill>
              <w14:schemeClr w14:val="tx1"/>
            </w14:solidFill>
          </w14:textFill>
        </w:rPr>
        <w:t>Peng</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Yanqiong</w:t>
      </w:r>
      <w:r>
        <w:rPr>
          <w:rFonts w:hint="eastAsia" w:ascii="Times New Roman" w:hAnsi="Times New Roman" w:cs="Times New Roman"/>
          <w:color w:val="000000" w:themeColor="text1"/>
          <w:sz w:val="24"/>
          <w:szCs w:val="24"/>
          <w:lang w:val="en-US" w:eastAsia="zh-CN"/>
          <w14:textFill>
            <w14:solidFill>
              <w14:schemeClr w14:val="tx1"/>
            </w14:solidFill>
          </w14:textFill>
        </w:rPr>
        <w:t>, 2019)</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It is d</w:t>
      </w:r>
      <w:r>
        <w:rPr>
          <w:rFonts w:hint="default" w:ascii="Times New Roman" w:hAnsi="Times New Roman" w:cs="Times New Roman"/>
          <w:color w:val="000000" w:themeColor="text1"/>
          <w:sz w:val="24"/>
          <w:szCs w:val="24"/>
          <w:lang w:val="en-US" w:eastAsia="zh-CN"/>
          <w14:textFill>
            <w14:solidFill>
              <w14:schemeClr w14:val="tx1"/>
            </w14:solidFill>
          </w14:textFill>
        </w:rPr>
        <w:t>ifficult to sell agricultural products, mainly due to the asymmetry of information, want to buy don't want to sell, want to sell couldn't find want to buy, in order to solve the asymmetric information of agricultural sales, national government donations established a special agricultural website, farmers can arbitrarily release information of agricultural products through the Internet, free consulting experts, agricultural products sales accumulated more than 2200, ten thousand tons, the total profit of nearly one hundred billion yuan</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Given above review of the pertinent literature, I will now turn my attention to how I will collate and analyse the data to interrogate this theory through my methodology, highlighted in the next chapter.</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lang w:val="en-US" w:eastAsia="zh-CN"/>
          <w14:textFill>
            <w14:solidFill>
              <w14:schemeClr w14:val="tx1"/>
            </w14:solidFill>
          </w14:textFill>
        </w:rPr>
      </w:pPr>
      <w:bookmarkStart w:id="7" w:name="_Toc25833"/>
      <w:r>
        <w:rPr>
          <w:rFonts w:hint="default" w:ascii="Times New Roman" w:hAnsi="Times New Roman" w:cs="Times New Roman"/>
          <w:b w:val="0"/>
          <w:bCs/>
          <w:color w:val="000000" w:themeColor="text1"/>
          <w:sz w:val="28"/>
          <w:szCs w:val="28"/>
          <w:lang w:val="en-US" w:eastAsia="zh-CN"/>
          <w14:textFill>
            <w14:solidFill>
              <w14:schemeClr w14:val="tx1"/>
            </w14:solidFill>
          </w14:textFill>
        </w:rPr>
        <w:t>6.0 The research on farmer product marketing</w:t>
      </w:r>
      <w:bookmarkEnd w:id="7"/>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Since the publication of "Agricultural Commission Agricultural Products Distribution" in 1901, foreign scholars have begun to conduct research on agricultural product marketing. Early research on agricultural product marketing mainly focused on marketing costs and channels. At the end of the 20th century, management concepts aimed at high efficiency, low cost, and high quality began to take shape, and information-based management theories and management methods began to appear. Martin V. Deise (2000) discussed the practical operation methods of agricultural product marketing strategies and tactics from the perspective of managers; Thomsa JG (2000) proposed green brand marketing, agricultural super-matching, A variety of modern agricultural product distribution channels such as online distribution</w:t>
      </w:r>
      <w:r>
        <w:rPr>
          <w:rFonts w:hint="eastAsia" w:ascii="Times New Roman" w:hAnsi="Times New Roman" w:cs="Times New Roman"/>
          <w:color w:val="000000" w:themeColor="text1"/>
          <w:sz w:val="24"/>
          <w:szCs w:val="24"/>
          <w:lang w:val="en-US" w:eastAsia="zh-CN"/>
          <w14:textFill>
            <w14:solidFill>
              <w14:schemeClr w14:val="tx1"/>
            </w14:solidFill>
          </w14:textFill>
        </w:rPr>
        <w:t>. (Li Hepeng, 2015)</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lang w:val="en-US" w:eastAsia="zh-CN"/>
          <w14:textFill>
            <w14:solidFill>
              <w14:schemeClr w14:val="tx1"/>
            </w14:solidFill>
          </w14:textFill>
        </w:rPr>
      </w:pPr>
      <w:bookmarkStart w:id="8" w:name="_Toc5587"/>
      <w:r>
        <w:rPr>
          <w:rFonts w:hint="default" w:ascii="Times New Roman" w:hAnsi="Times New Roman" w:cs="Times New Roman"/>
          <w:b w:val="0"/>
          <w:bCs/>
          <w:color w:val="000000" w:themeColor="text1"/>
          <w:sz w:val="28"/>
          <w:szCs w:val="28"/>
          <w:lang w:val="en-US" w:eastAsia="zh-CN"/>
          <w14:textFill>
            <w14:solidFill>
              <w14:schemeClr w14:val="tx1"/>
            </w14:solidFill>
          </w14:textFill>
        </w:rPr>
        <w:t>7.0 Digital marketing of foreign agricultural products</w:t>
      </w:r>
      <w:bookmarkEnd w:id="8"/>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Sushi K. Sharma (2006) et al. studied the individual models of agricultural e-commerce systems to show that appropriate online business transactions can facilitate farmers and other buyers and the significant impact of e-commerce on the agricultural sector; Liwei Bao (2012), etc. People have studied the basis of supply chain strategic management based on the fruit and vegetable electronic platform. The platform establishes system service modules so that users can choose the corresponding module applications according to the business process; I. Kotliarov (2014) regards e-commerce as a product Research on tools between production and end customers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lang w:val="en-US" w:eastAsia="zh-CN"/>
          <w14:textFill>
            <w14:solidFill>
              <w14:schemeClr w14:val="tx1"/>
            </w14:solidFill>
          </w14:textFill>
        </w:rPr>
      </w:pPr>
      <w:bookmarkStart w:id="9" w:name="_Toc10963"/>
      <w:r>
        <w:rPr>
          <w:rFonts w:hint="default" w:ascii="Times New Roman" w:hAnsi="Times New Roman" w:cs="Times New Roman"/>
          <w:b w:val="0"/>
          <w:bCs/>
          <w:color w:val="000000" w:themeColor="text1"/>
          <w:sz w:val="28"/>
          <w:szCs w:val="28"/>
          <w:lang w:val="en-US" w:eastAsia="zh-CN"/>
          <w14:textFill>
            <w14:solidFill>
              <w14:schemeClr w14:val="tx1"/>
            </w14:solidFill>
          </w14:textFill>
        </w:rPr>
        <w:t>8.0 Digital marketing of domestic digital marketing</w:t>
      </w:r>
      <w:bookmarkEnd w:id="9"/>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Domestic agricultural product marketing has always been a hot topic, and distribution channels have always been the focus of discussion by scholars. Shi Xianhua, Li Yong, and Chen Ming (2011) proposed that special marketing should be adopted for agricultural product sales, and appropriate strategies should be adopted in terms of prices. In particular, the e-commerce experience marketing of agricultural products can be opened up, and agricultural product distribution can be promoted through cooperative organizations. ; Zhou Hua (2013) analyzes the software and hardware in the agricultural product circulation process, studies the optimization of China's agricultural product distribution channels, and proposes to diversify the theme elements of agricultural product circulation on the basis of ensuring the improvement of operational quality, so as to enable the market circulation of agricultural products The system is more scientific, and the emphasis is placed on the implementation of strategic brands. The emergence of e-commerce as a new business model has brought huge challenges to the traditional agricultural product industry to a certain extent</w:t>
      </w:r>
      <w:r>
        <w:rPr>
          <w:rFonts w:hint="eastAsia" w:ascii="Times New Roman" w:hAnsi="Times New Roman" w:cs="Times New Roman"/>
          <w:color w:val="000000" w:themeColor="text1"/>
          <w:sz w:val="24"/>
          <w:szCs w:val="24"/>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color w:val="000000" w:themeColor="text1"/>
          <w:sz w:val="24"/>
          <w:szCs w:val="24"/>
          <w14:textFill>
            <w14:solidFill>
              <w14:schemeClr w14:val="tx1"/>
            </w14:solidFill>
          </w14:textFill>
        </w:rPr>
      </w:pPr>
      <w:r>
        <w:rPr>
          <w:rFonts w:hint="eastAsia" w:ascii="Times New Roman" w:hAnsi="Times New Roman" w:cs="Times New Roman"/>
          <w:color w:val="000000" w:themeColor="text1"/>
          <w:sz w:val="24"/>
          <w:szCs w:val="24"/>
          <w14:textFill>
            <w14:solidFill>
              <w14:schemeClr w14:val="tx1"/>
            </w14:solidFill>
          </w14:textFill>
        </w:rPr>
        <w:t xml:space="preserve">Ma Di (2013) analyzed the advantages and disadvantages of the current situation of China's agricultural e-commerce, and took Zhongnong.com as an example to propose the "agricultural third-party e-commerce model", and put forward opinions on the construction of information infrastructure and logistics system; Chen Cangen (2014 ) Based on the summary of China’s network platform construction experience, a “one-stop” network platform solution suitable for the actual situation in Zhangzhou was proposed, which can increase the economic value of agricultural enterprises; Chen Debao (2014) analyzed the construction of e-commerce and modern agricultural logistics system It has theoretical significance; Ge Jun (2013) studied the problems in the development of domestic agricultural product e-commerce based on the experience of developed foreign countries, and proposed that it should not only pay attention to the construction of standardization system, but also make full use of it according to actual needs. Other modes. </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b w:val="0"/>
          <w:bCs/>
          <w:color w:val="000000" w:themeColor="text1"/>
          <w:sz w:val="28"/>
          <w:szCs w:val="28"/>
          <w:lang w:val="en-US" w:eastAsia="zh-CN"/>
          <w14:textFill>
            <w14:solidFill>
              <w14:schemeClr w14:val="tx1"/>
            </w14:solidFill>
          </w14:textFill>
        </w:rPr>
      </w:pPr>
      <w:bookmarkStart w:id="10" w:name="_Toc13069"/>
      <w:r>
        <w:rPr>
          <w:rFonts w:hint="default" w:ascii="Times New Roman" w:hAnsi="Times New Roman" w:cs="Times New Roman"/>
          <w:b w:val="0"/>
          <w:bCs/>
          <w:color w:val="000000" w:themeColor="text1"/>
          <w:sz w:val="28"/>
          <w:szCs w:val="28"/>
          <w:lang w:val="en-US" w:eastAsia="zh-CN"/>
          <w14:textFill>
            <w14:solidFill>
              <w14:schemeClr w14:val="tx1"/>
            </w14:solidFill>
          </w14:textFill>
        </w:rPr>
        <w:t>9.0 References</w:t>
      </w:r>
      <w:bookmarkEnd w:id="10"/>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i/>
          <w:iCs/>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Bravo, Raphael; Iversen, Nina M; Pina</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(2013)</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i/>
          <w:iCs/>
          <w:color w:val="000000" w:themeColor="text1"/>
          <w:sz w:val="24"/>
          <w:szCs w:val="24"/>
          <w:lang w:val="en-US" w:eastAsia="zh-CN"/>
          <w14:textFill>
            <w14:solidFill>
              <w14:schemeClr w14:val="tx1"/>
            </w14:solidFill>
          </w14:textFill>
        </w:rPr>
        <w:t>To achieve brand expansion and alliance management through the expansion strategy of online brand downline</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 xml:space="preserve">Jose M.Marketing Intelligence &amp; Planning; Bradford Vol. 29, Iss. 2,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Zhang Bo ,Business Revolution in the o2o Mobile Internet Era. Beijing: China Machine Press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Chou Hai</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F</w:t>
      </w: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eng</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 xml:space="preserve"> (2011) Publisher: IEEE </w:t>
      </w:r>
      <w:r>
        <w:rPr>
          <w:rFonts w:hint="eastAsia" w:ascii="Times New Roman" w:hAnsi="Times New Roman" w:cs="Times New Roman"/>
          <w:i/>
          <w:iCs/>
          <w:color w:val="000000" w:themeColor="text1"/>
          <w:sz w:val="24"/>
          <w:szCs w:val="24"/>
          <w:lang w:val="en-US" w:eastAsia="zh-CN"/>
          <w14:textFill>
            <w14:solidFill>
              <w14:schemeClr w14:val="tx1"/>
            </w14:solidFill>
          </w14:textFill>
        </w:rPr>
        <w:t xml:space="preserve">A comparative analysis of e-commerce patterns of agricultural products in China , </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international conference</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Dong, Wei; Zhang Jing; Zhu Jie; Liu, Xu Ning</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 xml:space="preserve">, (2013) </w:t>
      </w:r>
      <w:r>
        <w:rPr>
          <w:rFonts w:hint="eastAsia" w:ascii="Times New Roman" w:hAnsi="Times New Roman" w:cs="Times New Roman"/>
          <w:i/>
          <w:iCs/>
          <w:color w:val="000000" w:themeColor="text1"/>
          <w:sz w:val="24"/>
          <w:szCs w:val="24"/>
          <w:lang w:val="en-US" w:eastAsia="zh-CN"/>
          <w14:textFill>
            <w14:solidFill>
              <w14:schemeClr w14:val="tx1"/>
            </w14:solidFill>
          </w14:textFill>
        </w:rPr>
        <w:t xml:space="preserve">Application of Ontology Technology in Agricultural Electronic Commerce </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 xml:space="preserve">Applied Mechanics and Materials, 2013-08-30, Volume 373-375, Number 1839-1842 </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i w:val="0"/>
          <w:iCs w:val="0"/>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Felipa, Pedro Valentos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(2017) </w:t>
      </w:r>
      <w:r>
        <w:rPr>
          <w:rFonts w:hint="eastAsia" w:ascii="Times New Roman" w:hAnsi="Times New Roman" w:cs="Times New Roman"/>
          <w:i/>
          <w:iCs/>
          <w:color w:val="000000" w:themeColor="text1"/>
          <w:sz w:val="24"/>
          <w:szCs w:val="24"/>
          <w:lang w:val="en-US" w:eastAsia="zh-CN"/>
          <w14:textFill>
            <w14:solidFill>
              <w14:schemeClr w14:val="tx1"/>
            </w14:solidFill>
          </w14:textFill>
        </w:rPr>
        <w:t xml:space="preserve">Marketing + Internet + E-commerce: Opportunity Y Challenge */ Marketing + Internet + E-commerce: Opportunities and Challenges/Marketing + Internet + E-commerce: Opportunities and Challenges </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Journal of Financial and Economic Policy;Bogota Vol. 9, ISS 1</w:t>
      </w:r>
    </w:p>
    <w:p>
      <w:pPr>
        <w:keepNext w:val="0"/>
        <w:keepLines w:val="0"/>
        <w:pageBreakBefore w:val="0"/>
        <w:widowControl w:val="0"/>
        <w:kinsoku/>
        <w:wordWrap/>
        <w:overflowPunct/>
        <w:topLinePunct w:val="0"/>
        <w:autoSpaceDE/>
        <w:autoSpaceDN/>
        <w:bidi w:val="0"/>
        <w:adjustRightInd/>
        <w:snapToGrid/>
        <w:spacing w:beforeAutospacing="0" w:afterAutospacing="0" w:line="30" w:lineRule="atLeast"/>
        <w:textAlignment w:val="auto"/>
        <w:rPr>
          <w:rFonts w:hint="eastAsia" w:ascii="Times New Roman" w:hAnsi="Times New Roman" w:cs="Times New Roman"/>
          <w:i w:val="0"/>
          <w:iCs w:val="0"/>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color w:val="000000" w:themeColor="text1"/>
          <w:sz w:val="24"/>
          <w:szCs w:val="24"/>
          <w:lang w:val="en-US" w:eastAsia="zh-CN"/>
          <w14:textFill>
            <w14:solidFill>
              <w14:schemeClr w14:val="tx1"/>
            </w14:solidFill>
          </w14:textFill>
        </w:rPr>
        <w:t>Jiang Yao, Wang Hui</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(2010) </w:t>
      </w:r>
      <w:r>
        <w:rPr>
          <w:rFonts w:hint="default" w:ascii="Times New Roman" w:hAnsi="Times New Roman" w:cs="Times New Roman"/>
          <w:i/>
          <w:iCs/>
          <w:color w:val="000000" w:themeColor="text1"/>
          <w:sz w:val="24"/>
          <w:szCs w:val="24"/>
          <w:lang w:val="en-US" w:eastAsia="zh-CN"/>
          <w14:textFill>
            <w14:solidFill>
              <w14:schemeClr w14:val="tx1"/>
            </w14:solidFill>
          </w14:textFill>
        </w:rPr>
        <w:t>Study on the Theoretical Basis of Agricultural Industrial Cluster,</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Shandong Agricultural Sciences</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i/>
          <w:iCs/>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Kshetri, Nir</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(2018)</w:t>
      </w:r>
      <w:r>
        <w:rPr>
          <w:rFonts w:hint="default" w:ascii="Times New Roman" w:hAnsi="Times New Roman" w:cs="Times New Roman"/>
          <w:color w:val="000000" w:themeColor="text1"/>
          <w:sz w:val="24"/>
          <w:szCs w:val="24"/>
          <w:lang w:val="en-US" w:eastAsia="zh-CN"/>
          <w14:textFill>
            <w14:solidFill>
              <w14:schemeClr w14:val="tx1"/>
            </w14:solidFill>
          </w14:textFill>
        </w:rPr>
        <w:t>.IT Professional Magazine;</w:t>
      </w:r>
      <w:r>
        <w:rPr>
          <w:rFonts w:hint="default" w:ascii="Times New Roman" w:hAnsi="Times New Roman" w:cs="Times New Roman"/>
          <w:i/>
          <w:iCs/>
          <w:color w:val="000000" w:themeColor="text1"/>
          <w:sz w:val="24"/>
          <w:szCs w:val="24"/>
          <w:lang w:val="en-US" w:eastAsia="zh-CN"/>
          <w14:textFill>
            <w14:solidFill>
              <w14:schemeClr w14:val="tx1"/>
            </w14:solidFill>
          </w14:textFill>
        </w:rPr>
        <w:t xml:space="preserve"> Scholarly Journals</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i/>
          <w:iCs/>
          <w:color w:val="000000" w:themeColor="text1"/>
          <w:sz w:val="24"/>
          <w:szCs w:val="24"/>
          <w:lang w:val="en-US" w:eastAsia="zh-CN"/>
          <w14:textFill>
            <w14:solidFill>
              <w14:schemeClr w14:val="tx1"/>
            </w14:solidFill>
          </w14:textFill>
        </w:rPr>
        <w:t>Rural e-Commerce in Developing Countries</w:t>
      </w:r>
      <w:r>
        <w:rPr>
          <w:rFonts w:hint="eastAsia" w:ascii="Times New Roman" w:hAnsi="Times New Roman" w:cs="Times New Roman"/>
          <w:i/>
          <w:iCs/>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Washington Vol. 20, Iss. 2, : 91-95. DOI:10.1109/MITP.2018.021921657</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 xml:space="preserve">Li Hepeng (2015) </w:t>
      </w:r>
      <w:r>
        <w:rPr>
          <w:rFonts w:hint="eastAsia" w:ascii="Times New Roman" w:hAnsi="Times New Roman" w:cs="Times New Roman"/>
          <w:i/>
          <w:iCs/>
          <w:color w:val="000000" w:themeColor="text1"/>
          <w:sz w:val="24"/>
          <w:szCs w:val="24"/>
          <w:lang w:val="en-US" w:eastAsia="zh-CN"/>
          <w14:textFill>
            <w14:solidFill>
              <w14:schemeClr w14:val="tx1"/>
            </w14:solidFill>
          </w14:textFill>
        </w:rPr>
        <w:t xml:space="preserve">Research on Efficiency of Distribution Channels of Bulk Agricultural Products in Heilongjiang Scenic Spots </w:t>
      </w: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Master Thesis of Heilongjiang Bayi Land Reclamation University, 2015, P3</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Peng, Yanqiong(2019) Scholarly Journals Development of Rural E-commerce from the Perspective of Agricultural New Kinetic Energy Cultivation: Based on Survey on the "E-commerce Entering Villages and Households" Project of Jurong City Asian Agricultural Research; Cranston Vol. 11, Iss. 9</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Wanxin Xue , Yilei Pei and Dandan Li</w:t>
      </w:r>
      <w:r>
        <w:rPr>
          <w:rFonts w:hint="eastAsia" w:ascii="Times New Roman" w:hAnsi="Times New Roman" w:cs="Times New Roman"/>
          <w:i w:val="0"/>
          <w:iCs w:val="0"/>
          <w:sz w:val="24"/>
          <w:szCs w:val="24"/>
          <w:lang w:val="en-US" w:eastAsia="zh-CN"/>
        </w:rPr>
        <w:t xml:space="preserve"> (2014)</w:t>
      </w:r>
      <w:r>
        <w:rPr>
          <w:rFonts w:hint="default"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t>J</w:t>
      </w:r>
      <w:r>
        <w:rPr>
          <w:rFonts w:hint="eastAsia" w:ascii="Times New Roman" w:hAnsi="Times New Roman" w:cs="Times New Roman"/>
          <w:i/>
          <w:iCs/>
          <w:sz w:val="24"/>
          <w:szCs w:val="24"/>
          <w:lang w:val="en-US" w:eastAsia="zh-CN"/>
        </w:rPr>
        <w:t>ournal of Electronic Commerce in Organizations</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Decision-making system and application method of O2O e-commerce platform</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i w:val="0"/>
          <w:iCs w:val="0"/>
          <w:sz w:val="24"/>
          <w:szCs w:val="24"/>
          <w:lang w:val="en-US" w:eastAsia="zh-CN"/>
        </w:rPr>
        <w:t xml:space="preserve">Xue Liang (1998) </w:t>
      </w:r>
      <w:r>
        <w:rPr>
          <w:rFonts w:hint="eastAsia" w:ascii="Times New Roman" w:hAnsi="Times New Roman" w:cs="Times New Roman"/>
          <w:i/>
          <w:iCs/>
          <w:sz w:val="24"/>
          <w:szCs w:val="24"/>
          <w:lang w:val="en-US" w:eastAsia="zh-CN"/>
        </w:rPr>
        <w:t>Agricultural Informatization</w:t>
      </w:r>
      <w:r>
        <w:rPr>
          <w:rFonts w:hint="eastAsia" w:ascii="Times New Roman" w:hAnsi="Times New Roman" w:cs="Times New Roman"/>
          <w:i w:val="0"/>
          <w:iCs w:val="0"/>
          <w:sz w:val="24"/>
          <w:szCs w:val="24"/>
          <w:lang w:val="en-US" w:eastAsia="zh-CN"/>
        </w:rPr>
        <w:t xml:space="preserve"> [M] Beijing: Jinghua Press, 1998:12-18</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 xml:space="preserve">YuCan Hu (2020), </w:t>
      </w:r>
      <w:r>
        <w:rPr>
          <w:rFonts w:hint="default" w:ascii="Times New Roman" w:hAnsi="Times New Roman" w:cs="Times New Roman"/>
          <w:i/>
          <w:iCs/>
          <w:color w:val="000000" w:themeColor="text1"/>
          <w:sz w:val="24"/>
          <w:szCs w:val="24"/>
          <w:lang w:val="en-US" w:eastAsia="zh-CN"/>
          <w14:textFill>
            <w14:solidFill>
              <w14:schemeClr w14:val="tx1"/>
            </w14:solidFill>
          </w14:textFill>
        </w:rPr>
        <w:t>Agricultural product E‐commerce recommendation system based on neural factorization machine in smart cities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First published: 29 July 2020 </w:t>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color w:val="000000" w:themeColor="text1"/>
          <w:sz w:val="24"/>
          <w:szCs w:val="24"/>
          <w:lang w:val="en-US" w:eastAsia="zh-CN"/>
          <w14:textFill>
            <w14:solidFill>
              <w14:schemeClr w14:val="tx1"/>
            </w14:solidFill>
          </w14:textFill>
        </w:rPr>
        <w:instrText xml:space="preserve"> HYPERLINK "https://doi-org.ezproxy.uwtsd.ac.uk/10.1002/itl2.216" </w:instrText>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separate"/>
      </w:r>
      <w:r>
        <w:rPr>
          <w:rStyle w:val="9"/>
          <w:rFonts w:hint="default" w:ascii="Times New Roman" w:hAnsi="Times New Roman" w:cs="Times New Roman"/>
          <w:color w:val="000000" w:themeColor="text1"/>
          <w:sz w:val="24"/>
          <w:szCs w:val="24"/>
          <w:lang w:val="en-US" w:eastAsia="zh-CN"/>
          <w14:textFill>
            <w14:solidFill>
              <w14:schemeClr w14:val="tx1"/>
            </w14:solidFill>
          </w14:textFill>
        </w:rPr>
        <w:t>https://doi-org.ezproxy.uwtsd.ac.uk/10.1002/itl2.216</w:t>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Funding information: Youth Fund Project of Xinyang College of Agriculture and Forestry, 201702020</w:t>
      </w: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bookmarkEnd w:id="11"/>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Material Icons Extende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rPr>
                              <w:rFonts w:hint="eastAsia"/>
                            </w:rPr>
                            <w:fldChar w:fldCharType="begin"/>
                          </w:r>
                          <w:r>
                            <w:rPr>
                              <w:rFonts w:hint="eastAsia"/>
                            </w:rPr>
                            <w:instrText xml:space="preserve"> PAGE  \* MERGEFORMAT </w:instrText>
                          </w:r>
                          <w:r>
                            <w:rPr>
                              <w:rFonts w:hint="eastAsia"/>
                            </w:rPr>
                            <w:fldChar w:fldCharType="separate"/>
                          </w:r>
                          <w:r>
                            <w:t>5</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pPr>
                      <w:pStyle w:val="4"/>
                    </w:pPr>
                    <w:r>
                      <w:rPr>
                        <w:rFonts w:hint="eastAsia"/>
                      </w:rPr>
                      <w:fldChar w:fldCharType="begin"/>
                    </w:r>
                    <w:r>
                      <w:rPr>
                        <w:rFonts w:hint="eastAsia"/>
                      </w:rPr>
                      <w:instrText xml:space="preserve"> PAGE  \* MERGEFORMAT </w:instrText>
                    </w:r>
                    <w:r>
                      <w:rPr>
                        <w:rFonts w:hint="eastAsia"/>
                      </w:rPr>
                      <w:fldChar w:fldCharType="separate"/>
                    </w:r>
                    <w:r>
                      <w:t>5</w:t>
                    </w:r>
                    <w:r>
                      <w:rPr>
                        <w:rFonts w:hint="eastAsia"/>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val="1"/>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3372"/>
    <w:rsid w:val="0000799B"/>
    <w:rsid w:val="000601C0"/>
    <w:rsid w:val="000C1018"/>
    <w:rsid w:val="001245D8"/>
    <w:rsid w:val="0013061B"/>
    <w:rsid w:val="00136110"/>
    <w:rsid w:val="001548A8"/>
    <w:rsid w:val="0015720D"/>
    <w:rsid w:val="00176F01"/>
    <w:rsid w:val="001851CB"/>
    <w:rsid w:val="001D62DF"/>
    <w:rsid w:val="001F268F"/>
    <w:rsid w:val="001F38A7"/>
    <w:rsid w:val="0021138C"/>
    <w:rsid w:val="00220413"/>
    <w:rsid w:val="002240E0"/>
    <w:rsid w:val="00233465"/>
    <w:rsid w:val="0029711C"/>
    <w:rsid w:val="002A121C"/>
    <w:rsid w:val="002B5651"/>
    <w:rsid w:val="002D7CC0"/>
    <w:rsid w:val="00317A71"/>
    <w:rsid w:val="00361FEA"/>
    <w:rsid w:val="0038340A"/>
    <w:rsid w:val="003B3372"/>
    <w:rsid w:val="003F2FB4"/>
    <w:rsid w:val="00456EF3"/>
    <w:rsid w:val="0046048A"/>
    <w:rsid w:val="004C11A1"/>
    <w:rsid w:val="004F2EB1"/>
    <w:rsid w:val="00514556"/>
    <w:rsid w:val="005878AA"/>
    <w:rsid w:val="005944B8"/>
    <w:rsid w:val="005C66FB"/>
    <w:rsid w:val="00611199"/>
    <w:rsid w:val="00626813"/>
    <w:rsid w:val="00652F86"/>
    <w:rsid w:val="00693660"/>
    <w:rsid w:val="006B7F06"/>
    <w:rsid w:val="007211F7"/>
    <w:rsid w:val="00782204"/>
    <w:rsid w:val="00787CC8"/>
    <w:rsid w:val="00793DD5"/>
    <w:rsid w:val="007A3FF9"/>
    <w:rsid w:val="007B412D"/>
    <w:rsid w:val="007D5039"/>
    <w:rsid w:val="00806428"/>
    <w:rsid w:val="00820ABD"/>
    <w:rsid w:val="008F0515"/>
    <w:rsid w:val="00915774"/>
    <w:rsid w:val="009D72F7"/>
    <w:rsid w:val="009F6A10"/>
    <w:rsid w:val="00A07F0A"/>
    <w:rsid w:val="00A30244"/>
    <w:rsid w:val="00A351D3"/>
    <w:rsid w:val="00AD0D83"/>
    <w:rsid w:val="00B13760"/>
    <w:rsid w:val="00B20425"/>
    <w:rsid w:val="00B2266D"/>
    <w:rsid w:val="00B273EC"/>
    <w:rsid w:val="00B277A7"/>
    <w:rsid w:val="00B33347"/>
    <w:rsid w:val="00B34236"/>
    <w:rsid w:val="00B44BE8"/>
    <w:rsid w:val="00BA4F51"/>
    <w:rsid w:val="00BE4CBC"/>
    <w:rsid w:val="00BF684A"/>
    <w:rsid w:val="00C132C3"/>
    <w:rsid w:val="00CA337B"/>
    <w:rsid w:val="00D01870"/>
    <w:rsid w:val="00D27A7A"/>
    <w:rsid w:val="00D43E89"/>
    <w:rsid w:val="00D957CB"/>
    <w:rsid w:val="00DE1687"/>
    <w:rsid w:val="00E17E90"/>
    <w:rsid w:val="00E5322A"/>
    <w:rsid w:val="00E93118"/>
    <w:rsid w:val="00ED757E"/>
    <w:rsid w:val="00EE4421"/>
    <w:rsid w:val="00EF170F"/>
    <w:rsid w:val="00F13610"/>
    <w:rsid w:val="00F316FD"/>
    <w:rsid w:val="00F7066D"/>
    <w:rsid w:val="00F756D7"/>
    <w:rsid w:val="00F80761"/>
    <w:rsid w:val="00F90620"/>
    <w:rsid w:val="00FC1F25"/>
    <w:rsid w:val="0114459D"/>
    <w:rsid w:val="013C7DA9"/>
    <w:rsid w:val="017E3309"/>
    <w:rsid w:val="01986F58"/>
    <w:rsid w:val="01C12CBF"/>
    <w:rsid w:val="01C26C7A"/>
    <w:rsid w:val="01C64B81"/>
    <w:rsid w:val="01E5631D"/>
    <w:rsid w:val="01EE769F"/>
    <w:rsid w:val="023F3956"/>
    <w:rsid w:val="024A192C"/>
    <w:rsid w:val="027D497E"/>
    <w:rsid w:val="02A352B6"/>
    <w:rsid w:val="03485354"/>
    <w:rsid w:val="035318F4"/>
    <w:rsid w:val="035A071B"/>
    <w:rsid w:val="03E64977"/>
    <w:rsid w:val="0486341C"/>
    <w:rsid w:val="04B21CE3"/>
    <w:rsid w:val="04C1167F"/>
    <w:rsid w:val="04C47B6A"/>
    <w:rsid w:val="0524291E"/>
    <w:rsid w:val="052C09F1"/>
    <w:rsid w:val="055369CE"/>
    <w:rsid w:val="055D5BC8"/>
    <w:rsid w:val="05885767"/>
    <w:rsid w:val="05975AFF"/>
    <w:rsid w:val="05B54896"/>
    <w:rsid w:val="05D31255"/>
    <w:rsid w:val="05D82EE0"/>
    <w:rsid w:val="065C6E07"/>
    <w:rsid w:val="065E5683"/>
    <w:rsid w:val="065F46F6"/>
    <w:rsid w:val="067363B5"/>
    <w:rsid w:val="06835B91"/>
    <w:rsid w:val="068E11E1"/>
    <w:rsid w:val="06B26218"/>
    <w:rsid w:val="06E548B8"/>
    <w:rsid w:val="06EE1112"/>
    <w:rsid w:val="06EF54E0"/>
    <w:rsid w:val="07081FE7"/>
    <w:rsid w:val="07336A20"/>
    <w:rsid w:val="073E476B"/>
    <w:rsid w:val="0755539D"/>
    <w:rsid w:val="07B058E4"/>
    <w:rsid w:val="07B67DAA"/>
    <w:rsid w:val="07EE1CEB"/>
    <w:rsid w:val="07F9209E"/>
    <w:rsid w:val="081A3ED6"/>
    <w:rsid w:val="083D1A42"/>
    <w:rsid w:val="087676A5"/>
    <w:rsid w:val="08C8325C"/>
    <w:rsid w:val="08D1004F"/>
    <w:rsid w:val="090B0E73"/>
    <w:rsid w:val="093F0B8D"/>
    <w:rsid w:val="09465427"/>
    <w:rsid w:val="097121A0"/>
    <w:rsid w:val="09A751DB"/>
    <w:rsid w:val="09B30BCA"/>
    <w:rsid w:val="09DB3040"/>
    <w:rsid w:val="0A0363C6"/>
    <w:rsid w:val="0A1C75B9"/>
    <w:rsid w:val="0A455052"/>
    <w:rsid w:val="0A4F244E"/>
    <w:rsid w:val="0A646A0D"/>
    <w:rsid w:val="0A711A23"/>
    <w:rsid w:val="0A9D51FD"/>
    <w:rsid w:val="0A9E2449"/>
    <w:rsid w:val="0AA22673"/>
    <w:rsid w:val="0AD8370A"/>
    <w:rsid w:val="0AF368C4"/>
    <w:rsid w:val="0B0062AA"/>
    <w:rsid w:val="0BCC5250"/>
    <w:rsid w:val="0BEF1A25"/>
    <w:rsid w:val="0BF739A9"/>
    <w:rsid w:val="0BFC42CB"/>
    <w:rsid w:val="0C1C5B5E"/>
    <w:rsid w:val="0C311797"/>
    <w:rsid w:val="0C5D5B5E"/>
    <w:rsid w:val="0CA10DB7"/>
    <w:rsid w:val="0CC90386"/>
    <w:rsid w:val="0CF50C1A"/>
    <w:rsid w:val="0D0962F8"/>
    <w:rsid w:val="0D0D77D9"/>
    <w:rsid w:val="0D305A4D"/>
    <w:rsid w:val="0D34783D"/>
    <w:rsid w:val="0DAD42B3"/>
    <w:rsid w:val="0DB10752"/>
    <w:rsid w:val="0E3F6AA2"/>
    <w:rsid w:val="0E426A2C"/>
    <w:rsid w:val="0E7655F5"/>
    <w:rsid w:val="0EDB76A5"/>
    <w:rsid w:val="0F4D1D2E"/>
    <w:rsid w:val="0F5F5F1D"/>
    <w:rsid w:val="0F881B45"/>
    <w:rsid w:val="0F912BF6"/>
    <w:rsid w:val="0F967530"/>
    <w:rsid w:val="0FED41FD"/>
    <w:rsid w:val="0FF5053E"/>
    <w:rsid w:val="100F475D"/>
    <w:rsid w:val="10410EA6"/>
    <w:rsid w:val="1064371F"/>
    <w:rsid w:val="10761697"/>
    <w:rsid w:val="107B5912"/>
    <w:rsid w:val="107C59FE"/>
    <w:rsid w:val="109F50E3"/>
    <w:rsid w:val="10B5356F"/>
    <w:rsid w:val="10BE6D52"/>
    <w:rsid w:val="10EF5C0A"/>
    <w:rsid w:val="110705DA"/>
    <w:rsid w:val="11444172"/>
    <w:rsid w:val="119A5E5E"/>
    <w:rsid w:val="11CD4B55"/>
    <w:rsid w:val="11D05BBB"/>
    <w:rsid w:val="12090058"/>
    <w:rsid w:val="121D17D1"/>
    <w:rsid w:val="124D7BEA"/>
    <w:rsid w:val="12860D52"/>
    <w:rsid w:val="12D67B3A"/>
    <w:rsid w:val="12E74F9B"/>
    <w:rsid w:val="131B087D"/>
    <w:rsid w:val="1331194D"/>
    <w:rsid w:val="13476DDD"/>
    <w:rsid w:val="134F50B7"/>
    <w:rsid w:val="135E1A5F"/>
    <w:rsid w:val="138F3D95"/>
    <w:rsid w:val="13C42104"/>
    <w:rsid w:val="145F70EA"/>
    <w:rsid w:val="148002DB"/>
    <w:rsid w:val="148C4262"/>
    <w:rsid w:val="14963DD1"/>
    <w:rsid w:val="14A46449"/>
    <w:rsid w:val="14B9069F"/>
    <w:rsid w:val="14C21D59"/>
    <w:rsid w:val="14CF5E2C"/>
    <w:rsid w:val="14E40487"/>
    <w:rsid w:val="14F50128"/>
    <w:rsid w:val="15087701"/>
    <w:rsid w:val="1509406E"/>
    <w:rsid w:val="152E6A90"/>
    <w:rsid w:val="15397783"/>
    <w:rsid w:val="153A3931"/>
    <w:rsid w:val="154A07C6"/>
    <w:rsid w:val="15515B33"/>
    <w:rsid w:val="15692185"/>
    <w:rsid w:val="15A57113"/>
    <w:rsid w:val="15A717AB"/>
    <w:rsid w:val="15D12076"/>
    <w:rsid w:val="161A48C9"/>
    <w:rsid w:val="16450888"/>
    <w:rsid w:val="16BA2C9C"/>
    <w:rsid w:val="16D920EE"/>
    <w:rsid w:val="16FC319E"/>
    <w:rsid w:val="17134FBA"/>
    <w:rsid w:val="171F7DF5"/>
    <w:rsid w:val="17E93CB3"/>
    <w:rsid w:val="182F7B80"/>
    <w:rsid w:val="18395C43"/>
    <w:rsid w:val="18481197"/>
    <w:rsid w:val="187020B4"/>
    <w:rsid w:val="18726C61"/>
    <w:rsid w:val="187C0A0F"/>
    <w:rsid w:val="18843AB0"/>
    <w:rsid w:val="189E5393"/>
    <w:rsid w:val="18E76F30"/>
    <w:rsid w:val="19271753"/>
    <w:rsid w:val="192864B2"/>
    <w:rsid w:val="19496BBB"/>
    <w:rsid w:val="1962597D"/>
    <w:rsid w:val="19663230"/>
    <w:rsid w:val="19696AEA"/>
    <w:rsid w:val="19C805D5"/>
    <w:rsid w:val="19DC4F73"/>
    <w:rsid w:val="19E36869"/>
    <w:rsid w:val="1A3E4457"/>
    <w:rsid w:val="1A9D3907"/>
    <w:rsid w:val="1AA53A37"/>
    <w:rsid w:val="1ACF3D87"/>
    <w:rsid w:val="1B362F6C"/>
    <w:rsid w:val="1B7F71AB"/>
    <w:rsid w:val="1B9243BF"/>
    <w:rsid w:val="1BB9122B"/>
    <w:rsid w:val="1CAD24CC"/>
    <w:rsid w:val="1CCE71BD"/>
    <w:rsid w:val="1CCF7B55"/>
    <w:rsid w:val="1D1D46D4"/>
    <w:rsid w:val="1D441A4E"/>
    <w:rsid w:val="1D456082"/>
    <w:rsid w:val="1D5A126B"/>
    <w:rsid w:val="1DC104AF"/>
    <w:rsid w:val="1DD768C6"/>
    <w:rsid w:val="1DDD13CB"/>
    <w:rsid w:val="1E393B56"/>
    <w:rsid w:val="1EBB6FBB"/>
    <w:rsid w:val="1EBF10A4"/>
    <w:rsid w:val="1F3A7426"/>
    <w:rsid w:val="1FA45436"/>
    <w:rsid w:val="1FD82C32"/>
    <w:rsid w:val="1FF326EA"/>
    <w:rsid w:val="202A5CC7"/>
    <w:rsid w:val="207B467C"/>
    <w:rsid w:val="2081550D"/>
    <w:rsid w:val="20A31B08"/>
    <w:rsid w:val="20FB2805"/>
    <w:rsid w:val="21267738"/>
    <w:rsid w:val="212D2C1D"/>
    <w:rsid w:val="21850B6B"/>
    <w:rsid w:val="21AA6565"/>
    <w:rsid w:val="21C05408"/>
    <w:rsid w:val="21CB2CA4"/>
    <w:rsid w:val="22464A87"/>
    <w:rsid w:val="228966F9"/>
    <w:rsid w:val="22F00D1C"/>
    <w:rsid w:val="230D041E"/>
    <w:rsid w:val="23131C43"/>
    <w:rsid w:val="23D43169"/>
    <w:rsid w:val="23E856A0"/>
    <w:rsid w:val="23F50B75"/>
    <w:rsid w:val="240C7AA7"/>
    <w:rsid w:val="24240275"/>
    <w:rsid w:val="2454438D"/>
    <w:rsid w:val="245C0331"/>
    <w:rsid w:val="246515E1"/>
    <w:rsid w:val="247C4861"/>
    <w:rsid w:val="24B75A65"/>
    <w:rsid w:val="24FD2FF2"/>
    <w:rsid w:val="25036348"/>
    <w:rsid w:val="25066E87"/>
    <w:rsid w:val="25127930"/>
    <w:rsid w:val="25422796"/>
    <w:rsid w:val="25B56496"/>
    <w:rsid w:val="25BA1CF6"/>
    <w:rsid w:val="25DE047D"/>
    <w:rsid w:val="25F8310B"/>
    <w:rsid w:val="266951C7"/>
    <w:rsid w:val="26C03597"/>
    <w:rsid w:val="27314E97"/>
    <w:rsid w:val="2736580A"/>
    <w:rsid w:val="276F41D3"/>
    <w:rsid w:val="276F761E"/>
    <w:rsid w:val="279B66E0"/>
    <w:rsid w:val="27B95E28"/>
    <w:rsid w:val="27C4384A"/>
    <w:rsid w:val="27C7777D"/>
    <w:rsid w:val="281F359C"/>
    <w:rsid w:val="28427372"/>
    <w:rsid w:val="2891184A"/>
    <w:rsid w:val="28C67879"/>
    <w:rsid w:val="291C7FD8"/>
    <w:rsid w:val="294A22A4"/>
    <w:rsid w:val="29761314"/>
    <w:rsid w:val="29765C89"/>
    <w:rsid w:val="297A5674"/>
    <w:rsid w:val="298C5917"/>
    <w:rsid w:val="2A976A18"/>
    <w:rsid w:val="2AC600FC"/>
    <w:rsid w:val="2B5C40C7"/>
    <w:rsid w:val="2B8539B0"/>
    <w:rsid w:val="2B955DB7"/>
    <w:rsid w:val="2BE07351"/>
    <w:rsid w:val="2C59327C"/>
    <w:rsid w:val="2C5A033C"/>
    <w:rsid w:val="2C6D17DC"/>
    <w:rsid w:val="2C751F41"/>
    <w:rsid w:val="2C890587"/>
    <w:rsid w:val="2CD13E7D"/>
    <w:rsid w:val="2CE63CCC"/>
    <w:rsid w:val="2CF14388"/>
    <w:rsid w:val="2D1A6BAF"/>
    <w:rsid w:val="2D90713C"/>
    <w:rsid w:val="2DBA464C"/>
    <w:rsid w:val="2DC90B1B"/>
    <w:rsid w:val="2DEB6FA3"/>
    <w:rsid w:val="2E4F6E14"/>
    <w:rsid w:val="2E840913"/>
    <w:rsid w:val="2E8A126C"/>
    <w:rsid w:val="2F313543"/>
    <w:rsid w:val="2F4109FD"/>
    <w:rsid w:val="2F731132"/>
    <w:rsid w:val="2F977F7B"/>
    <w:rsid w:val="2FA750F1"/>
    <w:rsid w:val="301228F1"/>
    <w:rsid w:val="304D5638"/>
    <w:rsid w:val="30EA251D"/>
    <w:rsid w:val="312A468A"/>
    <w:rsid w:val="3152043F"/>
    <w:rsid w:val="316027E5"/>
    <w:rsid w:val="31783E8C"/>
    <w:rsid w:val="31892E09"/>
    <w:rsid w:val="31C021D4"/>
    <w:rsid w:val="31E53A26"/>
    <w:rsid w:val="322047DF"/>
    <w:rsid w:val="32487057"/>
    <w:rsid w:val="327436F2"/>
    <w:rsid w:val="32824FAD"/>
    <w:rsid w:val="32C35CE7"/>
    <w:rsid w:val="32C37231"/>
    <w:rsid w:val="32EF62CB"/>
    <w:rsid w:val="32F316C3"/>
    <w:rsid w:val="33174105"/>
    <w:rsid w:val="33760E3B"/>
    <w:rsid w:val="3383185B"/>
    <w:rsid w:val="33980ABC"/>
    <w:rsid w:val="33C112AC"/>
    <w:rsid w:val="33CD34FF"/>
    <w:rsid w:val="33D12700"/>
    <w:rsid w:val="344826F6"/>
    <w:rsid w:val="34653799"/>
    <w:rsid w:val="34B43045"/>
    <w:rsid w:val="351268F4"/>
    <w:rsid w:val="35393FEE"/>
    <w:rsid w:val="3541678A"/>
    <w:rsid w:val="35481B5C"/>
    <w:rsid w:val="35626135"/>
    <w:rsid w:val="356C119A"/>
    <w:rsid w:val="359C7B16"/>
    <w:rsid w:val="35DB303E"/>
    <w:rsid w:val="36064CE0"/>
    <w:rsid w:val="360E21D4"/>
    <w:rsid w:val="36106C98"/>
    <w:rsid w:val="36226DA2"/>
    <w:rsid w:val="363D20AF"/>
    <w:rsid w:val="36712BF6"/>
    <w:rsid w:val="36983475"/>
    <w:rsid w:val="36FC43AC"/>
    <w:rsid w:val="37912161"/>
    <w:rsid w:val="38204004"/>
    <w:rsid w:val="38750DF9"/>
    <w:rsid w:val="38DB53D3"/>
    <w:rsid w:val="38DD4834"/>
    <w:rsid w:val="390C521D"/>
    <w:rsid w:val="39306F03"/>
    <w:rsid w:val="39C40E32"/>
    <w:rsid w:val="39DD5F12"/>
    <w:rsid w:val="3A3150B8"/>
    <w:rsid w:val="3A414A8C"/>
    <w:rsid w:val="3A7C51C4"/>
    <w:rsid w:val="3A8D4513"/>
    <w:rsid w:val="3AD21B60"/>
    <w:rsid w:val="3B690C5E"/>
    <w:rsid w:val="3B72352E"/>
    <w:rsid w:val="3B816738"/>
    <w:rsid w:val="3B8348C9"/>
    <w:rsid w:val="3BDC1DFA"/>
    <w:rsid w:val="3BEA390D"/>
    <w:rsid w:val="3C2309E3"/>
    <w:rsid w:val="3C67557A"/>
    <w:rsid w:val="3C801317"/>
    <w:rsid w:val="3CA445E9"/>
    <w:rsid w:val="3CB93342"/>
    <w:rsid w:val="3D1B60B6"/>
    <w:rsid w:val="3D1C1EFF"/>
    <w:rsid w:val="3D7A475C"/>
    <w:rsid w:val="3D9532AC"/>
    <w:rsid w:val="3DB423E7"/>
    <w:rsid w:val="3DD324C6"/>
    <w:rsid w:val="3E3274C7"/>
    <w:rsid w:val="3E7E167F"/>
    <w:rsid w:val="3F0B7DFA"/>
    <w:rsid w:val="3F471D73"/>
    <w:rsid w:val="3FE00CB2"/>
    <w:rsid w:val="3FFD0DDC"/>
    <w:rsid w:val="402574AF"/>
    <w:rsid w:val="40320E89"/>
    <w:rsid w:val="404E5AAA"/>
    <w:rsid w:val="4056696B"/>
    <w:rsid w:val="40B007EC"/>
    <w:rsid w:val="40BE71CE"/>
    <w:rsid w:val="40C56A9F"/>
    <w:rsid w:val="40E262B8"/>
    <w:rsid w:val="41371DB3"/>
    <w:rsid w:val="414263AA"/>
    <w:rsid w:val="414D623B"/>
    <w:rsid w:val="41A611C5"/>
    <w:rsid w:val="41AA54C8"/>
    <w:rsid w:val="41AE20BC"/>
    <w:rsid w:val="428F012C"/>
    <w:rsid w:val="432E4FB5"/>
    <w:rsid w:val="443379E7"/>
    <w:rsid w:val="443D6A7C"/>
    <w:rsid w:val="44743FC6"/>
    <w:rsid w:val="449636DA"/>
    <w:rsid w:val="44C82675"/>
    <w:rsid w:val="44CE0D3A"/>
    <w:rsid w:val="4507777F"/>
    <w:rsid w:val="450B4EC4"/>
    <w:rsid w:val="45F6096A"/>
    <w:rsid w:val="462D18ED"/>
    <w:rsid w:val="46881446"/>
    <w:rsid w:val="4688778C"/>
    <w:rsid w:val="473E1AA9"/>
    <w:rsid w:val="48865D03"/>
    <w:rsid w:val="48A45027"/>
    <w:rsid w:val="49092059"/>
    <w:rsid w:val="492362D9"/>
    <w:rsid w:val="49250A75"/>
    <w:rsid w:val="496960C7"/>
    <w:rsid w:val="499C762D"/>
    <w:rsid w:val="49DE1FB9"/>
    <w:rsid w:val="4A0678D1"/>
    <w:rsid w:val="4A0E611D"/>
    <w:rsid w:val="4A213A4D"/>
    <w:rsid w:val="4A7B7678"/>
    <w:rsid w:val="4A89423A"/>
    <w:rsid w:val="4A9341D7"/>
    <w:rsid w:val="4ABA384C"/>
    <w:rsid w:val="4AD61AA5"/>
    <w:rsid w:val="4B157F2A"/>
    <w:rsid w:val="4B375A08"/>
    <w:rsid w:val="4B5D0B0B"/>
    <w:rsid w:val="4B6A68C4"/>
    <w:rsid w:val="4B7F7418"/>
    <w:rsid w:val="4BA23023"/>
    <w:rsid w:val="4BA6618C"/>
    <w:rsid w:val="4BCD6B8F"/>
    <w:rsid w:val="4BD54A95"/>
    <w:rsid w:val="4BE753FE"/>
    <w:rsid w:val="4C0E0D4E"/>
    <w:rsid w:val="4C155C6C"/>
    <w:rsid w:val="4C3C246C"/>
    <w:rsid w:val="4C7221E4"/>
    <w:rsid w:val="4CB64629"/>
    <w:rsid w:val="4CDD37F7"/>
    <w:rsid w:val="4D105804"/>
    <w:rsid w:val="4D1F23B3"/>
    <w:rsid w:val="4D513139"/>
    <w:rsid w:val="4D9563B0"/>
    <w:rsid w:val="4DC84B94"/>
    <w:rsid w:val="4E101316"/>
    <w:rsid w:val="4E5669F3"/>
    <w:rsid w:val="4E83308E"/>
    <w:rsid w:val="4E960F8A"/>
    <w:rsid w:val="4ECE29CE"/>
    <w:rsid w:val="4EE31621"/>
    <w:rsid w:val="4EFE2A82"/>
    <w:rsid w:val="4F0805DF"/>
    <w:rsid w:val="4F127BD2"/>
    <w:rsid w:val="4F197D7C"/>
    <w:rsid w:val="4F46031F"/>
    <w:rsid w:val="4F5571D2"/>
    <w:rsid w:val="4F655089"/>
    <w:rsid w:val="4FC50825"/>
    <w:rsid w:val="4FFC326F"/>
    <w:rsid w:val="4FFF5032"/>
    <w:rsid w:val="50A47841"/>
    <w:rsid w:val="50C5467B"/>
    <w:rsid w:val="51066075"/>
    <w:rsid w:val="51365D76"/>
    <w:rsid w:val="516377FD"/>
    <w:rsid w:val="51B1142D"/>
    <w:rsid w:val="51B14925"/>
    <w:rsid w:val="51B65FAD"/>
    <w:rsid w:val="51C615F3"/>
    <w:rsid w:val="520358E3"/>
    <w:rsid w:val="52471CF8"/>
    <w:rsid w:val="52AA6D0F"/>
    <w:rsid w:val="533811D9"/>
    <w:rsid w:val="5338406F"/>
    <w:rsid w:val="53902D88"/>
    <w:rsid w:val="539B6240"/>
    <w:rsid w:val="53A026DE"/>
    <w:rsid w:val="542B4951"/>
    <w:rsid w:val="543C49EC"/>
    <w:rsid w:val="546B3629"/>
    <w:rsid w:val="54796A78"/>
    <w:rsid w:val="54BB30F5"/>
    <w:rsid w:val="550E4A5C"/>
    <w:rsid w:val="551B65C5"/>
    <w:rsid w:val="55271680"/>
    <w:rsid w:val="555D5216"/>
    <w:rsid w:val="559F1A28"/>
    <w:rsid w:val="55E425A2"/>
    <w:rsid w:val="55F17A1E"/>
    <w:rsid w:val="5611061B"/>
    <w:rsid w:val="563D6500"/>
    <w:rsid w:val="566D7277"/>
    <w:rsid w:val="568C3CFA"/>
    <w:rsid w:val="569E75AC"/>
    <w:rsid w:val="56D02A6B"/>
    <w:rsid w:val="56D41C76"/>
    <w:rsid w:val="576634D9"/>
    <w:rsid w:val="579E0608"/>
    <w:rsid w:val="57D93672"/>
    <w:rsid w:val="57FE2FD6"/>
    <w:rsid w:val="582E1FDC"/>
    <w:rsid w:val="586535C5"/>
    <w:rsid w:val="58F52E76"/>
    <w:rsid w:val="58F96E6B"/>
    <w:rsid w:val="59277781"/>
    <w:rsid w:val="592C3D7F"/>
    <w:rsid w:val="592F0661"/>
    <w:rsid w:val="59685A7A"/>
    <w:rsid w:val="59AA4197"/>
    <w:rsid w:val="59FD4D6B"/>
    <w:rsid w:val="5A1D082C"/>
    <w:rsid w:val="5A524331"/>
    <w:rsid w:val="5A5619AB"/>
    <w:rsid w:val="5A76421A"/>
    <w:rsid w:val="5A805B76"/>
    <w:rsid w:val="5A82071C"/>
    <w:rsid w:val="5AB8504D"/>
    <w:rsid w:val="5B3A2761"/>
    <w:rsid w:val="5B5A1350"/>
    <w:rsid w:val="5BEC1FB2"/>
    <w:rsid w:val="5C0833AC"/>
    <w:rsid w:val="5C9A117E"/>
    <w:rsid w:val="5C9A3AF7"/>
    <w:rsid w:val="5CA72591"/>
    <w:rsid w:val="5D271504"/>
    <w:rsid w:val="5D55304E"/>
    <w:rsid w:val="5D857A8B"/>
    <w:rsid w:val="5DBB7C62"/>
    <w:rsid w:val="5DE136BC"/>
    <w:rsid w:val="5E372D6A"/>
    <w:rsid w:val="5E4C1E0F"/>
    <w:rsid w:val="5E524335"/>
    <w:rsid w:val="5E655E71"/>
    <w:rsid w:val="5EA641DA"/>
    <w:rsid w:val="5EC061D6"/>
    <w:rsid w:val="5EC715D5"/>
    <w:rsid w:val="5ED356F2"/>
    <w:rsid w:val="5ED71348"/>
    <w:rsid w:val="5EEB5F38"/>
    <w:rsid w:val="5F0A4E30"/>
    <w:rsid w:val="5F3B1A29"/>
    <w:rsid w:val="5F7A5D4C"/>
    <w:rsid w:val="60246F46"/>
    <w:rsid w:val="60413CDC"/>
    <w:rsid w:val="607D23AF"/>
    <w:rsid w:val="60802443"/>
    <w:rsid w:val="6103543C"/>
    <w:rsid w:val="61697B83"/>
    <w:rsid w:val="61DC055B"/>
    <w:rsid w:val="61ED68E9"/>
    <w:rsid w:val="625E31E3"/>
    <w:rsid w:val="627257B6"/>
    <w:rsid w:val="62781CB0"/>
    <w:rsid w:val="628C1495"/>
    <w:rsid w:val="629100A2"/>
    <w:rsid w:val="62955A33"/>
    <w:rsid w:val="62C44245"/>
    <w:rsid w:val="62E67523"/>
    <w:rsid w:val="62E70989"/>
    <w:rsid w:val="631F742E"/>
    <w:rsid w:val="632D7AC6"/>
    <w:rsid w:val="6359258C"/>
    <w:rsid w:val="63B36E7C"/>
    <w:rsid w:val="63C55B78"/>
    <w:rsid w:val="63E219E0"/>
    <w:rsid w:val="63E3508A"/>
    <w:rsid w:val="644A583D"/>
    <w:rsid w:val="644C304D"/>
    <w:rsid w:val="646B664B"/>
    <w:rsid w:val="64E5164B"/>
    <w:rsid w:val="650915A0"/>
    <w:rsid w:val="6514365F"/>
    <w:rsid w:val="651553AB"/>
    <w:rsid w:val="656C6484"/>
    <w:rsid w:val="65C45EEC"/>
    <w:rsid w:val="65D55230"/>
    <w:rsid w:val="65D71631"/>
    <w:rsid w:val="65E54CC5"/>
    <w:rsid w:val="65F8268E"/>
    <w:rsid w:val="666016E7"/>
    <w:rsid w:val="66C92FE7"/>
    <w:rsid w:val="66D16CCA"/>
    <w:rsid w:val="66D204D1"/>
    <w:rsid w:val="66DE424F"/>
    <w:rsid w:val="66E01706"/>
    <w:rsid w:val="670938B4"/>
    <w:rsid w:val="67355CD2"/>
    <w:rsid w:val="673853B1"/>
    <w:rsid w:val="675D06BC"/>
    <w:rsid w:val="67A761DE"/>
    <w:rsid w:val="67D50760"/>
    <w:rsid w:val="6807714D"/>
    <w:rsid w:val="683E6CC5"/>
    <w:rsid w:val="685D3AB0"/>
    <w:rsid w:val="688677E6"/>
    <w:rsid w:val="68D5216A"/>
    <w:rsid w:val="69ED19C6"/>
    <w:rsid w:val="69EE3E35"/>
    <w:rsid w:val="6A257F46"/>
    <w:rsid w:val="6A286137"/>
    <w:rsid w:val="6AA65DC3"/>
    <w:rsid w:val="6AA66F06"/>
    <w:rsid w:val="6AB7164C"/>
    <w:rsid w:val="6AEB20E8"/>
    <w:rsid w:val="6AFD7CC6"/>
    <w:rsid w:val="6B193D8F"/>
    <w:rsid w:val="6B1A3B7D"/>
    <w:rsid w:val="6B9C1E53"/>
    <w:rsid w:val="6C1E6FDB"/>
    <w:rsid w:val="6C517020"/>
    <w:rsid w:val="6C7B4033"/>
    <w:rsid w:val="6C896F89"/>
    <w:rsid w:val="6C9E10FF"/>
    <w:rsid w:val="6CB065CA"/>
    <w:rsid w:val="6CD8572F"/>
    <w:rsid w:val="6CE67034"/>
    <w:rsid w:val="6CEE08F5"/>
    <w:rsid w:val="6CF15850"/>
    <w:rsid w:val="6D0B2FAD"/>
    <w:rsid w:val="6D14410E"/>
    <w:rsid w:val="6D7A7882"/>
    <w:rsid w:val="6D886F24"/>
    <w:rsid w:val="6DD13357"/>
    <w:rsid w:val="6DDA2E6D"/>
    <w:rsid w:val="6E085203"/>
    <w:rsid w:val="6EA079BC"/>
    <w:rsid w:val="6EE9014D"/>
    <w:rsid w:val="6F017E35"/>
    <w:rsid w:val="6F0C1D17"/>
    <w:rsid w:val="6F336A18"/>
    <w:rsid w:val="6F6E5B34"/>
    <w:rsid w:val="6F761994"/>
    <w:rsid w:val="6F7F1A01"/>
    <w:rsid w:val="6FC540B9"/>
    <w:rsid w:val="6FFD7F2A"/>
    <w:rsid w:val="701B5FCB"/>
    <w:rsid w:val="70455EC7"/>
    <w:rsid w:val="7052378D"/>
    <w:rsid w:val="705D56E8"/>
    <w:rsid w:val="709D1B22"/>
    <w:rsid w:val="70AC00F5"/>
    <w:rsid w:val="70F81F78"/>
    <w:rsid w:val="71444994"/>
    <w:rsid w:val="71510A4E"/>
    <w:rsid w:val="71BB6FD4"/>
    <w:rsid w:val="721C0DC4"/>
    <w:rsid w:val="72245413"/>
    <w:rsid w:val="723B35CA"/>
    <w:rsid w:val="726A69ED"/>
    <w:rsid w:val="728C6E49"/>
    <w:rsid w:val="72905DF5"/>
    <w:rsid w:val="72B448BA"/>
    <w:rsid w:val="73126398"/>
    <w:rsid w:val="7359636A"/>
    <w:rsid w:val="73956DF0"/>
    <w:rsid w:val="747951D0"/>
    <w:rsid w:val="748F5801"/>
    <w:rsid w:val="74A21BD6"/>
    <w:rsid w:val="74A855FD"/>
    <w:rsid w:val="74AB66AC"/>
    <w:rsid w:val="74AE4227"/>
    <w:rsid w:val="74D76E6A"/>
    <w:rsid w:val="751175B7"/>
    <w:rsid w:val="75301DB7"/>
    <w:rsid w:val="7583390B"/>
    <w:rsid w:val="75AB01EE"/>
    <w:rsid w:val="75D0714E"/>
    <w:rsid w:val="75D10588"/>
    <w:rsid w:val="762142E8"/>
    <w:rsid w:val="76332A52"/>
    <w:rsid w:val="76460D7F"/>
    <w:rsid w:val="768A4D4A"/>
    <w:rsid w:val="76953351"/>
    <w:rsid w:val="76A00B61"/>
    <w:rsid w:val="76A84A38"/>
    <w:rsid w:val="76FF0576"/>
    <w:rsid w:val="77095C03"/>
    <w:rsid w:val="775E6ECC"/>
    <w:rsid w:val="779724D5"/>
    <w:rsid w:val="77D116CE"/>
    <w:rsid w:val="77D6164A"/>
    <w:rsid w:val="77E9209C"/>
    <w:rsid w:val="78127BF4"/>
    <w:rsid w:val="78425F9F"/>
    <w:rsid w:val="78E771B3"/>
    <w:rsid w:val="79581B3E"/>
    <w:rsid w:val="795C0B94"/>
    <w:rsid w:val="795D317A"/>
    <w:rsid w:val="797A6713"/>
    <w:rsid w:val="79AD0F4A"/>
    <w:rsid w:val="79B5471B"/>
    <w:rsid w:val="7A06656A"/>
    <w:rsid w:val="7A117BB5"/>
    <w:rsid w:val="7A2021A8"/>
    <w:rsid w:val="7A2063D8"/>
    <w:rsid w:val="7A43751F"/>
    <w:rsid w:val="7A5459D6"/>
    <w:rsid w:val="7A566597"/>
    <w:rsid w:val="7A981E38"/>
    <w:rsid w:val="7AEF1F50"/>
    <w:rsid w:val="7AF71569"/>
    <w:rsid w:val="7B0755AA"/>
    <w:rsid w:val="7B176E27"/>
    <w:rsid w:val="7B23625E"/>
    <w:rsid w:val="7B691B83"/>
    <w:rsid w:val="7B7976AC"/>
    <w:rsid w:val="7BDF029A"/>
    <w:rsid w:val="7BF83758"/>
    <w:rsid w:val="7C0C13BA"/>
    <w:rsid w:val="7C534E0C"/>
    <w:rsid w:val="7C720FE3"/>
    <w:rsid w:val="7C7B2D44"/>
    <w:rsid w:val="7C831EAB"/>
    <w:rsid w:val="7CA22251"/>
    <w:rsid w:val="7D821515"/>
    <w:rsid w:val="7DAE41E4"/>
    <w:rsid w:val="7DE445F7"/>
    <w:rsid w:val="7E0C313C"/>
    <w:rsid w:val="7E295A55"/>
    <w:rsid w:val="7E3552C7"/>
    <w:rsid w:val="7E601D7C"/>
    <w:rsid w:val="7E7448E0"/>
    <w:rsid w:val="7EB63F1B"/>
    <w:rsid w:val="7EDE78C5"/>
    <w:rsid w:val="7F2A7B70"/>
    <w:rsid w:val="7F482E81"/>
    <w:rsid w:val="7F736EF2"/>
    <w:rsid w:val="7FD9028D"/>
    <w:rsid w:val="7FF348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9"/>
    <w:pPr>
      <w:spacing w:beforeAutospacing="1" w:afterAutospacing="1"/>
      <w:jc w:val="left"/>
      <w:outlineLvl w:val="0"/>
    </w:pPr>
    <w:rPr>
      <w:rFonts w:hint="eastAsia" w:ascii="宋体" w:hAnsi="宋体" w:eastAsia="宋体" w:cs="Times New Roman"/>
      <w:b/>
      <w:kern w:val="44"/>
      <w:sz w:val="48"/>
      <w:szCs w:val="48"/>
    </w:rPr>
  </w:style>
  <w:style w:type="paragraph" w:styleId="3">
    <w:name w:val="heading 2"/>
    <w:basedOn w:val="1"/>
    <w:next w:val="1"/>
    <w:semiHidden/>
    <w:unhideWhenUsed/>
    <w:qFormat/>
    <w:uiPriority w:val="9"/>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8">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6">
    <w:name w:val="toc 1"/>
    <w:basedOn w:val="1"/>
    <w:next w:val="1"/>
    <w:semiHidden/>
    <w:unhideWhenUsed/>
    <w:uiPriority w:val="39"/>
  </w:style>
  <w:style w:type="character" w:styleId="9">
    <w:name w:val="Hyperlink"/>
    <w:basedOn w:val="8"/>
    <w:semiHidden/>
    <w:unhideWhenUsed/>
    <w:qFormat/>
    <w:uiPriority w:val="99"/>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hyperlink" Target="https://www.google.co.uk/url?sa=i%26url=https://uwtsdcareers.wordpress.com/2014/07/17/university-of-wales-trinity-saint-david-careers-service/%26psig=AOvVaw0OAHOK5ctSoKXcGOk8Tr2f%26ust=1584200726645000%26source=images%26cd=vfe%26ved=0CAIQjRxqFwoTCJjixuDll-gCFQAAAAAdAAAAABAJ" TargetMode="Externa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6</Pages>
  <Words>1160</Words>
  <Characters>6617</Characters>
  <Lines>55</Lines>
  <Paragraphs>15</Paragraphs>
  <TotalTime>3</TotalTime>
  <ScaleCrop>false</ScaleCrop>
  <LinksUpToDate>false</LinksUpToDate>
  <CharactersWithSpaces>7762</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2021-02-07T07:33:00Z</dcterms:created>
  <dc:creator>邓艺璇</dc:creator>
  <cp:lastModifiedBy>邓艺璇</cp:lastModifiedBy>
  <dcterms:modified xsi:type="dcterms:W3CDTF">2021-02-07T22:05:03Z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