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B5EEE03" w14:textId="77777777" w:rsidR="00B905A6" w:rsidRDefault="00B905A6"/>
    <w:p w14:paraId="43C8228E" w14:textId="1ED7CFA2" w:rsidR="00B905A6" w:rsidRPr="00B905A6" w:rsidRDefault="00B905A6" w:rsidP="0082535F">
      <w:pPr>
        <w:spacing w:after="0" w:line="324" w:lineRule="atLeast"/>
        <w:jc w:val="center"/>
        <w:rPr>
          <w:rFonts w:ascii="-webkit-standard" w:hAnsi="-webkit-standard" w:cs="Times New Roman"/>
          <w:color w:val="000000"/>
          <w:kern w:val="0"/>
          <w:sz w:val="27"/>
          <w:szCs w:val="27"/>
          <w14:ligatures w14:val="none"/>
        </w:rPr>
      </w:pPr>
      <w:r w:rsidRPr="00B905A6">
        <w:rPr>
          <w:rFonts w:ascii="Arial" w:hAnsi="Arial" w:cs="Arial"/>
          <w:b/>
          <w:bCs/>
          <w:color w:val="000000"/>
          <w:kern w:val="0"/>
          <w:sz w:val="36"/>
          <w:szCs w:val="36"/>
          <w14:ligatures w14:val="none"/>
        </w:rPr>
        <w:t>SHINGLES (HERPES ZOSTER)</w:t>
      </w:r>
      <w:r w:rsidRPr="00B905A6">
        <w:rPr>
          <w:rFonts w:ascii="Arial" w:hAnsi="Arial" w:cs="Arial"/>
          <w:b/>
          <w:bCs/>
          <w:color w:val="000000"/>
          <w:kern w:val="0"/>
          <w:sz w:val="36"/>
          <w:szCs w:val="36"/>
          <w14:ligatures w14:val="none"/>
        </w:rPr>
        <w:br/>
      </w:r>
    </w:p>
    <w:p w14:paraId="6FE28790" w14:textId="2D26A679" w:rsidR="00B905A6" w:rsidRPr="00B905A6" w:rsidRDefault="00B905A6" w:rsidP="00B905A6">
      <w:pPr>
        <w:spacing w:before="36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365F91"/>
          <w:kern w:val="0"/>
          <w:sz w:val="36"/>
          <w:szCs w:val="36"/>
          <w14:ligatures w14:val="none"/>
        </w:rPr>
        <w:t xml:space="preserve">Student 1 — Measuring and monitoring incidence </w:t>
      </w:r>
    </w:p>
    <w:p w14:paraId="60778151"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Opening and background</w:t>
      </w:r>
    </w:p>
    <w:p w14:paraId="63A8F0BE"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Our topic is shingles, also called herpes zoster. Shingles happens when the varicella-zoster virus, which causes chickenpox, becomes active again after remaining dormant in the body. It commonly causes pain, tingling or sensitivity followed by a blistering rash, usually on one side of the body or face. For some people, the pain continues after the rash has healed. This complication is called post-herpetic neuralgia, or PHN. Shingles can also affect the eye and may cause serious complications. The risk and severity generally increase with age and are higher for people who are severely immunosuppressed. [1, 2]</w:t>
      </w:r>
    </w:p>
    <w:p w14:paraId="63288D93"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1. How can incidence be measured in a local community?</w:t>
      </w:r>
    </w:p>
    <w:p w14:paraId="25CC3777"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Incidence means the number of new cases occurring in a population over a stated period. One practical method is to use local GP records to count new shingles diagnoses over a year. Hospital admission records can help identify more serious cases and complications. Public health teams could also use surveys to ask residents about symptoms and whether they sought medical help, although surveys can be affected by recall errors and may cost more to run.</w:t>
      </w:r>
    </w:p>
    <w:p w14:paraId="26789BC3"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A simple incidence rate is calculated by dividing the number of new cases by the population at risk, then multiplying by 100,000. For example, if a hypothetical community of 50,000 people had 100 new cases in one year, the rate would be 200 cases per 100,000 people per year. This is only an example to show the calculation; it is not a real local statistic.</w:t>
      </w:r>
    </w:p>
    <w:p w14:paraId="7BFC3EE9"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It is important to record the time period, location and age group. UKHSA’s Green Book estimates approximately 790 to 880 cases per 100,000 people per year among adults aged 70 to 79 in England and Wales. This figure applies to that age group and should not be described as the rate for the whole population. [1] Comparing age groups is useful because older people are at greater risk. If areas have different age profiles, age-standardised rates can make comparisons fairer.</w:t>
      </w:r>
    </w:p>
    <w:p w14:paraId="17065DE5"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2. How can incidence be monitored?</w:t>
      </w:r>
    </w:p>
    <w:p w14:paraId="6A4CC739"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Monitoring means collecting and reviewing information repeatedly to identify changes over time. A local public health team could review GP diagnoses and hospital admissions each quarter or each year, monitor complications such as PHN, and compare local trends with UKHSA data. It could also examine shingles vaccination uptake, including whether people receive both recommended doses. If uptake is lower in some neighbourhoods or groups, the team could investigate why and consider targeted information or easier access to appointments.</w:t>
      </w:r>
    </w:p>
    <w:p w14:paraId="1E83B5EB"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3. Strengths and limitations of the evidence</w:t>
      </w:r>
    </w:p>
    <w:p w14:paraId="3DE6B48A"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GP data is useful because many people contact primary care when they develop shingles, but it will miss people who do not seek medical advice. Hospital records are helpful for serious illness but will underestimate the total number of community cases because many cases are managed outside hospital. Differences in diagnosis and record-keeping can also affect comparisons. Vaccination uptake is important, but high uptake alone does not prove that incidence has fallen. A stronger evaluation looks at uptake, new diagnoses, hospital admissions and complications over time, while considering other explanations for any changes.</w:t>
      </w:r>
    </w:p>
    <w:p w14:paraId="56A8E680"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Handover to Student 2</w:t>
      </w:r>
    </w:p>
    <w:p w14:paraId="289FAA92"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To summarise, measuring and monitoring help us understand which groups are most affected and whether prevention is reaching the people who need it. Student 2 will discuss ways to control shingles and the impact it can have on physical, psychological and social wellbeing.</w:t>
      </w:r>
    </w:p>
    <w:p w14:paraId="105F765D" w14:textId="42240B88" w:rsidR="00B905A6" w:rsidRPr="00B905A6" w:rsidRDefault="00B905A6" w:rsidP="00B905A6">
      <w:pPr>
        <w:spacing w:before="36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365F91"/>
          <w:kern w:val="0"/>
          <w:sz w:val="36"/>
          <w:szCs w:val="36"/>
          <w14:ligatures w14:val="none"/>
        </w:rPr>
        <w:t xml:space="preserve">Student 2 — Control strategies and wellbeing </w:t>
      </w:r>
    </w:p>
    <w:p w14:paraId="394C80AA"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1. Main approaches to control shingles</w:t>
      </w:r>
    </w:p>
    <w:p w14:paraId="46F0BA0C"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 xml:space="preserve">Vaccination is a key prevention strategy in the UK. The programme uses </w:t>
      </w:r>
      <w:proofErr w:type="spellStart"/>
      <w:r w:rsidRPr="00B905A6">
        <w:rPr>
          <w:rFonts w:ascii="Arial" w:hAnsi="Arial" w:cs="Arial"/>
          <w:color w:val="000000"/>
          <w:kern w:val="0"/>
          <w:sz w:val="26"/>
          <w:szCs w:val="26"/>
          <w14:ligatures w14:val="none"/>
        </w:rPr>
        <w:t>Shingrix</w:t>
      </w:r>
      <w:proofErr w:type="spellEnd"/>
      <w:r w:rsidRPr="00B905A6">
        <w:rPr>
          <w:rFonts w:ascii="Arial" w:hAnsi="Arial" w:cs="Arial"/>
          <w:color w:val="000000"/>
          <w:kern w:val="0"/>
          <w:sz w:val="26"/>
          <w:szCs w:val="26"/>
          <w14:ligatures w14:val="none"/>
        </w:rPr>
        <w:t>, a non-live vaccine given in two doses. From 1 September 2025, eligibility in England includes severely immunosuppressed people aged 18 and over, with no upper age limit. For people who are not severely immunosuppressed, eligibility is being introduced in phases and includes specified age cohorts, including people turning 65 and 70 from September 2023 onwards. People should check current NHS or GP guidance because eligibility depends on the official criteria. [1, 3]</w:t>
      </w:r>
    </w:p>
    <w:p w14:paraId="1C1E325B"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GP practices are expected to identify eligible patients and use call-and-recall arrangements to offer vaccination. This is a strength because people may not know they are eligible. However, the strategy depends on people receiving the invitation, understanding it and being able to attend. Clear information, reminders, accessible appointments and language support may help reduce barriers. Local teams should review uptake figures to see whether some groups are being missed.</w:t>
      </w:r>
    </w:p>
    <w:p w14:paraId="4D7E9849"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Early clinical advice is also important. The NHS advises people who think they have shingles to seek advice from a pharmacist or NHS 111. Urgent assessment is especially important if the rash affects the eye or nose, there are changes in vision, or the person has a severely weakened immune system. Antiviral medicine may be offered depending on the person’s symptoms and risk factors, and it works best when started early, generally within three days of the rash appearing. This is general information and not a substitute for individual clinical advice. [2]</w:t>
      </w:r>
    </w:p>
    <w:p w14:paraId="0CA51073"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Shingles blisters can transmit the virus to someone who has never had chickenpox or vaccination, causing chickenpox in that person. Covering the rash, washing hands and avoiding contact with people at high risk of severe infection until the rash has crusted over are sensible precautions. People should follow NHS or healthcare-professional advice for their circumstances. [2]</w:t>
      </w:r>
    </w:p>
    <w:p w14:paraId="3374BCC8"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2. Factors affecting health and wellbeing</w:t>
      </w:r>
    </w:p>
    <w:p w14:paraId="207B168E"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The physical effects can include pain, itching, tiredness and skin sensitivity. Some people experience PHN, which can continue for months or longer and disturb sleep, movement and everyday activities. Complications may be particularly serious when shingles affects the eye. Older adults and severely immunosuppressed people have a greater risk of severe illness.</w:t>
      </w:r>
    </w:p>
    <w:p w14:paraId="2D1D0D85"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Shingles can also affect mental and social wellbeing. Persistent pain and poor sleep may contribute to anxiety, low mood, frustration and reduced concentration. Someone may struggle to work, study, care for family, exercise or socialise. If symptoms last a long time, the person may feel isolated or lose confidence in managing daily tasks. Support should therefore address pain and complications as well as emotional wellbeing, practical needs and clear information about when to seek further help.</w:t>
      </w:r>
    </w:p>
    <w:p w14:paraId="4E9C692E"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3. Critical evaluation of UK policy and practice</w:t>
      </w:r>
    </w:p>
    <w:p w14:paraId="617BD696"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A strength of the UK vaccination programme is that it prioritises groups at higher risk and uses a vaccine intended to reduce shingles and its complications. The expansion from September 2025 to severely immunosuppressed adults aged 18 and over recognises that younger adults in this group may also be at significant risk. National guidance gives healthcare professionals a consistent basis for offering vaccination. [1, 3]</w:t>
      </w:r>
    </w:p>
    <w:p w14:paraId="66E42044"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There are still challenges. People may not know they are eligible, may be worried about vaccination, may have difficulty getting an appointment, or may face language, disability or transport barriers. The phased age-based programme also means that not all otherwise healthy adults are eligible at the same time. These factors can lead to unequal access unless local services actively identify and support people who face barriers.</w:t>
      </w:r>
    </w:p>
    <w:p w14:paraId="58B6C07F"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UKHSA’s 2025–2026 coverage report illustrates why monitoring is needed. For people turning 71 in that reporting year, coverage was 44.6% for dose one and 22.5% for dose two. These are separate measures and should not be confused with the percentage who completed the two-dose course. The report also warns that immunosuppression coverage data had limitations because it was based on data from only 41.2% of GP practices for one reported group. This makes it important to interpret figures cautiously and improve data completeness. [4]</w:t>
      </w:r>
    </w:p>
    <w:p w14:paraId="7603A246"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Overall, a policy should not be judged only by whether it exists. Its success should be assessed through equitable vaccination coverage, changes in new cases and complications, and evidence that services are reaching eligible groups. Public information, accessible appointments, timely treatment and continued evaluation should support vaccination.</w:t>
      </w:r>
    </w:p>
    <w:p w14:paraId="047544FB" w14:textId="77777777" w:rsidR="00B905A6" w:rsidRPr="00B905A6" w:rsidRDefault="00B905A6" w:rsidP="00B905A6">
      <w:pPr>
        <w:spacing w:before="15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4F81BD"/>
          <w:kern w:val="0"/>
          <w:sz w:val="27"/>
          <w:szCs w:val="27"/>
          <w14:ligatures w14:val="none"/>
        </w:rPr>
        <w:t>Conclusion</w:t>
      </w:r>
    </w:p>
    <w:p w14:paraId="21E3F3BA"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In conclusion, shingles is a community-health issue because it can cause pain, complications and reduced quality of life. Incidence data helps identify the burden of disease, while monitoring can show whether patterns and vaccination coverage are changing. Vaccination is a central prevention strategy, but it needs to be combined with accessible healthcare, early advice and support for people whose symptoms affect their wellbeing.</w:t>
      </w:r>
    </w:p>
    <w:p w14:paraId="4109F64B" w14:textId="77777777" w:rsidR="00B905A6" w:rsidRPr="00B905A6" w:rsidRDefault="00B905A6" w:rsidP="00B905A6">
      <w:pPr>
        <w:spacing w:before="36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365F91"/>
          <w:kern w:val="0"/>
          <w:sz w:val="36"/>
          <w:szCs w:val="36"/>
          <w14:ligatures w14:val="none"/>
        </w:rPr>
        <w:t>Discussion questions and short answers</w:t>
      </w:r>
    </w:p>
    <w:p w14:paraId="363A7F47"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What is the difference between incidence and prevalence?</w:t>
      </w:r>
    </w:p>
    <w:p w14:paraId="7D318D13"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Incidence counts new cases in a defined population over a period. Prevalence counts all existing cases at a particular time or over a specified period.</w:t>
      </w:r>
    </w:p>
    <w:p w14:paraId="70FDFA46"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Why is GP data not enough on its own?</w:t>
      </w:r>
    </w:p>
    <w:p w14:paraId="5A7750AE"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Some people do not seek care, and records can vary in completeness. Hospital data mainly captures severe cases, so several sources give a fuller picture.</w:t>
      </w:r>
    </w:p>
    <w:p w14:paraId="2E5F09CA"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Why are older people prioritised for vaccination?</w:t>
      </w:r>
    </w:p>
    <w:p w14:paraId="0F07576A"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The risk and severity of shingles and complications increase with age.</w:t>
      </w:r>
    </w:p>
    <w:p w14:paraId="27B1267F"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Does the vaccine prevent every case?</w:t>
      </w:r>
    </w:p>
    <w:p w14:paraId="521E9753"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No vaccine gives complete protection. The aim is to reduce the risk of shingles and its complications.</w:t>
      </w:r>
    </w:p>
    <w:p w14:paraId="7AA02609"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What can a local community do to improve uptake?</w:t>
      </w:r>
    </w:p>
    <w:p w14:paraId="6CE03422"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Identify eligible patients, send reminders, provide clear accessible information, make appointments convenient and investigate lower uptake in particular groups.</w:t>
      </w:r>
    </w:p>
    <w:p w14:paraId="703CE8C5"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How can shingles affect someone beyond the rash?</w:t>
      </w:r>
    </w:p>
    <w:p w14:paraId="6BBAC779"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Pain can disrupt sleep, work, relationships, independence, mood and participation in everyday activities.</w:t>
      </w:r>
    </w:p>
    <w:p w14:paraId="77835B2C"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000000"/>
          <w:kern w:val="0"/>
          <w:sz w:val="26"/>
          <w:szCs w:val="26"/>
          <w14:ligatures w14:val="none"/>
        </w:rPr>
        <w:t>What is one limitation of the vaccination strategy?</w:t>
      </w:r>
    </w:p>
    <w:p w14:paraId="054DAEAF" w14:textId="77777777" w:rsidR="00B905A6" w:rsidRPr="00B905A6" w:rsidRDefault="00B905A6" w:rsidP="00B905A6">
      <w:pPr>
        <w:spacing w:after="0" w:line="324" w:lineRule="atLeast"/>
        <w:rPr>
          <w:rFonts w:ascii="-webkit-standard" w:hAnsi="-webkit-standard" w:cs="Times New Roman"/>
          <w:color w:val="000000"/>
          <w:kern w:val="0"/>
          <w:sz w:val="27"/>
          <w:szCs w:val="27"/>
          <w14:ligatures w14:val="none"/>
        </w:rPr>
      </w:pPr>
      <w:r w:rsidRPr="00B905A6">
        <w:rPr>
          <w:rFonts w:ascii="Arial" w:hAnsi="Arial" w:cs="Arial"/>
          <w:color w:val="000000"/>
          <w:kern w:val="0"/>
          <w:sz w:val="26"/>
          <w:szCs w:val="26"/>
          <w14:ligatures w14:val="none"/>
        </w:rPr>
        <w:t>The programme depends on eligible people being identified, informed and able to attend; access barriers and incomplete data can reduce effectiveness or make evaluation harder.</w:t>
      </w:r>
    </w:p>
    <w:p w14:paraId="10332141" w14:textId="77777777" w:rsidR="00B905A6" w:rsidRPr="00B905A6" w:rsidRDefault="00B905A6" w:rsidP="00B905A6">
      <w:pPr>
        <w:spacing w:before="360" w:after="0" w:line="324" w:lineRule="atLeast"/>
        <w:rPr>
          <w:rFonts w:ascii="-webkit-standard" w:hAnsi="-webkit-standard" w:cs="Times New Roman"/>
          <w:color w:val="000000"/>
          <w:kern w:val="0"/>
          <w:sz w:val="27"/>
          <w:szCs w:val="27"/>
          <w14:ligatures w14:val="none"/>
        </w:rPr>
      </w:pPr>
      <w:r w:rsidRPr="00B905A6">
        <w:rPr>
          <w:rFonts w:ascii="Arial" w:hAnsi="Arial" w:cs="Arial"/>
          <w:b/>
          <w:bCs/>
          <w:color w:val="365F91"/>
          <w:kern w:val="0"/>
          <w:sz w:val="36"/>
          <w:szCs w:val="36"/>
          <w14:ligatures w14:val="none"/>
        </w:rPr>
        <w:t>References</w:t>
      </w:r>
    </w:p>
    <w:p w14:paraId="148F7E80" w14:textId="77777777" w:rsidR="00B905A6" w:rsidRPr="00B905A6" w:rsidRDefault="00B905A6" w:rsidP="00B905A6">
      <w:pPr>
        <w:spacing w:after="0" w:line="240" w:lineRule="auto"/>
        <w:ind w:hanging="270"/>
        <w:rPr>
          <w:rFonts w:ascii="-webkit-standard" w:eastAsia="Times New Roman" w:hAnsi="-webkit-standard" w:cs="Times New Roman"/>
          <w:color w:val="000000"/>
          <w:kern w:val="0"/>
          <w:sz w:val="27"/>
          <w:szCs w:val="27"/>
          <w14:ligatures w14:val="none"/>
        </w:rPr>
      </w:pPr>
      <w:r w:rsidRPr="00B905A6">
        <w:rPr>
          <w:rFonts w:ascii="Arial" w:eastAsia="Times New Roman" w:hAnsi="Arial" w:cs="Arial"/>
          <w:color w:val="000000"/>
          <w:kern w:val="0"/>
          <w:sz w:val="15"/>
          <w:szCs w:val="15"/>
          <w14:ligatures w14:val="none"/>
        </w:rPr>
        <w:t>1. </w:t>
      </w:r>
      <w:r w:rsidRPr="00B905A6">
        <w:rPr>
          <w:rFonts w:ascii="Arial" w:eastAsia="Times New Roman" w:hAnsi="Arial" w:cs="Arial"/>
          <w:color w:val="000000"/>
          <w:kern w:val="0"/>
          <w:sz w:val="26"/>
          <w:szCs w:val="26"/>
          <w14:ligatures w14:val="none"/>
        </w:rPr>
        <w:t>UK Health Security Agency (UKHSA) (2025) Shingles (herpes zoster): the Green Book, chapter 28a. Available at: https://www.gov.uk/government/publications/shingles-herpes-zoster-the-green-book-chapter-28a (Accessed: 15 October 2026).</w:t>
      </w:r>
    </w:p>
    <w:p w14:paraId="5FF4BDB4" w14:textId="77777777" w:rsidR="00B905A6" w:rsidRPr="00B905A6" w:rsidRDefault="00B905A6" w:rsidP="00B905A6">
      <w:pPr>
        <w:spacing w:after="0" w:line="240" w:lineRule="auto"/>
        <w:ind w:hanging="270"/>
        <w:rPr>
          <w:rFonts w:ascii="-webkit-standard" w:eastAsia="Times New Roman" w:hAnsi="-webkit-standard" w:cs="Times New Roman"/>
          <w:color w:val="000000"/>
          <w:kern w:val="0"/>
          <w:sz w:val="27"/>
          <w:szCs w:val="27"/>
          <w14:ligatures w14:val="none"/>
        </w:rPr>
      </w:pPr>
      <w:r w:rsidRPr="00B905A6">
        <w:rPr>
          <w:rFonts w:ascii="Arial" w:eastAsia="Times New Roman" w:hAnsi="Arial" w:cs="Arial"/>
          <w:color w:val="000000"/>
          <w:kern w:val="0"/>
          <w:sz w:val="15"/>
          <w:szCs w:val="15"/>
          <w14:ligatures w14:val="none"/>
        </w:rPr>
        <w:t>2. </w:t>
      </w:r>
      <w:r w:rsidRPr="00B905A6">
        <w:rPr>
          <w:rFonts w:ascii="Arial" w:eastAsia="Times New Roman" w:hAnsi="Arial" w:cs="Arial"/>
          <w:color w:val="000000"/>
          <w:kern w:val="0"/>
          <w:sz w:val="26"/>
          <w:szCs w:val="26"/>
          <w14:ligatures w14:val="none"/>
        </w:rPr>
        <w:t>NHS (n.d.) Shingles. Available at: https://www.nhs.uk/conditions/shingles/ (Accessed: 15 October 2026).</w:t>
      </w:r>
    </w:p>
    <w:p w14:paraId="4B1E8DFD" w14:textId="77777777" w:rsidR="00B905A6" w:rsidRPr="00B905A6" w:rsidRDefault="00B905A6" w:rsidP="00B905A6">
      <w:pPr>
        <w:spacing w:after="0" w:line="240" w:lineRule="auto"/>
        <w:ind w:hanging="270"/>
        <w:rPr>
          <w:rFonts w:ascii="-webkit-standard" w:eastAsia="Times New Roman" w:hAnsi="-webkit-standard" w:cs="Times New Roman"/>
          <w:color w:val="000000"/>
          <w:kern w:val="0"/>
          <w:sz w:val="27"/>
          <w:szCs w:val="27"/>
          <w14:ligatures w14:val="none"/>
        </w:rPr>
      </w:pPr>
      <w:r w:rsidRPr="00B905A6">
        <w:rPr>
          <w:rFonts w:ascii="Arial" w:eastAsia="Times New Roman" w:hAnsi="Arial" w:cs="Arial"/>
          <w:color w:val="000000"/>
          <w:kern w:val="0"/>
          <w:sz w:val="15"/>
          <w:szCs w:val="15"/>
          <w14:ligatures w14:val="none"/>
        </w:rPr>
        <w:t>3. </w:t>
      </w:r>
      <w:r w:rsidRPr="00B905A6">
        <w:rPr>
          <w:rFonts w:ascii="Arial" w:eastAsia="Times New Roman" w:hAnsi="Arial" w:cs="Arial"/>
          <w:color w:val="000000"/>
          <w:kern w:val="0"/>
          <w:sz w:val="26"/>
          <w:szCs w:val="26"/>
          <w14:ligatures w14:val="none"/>
        </w:rPr>
        <w:t>UK Health Security Agency (UKHSA) (2025) Shingles immunisation programme: information for healthcare practitioners. Available at: https://www.gov.uk/government/publications/shingles-vaccination-guidance-for-healthcare-professionals/shingles-immunisation-programme-information-for-healthcare-practitioners (Accessed: 15 October 2026).</w:t>
      </w:r>
    </w:p>
    <w:p w14:paraId="6E39F674" w14:textId="77777777" w:rsidR="00B905A6" w:rsidRPr="00B905A6" w:rsidRDefault="00B905A6" w:rsidP="00B905A6">
      <w:pPr>
        <w:spacing w:after="0" w:line="240" w:lineRule="auto"/>
        <w:ind w:hanging="270"/>
        <w:rPr>
          <w:rFonts w:ascii="-webkit-standard" w:eastAsia="Times New Roman" w:hAnsi="-webkit-standard" w:cs="Times New Roman"/>
          <w:color w:val="000000"/>
          <w:kern w:val="0"/>
          <w:sz w:val="27"/>
          <w:szCs w:val="27"/>
          <w14:ligatures w14:val="none"/>
        </w:rPr>
      </w:pPr>
      <w:r w:rsidRPr="00B905A6">
        <w:rPr>
          <w:rFonts w:ascii="Arial" w:eastAsia="Times New Roman" w:hAnsi="Arial" w:cs="Arial"/>
          <w:color w:val="000000"/>
          <w:kern w:val="0"/>
          <w:sz w:val="15"/>
          <w:szCs w:val="15"/>
          <w14:ligatures w14:val="none"/>
        </w:rPr>
        <w:t>4. </w:t>
      </w:r>
      <w:r w:rsidRPr="00B905A6">
        <w:rPr>
          <w:rFonts w:ascii="Arial" w:eastAsia="Times New Roman" w:hAnsi="Arial" w:cs="Arial"/>
          <w:color w:val="000000"/>
          <w:kern w:val="0"/>
          <w:sz w:val="26"/>
          <w:szCs w:val="26"/>
          <w14:ligatures w14:val="none"/>
        </w:rPr>
        <w:t>UK Health Security Agency (UKHSA) (2026) Shingles uptake and coverage report (adults eligible September 2025 to November 2025 and vaccinated to end of January 2026): England. Available at: https://www.gov.uk/government/publications/shingles-immunisation-programme-shingrix-evaluation-reports/shingles-uptake-and-coverage-report-adults-eligible-september-2025-to-november-2025-and-vaccinated-to-end-of-january-2026-england (Accessed: 15 October 2026).</w:t>
      </w:r>
    </w:p>
    <w:p w14:paraId="3EFD5E3A" w14:textId="77777777" w:rsidR="00B905A6" w:rsidRDefault="00B905A6"/>
    <w:sectPr w:rsidR="00B905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5A6"/>
    <w:rsid w:val="003F1136"/>
    <w:rsid w:val="0082535F"/>
    <w:rsid w:val="00964FAD"/>
    <w:rsid w:val="00B905A6"/>
    <w:rsid w:val="00C20595"/>
    <w:rsid w:val="00C67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0CA9FB"/>
  <w15:chartTrackingRefBased/>
  <w15:docId w15:val="{6808CDE5-DA91-2747-8E8A-F9C0775C5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5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05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05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05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5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5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5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5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5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5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05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05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05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5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5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5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5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5A6"/>
    <w:rPr>
      <w:rFonts w:eastAsiaTheme="majorEastAsia" w:cstheme="majorBidi"/>
      <w:color w:val="272727" w:themeColor="text1" w:themeTint="D8"/>
    </w:rPr>
  </w:style>
  <w:style w:type="paragraph" w:styleId="Title">
    <w:name w:val="Title"/>
    <w:basedOn w:val="Normal"/>
    <w:next w:val="Normal"/>
    <w:link w:val="TitleChar"/>
    <w:uiPriority w:val="10"/>
    <w:qFormat/>
    <w:rsid w:val="00B905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5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5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5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5A6"/>
    <w:pPr>
      <w:spacing w:before="160"/>
      <w:jc w:val="center"/>
    </w:pPr>
    <w:rPr>
      <w:i/>
      <w:iCs/>
      <w:color w:val="404040" w:themeColor="text1" w:themeTint="BF"/>
    </w:rPr>
  </w:style>
  <w:style w:type="character" w:customStyle="1" w:styleId="QuoteChar">
    <w:name w:val="Quote Char"/>
    <w:basedOn w:val="DefaultParagraphFont"/>
    <w:link w:val="Quote"/>
    <w:uiPriority w:val="29"/>
    <w:rsid w:val="00B905A6"/>
    <w:rPr>
      <w:i/>
      <w:iCs/>
      <w:color w:val="404040" w:themeColor="text1" w:themeTint="BF"/>
    </w:rPr>
  </w:style>
  <w:style w:type="paragraph" w:styleId="ListParagraph">
    <w:name w:val="List Paragraph"/>
    <w:basedOn w:val="Normal"/>
    <w:uiPriority w:val="34"/>
    <w:qFormat/>
    <w:rsid w:val="00B905A6"/>
    <w:pPr>
      <w:ind w:left="720"/>
      <w:contextualSpacing/>
    </w:pPr>
  </w:style>
  <w:style w:type="character" w:styleId="IntenseEmphasis">
    <w:name w:val="Intense Emphasis"/>
    <w:basedOn w:val="DefaultParagraphFont"/>
    <w:uiPriority w:val="21"/>
    <w:qFormat/>
    <w:rsid w:val="00B905A6"/>
    <w:rPr>
      <w:i/>
      <w:iCs/>
      <w:color w:val="0F4761" w:themeColor="accent1" w:themeShade="BF"/>
    </w:rPr>
  </w:style>
  <w:style w:type="paragraph" w:styleId="IntenseQuote">
    <w:name w:val="Intense Quote"/>
    <w:basedOn w:val="Normal"/>
    <w:next w:val="Normal"/>
    <w:link w:val="IntenseQuoteChar"/>
    <w:uiPriority w:val="30"/>
    <w:qFormat/>
    <w:rsid w:val="00B905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5A6"/>
    <w:rPr>
      <w:i/>
      <w:iCs/>
      <w:color w:val="0F4761" w:themeColor="accent1" w:themeShade="BF"/>
    </w:rPr>
  </w:style>
  <w:style w:type="character" w:styleId="IntenseReference">
    <w:name w:val="Intense Reference"/>
    <w:basedOn w:val="DefaultParagraphFont"/>
    <w:uiPriority w:val="32"/>
    <w:qFormat/>
    <w:rsid w:val="00B905A6"/>
    <w:rPr>
      <w:b/>
      <w:bCs/>
      <w:smallCaps/>
      <w:color w:val="0F4761" w:themeColor="accent1" w:themeShade="BF"/>
      <w:spacing w:val="5"/>
    </w:rPr>
  </w:style>
  <w:style w:type="paragraph" w:customStyle="1" w:styleId="s4">
    <w:name w:val="s4"/>
    <w:basedOn w:val="Normal"/>
    <w:rsid w:val="00B905A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905A6"/>
  </w:style>
  <w:style w:type="character" w:customStyle="1" w:styleId="bumpedfont15">
    <w:name w:val="bumpedfont15"/>
    <w:basedOn w:val="DefaultParagraphFont"/>
    <w:rsid w:val="00B905A6"/>
  </w:style>
  <w:style w:type="character" w:customStyle="1" w:styleId="bumpedfont17">
    <w:name w:val="bumpedfont17"/>
    <w:basedOn w:val="DefaultParagraphFont"/>
    <w:rsid w:val="00B905A6"/>
  </w:style>
  <w:style w:type="paragraph" w:customStyle="1" w:styleId="s7">
    <w:name w:val="s7"/>
    <w:basedOn w:val="Normal"/>
    <w:rsid w:val="00B905A6"/>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B905A6"/>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B905A6"/>
  </w:style>
  <w:style w:type="paragraph" w:customStyle="1" w:styleId="s10">
    <w:name w:val="s10"/>
    <w:basedOn w:val="Normal"/>
    <w:rsid w:val="00B905A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905A6"/>
  </w:style>
  <w:style w:type="character" w:customStyle="1" w:styleId="s13">
    <w:name w:val="s13"/>
    <w:basedOn w:val="DefaultParagraphFont"/>
    <w:rsid w:val="00B905A6"/>
  </w:style>
  <w:style w:type="paragraph" w:customStyle="1" w:styleId="s14">
    <w:name w:val="s14"/>
    <w:basedOn w:val="Normal"/>
    <w:rsid w:val="00B905A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1674</Words>
  <Characters>9548</Characters>
  <Application>Microsoft Office Word</Application>
  <DocSecurity>0</DocSecurity>
  <Lines>79</Lines>
  <Paragraphs>22</Paragraphs>
  <ScaleCrop>false</ScaleCrop>
  <Company/>
  <LinksUpToDate>false</LinksUpToDate>
  <CharactersWithSpaces>11200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2026-10-16T15:19:00Z</dcterms:created>
  <dcterms:modified xsi:type="dcterms:W3CDTF">2026-10-16T15:19:00Z</dcterms:modified>
</cp:coreProperties>
</file>