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BDEC47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6C240649" w14:textId="53FF8DEF" w:rsidR="007D1947" w:rsidRDefault="007A178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7A1781">
                <w:rPr>
                  <w:rFonts w:asciiTheme="majorHAnsi" w:eastAsiaTheme="majorEastAsia" w:hAnsiTheme="majorHAnsi" w:cstheme="majorBidi"/>
                  <w:caps/>
                  <w:color w:val="5B9BD5" w:themeColor="accent1"/>
                  <w:sz w:val="72"/>
                  <w:szCs w:val="72"/>
                </w:rPr>
                <w:t>Analysis of the Financial Statements – Hilton Hotel</w:t>
              </w:r>
            </w:p>
          </w:sdtContent>
        </w:sdt>
        <w:p w14:paraId="002B8205" w14:textId="28B12ED5" w:rsidR="007A1781" w:rsidRPr="007A1781" w:rsidRDefault="007A1781" w:rsidP="007A1781">
          <w:pPr>
            <w:pStyle w:val="NoSpacing"/>
            <w:rPr>
              <w:color w:val="5B9BD5" w:themeColor="accent1"/>
              <w:sz w:val="40"/>
              <w:szCs w:val="40"/>
              <w:lang w:val="en-GB"/>
            </w:rPr>
          </w:pPr>
          <w:proofErr w:type="spellStart"/>
          <w:r w:rsidRPr="007A1781">
            <w:rPr>
              <w:color w:val="5B9BD5" w:themeColor="accent1"/>
              <w:sz w:val="40"/>
              <w:szCs w:val="40"/>
              <w:lang w:val="en-GB"/>
            </w:rPr>
            <w:t>Ioan</w:t>
          </w:r>
          <w:proofErr w:type="spellEnd"/>
          <w:r w:rsidRPr="007A1781">
            <w:rPr>
              <w:color w:val="5B9BD5" w:themeColor="accent1"/>
              <w:sz w:val="40"/>
              <w:szCs w:val="40"/>
              <w:lang w:val="en-GB"/>
            </w:rPr>
            <w:t xml:space="preserve"> Marius Spanu – Student (1914676)</w:t>
          </w:r>
        </w:p>
        <w:p w14:paraId="2027B889" w14:textId="77777777" w:rsidR="007A1781" w:rsidRPr="007A1781" w:rsidRDefault="007A1781" w:rsidP="007A1781">
          <w:pPr>
            <w:pStyle w:val="NoSpacing"/>
            <w:jc w:val="center"/>
            <w:rPr>
              <w:color w:val="5B9BD5" w:themeColor="accent1"/>
              <w:sz w:val="28"/>
              <w:szCs w:val="28"/>
              <w:lang w:val="en-GB"/>
            </w:rPr>
          </w:pPr>
        </w:p>
        <w:p w14:paraId="2EDF1486" w14:textId="77777777" w:rsidR="007A1781" w:rsidRPr="007A1781" w:rsidRDefault="007A1781" w:rsidP="007A1781">
          <w:pPr>
            <w:pStyle w:val="NoSpacing"/>
            <w:jc w:val="center"/>
            <w:rPr>
              <w:color w:val="5B9BD5" w:themeColor="accent1"/>
              <w:sz w:val="28"/>
              <w:szCs w:val="28"/>
              <w:lang w:val="en-GB"/>
            </w:rPr>
          </w:pPr>
        </w:p>
        <w:p w14:paraId="3F2315BF" w14:textId="77777777" w:rsidR="007A1781" w:rsidRPr="007A1781" w:rsidRDefault="007A1781" w:rsidP="007A1781">
          <w:pPr>
            <w:pStyle w:val="NoSpacing"/>
            <w:jc w:val="center"/>
            <w:rPr>
              <w:color w:val="5B9BD5" w:themeColor="accent1"/>
              <w:sz w:val="28"/>
              <w:szCs w:val="28"/>
              <w:lang w:val="en-GB"/>
            </w:rPr>
          </w:pPr>
        </w:p>
        <w:p w14:paraId="40061BA6" w14:textId="77777777" w:rsidR="007A1781" w:rsidRPr="007A1781" w:rsidRDefault="007A1781" w:rsidP="007A1781">
          <w:pPr>
            <w:pStyle w:val="NoSpacing"/>
            <w:jc w:val="right"/>
            <w:rPr>
              <w:color w:val="5B9BD5" w:themeColor="accent1"/>
              <w:sz w:val="40"/>
              <w:szCs w:val="40"/>
              <w:lang w:val="en-GB"/>
            </w:rPr>
          </w:pPr>
          <w:r w:rsidRPr="007A1781">
            <w:rPr>
              <w:color w:val="5B9BD5" w:themeColor="accent1"/>
              <w:sz w:val="40"/>
              <w:szCs w:val="40"/>
              <w:lang w:val="en-GB"/>
            </w:rPr>
            <w:t xml:space="preserve">Financial Management for the Hotel Industry </w:t>
          </w:r>
        </w:p>
        <w:p w14:paraId="455F9249" w14:textId="77777777" w:rsidR="007A1781" w:rsidRPr="007A1781" w:rsidRDefault="007A1781" w:rsidP="007A1781">
          <w:pPr>
            <w:pStyle w:val="NoSpacing"/>
            <w:jc w:val="right"/>
            <w:rPr>
              <w:color w:val="5B9BD5" w:themeColor="accent1"/>
              <w:sz w:val="40"/>
              <w:szCs w:val="40"/>
              <w:lang w:val="en-GB"/>
            </w:rPr>
          </w:pPr>
          <w:r w:rsidRPr="007A1781">
            <w:rPr>
              <w:color w:val="5B9BD5" w:themeColor="accent1"/>
              <w:sz w:val="40"/>
              <w:szCs w:val="40"/>
              <w:lang w:val="en-GB"/>
            </w:rPr>
            <w:t>Dale Clarke - Lecturer</w:t>
          </w:r>
        </w:p>
        <w:p w14:paraId="3D11FE6E" w14:textId="7E7BD255" w:rsidR="007D1947" w:rsidRDefault="007D1947">
          <w:pPr>
            <w:pStyle w:val="NoSpacing"/>
            <w:jc w:val="center"/>
            <w:rPr>
              <w:color w:val="5B9BD5" w:themeColor="accent1"/>
              <w:sz w:val="28"/>
              <w:szCs w:val="28"/>
            </w:rPr>
          </w:pPr>
        </w:p>
        <w:p w14:paraId="765A889E"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539598AA" w:rsidR="007D1947" w:rsidRDefault="007A1781">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DAC6D9E" w14:textId="77777777" w:rsidR="007D1947" w:rsidRDefault="00CA4CF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CA4CF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539598AA" w:rsidR="007D1947" w:rsidRDefault="007A1781">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DAC6D9E" w14:textId="77777777" w:rsidR="007D1947" w:rsidRDefault="00CA4CF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CA4CF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0ED438" w14:textId="22225D5A" w:rsidR="007D1947" w:rsidRDefault="007D1947" w:rsidP="007A1781">
          <w:pPr>
            <w:pStyle w:val="Heading1"/>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39AA611" w14:textId="3EA8C4AF" w:rsidR="00115B96" w:rsidRPr="007A1781" w:rsidRDefault="007D1947" w:rsidP="007A1781">
              <w:pPr>
                <w:pStyle w:val="TOCHeading"/>
                <w:rPr>
                  <w:sz w:val="36"/>
                  <w:szCs w:val="36"/>
                </w:rPr>
              </w:pPr>
              <w:r w:rsidRPr="007A1781">
                <w:rPr>
                  <w:sz w:val="36"/>
                  <w:szCs w:val="36"/>
                </w:rPr>
                <w:t>Table of Contents</w:t>
              </w:r>
              <w:r w:rsidRPr="007A1781">
                <w:rPr>
                  <w:sz w:val="36"/>
                  <w:szCs w:val="36"/>
                </w:rPr>
                <w:fldChar w:fldCharType="begin"/>
              </w:r>
              <w:r w:rsidRPr="007A1781">
                <w:rPr>
                  <w:sz w:val="36"/>
                  <w:szCs w:val="36"/>
                </w:rPr>
                <w:instrText xml:space="preserve"> TOC \o "1-3" \h \z \u </w:instrText>
              </w:r>
              <w:r w:rsidRPr="007A1781">
                <w:rPr>
                  <w:sz w:val="36"/>
                  <w:szCs w:val="36"/>
                </w:rPr>
                <w:fldChar w:fldCharType="separate"/>
              </w:r>
            </w:p>
            <w:p w14:paraId="7EE192AB" w14:textId="77777777" w:rsidR="00115B96" w:rsidRPr="007A1781" w:rsidRDefault="00CA4CF6">
              <w:pPr>
                <w:pStyle w:val="TOC1"/>
                <w:tabs>
                  <w:tab w:val="right" w:leader="dot" w:pos="9016"/>
                </w:tabs>
                <w:rPr>
                  <w:rFonts w:eastAsiaTheme="minorEastAsia"/>
                  <w:noProof/>
                  <w:sz w:val="36"/>
                  <w:szCs w:val="36"/>
                  <w:lang w:eastAsia="en-GB"/>
                </w:rPr>
              </w:pPr>
              <w:hyperlink w:anchor="_Toc463944600" w:history="1">
                <w:r w:rsidR="00115B96" w:rsidRPr="007A1781">
                  <w:rPr>
                    <w:rStyle w:val="Hyperlink"/>
                    <w:noProof/>
                    <w:sz w:val="36"/>
                    <w:szCs w:val="36"/>
                  </w:rPr>
                  <w:t>Introduction</w:t>
                </w:r>
                <w:r w:rsidR="00115B96" w:rsidRPr="007A1781">
                  <w:rPr>
                    <w:noProof/>
                    <w:webHidden/>
                    <w:sz w:val="36"/>
                    <w:szCs w:val="36"/>
                  </w:rPr>
                  <w:tab/>
                </w:r>
                <w:r w:rsidR="00115B96" w:rsidRPr="007A1781">
                  <w:rPr>
                    <w:noProof/>
                    <w:webHidden/>
                    <w:sz w:val="36"/>
                    <w:szCs w:val="36"/>
                  </w:rPr>
                  <w:fldChar w:fldCharType="begin"/>
                </w:r>
                <w:r w:rsidR="00115B96" w:rsidRPr="007A1781">
                  <w:rPr>
                    <w:noProof/>
                    <w:webHidden/>
                    <w:sz w:val="36"/>
                    <w:szCs w:val="36"/>
                  </w:rPr>
                  <w:instrText xml:space="preserve"> PAGEREF _Toc463944600 \h </w:instrText>
                </w:r>
                <w:r w:rsidR="00115B96" w:rsidRPr="007A1781">
                  <w:rPr>
                    <w:noProof/>
                    <w:webHidden/>
                    <w:sz w:val="36"/>
                    <w:szCs w:val="36"/>
                  </w:rPr>
                </w:r>
                <w:r w:rsidR="00115B96" w:rsidRPr="007A1781">
                  <w:rPr>
                    <w:noProof/>
                    <w:webHidden/>
                    <w:sz w:val="36"/>
                    <w:szCs w:val="36"/>
                  </w:rPr>
                  <w:fldChar w:fldCharType="separate"/>
                </w:r>
                <w:r w:rsidR="00115B96" w:rsidRPr="007A1781">
                  <w:rPr>
                    <w:noProof/>
                    <w:webHidden/>
                    <w:sz w:val="36"/>
                    <w:szCs w:val="36"/>
                  </w:rPr>
                  <w:t>3</w:t>
                </w:r>
                <w:r w:rsidR="00115B96" w:rsidRPr="007A1781">
                  <w:rPr>
                    <w:noProof/>
                    <w:webHidden/>
                    <w:sz w:val="36"/>
                    <w:szCs w:val="36"/>
                  </w:rPr>
                  <w:fldChar w:fldCharType="end"/>
                </w:r>
              </w:hyperlink>
            </w:p>
            <w:p w14:paraId="2EC4A8AD" w14:textId="6E3066C7" w:rsidR="00115B96" w:rsidRPr="007A1781" w:rsidRDefault="007A1781">
              <w:pPr>
                <w:pStyle w:val="TOC1"/>
                <w:tabs>
                  <w:tab w:val="right" w:leader="dot" w:pos="9016"/>
                </w:tabs>
                <w:rPr>
                  <w:rFonts w:eastAsiaTheme="minorEastAsia"/>
                  <w:noProof/>
                  <w:sz w:val="36"/>
                  <w:szCs w:val="36"/>
                  <w:lang w:eastAsia="en-GB"/>
                </w:rPr>
              </w:pPr>
              <w:r w:rsidRPr="007A1781">
                <w:rPr>
                  <w:sz w:val="36"/>
                  <w:szCs w:val="36"/>
                </w:rPr>
                <w:t>Importance of ratio analysis</w:t>
              </w:r>
              <w:r w:rsidRPr="007A1781">
                <w:rPr>
                  <w:sz w:val="36"/>
                  <w:szCs w:val="36"/>
                </w:rPr>
                <w:t xml:space="preserve"> </w:t>
              </w:r>
              <w:hyperlink w:anchor="_Toc463944601" w:history="1">
                <w:r w:rsidR="00115B96" w:rsidRPr="007A1781">
                  <w:rPr>
                    <w:noProof/>
                    <w:webHidden/>
                    <w:sz w:val="36"/>
                    <w:szCs w:val="36"/>
                  </w:rPr>
                  <w:tab/>
                </w:r>
                <w:r w:rsidR="00115B96" w:rsidRPr="007A1781">
                  <w:rPr>
                    <w:noProof/>
                    <w:webHidden/>
                    <w:sz w:val="36"/>
                    <w:szCs w:val="36"/>
                  </w:rPr>
                  <w:fldChar w:fldCharType="begin"/>
                </w:r>
                <w:r w:rsidR="00115B96" w:rsidRPr="007A1781">
                  <w:rPr>
                    <w:noProof/>
                    <w:webHidden/>
                    <w:sz w:val="36"/>
                    <w:szCs w:val="36"/>
                  </w:rPr>
                  <w:instrText xml:space="preserve"> PAGEREF _Toc463944601 \h </w:instrText>
                </w:r>
                <w:r w:rsidR="00115B96" w:rsidRPr="007A1781">
                  <w:rPr>
                    <w:noProof/>
                    <w:webHidden/>
                    <w:sz w:val="36"/>
                    <w:szCs w:val="36"/>
                  </w:rPr>
                </w:r>
                <w:r w:rsidR="00115B96" w:rsidRPr="007A1781">
                  <w:rPr>
                    <w:noProof/>
                    <w:webHidden/>
                    <w:sz w:val="36"/>
                    <w:szCs w:val="36"/>
                  </w:rPr>
                  <w:fldChar w:fldCharType="separate"/>
                </w:r>
                <w:r w:rsidR="00115B96" w:rsidRPr="007A1781">
                  <w:rPr>
                    <w:noProof/>
                    <w:webHidden/>
                    <w:sz w:val="36"/>
                    <w:szCs w:val="36"/>
                  </w:rPr>
                  <w:t>4</w:t>
                </w:r>
                <w:r w:rsidR="00115B96" w:rsidRPr="007A1781">
                  <w:rPr>
                    <w:noProof/>
                    <w:webHidden/>
                    <w:sz w:val="36"/>
                    <w:szCs w:val="36"/>
                  </w:rPr>
                  <w:fldChar w:fldCharType="end"/>
                </w:r>
              </w:hyperlink>
            </w:p>
            <w:p w14:paraId="4987C6BE" w14:textId="206A837B" w:rsidR="00115B96" w:rsidRPr="007A1781" w:rsidRDefault="007A1781">
              <w:pPr>
                <w:pStyle w:val="TOC1"/>
                <w:tabs>
                  <w:tab w:val="right" w:leader="dot" w:pos="9016"/>
                </w:tabs>
                <w:rPr>
                  <w:rFonts w:eastAsiaTheme="minorEastAsia"/>
                  <w:noProof/>
                  <w:sz w:val="36"/>
                  <w:szCs w:val="36"/>
                  <w:lang w:eastAsia="en-GB"/>
                </w:rPr>
              </w:pPr>
              <w:r w:rsidRPr="007A1781">
                <w:rPr>
                  <w:sz w:val="36"/>
                  <w:szCs w:val="36"/>
                </w:rPr>
                <w:t>Limitations of ratio analysis</w:t>
              </w:r>
              <w:hyperlink w:anchor="_Toc463944602" w:history="1">
                <w:r w:rsidR="00115B96" w:rsidRPr="007A1781">
                  <w:rPr>
                    <w:noProof/>
                    <w:webHidden/>
                    <w:sz w:val="36"/>
                    <w:szCs w:val="36"/>
                  </w:rPr>
                  <w:tab/>
                </w:r>
                <w:r w:rsidR="00115B96" w:rsidRPr="007A1781">
                  <w:rPr>
                    <w:noProof/>
                    <w:webHidden/>
                    <w:sz w:val="36"/>
                    <w:szCs w:val="36"/>
                  </w:rPr>
                  <w:fldChar w:fldCharType="begin"/>
                </w:r>
                <w:r w:rsidR="00115B96" w:rsidRPr="007A1781">
                  <w:rPr>
                    <w:noProof/>
                    <w:webHidden/>
                    <w:sz w:val="36"/>
                    <w:szCs w:val="36"/>
                  </w:rPr>
                  <w:instrText xml:space="preserve"> PAGEREF _Toc463944602 \h </w:instrText>
                </w:r>
                <w:r w:rsidR="00115B96" w:rsidRPr="007A1781">
                  <w:rPr>
                    <w:noProof/>
                    <w:webHidden/>
                    <w:sz w:val="36"/>
                    <w:szCs w:val="36"/>
                  </w:rPr>
                </w:r>
                <w:r w:rsidR="00115B96" w:rsidRPr="007A1781">
                  <w:rPr>
                    <w:noProof/>
                    <w:webHidden/>
                    <w:sz w:val="36"/>
                    <w:szCs w:val="36"/>
                  </w:rPr>
                  <w:fldChar w:fldCharType="separate"/>
                </w:r>
                <w:r w:rsidR="00115B96" w:rsidRPr="007A1781">
                  <w:rPr>
                    <w:noProof/>
                    <w:webHidden/>
                    <w:sz w:val="36"/>
                    <w:szCs w:val="36"/>
                  </w:rPr>
                  <w:t>4</w:t>
                </w:r>
                <w:r w:rsidR="00115B96" w:rsidRPr="007A1781">
                  <w:rPr>
                    <w:noProof/>
                    <w:webHidden/>
                    <w:sz w:val="36"/>
                    <w:szCs w:val="36"/>
                  </w:rPr>
                  <w:fldChar w:fldCharType="end"/>
                </w:r>
              </w:hyperlink>
            </w:p>
            <w:p w14:paraId="5135ECA6" w14:textId="6F2E9CAE" w:rsidR="00115B96" w:rsidRPr="007A1781" w:rsidRDefault="00CA4CF6">
              <w:pPr>
                <w:pStyle w:val="TOC1"/>
                <w:tabs>
                  <w:tab w:val="right" w:leader="dot" w:pos="9016"/>
                </w:tabs>
                <w:rPr>
                  <w:rFonts w:eastAsiaTheme="minorEastAsia"/>
                  <w:noProof/>
                  <w:sz w:val="36"/>
                  <w:szCs w:val="36"/>
                  <w:lang w:eastAsia="en-GB"/>
                </w:rPr>
              </w:pPr>
              <w:hyperlink w:anchor="_Toc463944608" w:history="1">
                <w:r w:rsidR="00115B96" w:rsidRPr="007A1781">
                  <w:rPr>
                    <w:rStyle w:val="Hyperlink"/>
                    <w:noProof/>
                    <w:sz w:val="36"/>
                    <w:szCs w:val="36"/>
                  </w:rPr>
                  <w:t>Conclusion</w:t>
                </w:r>
                <w:r w:rsidR="00115B96" w:rsidRPr="007A1781">
                  <w:rPr>
                    <w:noProof/>
                    <w:webHidden/>
                    <w:sz w:val="36"/>
                    <w:szCs w:val="36"/>
                  </w:rPr>
                  <w:tab/>
                </w:r>
                <w:r w:rsidR="00115B96" w:rsidRPr="007A1781">
                  <w:rPr>
                    <w:noProof/>
                    <w:webHidden/>
                    <w:sz w:val="36"/>
                    <w:szCs w:val="36"/>
                  </w:rPr>
                  <w:fldChar w:fldCharType="begin"/>
                </w:r>
                <w:r w:rsidR="00115B96" w:rsidRPr="007A1781">
                  <w:rPr>
                    <w:noProof/>
                    <w:webHidden/>
                    <w:sz w:val="36"/>
                    <w:szCs w:val="36"/>
                  </w:rPr>
                  <w:instrText xml:space="preserve"> PAGEREF _Toc463944608 \h </w:instrText>
                </w:r>
                <w:r w:rsidR="00115B96" w:rsidRPr="007A1781">
                  <w:rPr>
                    <w:noProof/>
                    <w:webHidden/>
                    <w:sz w:val="36"/>
                    <w:szCs w:val="36"/>
                  </w:rPr>
                </w:r>
                <w:r w:rsidR="00115B96" w:rsidRPr="007A1781">
                  <w:rPr>
                    <w:noProof/>
                    <w:webHidden/>
                    <w:sz w:val="36"/>
                    <w:szCs w:val="36"/>
                  </w:rPr>
                  <w:fldChar w:fldCharType="separate"/>
                </w:r>
                <w:r w:rsidR="00115B96" w:rsidRPr="007A1781">
                  <w:rPr>
                    <w:noProof/>
                    <w:webHidden/>
                    <w:sz w:val="36"/>
                    <w:szCs w:val="36"/>
                  </w:rPr>
                  <w:t>5</w:t>
                </w:r>
                <w:r w:rsidR="00115B96" w:rsidRPr="007A1781">
                  <w:rPr>
                    <w:noProof/>
                    <w:webHidden/>
                    <w:sz w:val="36"/>
                    <w:szCs w:val="36"/>
                  </w:rPr>
                  <w:fldChar w:fldCharType="end"/>
                </w:r>
              </w:hyperlink>
            </w:p>
            <w:p w14:paraId="1CC48F9F" w14:textId="77777777" w:rsidR="00115B96" w:rsidRPr="007A1781" w:rsidRDefault="00CA4CF6">
              <w:pPr>
                <w:pStyle w:val="TOC1"/>
                <w:tabs>
                  <w:tab w:val="right" w:leader="dot" w:pos="9016"/>
                </w:tabs>
                <w:rPr>
                  <w:rFonts w:eastAsiaTheme="minorEastAsia"/>
                  <w:noProof/>
                  <w:sz w:val="36"/>
                  <w:szCs w:val="36"/>
                  <w:lang w:eastAsia="en-GB"/>
                </w:rPr>
              </w:pPr>
              <w:hyperlink w:anchor="_Toc463944609" w:history="1">
                <w:r w:rsidR="00115B96" w:rsidRPr="007A1781">
                  <w:rPr>
                    <w:rStyle w:val="Hyperlink"/>
                    <w:noProof/>
                    <w:sz w:val="36"/>
                    <w:szCs w:val="36"/>
                  </w:rPr>
                  <w:t>Bibliography</w:t>
                </w:r>
                <w:r w:rsidR="00115B96" w:rsidRPr="007A1781">
                  <w:rPr>
                    <w:noProof/>
                    <w:webHidden/>
                    <w:sz w:val="36"/>
                    <w:szCs w:val="36"/>
                  </w:rPr>
                  <w:tab/>
                </w:r>
                <w:r w:rsidR="00115B96" w:rsidRPr="007A1781">
                  <w:rPr>
                    <w:noProof/>
                    <w:webHidden/>
                    <w:sz w:val="36"/>
                    <w:szCs w:val="36"/>
                  </w:rPr>
                  <w:fldChar w:fldCharType="begin"/>
                </w:r>
                <w:r w:rsidR="00115B96" w:rsidRPr="007A1781">
                  <w:rPr>
                    <w:noProof/>
                    <w:webHidden/>
                    <w:sz w:val="36"/>
                    <w:szCs w:val="36"/>
                  </w:rPr>
                  <w:instrText xml:space="preserve"> PAGEREF _Toc463944609 \h </w:instrText>
                </w:r>
                <w:r w:rsidR="00115B96" w:rsidRPr="007A1781">
                  <w:rPr>
                    <w:noProof/>
                    <w:webHidden/>
                    <w:sz w:val="36"/>
                    <w:szCs w:val="36"/>
                  </w:rPr>
                </w:r>
                <w:r w:rsidR="00115B96" w:rsidRPr="007A1781">
                  <w:rPr>
                    <w:noProof/>
                    <w:webHidden/>
                    <w:sz w:val="36"/>
                    <w:szCs w:val="36"/>
                  </w:rPr>
                  <w:fldChar w:fldCharType="separate"/>
                </w:r>
                <w:r w:rsidR="00115B96" w:rsidRPr="007A1781">
                  <w:rPr>
                    <w:noProof/>
                    <w:webHidden/>
                    <w:sz w:val="36"/>
                    <w:szCs w:val="36"/>
                  </w:rPr>
                  <w:t>6</w:t>
                </w:r>
                <w:r w:rsidR="00115B96" w:rsidRPr="007A1781">
                  <w:rPr>
                    <w:noProof/>
                    <w:webHidden/>
                    <w:sz w:val="36"/>
                    <w:szCs w:val="36"/>
                  </w:rPr>
                  <w:fldChar w:fldCharType="end"/>
                </w:r>
              </w:hyperlink>
            </w:p>
            <w:p w14:paraId="3BC68F25" w14:textId="0BE09439" w:rsidR="007D1947" w:rsidRDefault="007D1947">
              <w:r w:rsidRPr="007A1781">
                <w:rPr>
                  <w:b/>
                  <w:bCs/>
                  <w:noProof/>
                  <w:sz w:val="36"/>
                  <w:szCs w:val="36"/>
                </w:rPr>
                <w:fldChar w:fldCharType="end"/>
              </w:r>
              <w:r w:rsidR="007A1781">
                <w:rPr>
                  <w:b/>
                  <w:bCs/>
                  <w:noProof/>
                </w:rPr>
                <w:t xml:space="preserve"> </w:t>
              </w:r>
            </w:p>
          </w:sdtContent>
        </w:sdt>
        <w:p w14:paraId="4B6E43C0" w14:textId="77777777" w:rsidR="007D1947" w:rsidRDefault="007D1947"/>
        <w:p w14:paraId="6029F743" w14:textId="77777777" w:rsidR="007D1947" w:rsidRDefault="007D1947"/>
        <w:p w14:paraId="44FFAF5D" w14:textId="77777777" w:rsidR="007D1947" w:rsidRDefault="007D1947"/>
        <w:p w14:paraId="1FF75D73" w14:textId="77777777" w:rsidR="007D1947" w:rsidRDefault="007D1947"/>
        <w:p w14:paraId="6FC8D65F" w14:textId="77777777" w:rsidR="007D1947" w:rsidRDefault="007D1947"/>
        <w:p w14:paraId="06D4F34D" w14:textId="77777777" w:rsidR="007D1947" w:rsidRDefault="007D1947"/>
        <w:p w14:paraId="32867CF5" w14:textId="77777777" w:rsidR="007D1947" w:rsidRDefault="007D1947"/>
        <w:p w14:paraId="6C748E61" w14:textId="77777777" w:rsidR="007D1947" w:rsidRDefault="007D1947"/>
        <w:p w14:paraId="4E87151A" w14:textId="77777777" w:rsidR="007D1947" w:rsidRDefault="007D1947"/>
        <w:p w14:paraId="2F4155A5" w14:textId="77777777" w:rsidR="007D1947" w:rsidRDefault="007D1947"/>
        <w:p w14:paraId="787F748D" w14:textId="77777777" w:rsidR="007D1947" w:rsidRDefault="007D1947"/>
        <w:p w14:paraId="4CA74EB7" w14:textId="77777777" w:rsidR="007D1947" w:rsidRDefault="007D1947"/>
        <w:p w14:paraId="4983A84F" w14:textId="77777777" w:rsidR="007D1947" w:rsidRDefault="007D1947"/>
        <w:p w14:paraId="5ADCB2C4" w14:textId="77777777" w:rsidR="007D1947" w:rsidRDefault="007D1947"/>
        <w:p w14:paraId="5FC301C3" w14:textId="77777777" w:rsidR="007D1947" w:rsidRDefault="007D1947"/>
        <w:p w14:paraId="572779A5" w14:textId="77777777" w:rsidR="007D1947" w:rsidRDefault="007D1947"/>
        <w:p w14:paraId="207286AF" w14:textId="77777777" w:rsidR="007D1947" w:rsidRDefault="007D1947"/>
        <w:p w14:paraId="64A5B5F3" w14:textId="77777777" w:rsidR="007D1947" w:rsidRDefault="007D1947"/>
        <w:p w14:paraId="444204F7" w14:textId="77777777" w:rsidR="007D1947" w:rsidRDefault="007D1947"/>
        <w:p w14:paraId="33C561D4" w14:textId="77777777" w:rsidR="007D1947" w:rsidRDefault="007D1947"/>
        <w:p w14:paraId="1FB30CBB" w14:textId="77777777" w:rsidR="007A1781" w:rsidRDefault="007A1781" w:rsidP="007D1947">
          <w:pPr>
            <w:pStyle w:val="Heading1"/>
          </w:pPr>
          <w:bookmarkStart w:id="0" w:name="_Toc463944600"/>
        </w:p>
        <w:p w14:paraId="33FC2C21" w14:textId="32FC1FE7" w:rsidR="007D1947" w:rsidRDefault="007D1947" w:rsidP="007D1947">
          <w:pPr>
            <w:pStyle w:val="Heading1"/>
          </w:pPr>
          <w:r>
            <w:t>Introduction</w:t>
          </w:r>
          <w:bookmarkEnd w:id="0"/>
        </w:p>
        <w:p w14:paraId="28183A40" w14:textId="77777777" w:rsidR="007A1781" w:rsidRPr="007A1781" w:rsidRDefault="007A1781" w:rsidP="007A1781">
          <w:pPr>
            <w:spacing w:line="360" w:lineRule="auto"/>
            <w:jc w:val="both"/>
            <w:rPr>
              <w:rFonts w:ascii="Arial" w:eastAsia="Calibri" w:hAnsi="Arial" w:cs="Arial"/>
              <w:sz w:val="24"/>
              <w:szCs w:val="24"/>
            </w:rPr>
          </w:pPr>
          <w:r w:rsidRPr="007A1781">
            <w:rPr>
              <w:rFonts w:ascii="Arial" w:eastAsia="Calibri" w:hAnsi="Arial" w:cs="Arial"/>
              <w:sz w:val="24"/>
              <w:szCs w:val="24"/>
            </w:rPr>
            <w:t xml:space="preserve">This research is conducted to analyse and evaluate the financial performance of the hotel industry. This study seeks to evaluate the financial ratios used by the hotels and their management and what is the importance of using ratio analysis in today’s world. The horizontal ratios for 2019 and 2020 will be calculated in this study to aid the analysis of financial information. The trends seen in the ratios will be discussed in detail along with an appropriate conclusion. The importance of ratio analysis will be outlined for the decision-making process. Moreover, the limitations of ratio analysis will be evaluated and discussed in detail understanding the ratios and their fluctuations for the hotel management. </w:t>
          </w:r>
        </w:p>
        <w:p w14:paraId="73F4B105" w14:textId="3AD9A4AB" w:rsidR="007A1781" w:rsidRPr="007A1781" w:rsidRDefault="007A1781" w:rsidP="007A1781">
          <w:pPr>
            <w:spacing w:line="360" w:lineRule="auto"/>
            <w:jc w:val="both"/>
            <w:rPr>
              <w:rFonts w:asciiTheme="majorHAnsi" w:eastAsia="Calibri" w:hAnsiTheme="majorHAnsi" w:cs="Arial"/>
              <w:color w:val="4472C4" w:themeColor="accent5"/>
              <w:sz w:val="32"/>
              <w:szCs w:val="32"/>
            </w:rPr>
          </w:pPr>
          <w:r w:rsidRPr="007A1781">
            <w:rPr>
              <w:rFonts w:asciiTheme="majorHAnsi" w:eastAsia="Calibri" w:hAnsiTheme="majorHAnsi" w:cs="Arial"/>
              <w:color w:val="4472C4" w:themeColor="accent5"/>
              <w:sz w:val="32"/>
              <w:szCs w:val="32"/>
            </w:rPr>
            <w:t>Importance of ratio analysis</w:t>
          </w:r>
        </w:p>
        <w:p w14:paraId="57F8277E" w14:textId="5ECE4C32" w:rsidR="004A11F6" w:rsidRPr="007A1781" w:rsidRDefault="007A1781" w:rsidP="007A1781">
          <w:pPr>
            <w:spacing w:line="360" w:lineRule="auto"/>
            <w:jc w:val="both"/>
            <w:rPr>
              <w:rFonts w:ascii="Arial" w:eastAsia="Calibri" w:hAnsi="Arial" w:cs="Arial"/>
              <w:sz w:val="24"/>
              <w:szCs w:val="24"/>
            </w:rPr>
          </w:pPr>
          <w:r w:rsidRPr="007A1781">
            <w:rPr>
              <w:rFonts w:ascii="Arial" w:eastAsia="Calibri" w:hAnsi="Arial" w:cs="Arial"/>
              <w:sz w:val="24"/>
              <w:szCs w:val="24"/>
            </w:rPr>
            <w:t>A method that is used to understand the solvency of an organization, profitability position, efficiency of operations, and liquidity position is known as the Ratio Analysis. (</w:t>
          </w:r>
          <w:proofErr w:type="spellStart"/>
          <w:r w:rsidRPr="007A1781">
            <w:rPr>
              <w:rFonts w:ascii="Arial" w:eastAsia="Calibri" w:hAnsi="Arial" w:cs="Arial"/>
              <w:sz w:val="24"/>
              <w:szCs w:val="24"/>
            </w:rPr>
            <w:t>Welc</w:t>
          </w:r>
          <w:proofErr w:type="spellEnd"/>
          <w:r w:rsidRPr="007A1781">
            <w:rPr>
              <w:rFonts w:ascii="Arial" w:eastAsia="Calibri" w:hAnsi="Arial" w:cs="Arial"/>
              <w:sz w:val="24"/>
              <w:szCs w:val="24"/>
            </w:rPr>
            <w:t>, 2022). It is a quantitative technique to use the financial statements of the organizations such as balance sheets and income tax. These analyses and ratios are very helpful in gauging the organization’s financial performance during different periods of reporting. The ratio analysis works as a measurement tool for the stakeholders such as creditors, suppliers, and investors. (Sanjaya, 2019). With the help of this analysis, it becomes easier for the companies to compare their performances with other companies working in the same industry. Various ratios are being used in the world of finance. All figures and inputs can be found in the organization’s financial statements that are used to calculate the ratios of that organization. And most of the figures need to be derived before inputting them. The ratios that are calculated come in various categories such as market prospect ratio, coverage ratio, efficiency ratio, solvency ratio, profitability ratio, and liquidity ratio. The company’s future performance can be predicted by the ratio analysis. (</w:t>
          </w:r>
          <w:proofErr w:type="spellStart"/>
          <w:r w:rsidRPr="007A1781">
            <w:rPr>
              <w:rFonts w:ascii="Arial" w:eastAsia="Calibri" w:hAnsi="Arial" w:cs="Arial"/>
              <w:sz w:val="24"/>
              <w:szCs w:val="24"/>
            </w:rPr>
            <w:t>Hasanaj</w:t>
          </w:r>
          <w:proofErr w:type="spellEnd"/>
          <w:r w:rsidRPr="007A1781">
            <w:rPr>
              <w:rFonts w:ascii="Arial" w:eastAsia="Calibri" w:hAnsi="Arial" w:cs="Arial"/>
              <w:sz w:val="24"/>
              <w:szCs w:val="24"/>
            </w:rPr>
            <w:t xml:space="preserve">, 2019). Solid ratios are boosted by successful companies in all areas. Return on equity, assets, etc. helps the company to calculate its effectiveness. With the help of the gross margin ratio, the company generates its ability to return on sales. The company’s efficiency in operations is overviewed by the operating margins. Other ratios such as inventory turnover, account receivables, etc. can also be used to measure the </w:t>
          </w:r>
          <w:r w:rsidRPr="007A1781">
            <w:rPr>
              <w:rFonts w:ascii="Arial" w:eastAsia="Calibri" w:hAnsi="Arial" w:cs="Arial"/>
              <w:sz w:val="24"/>
              <w:szCs w:val="24"/>
            </w:rPr>
            <w:lastRenderedPageBreak/>
            <w:t>company’s efficiency. If these financial ratios are used in decision-making with full knowledge, they can be very helpful and can affect the business factors. If the company considers its limitations it can be very useful for the business. This system was used before in the US for the organization’s capacity of loan repaying, but it was extended later to be used in the decision-making process for different purposes related to business and finance. Later, as the organizations emerged, people were more able to understand the relevance of the ratio analysis. After the Second World War, there was an advancement in technology and science and the market competitiveness also increased, during this phase new techniques and tools were introduced to the ratio analysis system. The ratio analysis is of great importance when it comes to analysing the financial statements, operational efficiency, understanding the company’s profitability, identifying the firm’s risks, identifying the financial risk, future forecasting, and comparison between different companies. (Drake, 2017). The interpretation of data and financial statements is essential for external and internal stakeholders of the company. The numbers are interpreted with the help of ratio analysis. From the provided information the decision-making gets easy with the use of ratio analysis. The proper use of these analyses assists the management of the company to make effective decisions for the effectiveness of the enterprise and its management. The company’s management has started to fully depend upon the financial analysis to make strategic decisions. The ratio analysis is an important tool in the decision-making process of firms. The financial conditions and historical performance can be determined with the use of ratio analysis and the company’s strengths and weaknesses are also determined by it. This analysis helps the management to forecast the future planning and business activities of the firms. All these activities are completed at an estimated budget. The ratio analysis helps the firm to estimate a budget. Ratios play a vital role in communicating and informing the progress and position of the business owners and other parties. The ratio analysis can be defined as the relationship between the variables, numerator, and denominator. The profits are multiplied with the help of this ratio analysis. Despite the evidence, the financial ratio analysis is the most used technique. It controls the expenses and other important factors of the hotel industry and its profitability. One of the modern industries nowadays is the tourism industry and this industry is the biggest source of income for many countries.  (</w:t>
          </w:r>
          <w:proofErr w:type="spellStart"/>
          <w:r w:rsidRPr="007A1781">
            <w:rPr>
              <w:rFonts w:ascii="Arial" w:eastAsia="Calibri" w:hAnsi="Arial" w:cs="Arial"/>
              <w:sz w:val="24"/>
              <w:szCs w:val="24"/>
            </w:rPr>
            <w:t>Gamayuni</w:t>
          </w:r>
          <w:proofErr w:type="spellEnd"/>
          <w:r w:rsidRPr="007A1781">
            <w:rPr>
              <w:rFonts w:ascii="Arial" w:eastAsia="Calibri" w:hAnsi="Arial" w:cs="Arial"/>
              <w:sz w:val="24"/>
              <w:szCs w:val="24"/>
            </w:rPr>
            <w:t xml:space="preserve">, 2015). Hotels are developing and growing in different countries and people are continuously moving from one place to another. The financial </w:t>
          </w:r>
          <w:r w:rsidRPr="007A1781">
            <w:rPr>
              <w:rFonts w:ascii="Arial" w:eastAsia="Calibri" w:hAnsi="Arial" w:cs="Arial"/>
              <w:sz w:val="24"/>
              <w:szCs w:val="24"/>
            </w:rPr>
            <w:lastRenderedPageBreak/>
            <w:t xml:space="preserve">analysis’s main purpose is to provide the investors, management, and leaders with the necessary information that can be used in different domains deriving the importance of financial analysis, many questions are being raised because of the financial analysis and its use in past and present. These questions are the source of determination for the level of a hotel’s performance. </w:t>
          </w:r>
        </w:p>
        <w:p w14:paraId="660FF286" w14:textId="77777777" w:rsidR="004A11F6" w:rsidRDefault="004A11F6" w:rsidP="004A11F6">
          <w:pPr>
            <w:pStyle w:val="Heading1"/>
          </w:pPr>
          <w:bookmarkStart w:id="1" w:name="_Toc463944601"/>
          <w:bookmarkStart w:id="2" w:name="_Hlk105534735"/>
          <w:r>
            <w:t>Financial Analysis</w:t>
          </w:r>
          <w:bookmarkEnd w:id="1"/>
        </w:p>
        <w:bookmarkEnd w:id="2"/>
        <w:p w14:paraId="53714BC2" w14:textId="77777777" w:rsidR="004A11F6" w:rsidRDefault="004A11F6" w:rsidP="007D1947"/>
        <w:tbl>
          <w:tblPr>
            <w:tblW w:w="9820" w:type="dxa"/>
            <w:tblLook w:val="04A0" w:firstRow="1" w:lastRow="0" w:firstColumn="1" w:lastColumn="0" w:noHBand="0" w:noVBand="1"/>
          </w:tblPr>
          <w:tblGrid>
            <w:gridCol w:w="3200"/>
            <w:gridCol w:w="1956"/>
            <w:gridCol w:w="1956"/>
            <w:gridCol w:w="1248"/>
            <w:gridCol w:w="1460"/>
          </w:tblGrid>
          <w:tr w:rsidR="009C1CE2" w:rsidRPr="009C1CE2" w14:paraId="6C347622" w14:textId="77777777" w:rsidTr="009C1CE2">
            <w:trPr>
              <w:trHeight w:val="288"/>
            </w:trPr>
            <w:tc>
              <w:tcPr>
                <w:tcW w:w="3200" w:type="dxa"/>
                <w:tcBorders>
                  <w:top w:val="nil"/>
                  <w:left w:val="nil"/>
                  <w:bottom w:val="nil"/>
                  <w:right w:val="nil"/>
                </w:tcBorders>
                <w:shd w:val="clear" w:color="auto" w:fill="auto"/>
                <w:noWrap/>
                <w:vAlign w:val="bottom"/>
                <w:hideMark/>
              </w:tcPr>
              <w:p w14:paraId="3C7434E8" w14:textId="77777777" w:rsidR="009C1CE2" w:rsidRPr="009C1CE2" w:rsidRDefault="009C1CE2" w:rsidP="009C1CE2">
                <w:pPr>
                  <w:spacing w:after="0" w:line="240" w:lineRule="auto"/>
                  <w:rPr>
                    <w:rFonts w:ascii="Calibri" w:eastAsia="Times New Roman" w:hAnsi="Calibri" w:cs="Calibri"/>
                    <w:b/>
                    <w:bCs/>
                    <w:color w:val="000000"/>
                    <w:lang w:eastAsia="en-GB"/>
                  </w:rPr>
                </w:pPr>
                <w:r w:rsidRPr="009C1CE2">
                  <w:rPr>
                    <w:rFonts w:ascii="Calibri" w:eastAsia="Times New Roman" w:hAnsi="Calibri" w:cs="Calibri"/>
                    <w:b/>
                    <w:bCs/>
                    <w:color w:val="000000"/>
                    <w:lang w:eastAsia="en-GB"/>
                  </w:rPr>
                  <w:t>Income Statement</w:t>
                </w:r>
              </w:p>
            </w:tc>
            <w:tc>
              <w:tcPr>
                <w:tcW w:w="5160" w:type="dxa"/>
                <w:gridSpan w:val="3"/>
                <w:tcBorders>
                  <w:top w:val="nil"/>
                  <w:left w:val="nil"/>
                  <w:bottom w:val="nil"/>
                  <w:right w:val="nil"/>
                </w:tcBorders>
                <w:shd w:val="clear" w:color="auto" w:fill="auto"/>
                <w:noWrap/>
                <w:vAlign w:val="bottom"/>
                <w:hideMark/>
              </w:tcPr>
              <w:p w14:paraId="511E838B" w14:textId="77777777" w:rsidR="009C1CE2" w:rsidRPr="009C1CE2" w:rsidRDefault="009C1CE2" w:rsidP="009C1CE2">
                <w:pPr>
                  <w:spacing w:after="0" w:line="240" w:lineRule="auto"/>
                  <w:rPr>
                    <w:rFonts w:ascii="Arial" w:eastAsia="Times New Roman" w:hAnsi="Arial" w:cs="Arial"/>
                    <w:b/>
                    <w:bCs/>
                    <w:color w:val="232A31"/>
                    <w:lang w:eastAsia="en-GB"/>
                  </w:rPr>
                </w:pPr>
                <w:r w:rsidRPr="009C1CE2">
                  <w:rPr>
                    <w:rFonts w:ascii="Arial" w:eastAsia="Times New Roman" w:hAnsi="Arial" w:cs="Arial"/>
                    <w:b/>
                    <w:bCs/>
                    <w:color w:val="232A31"/>
                    <w:lang w:eastAsia="en-GB"/>
                  </w:rPr>
                  <w:t>Hilton Worldwide Holdings Inc. (HLT)</w:t>
                </w:r>
              </w:p>
            </w:tc>
            <w:tc>
              <w:tcPr>
                <w:tcW w:w="1460" w:type="dxa"/>
                <w:tcBorders>
                  <w:top w:val="nil"/>
                  <w:left w:val="nil"/>
                  <w:bottom w:val="nil"/>
                  <w:right w:val="nil"/>
                </w:tcBorders>
                <w:shd w:val="clear" w:color="auto" w:fill="auto"/>
                <w:noWrap/>
                <w:vAlign w:val="bottom"/>
                <w:hideMark/>
              </w:tcPr>
              <w:p w14:paraId="1AA94E7B" w14:textId="77777777" w:rsidR="009C1CE2" w:rsidRPr="009C1CE2" w:rsidRDefault="009C1CE2" w:rsidP="009C1CE2">
                <w:pPr>
                  <w:spacing w:after="0" w:line="240" w:lineRule="auto"/>
                  <w:rPr>
                    <w:rFonts w:ascii="Arial" w:eastAsia="Times New Roman" w:hAnsi="Arial" w:cs="Arial"/>
                    <w:b/>
                    <w:bCs/>
                    <w:color w:val="232A31"/>
                    <w:lang w:eastAsia="en-GB"/>
                  </w:rPr>
                </w:pPr>
              </w:p>
            </w:tc>
          </w:tr>
          <w:tr w:rsidR="009C1CE2" w:rsidRPr="009C1CE2" w14:paraId="0351A774" w14:textId="77777777" w:rsidTr="009C1CE2">
            <w:trPr>
              <w:trHeight w:val="288"/>
            </w:trPr>
            <w:tc>
              <w:tcPr>
                <w:tcW w:w="3200" w:type="dxa"/>
                <w:tcBorders>
                  <w:top w:val="nil"/>
                  <w:left w:val="nil"/>
                  <w:bottom w:val="nil"/>
                  <w:right w:val="nil"/>
                </w:tcBorders>
                <w:shd w:val="clear" w:color="auto" w:fill="auto"/>
                <w:noWrap/>
                <w:vAlign w:val="bottom"/>
                <w:hideMark/>
              </w:tcPr>
              <w:p w14:paraId="33A4F20F"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59E6FF17" w14:textId="77777777" w:rsidR="009C1CE2" w:rsidRPr="009C1CE2" w:rsidRDefault="009C1CE2" w:rsidP="009C1CE2">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2020</w:t>
                </w:r>
              </w:p>
            </w:tc>
            <w:tc>
              <w:tcPr>
                <w:tcW w:w="1956" w:type="dxa"/>
                <w:tcBorders>
                  <w:top w:val="nil"/>
                  <w:left w:val="nil"/>
                  <w:bottom w:val="nil"/>
                  <w:right w:val="nil"/>
                </w:tcBorders>
                <w:shd w:val="clear" w:color="auto" w:fill="auto"/>
                <w:noWrap/>
                <w:vAlign w:val="bottom"/>
                <w:hideMark/>
              </w:tcPr>
              <w:p w14:paraId="0DD506CD" w14:textId="77777777" w:rsidR="009C1CE2" w:rsidRPr="009C1CE2" w:rsidRDefault="009C1CE2" w:rsidP="009C1CE2">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2019</w:t>
                </w:r>
              </w:p>
            </w:tc>
            <w:tc>
              <w:tcPr>
                <w:tcW w:w="1248" w:type="dxa"/>
                <w:tcBorders>
                  <w:top w:val="nil"/>
                  <w:left w:val="nil"/>
                  <w:bottom w:val="nil"/>
                  <w:right w:val="nil"/>
                </w:tcBorders>
                <w:shd w:val="clear" w:color="auto" w:fill="auto"/>
                <w:noWrap/>
                <w:vAlign w:val="bottom"/>
                <w:hideMark/>
              </w:tcPr>
              <w:p w14:paraId="40729A19" w14:textId="77777777" w:rsidR="009C1CE2" w:rsidRPr="009C1CE2" w:rsidRDefault="009C1CE2" w:rsidP="009C1CE2">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Change</w:t>
                </w:r>
              </w:p>
            </w:tc>
            <w:tc>
              <w:tcPr>
                <w:tcW w:w="1460" w:type="dxa"/>
                <w:tcBorders>
                  <w:top w:val="nil"/>
                  <w:left w:val="nil"/>
                  <w:bottom w:val="nil"/>
                  <w:right w:val="nil"/>
                </w:tcBorders>
                <w:shd w:val="clear" w:color="auto" w:fill="auto"/>
                <w:noWrap/>
                <w:vAlign w:val="bottom"/>
                <w:hideMark/>
              </w:tcPr>
              <w:p w14:paraId="078E90B2" w14:textId="77777777" w:rsidR="009C1CE2" w:rsidRPr="009C1CE2" w:rsidRDefault="009C1CE2" w:rsidP="009C1CE2">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 Change</w:t>
                </w:r>
              </w:p>
            </w:tc>
          </w:tr>
          <w:tr w:rsidR="009C1CE2" w:rsidRPr="009C1CE2" w14:paraId="3FBB9818" w14:textId="77777777" w:rsidTr="009C1CE2">
            <w:trPr>
              <w:trHeight w:val="288"/>
            </w:trPr>
            <w:tc>
              <w:tcPr>
                <w:tcW w:w="3200" w:type="dxa"/>
                <w:tcBorders>
                  <w:top w:val="nil"/>
                  <w:left w:val="nil"/>
                  <w:bottom w:val="nil"/>
                  <w:right w:val="nil"/>
                </w:tcBorders>
                <w:shd w:val="clear" w:color="auto" w:fill="auto"/>
                <w:noWrap/>
                <w:vAlign w:val="bottom"/>
                <w:hideMark/>
              </w:tcPr>
              <w:p w14:paraId="6E91B5C0" w14:textId="77777777" w:rsidR="009C1CE2" w:rsidRPr="009C1CE2" w:rsidRDefault="009C1CE2" w:rsidP="009C1CE2">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Fiscal Year Ends</w:t>
                </w:r>
              </w:p>
            </w:tc>
            <w:tc>
              <w:tcPr>
                <w:tcW w:w="1956" w:type="dxa"/>
                <w:tcBorders>
                  <w:top w:val="nil"/>
                  <w:left w:val="nil"/>
                  <w:bottom w:val="nil"/>
                  <w:right w:val="nil"/>
                </w:tcBorders>
                <w:shd w:val="clear" w:color="auto" w:fill="auto"/>
                <w:noWrap/>
                <w:vAlign w:val="bottom"/>
                <w:hideMark/>
              </w:tcPr>
              <w:p w14:paraId="66F671D3" w14:textId="77777777" w:rsidR="009C1CE2" w:rsidRPr="009C1CE2" w:rsidRDefault="009C1CE2" w:rsidP="009C1CE2">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31/12/2021</w:t>
                </w:r>
              </w:p>
            </w:tc>
            <w:tc>
              <w:tcPr>
                <w:tcW w:w="1956" w:type="dxa"/>
                <w:tcBorders>
                  <w:top w:val="nil"/>
                  <w:left w:val="nil"/>
                  <w:bottom w:val="nil"/>
                  <w:right w:val="nil"/>
                </w:tcBorders>
                <w:shd w:val="clear" w:color="auto" w:fill="auto"/>
                <w:noWrap/>
                <w:vAlign w:val="bottom"/>
                <w:hideMark/>
              </w:tcPr>
              <w:p w14:paraId="17798BCA" w14:textId="77777777" w:rsidR="009C1CE2" w:rsidRPr="009C1CE2" w:rsidRDefault="009C1CE2" w:rsidP="009C1CE2">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31/12/2020</w:t>
                </w:r>
              </w:p>
            </w:tc>
            <w:tc>
              <w:tcPr>
                <w:tcW w:w="1248" w:type="dxa"/>
                <w:tcBorders>
                  <w:top w:val="nil"/>
                  <w:left w:val="nil"/>
                  <w:bottom w:val="nil"/>
                  <w:right w:val="nil"/>
                </w:tcBorders>
                <w:shd w:val="clear" w:color="auto" w:fill="auto"/>
                <w:noWrap/>
                <w:vAlign w:val="bottom"/>
                <w:hideMark/>
              </w:tcPr>
              <w:p w14:paraId="2CF47995" w14:textId="77777777" w:rsidR="009C1CE2" w:rsidRPr="009C1CE2" w:rsidRDefault="009C1CE2" w:rsidP="009C1CE2">
                <w:pPr>
                  <w:spacing w:after="0" w:line="240" w:lineRule="auto"/>
                  <w:jc w:val="right"/>
                  <w:rPr>
                    <w:rFonts w:ascii="Calibri" w:eastAsia="Times New Roman" w:hAnsi="Calibri" w:cs="Calibri"/>
                    <w:color w:val="000000"/>
                    <w:lang w:eastAsia="en-GB"/>
                  </w:rPr>
                </w:pPr>
              </w:p>
            </w:tc>
            <w:tc>
              <w:tcPr>
                <w:tcW w:w="1460" w:type="dxa"/>
                <w:tcBorders>
                  <w:top w:val="nil"/>
                  <w:left w:val="nil"/>
                  <w:bottom w:val="nil"/>
                  <w:right w:val="nil"/>
                </w:tcBorders>
                <w:shd w:val="clear" w:color="auto" w:fill="auto"/>
                <w:noWrap/>
                <w:vAlign w:val="bottom"/>
                <w:hideMark/>
              </w:tcPr>
              <w:p w14:paraId="39E9219F"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r>
          <w:tr w:rsidR="007A1781" w:rsidRPr="009C1CE2" w14:paraId="78C06B21" w14:textId="77777777" w:rsidTr="008D6C97">
            <w:trPr>
              <w:trHeight w:val="288"/>
            </w:trPr>
            <w:tc>
              <w:tcPr>
                <w:tcW w:w="3200" w:type="dxa"/>
                <w:tcBorders>
                  <w:top w:val="nil"/>
                  <w:left w:val="nil"/>
                  <w:bottom w:val="nil"/>
                  <w:right w:val="nil"/>
                </w:tcBorders>
                <w:shd w:val="clear" w:color="auto" w:fill="auto"/>
                <w:noWrap/>
                <w:vAlign w:val="bottom"/>
                <w:hideMark/>
              </w:tcPr>
              <w:p w14:paraId="1AC6A790" w14:textId="77777777" w:rsidR="007A1781" w:rsidRPr="009C1CE2" w:rsidRDefault="007A1781" w:rsidP="007A1781">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Sales</w:t>
                </w:r>
              </w:p>
            </w:tc>
            <w:tc>
              <w:tcPr>
                <w:tcW w:w="1956" w:type="dxa"/>
                <w:tcBorders>
                  <w:top w:val="nil"/>
                  <w:left w:val="nil"/>
                  <w:bottom w:val="nil"/>
                  <w:right w:val="nil"/>
                </w:tcBorders>
                <w:shd w:val="clear" w:color="auto" w:fill="auto"/>
                <w:noWrap/>
                <w:vAlign w:val="bottom"/>
                <w:hideMark/>
              </w:tcPr>
              <w:p w14:paraId="521706CB"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4,307,000</w:t>
                </w:r>
              </w:p>
            </w:tc>
            <w:tc>
              <w:tcPr>
                <w:tcW w:w="1956" w:type="dxa"/>
                <w:tcBorders>
                  <w:top w:val="nil"/>
                  <w:left w:val="nil"/>
                  <w:bottom w:val="nil"/>
                  <w:right w:val="nil"/>
                </w:tcBorders>
                <w:shd w:val="clear" w:color="auto" w:fill="auto"/>
                <w:noWrap/>
                <w:vAlign w:val="bottom"/>
                <w:hideMark/>
              </w:tcPr>
              <w:p w14:paraId="586C7E86"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9,452,000</w:t>
                </w:r>
              </w:p>
            </w:tc>
            <w:tc>
              <w:tcPr>
                <w:tcW w:w="1248" w:type="dxa"/>
                <w:tcBorders>
                  <w:top w:val="nil"/>
                  <w:left w:val="nil"/>
                  <w:bottom w:val="single" w:sz="4" w:space="0" w:color="auto"/>
                  <w:right w:val="single" w:sz="4" w:space="0" w:color="auto"/>
                </w:tcBorders>
                <w:shd w:val="clear" w:color="auto" w:fill="auto"/>
                <w:noWrap/>
                <w:vAlign w:val="bottom"/>
                <w:hideMark/>
              </w:tcPr>
              <w:p w14:paraId="553EC048" w14:textId="1DC7CA0F" w:rsidR="007A1781" w:rsidRPr="00CA4CF6" w:rsidRDefault="007A1781" w:rsidP="007A1781">
                <w:pPr>
                  <w:spacing w:after="0" w:line="240" w:lineRule="auto"/>
                  <w:jc w:val="right"/>
                  <w:rPr>
                    <w:rFonts w:eastAsia="Times New Roman" w:cs="Calibri"/>
                    <w:color w:val="000000"/>
                    <w:lang w:eastAsia="en-GB"/>
                  </w:rPr>
                </w:pPr>
                <w:r w:rsidRPr="00CA4CF6">
                  <w:rPr>
                    <w:rFonts w:eastAsia="Times New Roman" w:cs="Times New Roman"/>
                    <w:color w:val="000000"/>
                  </w:rPr>
                  <w:t>-5</w:t>
                </w:r>
                <w:r w:rsidR="00CA4CF6">
                  <w:rPr>
                    <w:rFonts w:eastAsia="Times New Roman" w:cs="Times New Roman"/>
                    <w:color w:val="000000"/>
                  </w:rPr>
                  <w:t>,</w:t>
                </w:r>
                <w:r w:rsidRPr="00CA4CF6">
                  <w:rPr>
                    <w:rFonts w:eastAsia="Times New Roman" w:cs="Times New Roman"/>
                    <w:color w:val="000000"/>
                  </w:rPr>
                  <w:t>145</w:t>
                </w:r>
                <w:r w:rsidR="00CA4CF6">
                  <w:rPr>
                    <w:rFonts w:eastAsia="Times New Roman" w:cs="Times New Roman"/>
                    <w:color w:val="000000"/>
                  </w:rPr>
                  <w:t>,</w:t>
                </w:r>
                <w:r w:rsidRPr="00CA4CF6">
                  <w:rPr>
                    <w:rFonts w:eastAsia="Times New Roman" w:cs="Times New Roman"/>
                    <w:color w:val="000000"/>
                  </w:rPr>
                  <w:t>000</w:t>
                </w:r>
              </w:p>
            </w:tc>
            <w:tc>
              <w:tcPr>
                <w:tcW w:w="1460" w:type="dxa"/>
                <w:tcBorders>
                  <w:top w:val="nil"/>
                  <w:left w:val="nil"/>
                  <w:bottom w:val="single" w:sz="4" w:space="0" w:color="auto"/>
                  <w:right w:val="single" w:sz="4" w:space="0" w:color="auto"/>
                </w:tcBorders>
                <w:shd w:val="clear" w:color="auto" w:fill="auto"/>
                <w:noWrap/>
                <w:vAlign w:val="bottom"/>
                <w:hideMark/>
              </w:tcPr>
              <w:p w14:paraId="63636FAF" w14:textId="1E350975" w:rsidR="007A1781" w:rsidRPr="00CA4CF6" w:rsidRDefault="007A1781" w:rsidP="007A1781">
                <w:pPr>
                  <w:spacing w:after="0" w:line="240" w:lineRule="auto"/>
                  <w:rPr>
                    <w:rFonts w:eastAsia="Times New Roman" w:cs="Times New Roman"/>
                    <w:lang w:eastAsia="en-GB"/>
                  </w:rPr>
                </w:pPr>
                <w:r w:rsidRPr="00CA4CF6">
                  <w:rPr>
                    <w:rFonts w:eastAsia="Times New Roman" w:cs="Times New Roman"/>
                    <w:color w:val="000000"/>
                  </w:rPr>
                  <w:t>-54%</w:t>
                </w:r>
              </w:p>
            </w:tc>
          </w:tr>
          <w:tr w:rsidR="007A1781" w:rsidRPr="009C1CE2" w14:paraId="47A149B2" w14:textId="77777777" w:rsidTr="008D6C97">
            <w:trPr>
              <w:trHeight w:val="288"/>
            </w:trPr>
            <w:tc>
              <w:tcPr>
                <w:tcW w:w="3200" w:type="dxa"/>
                <w:tcBorders>
                  <w:top w:val="nil"/>
                  <w:left w:val="nil"/>
                  <w:bottom w:val="nil"/>
                  <w:right w:val="nil"/>
                </w:tcBorders>
                <w:shd w:val="clear" w:color="auto" w:fill="auto"/>
                <w:noWrap/>
                <w:vAlign w:val="bottom"/>
                <w:hideMark/>
              </w:tcPr>
              <w:p w14:paraId="08DADA09" w14:textId="77777777" w:rsidR="007A1781" w:rsidRPr="009C1CE2" w:rsidRDefault="007A1781" w:rsidP="007A1781">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Cost of goods sold</w:t>
                </w:r>
              </w:p>
            </w:tc>
            <w:tc>
              <w:tcPr>
                <w:tcW w:w="1956" w:type="dxa"/>
                <w:tcBorders>
                  <w:top w:val="nil"/>
                  <w:left w:val="nil"/>
                  <w:bottom w:val="nil"/>
                  <w:right w:val="nil"/>
                </w:tcBorders>
                <w:shd w:val="clear" w:color="auto" w:fill="auto"/>
                <w:noWrap/>
                <w:vAlign w:val="bottom"/>
                <w:hideMark/>
              </w:tcPr>
              <w:p w14:paraId="4EEB4749"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3,724,000</w:t>
                </w:r>
              </w:p>
            </w:tc>
            <w:tc>
              <w:tcPr>
                <w:tcW w:w="1956" w:type="dxa"/>
                <w:tcBorders>
                  <w:top w:val="nil"/>
                  <w:left w:val="nil"/>
                  <w:bottom w:val="nil"/>
                  <w:right w:val="nil"/>
                </w:tcBorders>
                <w:shd w:val="clear" w:color="auto" w:fill="auto"/>
                <w:noWrap/>
                <w:vAlign w:val="bottom"/>
                <w:hideMark/>
              </w:tcPr>
              <w:p w14:paraId="331AA851"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7,017,000</w:t>
                </w:r>
              </w:p>
            </w:tc>
            <w:tc>
              <w:tcPr>
                <w:tcW w:w="1248" w:type="dxa"/>
                <w:tcBorders>
                  <w:top w:val="nil"/>
                  <w:left w:val="nil"/>
                  <w:bottom w:val="single" w:sz="4" w:space="0" w:color="auto"/>
                  <w:right w:val="single" w:sz="4" w:space="0" w:color="auto"/>
                </w:tcBorders>
                <w:shd w:val="clear" w:color="auto" w:fill="auto"/>
                <w:noWrap/>
                <w:vAlign w:val="bottom"/>
                <w:hideMark/>
              </w:tcPr>
              <w:p w14:paraId="20B7FB60" w14:textId="403931E2" w:rsidR="007A1781" w:rsidRPr="00CA4CF6" w:rsidRDefault="007A1781" w:rsidP="007A1781">
                <w:pPr>
                  <w:spacing w:after="0" w:line="240" w:lineRule="auto"/>
                  <w:jc w:val="right"/>
                  <w:rPr>
                    <w:rFonts w:eastAsia="Times New Roman" w:cs="Calibri"/>
                    <w:color w:val="000000"/>
                    <w:lang w:eastAsia="en-GB"/>
                  </w:rPr>
                </w:pPr>
                <w:r w:rsidRPr="00CA4CF6">
                  <w:rPr>
                    <w:rFonts w:eastAsia="Times New Roman" w:cs="Times New Roman"/>
                    <w:color w:val="000000"/>
                  </w:rPr>
                  <w:t>-3</w:t>
                </w:r>
                <w:r w:rsidR="00CA4CF6">
                  <w:rPr>
                    <w:rFonts w:eastAsia="Times New Roman" w:cs="Times New Roman"/>
                    <w:color w:val="000000"/>
                  </w:rPr>
                  <w:t>,</w:t>
                </w:r>
                <w:r w:rsidRPr="00CA4CF6">
                  <w:rPr>
                    <w:rFonts w:eastAsia="Times New Roman" w:cs="Times New Roman"/>
                    <w:color w:val="000000"/>
                  </w:rPr>
                  <w:t>293</w:t>
                </w:r>
                <w:r w:rsidR="00CA4CF6">
                  <w:rPr>
                    <w:rFonts w:eastAsia="Times New Roman" w:cs="Times New Roman"/>
                    <w:color w:val="000000"/>
                  </w:rPr>
                  <w:t>,</w:t>
                </w:r>
                <w:r w:rsidRPr="00CA4CF6">
                  <w:rPr>
                    <w:rFonts w:eastAsia="Times New Roman" w:cs="Times New Roman"/>
                    <w:color w:val="000000"/>
                  </w:rPr>
                  <w:t>000</w:t>
                </w:r>
              </w:p>
            </w:tc>
            <w:tc>
              <w:tcPr>
                <w:tcW w:w="1460" w:type="dxa"/>
                <w:tcBorders>
                  <w:top w:val="nil"/>
                  <w:left w:val="nil"/>
                  <w:bottom w:val="single" w:sz="4" w:space="0" w:color="auto"/>
                  <w:right w:val="single" w:sz="4" w:space="0" w:color="auto"/>
                </w:tcBorders>
                <w:shd w:val="clear" w:color="auto" w:fill="auto"/>
                <w:noWrap/>
                <w:vAlign w:val="bottom"/>
                <w:hideMark/>
              </w:tcPr>
              <w:p w14:paraId="4D336472" w14:textId="09780081" w:rsidR="007A1781" w:rsidRPr="00CA4CF6" w:rsidRDefault="007A1781" w:rsidP="007A1781">
                <w:pPr>
                  <w:spacing w:after="0" w:line="240" w:lineRule="auto"/>
                  <w:rPr>
                    <w:rFonts w:eastAsia="Times New Roman" w:cs="Times New Roman"/>
                    <w:lang w:eastAsia="en-GB"/>
                  </w:rPr>
                </w:pPr>
                <w:r w:rsidRPr="00CA4CF6">
                  <w:rPr>
                    <w:rFonts w:eastAsia="Times New Roman" w:cs="Times New Roman"/>
                    <w:color w:val="000000"/>
                  </w:rPr>
                  <w:t>-47%</w:t>
                </w:r>
              </w:p>
            </w:tc>
          </w:tr>
          <w:tr w:rsidR="007A1781" w:rsidRPr="009C1CE2" w14:paraId="46F4F6E0" w14:textId="77777777" w:rsidTr="008D6C97">
            <w:trPr>
              <w:trHeight w:val="288"/>
            </w:trPr>
            <w:tc>
              <w:tcPr>
                <w:tcW w:w="3200" w:type="dxa"/>
                <w:tcBorders>
                  <w:top w:val="nil"/>
                  <w:left w:val="nil"/>
                  <w:bottom w:val="nil"/>
                  <w:right w:val="nil"/>
                </w:tcBorders>
                <w:shd w:val="clear" w:color="auto" w:fill="auto"/>
                <w:noWrap/>
                <w:vAlign w:val="bottom"/>
                <w:hideMark/>
              </w:tcPr>
              <w:p w14:paraId="11951B2B" w14:textId="77777777" w:rsidR="007A1781" w:rsidRPr="009C1CE2" w:rsidRDefault="007A1781" w:rsidP="007A1781">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Gross profit</w:t>
                </w:r>
              </w:p>
            </w:tc>
            <w:tc>
              <w:tcPr>
                <w:tcW w:w="1956" w:type="dxa"/>
                <w:tcBorders>
                  <w:top w:val="nil"/>
                  <w:left w:val="nil"/>
                  <w:bottom w:val="nil"/>
                  <w:right w:val="nil"/>
                </w:tcBorders>
                <w:shd w:val="clear" w:color="auto" w:fill="auto"/>
                <w:noWrap/>
                <w:vAlign w:val="bottom"/>
                <w:hideMark/>
              </w:tcPr>
              <w:p w14:paraId="203FEA82"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583,000</w:t>
                </w:r>
              </w:p>
            </w:tc>
            <w:tc>
              <w:tcPr>
                <w:tcW w:w="1956" w:type="dxa"/>
                <w:tcBorders>
                  <w:top w:val="nil"/>
                  <w:left w:val="nil"/>
                  <w:bottom w:val="nil"/>
                  <w:right w:val="nil"/>
                </w:tcBorders>
                <w:shd w:val="clear" w:color="auto" w:fill="auto"/>
                <w:noWrap/>
                <w:vAlign w:val="bottom"/>
                <w:hideMark/>
              </w:tcPr>
              <w:p w14:paraId="4F14454F"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2,435,000</w:t>
                </w:r>
              </w:p>
            </w:tc>
            <w:tc>
              <w:tcPr>
                <w:tcW w:w="1248" w:type="dxa"/>
                <w:tcBorders>
                  <w:top w:val="nil"/>
                  <w:left w:val="nil"/>
                  <w:bottom w:val="single" w:sz="4" w:space="0" w:color="auto"/>
                  <w:right w:val="single" w:sz="4" w:space="0" w:color="auto"/>
                </w:tcBorders>
                <w:shd w:val="clear" w:color="auto" w:fill="auto"/>
                <w:noWrap/>
                <w:vAlign w:val="bottom"/>
                <w:hideMark/>
              </w:tcPr>
              <w:p w14:paraId="57B3B77F" w14:textId="1C29289A" w:rsidR="007A1781" w:rsidRPr="00CA4CF6" w:rsidRDefault="007A1781" w:rsidP="007A1781">
                <w:pPr>
                  <w:spacing w:after="0" w:line="240" w:lineRule="auto"/>
                  <w:jc w:val="right"/>
                  <w:rPr>
                    <w:rFonts w:eastAsia="Times New Roman" w:cs="Calibri"/>
                    <w:color w:val="000000"/>
                    <w:lang w:eastAsia="en-GB"/>
                  </w:rPr>
                </w:pPr>
                <w:r w:rsidRPr="00CA4CF6">
                  <w:rPr>
                    <w:rFonts w:eastAsia="Times New Roman" w:cs="Times New Roman"/>
                    <w:color w:val="000000"/>
                  </w:rPr>
                  <w:t>-1</w:t>
                </w:r>
                <w:r w:rsidR="00CA4CF6">
                  <w:rPr>
                    <w:rFonts w:eastAsia="Times New Roman" w:cs="Times New Roman"/>
                    <w:color w:val="000000"/>
                  </w:rPr>
                  <w:t>,</w:t>
                </w:r>
                <w:r w:rsidRPr="00CA4CF6">
                  <w:rPr>
                    <w:rFonts w:eastAsia="Times New Roman" w:cs="Times New Roman"/>
                    <w:color w:val="000000"/>
                  </w:rPr>
                  <w:t>852</w:t>
                </w:r>
                <w:r w:rsidR="00CA4CF6">
                  <w:rPr>
                    <w:rFonts w:eastAsia="Times New Roman" w:cs="Times New Roman"/>
                    <w:color w:val="000000"/>
                  </w:rPr>
                  <w:t>,</w:t>
                </w:r>
                <w:r w:rsidRPr="00CA4CF6">
                  <w:rPr>
                    <w:rFonts w:eastAsia="Times New Roman" w:cs="Times New Roman"/>
                    <w:color w:val="000000"/>
                  </w:rPr>
                  <w:t>000</w:t>
                </w:r>
              </w:p>
            </w:tc>
            <w:tc>
              <w:tcPr>
                <w:tcW w:w="1460" w:type="dxa"/>
                <w:tcBorders>
                  <w:top w:val="nil"/>
                  <w:left w:val="nil"/>
                  <w:bottom w:val="single" w:sz="4" w:space="0" w:color="auto"/>
                  <w:right w:val="single" w:sz="4" w:space="0" w:color="auto"/>
                </w:tcBorders>
                <w:shd w:val="clear" w:color="auto" w:fill="auto"/>
                <w:noWrap/>
                <w:vAlign w:val="bottom"/>
                <w:hideMark/>
              </w:tcPr>
              <w:p w14:paraId="24936E23" w14:textId="3E867EE1" w:rsidR="007A1781" w:rsidRPr="00CA4CF6" w:rsidRDefault="007A1781" w:rsidP="007A1781">
                <w:pPr>
                  <w:spacing w:after="0" w:line="240" w:lineRule="auto"/>
                  <w:rPr>
                    <w:rFonts w:eastAsia="Times New Roman" w:cs="Times New Roman"/>
                    <w:lang w:eastAsia="en-GB"/>
                  </w:rPr>
                </w:pPr>
                <w:r w:rsidRPr="00CA4CF6">
                  <w:rPr>
                    <w:rFonts w:eastAsia="Times New Roman" w:cs="Times New Roman"/>
                    <w:color w:val="000000"/>
                  </w:rPr>
                  <w:t>-76%</w:t>
                </w:r>
              </w:p>
            </w:tc>
          </w:tr>
          <w:tr w:rsidR="007A1781" w:rsidRPr="009C1CE2" w14:paraId="7FBDA34D" w14:textId="77777777" w:rsidTr="008D6C97">
            <w:trPr>
              <w:trHeight w:val="288"/>
            </w:trPr>
            <w:tc>
              <w:tcPr>
                <w:tcW w:w="3200" w:type="dxa"/>
                <w:tcBorders>
                  <w:top w:val="nil"/>
                  <w:left w:val="nil"/>
                  <w:bottom w:val="nil"/>
                  <w:right w:val="nil"/>
                </w:tcBorders>
                <w:shd w:val="clear" w:color="auto" w:fill="auto"/>
                <w:noWrap/>
                <w:vAlign w:val="bottom"/>
                <w:hideMark/>
              </w:tcPr>
              <w:p w14:paraId="3EAFD820" w14:textId="77777777" w:rsidR="007A1781" w:rsidRPr="009C1CE2" w:rsidRDefault="007A1781" w:rsidP="007A1781">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Operating Expenses</w:t>
                </w:r>
              </w:p>
            </w:tc>
            <w:tc>
              <w:tcPr>
                <w:tcW w:w="1956" w:type="dxa"/>
                <w:tcBorders>
                  <w:top w:val="nil"/>
                  <w:left w:val="nil"/>
                  <w:bottom w:val="nil"/>
                  <w:right w:val="nil"/>
                </w:tcBorders>
                <w:shd w:val="clear" w:color="auto" w:fill="auto"/>
                <w:noWrap/>
                <w:vAlign w:val="bottom"/>
                <w:hideMark/>
              </w:tcPr>
              <w:p w14:paraId="7B031AEA"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702,000</w:t>
                </w:r>
              </w:p>
            </w:tc>
            <w:tc>
              <w:tcPr>
                <w:tcW w:w="1956" w:type="dxa"/>
                <w:tcBorders>
                  <w:top w:val="nil"/>
                  <w:left w:val="nil"/>
                  <w:bottom w:val="nil"/>
                  <w:right w:val="nil"/>
                </w:tcBorders>
                <w:shd w:val="clear" w:color="auto" w:fill="auto"/>
                <w:noWrap/>
                <w:vAlign w:val="bottom"/>
                <w:hideMark/>
              </w:tcPr>
              <w:p w14:paraId="412C744D"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859,000</w:t>
                </w:r>
              </w:p>
            </w:tc>
            <w:tc>
              <w:tcPr>
                <w:tcW w:w="1248" w:type="dxa"/>
                <w:tcBorders>
                  <w:top w:val="nil"/>
                  <w:left w:val="nil"/>
                  <w:bottom w:val="single" w:sz="4" w:space="0" w:color="auto"/>
                  <w:right w:val="single" w:sz="4" w:space="0" w:color="auto"/>
                </w:tcBorders>
                <w:shd w:val="clear" w:color="auto" w:fill="auto"/>
                <w:noWrap/>
                <w:vAlign w:val="bottom"/>
                <w:hideMark/>
              </w:tcPr>
              <w:p w14:paraId="61767A06" w14:textId="720750C4" w:rsidR="007A1781" w:rsidRPr="00CA4CF6" w:rsidRDefault="007A1781" w:rsidP="007A1781">
                <w:pPr>
                  <w:spacing w:after="0" w:line="240" w:lineRule="auto"/>
                  <w:jc w:val="right"/>
                  <w:rPr>
                    <w:rFonts w:eastAsia="Times New Roman" w:cs="Calibri"/>
                    <w:color w:val="000000"/>
                    <w:lang w:eastAsia="en-GB"/>
                  </w:rPr>
                </w:pPr>
                <w:r w:rsidRPr="00CA4CF6">
                  <w:rPr>
                    <w:rFonts w:eastAsia="Times New Roman" w:cs="Times New Roman"/>
                    <w:color w:val="000000"/>
                  </w:rPr>
                  <w:t>-157</w:t>
                </w:r>
                <w:r w:rsidR="00CA4CF6">
                  <w:rPr>
                    <w:rFonts w:eastAsia="Times New Roman" w:cs="Times New Roman"/>
                    <w:color w:val="000000"/>
                  </w:rPr>
                  <w:t>,</w:t>
                </w:r>
                <w:r w:rsidRPr="00CA4CF6">
                  <w:rPr>
                    <w:rFonts w:eastAsia="Times New Roman" w:cs="Times New Roman"/>
                    <w:color w:val="000000"/>
                  </w:rPr>
                  <w:t>000</w:t>
                </w:r>
              </w:p>
            </w:tc>
            <w:tc>
              <w:tcPr>
                <w:tcW w:w="1460" w:type="dxa"/>
                <w:tcBorders>
                  <w:top w:val="nil"/>
                  <w:left w:val="nil"/>
                  <w:bottom w:val="single" w:sz="4" w:space="0" w:color="auto"/>
                  <w:right w:val="single" w:sz="4" w:space="0" w:color="auto"/>
                </w:tcBorders>
                <w:shd w:val="clear" w:color="auto" w:fill="auto"/>
                <w:noWrap/>
                <w:vAlign w:val="bottom"/>
                <w:hideMark/>
              </w:tcPr>
              <w:p w14:paraId="19342008" w14:textId="4B210431" w:rsidR="007A1781" w:rsidRPr="00CA4CF6" w:rsidRDefault="007A1781" w:rsidP="007A1781">
                <w:pPr>
                  <w:spacing w:after="0" w:line="240" w:lineRule="auto"/>
                  <w:rPr>
                    <w:rFonts w:eastAsia="Times New Roman" w:cs="Times New Roman"/>
                    <w:lang w:eastAsia="en-GB"/>
                  </w:rPr>
                </w:pPr>
                <w:r w:rsidRPr="00CA4CF6">
                  <w:rPr>
                    <w:rFonts w:eastAsia="Times New Roman" w:cs="Times New Roman"/>
                    <w:color w:val="000000"/>
                  </w:rPr>
                  <w:t>-18%</w:t>
                </w:r>
              </w:p>
            </w:tc>
          </w:tr>
          <w:tr w:rsidR="007A1781" w:rsidRPr="009C1CE2" w14:paraId="22704FA7" w14:textId="77777777" w:rsidTr="008D6C97">
            <w:trPr>
              <w:trHeight w:val="288"/>
            </w:trPr>
            <w:tc>
              <w:tcPr>
                <w:tcW w:w="3200" w:type="dxa"/>
                <w:tcBorders>
                  <w:top w:val="nil"/>
                  <w:left w:val="nil"/>
                  <w:bottom w:val="nil"/>
                  <w:right w:val="nil"/>
                </w:tcBorders>
                <w:shd w:val="clear" w:color="auto" w:fill="auto"/>
                <w:noWrap/>
                <w:vAlign w:val="bottom"/>
                <w:hideMark/>
              </w:tcPr>
              <w:p w14:paraId="292EBD5B" w14:textId="77777777" w:rsidR="007A1781" w:rsidRPr="009C1CE2" w:rsidRDefault="007A1781" w:rsidP="007A1781">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Operating income</w:t>
                </w:r>
              </w:p>
            </w:tc>
            <w:tc>
              <w:tcPr>
                <w:tcW w:w="1956" w:type="dxa"/>
                <w:tcBorders>
                  <w:top w:val="nil"/>
                  <w:left w:val="nil"/>
                  <w:bottom w:val="nil"/>
                  <w:right w:val="nil"/>
                </w:tcBorders>
                <w:shd w:val="clear" w:color="auto" w:fill="auto"/>
                <w:noWrap/>
                <w:vAlign w:val="bottom"/>
                <w:hideMark/>
              </w:tcPr>
              <w:p w14:paraId="0123139F"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-119,000</w:t>
                </w:r>
              </w:p>
            </w:tc>
            <w:tc>
              <w:tcPr>
                <w:tcW w:w="1956" w:type="dxa"/>
                <w:tcBorders>
                  <w:top w:val="nil"/>
                  <w:left w:val="nil"/>
                  <w:bottom w:val="nil"/>
                  <w:right w:val="nil"/>
                </w:tcBorders>
                <w:shd w:val="clear" w:color="auto" w:fill="auto"/>
                <w:noWrap/>
                <w:vAlign w:val="bottom"/>
                <w:hideMark/>
              </w:tcPr>
              <w:p w14:paraId="39B459C8"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1,576,000</w:t>
                </w:r>
              </w:p>
            </w:tc>
            <w:tc>
              <w:tcPr>
                <w:tcW w:w="1248" w:type="dxa"/>
                <w:tcBorders>
                  <w:top w:val="nil"/>
                  <w:left w:val="nil"/>
                  <w:bottom w:val="single" w:sz="4" w:space="0" w:color="auto"/>
                  <w:right w:val="single" w:sz="4" w:space="0" w:color="auto"/>
                </w:tcBorders>
                <w:shd w:val="clear" w:color="auto" w:fill="auto"/>
                <w:noWrap/>
                <w:vAlign w:val="bottom"/>
                <w:hideMark/>
              </w:tcPr>
              <w:p w14:paraId="56E52F23" w14:textId="61BC16B3" w:rsidR="007A1781" w:rsidRPr="00CA4CF6" w:rsidRDefault="007A1781" w:rsidP="007A1781">
                <w:pPr>
                  <w:spacing w:after="0" w:line="240" w:lineRule="auto"/>
                  <w:jc w:val="right"/>
                  <w:rPr>
                    <w:rFonts w:eastAsia="Times New Roman" w:cs="Calibri"/>
                    <w:color w:val="000000"/>
                    <w:lang w:eastAsia="en-GB"/>
                  </w:rPr>
                </w:pPr>
                <w:r w:rsidRPr="00CA4CF6">
                  <w:rPr>
                    <w:rFonts w:eastAsia="Times New Roman" w:cs="Times New Roman"/>
                    <w:color w:val="000000"/>
                  </w:rPr>
                  <w:t>-1</w:t>
                </w:r>
                <w:r w:rsidR="00CA4CF6">
                  <w:rPr>
                    <w:rFonts w:eastAsia="Times New Roman" w:cs="Times New Roman"/>
                    <w:color w:val="000000"/>
                  </w:rPr>
                  <w:t>,</w:t>
                </w:r>
                <w:r w:rsidRPr="00CA4CF6">
                  <w:rPr>
                    <w:rFonts w:eastAsia="Times New Roman" w:cs="Times New Roman"/>
                    <w:color w:val="000000"/>
                  </w:rPr>
                  <w:t>695</w:t>
                </w:r>
                <w:r w:rsidR="00CA4CF6">
                  <w:rPr>
                    <w:rFonts w:eastAsia="Times New Roman" w:cs="Times New Roman"/>
                    <w:color w:val="000000"/>
                  </w:rPr>
                  <w:t>,</w:t>
                </w:r>
                <w:r w:rsidRPr="00CA4CF6">
                  <w:rPr>
                    <w:rFonts w:eastAsia="Times New Roman" w:cs="Times New Roman"/>
                    <w:color w:val="000000"/>
                  </w:rPr>
                  <w:t>000</w:t>
                </w:r>
              </w:p>
            </w:tc>
            <w:tc>
              <w:tcPr>
                <w:tcW w:w="1460" w:type="dxa"/>
                <w:tcBorders>
                  <w:top w:val="nil"/>
                  <w:left w:val="nil"/>
                  <w:bottom w:val="single" w:sz="4" w:space="0" w:color="auto"/>
                  <w:right w:val="single" w:sz="4" w:space="0" w:color="auto"/>
                </w:tcBorders>
                <w:shd w:val="clear" w:color="auto" w:fill="auto"/>
                <w:noWrap/>
                <w:vAlign w:val="bottom"/>
                <w:hideMark/>
              </w:tcPr>
              <w:p w14:paraId="314E4315" w14:textId="4C92745E" w:rsidR="007A1781" w:rsidRPr="00CA4CF6" w:rsidRDefault="007A1781" w:rsidP="007A1781">
                <w:pPr>
                  <w:spacing w:after="0" w:line="240" w:lineRule="auto"/>
                  <w:rPr>
                    <w:rFonts w:eastAsia="Times New Roman" w:cs="Times New Roman"/>
                    <w:lang w:eastAsia="en-GB"/>
                  </w:rPr>
                </w:pPr>
                <w:r w:rsidRPr="00CA4CF6">
                  <w:rPr>
                    <w:rFonts w:eastAsia="Times New Roman" w:cs="Times New Roman"/>
                    <w:color w:val="000000"/>
                  </w:rPr>
                  <w:t>-108%</w:t>
                </w:r>
              </w:p>
            </w:tc>
          </w:tr>
          <w:tr w:rsidR="007A1781" w:rsidRPr="009C1CE2" w14:paraId="094DF5AC" w14:textId="77777777" w:rsidTr="008D6C97">
            <w:trPr>
              <w:trHeight w:val="288"/>
            </w:trPr>
            <w:tc>
              <w:tcPr>
                <w:tcW w:w="3200" w:type="dxa"/>
                <w:tcBorders>
                  <w:top w:val="nil"/>
                  <w:left w:val="nil"/>
                  <w:bottom w:val="nil"/>
                  <w:right w:val="nil"/>
                </w:tcBorders>
                <w:shd w:val="clear" w:color="auto" w:fill="auto"/>
                <w:noWrap/>
                <w:vAlign w:val="bottom"/>
                <w:hideMark/>
              </w:tcPr>
              <w:p w14:paraId="49AC7709" w14:textId="77777777" w:rsidR="007A1781" w:rsidRPr="009C1CE2" w:rsidRDefault="007A1781" w:rsidP="007A1781">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Interest Expense</w:t>
                </w:r>
              </w:p>
            </w:tc>
            <w:tc>
              <w:tcPr>
                <w:tcW w:w="1956" w:type="dxa"/>
                <w:tcBorders>
                  <w:top w:val="nil"/>
                  <w:left w:val="nil"/>
                  <w:bottom w:val="nil"/>
                  <w:right w:val="nil"/>
                </w:tcBorders>
                <w:shd w:val="clear" w:color="auto" w:fill="auto"/>
                <w:noWrap/>
                <w:vAlign w:val="bottom"/>
                <w:hideMark/>
              </w:tcPr>
              <w:p w14:paraId="785F650A"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429,000</w:t>
                </w:r>
              </w:p>
            </w:tc>
            <w:tc>
              <w:tcPr>
                <w:tcW w:w="1956" w:type="dxa"/>
                <w:tcBorders>
                  <w:top w:val="nil"/>
                  <w:left w:val="nil"/>
                  <w:bottom w:val="nil"/>
                  <w:right w:val="nil"/>
                </w:tcBorders>
                <w:shd w:val="clear" w:color="auto" w:fill="auto"/>
                <w:noWrap/>
                <w:vAlign w:val="bottom"/>
                <w:hideMark/>
              </w:tcPr>
              <w:p w14:paraId="7EB4297D"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414,000</w:t>
                </w:r>
              </w:p>
            </w:tc>
            <w:tc>
              <w:tcPr>
                <w:tcW w:w="1248" w:type="dxa"/>
                <w:tcBorders>
                  <w:top w:val="nil"/>
                  <w:left w:val="nil"/>
                  <w:bottom w:val="single" w:sz="4" w:space="0" w:color="auto"/>
                  <w:right w:val="single" w:sz="4" w:space="0" w:color="auto"/>
                </w:tcBorders>
                <w:shd w:val="clear" w:color="auto" w:fill="auto"/>
                <w:noWrap/>
                <w:vAlign w:val="bottom"/>
                <w:hideMark/>
              </w:tcPr>
              <w:p w14:paraId="60A8A029" w14:textId="07BFCC5D" w:rsidR="007A1781" w:rsidRPr="00CA4CF6" w:rsidRDefault="007A1781" w:rsidP="007A1781">
                <w:pPr>
                  <w:spacing w:after="0" w:line="240" w:lineRule="auto"/>
                  <w:jc w:val="right"/>
                  <w:rPr>
                    <w:rFonts w:eastAsia="Times New Roman" w:cs="Calibri"/>
                    <w:color w:val="000000"/>
                    <w:lang w:eastAsia="en-GB"/>
                  </w:rPr>
                </w:pPr>
                <w:r w:rsidRPr="00CA4CF6">
                  <w:rPr>
                    <w:rFonts w:eastAsia="Times New Roman" w:cs="Times New Roman"/>
                    <w:color w:val="000000"/>
                  </w:rPr>
                  <w:t>15</w:t>
                </w:r>
                <w:r w:rsidR="00CA4CF6">
                  <w:rPr>
                    <w:rFonts w:eastAsia="Times New Roman" w:cs="Times New Roman"/>
                    <w:color w:val="000000"/>
                  </w:rPr>
                  <w:t>,</w:t>
                </w:r>
                <w:r w:rsidRPr="00CA4CF6">
                  <w:rPr>
                    <w:rFonts w:eastAsia="Times New Roman" w:cs="Times New Roman"/>
                    <w:color w:val="000000"/>
                  </w:rPr>
                  <w:t>000</w:t>
                </w:r>
              </w:p>
            </w:tc>
            <w:tc>
              <w:tcPr>
                <w:tcW w:w="1460" w:type="dxa"/>
                <w:tcBorders>
                  <w:top w:val="nil"/>
                  <w:left w:val="nil"/>
                  <w:bottom w:val="single" w:sz="4" w:space="0" w:color="auto"/>
                  <w:right w:val="single" w:sz="4" w:space="0" w:color="auto"/>
                </w:tcBorders>
                <w:shd w:val="clear" w:color="auto" w:fill="auto"/>
                <w:noWrap/>
                <w:vAlign w:val="bottom"/>
                <w:hideMark/>
              </w:tcPr>
              <w:p w14:paraId="4015398F" w14:textId="3D30ACEE" w:rsidR="007A1781" w:rsidRPr="00CA4CF6" w:rsidRDefault="007A1781" w:rsidP="007A1781">
                <w:pPr>
                  <w:spacing w:after="0" w:line="240" w:lineRule="auto"/>
                  <w:rPr>
                    <w:rFonts w:eastAsia="Times New Roman" w:cs="Times New Roman"/>
                    <w:lang w:eastAsia="en-GB"/>
                  </w:rPr>
                </w:pPr>
                <w:r w:rsidRPr="00CA4CF6">
                  <w:rPr>
                    <w:rFonts w:eastAsia="Times New Roman" w:cs="Times New Roman"/>
                    <w:color w:val="000000"/>
                  </w:rPr>
                  <w:t>4%</w:t>
                </w:r>
              </w:p>
            </w:tc>
          </w:tr>
          <w:tr w:rsidR="007A1781" w:rsidRPr="009C1CE2" w14:paraId="1213894D" w14:textId="77777777" w:rsidTr="008D6C97">
            <w:trPr>
              <w:trHeight w:val="288"/>
            </w:trPr>
            <w:tc>
              <w:tcPr>
                <w:tcW w:w="3200" w:type="dxa"/>
                <w:tcBorders>
                  <w:top w:val="nil"/>
                  <w:left w:val="nil"/>
                  <w:bottom w:val="nil"/>
                  <w:right w:val="nil"/>
                </w:tcBorders>
                <w:shd w:val="clear" w:color="auto" w:fill="auto"/>
                <w:noWrap/>
                <w:vAlign w:val="bottom"/>
                <w:hideMark/>
              </w:tcPr>
              <w:p w14:paraId="0ED68F58" w14:textId="77777777" w:rsidR="007A1781" w:rsidRPr="009C1CE2" w:rsidRDefault="007A1781" w:rsidP="007A1781">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 xml:space="preserve">Total Other income/ expenses net </w:t>
                </w:r>
              </w:p>
            </w:tc>
            <w:tc>
              <w:tcPr>
                <w:tcW w:w="1956" w:type="dxa"/>
                <w:tcBorders>
                  <w:top w:val="nil"/>
                  <w:left w:val="nil"/>
                  <w:bottom w:val="nil"/>
                  <w:right w:val="nil"/>
                </w:tcBorders>
                <w:shd w:val="clear" w:color="auto" w:fill="auto"/>
                <w:noWrap/>
                <w:vAlign w:val="bottom"/>
                <w:hideMark/>
              </w:tcPr>
              <w:p w14:paraId="5845DDDC"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-376,000</w:t>
                </w:r>
              </w:p>
            </w:tc>
            <w:tc>
              <w:tcPr>
                <w:tcW w:w="1956" w:type="dxa"/>
                <w:tcBorders>
                  <w:top w:val="nil"/>
                  <w:left w:val="nil"/>
                  <w:bottom w:val="nil"/>
                  <w:right w:val="nil"/>
                </w:tcBorders>
                <w:shd w:val="clear" w:color="auto" w:fill="auto"/>
                <w:noWrap/>
                <w:vAlign w:val="bottom"/>
                <w:hideMark/>
              </w:tcPr>
              <w:p w14:paraId="0B5D3849"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82,000</w:t>
                </w:r>
              </w:p>
            </w:tc>
            <w:tc>
              <w:tcPr>
                <w:tcW w:w="1248" w:type="dxa"/>
                <w:tcBorders>
                  <w:top w:val="nil"/>
                  <w:left w:val="nil"/>
                  <w:bottom w:val="single" w:sz="4" w:space="0" w:color="auto"/>
                  <w:right w:val="single" w:sz="4" w:space="0" w:color="auto"/>
                </w:tcBorders>
                <w:shd w:val="clear" w:color="auto" w:fill="auto"/>
                <w:noWrap/>
                <w:vAlign w:val="bottom"/>
                <w:hideMark/>
              </w:tcPr>
              <w:p w14:paraId="1245098F" w14:textId="640FBE82" w:rsidR="007A1781" w:rsidRPr="00CA4CF6" w:rsidRDefault="007A1781" w:rsidP="007A1781">
                <w:pPr>
                  <w:spacing w:after="0" w:line="240" w:lineRule="auto"/>
                  <w:jc w:val="right"/>
                  <w:rPr>
                    <w:rFonts w:eastAsia="Times New Roman" w:cs="Calibri"/>
                    <w:color w:val="000000"/>
                    <w:lang w:eastAsia="en-GB"/>
                  </w:rPr>
                </w:pPr>
                <w:r w:rsidRPr="00CA4CF6">
                  <w:rPr>
                    <w:rFonts w:eastAsia="Times New Roman" w:cs="Times New Roman"/>
                    <w:color w:val="000000"/>
                  </w:rPr>
                  <w:t>-458</w:t>
                </w:r>
                <w:r w:rsidR="00CA4CF6">
                  <w:rPr>
                    <w:rFonts w:eastAsia="Times New Roman" w:cs="Times New Roman"/>
                    <w:color w:val="000000"/>
                  </w:rPr>
                  <w:t>,</w:t>
                </w:r>
                <w:r w:rsidRPr="00CA4CF6">
                  <w:rPr>
                    <w:rFonts w:eastAsia="Times New Roman" w:cs="Times New Roman"/>
                    <w:color w:val="000000"/>
                  </w:rPr>
                  <w:t>000</w:t>
                </w:r>
              </w:p>
            </w:tc>
            <w:tc>
              <w:tcPr>
                <w:tcW w:w="1460" w:type="dxa"/>
                <w:tcBorders>
                  <w:top w:val="nil"/>
                  <w:left w:val="nil"/>
                  <w:bottom w:val="single" w:sz="4" w:space="0" w:color="auto"/>
                  <w:right w:val="single" w:sz="4" w:space="0" w:color="auto"/>
                </w:tcBorders>
                <w:shd w:val="clear" w:color="auto" w:fill="auto"/>
                <w:noWrap/>
                <w:vAlign w:val="bottom"/>
                <w:hideMark/>
              </w:tcPr>
              <w:p w14:paraId="7D8C7FE6" w14:textId="7B1C3751" w:rsidR="007A1781" w:rsidRPr="00CA4CF6" w:rsidRDefault="007A1781" w:rsidP="007A1781">
                <w:pPr>
                  <w:spacing w:after="0" w:line="240" w:lineRule="auto"/>
                  <w:rPr>
                    <w:rFonts w:eastAsia="Times New Roman" w:cs="Times New Roman"/>
                    <w:lang w:eastAsia="en-GB"/>
                  </w:rPr>
                </w:pPr>
                <w:r w:rsidRPr="00CA4CF6">
                  <w:rPr>
                    <w:rFonts w:eastAsia="Times New Roman" w:cs="Times New Roman"/>
                    <w:color w:val="000000"/>
                  </w:rPr>
                  <w:t>-559%</w:t>
                </w:r>
              </w:p>
            </w:tc>
          </w:tr>
          <w:tr w:rsidR="007A1781" w:rsidRPr="009C1CE2" w14:paraId="672E6703" w14:textId="77777777" w:rsidTr="008D6C97">
            <w:trPr>
              <w:trHeight w:val="288"/>
            </w:trPr>
            <w:tc>
              <w:tcPr>
                <w:tcW w:w="3200" w:type="dxa"/>
                <w:tcBorders>
                  <w:top w:val="nil"/>
                  <w:left w:val="nil"/>
                  <w:bottom w:val="nil"/>
                  <w:right w:val="nil"/>
                </w:tcBorders>
                <w:shd w:val="clear" w:color="auto" w:fill="auto"/>
                <w:noWrap/>
                <w:vAlign w:val="bottom"/>
                <w:hideMark/>
              </w:tcPr>
              <w:p w14:paraId="1287146F" w14:textId="77777777" w:rsidR="007A1781" w:rsidRPr="009C1CE2" w:rsidRDefault="007A1781" w:rsidP="007A1781">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Income before taxes</w:t>
                </w:r>
              </w:p>
            </w:tc>
            <w:tc>
              <w:tcPr>
                <w:tcW w:w="1956" w:type="dxa"/>
                <w:tcBorders>
                  <w:top w:val="nil"/>
                  <w:left w:val="nil"/>
                  <w:bottom w:val="nil"/>
                  <w:right w:val="nil"/>
                </w:tcBorders>
                <w:shd w:val="clear" w:color="auto" w:fill="auto"/>
                <w:noWrap/>
                <w:vAlign w:val="bottom"/>
                <w:hideMark/>
              </w:tcPr>
              <w:p w14:paraId="6327A869"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-924,000</w:t>
                </w:r>
              </w:p>
            </w:tc>
            <w:tc>
              <w:tcPr>
                <w:tcW w:w="1956" w:type="dxa"/>
                <w:tcBorders>
                  <w:top w:val="nil"/>
                  <w:left w:val="nil"/>
                  <w:bottom w:val="nil"/>
                  <w:right w:val="nil"/>
                </w:tcBorders>
                <w:shd w:val="clear" w:color="auto" w:fill="auto"/>
                <w:noWrap/>
                <w:vAlign w:val="bottom"/>
                <w:hideMark/>
              </w:tcPr>
              <w:p w14:paraId="0374A5EE"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1,244,000</w:t>
                </w:r>
              </w:p>
            </w:tc>
            <w:tc>
              <w:tcPr>
                <w:tcW w:w="1248" w:type="dxa"/>
                <w:tcBorders>
                  <w:top w:val="nil"/>
                  <w:left w:val="nil"/>
                  <w:bottom w:val="single" w:sz="4" w:space="0" w:color="auto"/>
                  <w:right w:val="single" w:sz="4" w:space="0" w:color="auto"/>
                </w:tcBorders>
                <w:shd w:val="clear" w:color="auto" w:fill="auto"/>
                <w:noWrap/>
                <w:vAlign w:val="bottom"/>
                <w:hideMark/>
              </w:tcPr>
              <w:p w14:paraId="2D0E5083" w14:textId="39A30C93" w:rsidR="007A1781" w:rsidRPr="00CA4CF6" w:rsidRDefault="007A1781" w:rsidP="007A1781">
                <w:pPr>
                  <w:spacing w:after="0" w:line="240" w:lineRule="auto"/>
                  <w:jc w:val="right"/>
                  <w:rPr>
                    <w:rFonts w:eastAsia="Times New Roman" w:cs="Calibri"/>
                    <w:color w:val="000000"/>
                    <w:lang w:eastAsia="en-GB"/>
                  </w:rPr>
                </w:pPr>
                <w:r w:rsidRPr="00CA4CF6">
                  <w:rPr>
                    <w:rFonts w:eastAsia="Times New Roman" w:cs="Times New Roman"/>
                    <w:color w:val="000000"/>
                  </w:rPr>
                  <w:t>-2</w:t>
                </w:r>
                <w:r w:rsidR="00CA4CF6">
                  <w:rPr>
                    <w:rFonts w:eastAsia="Times New Roman" w:cs="Times New Roman"/>
                    <w:color w:val="000000"/>
                  </w:rPr>
                  <w:t>,</w:t>
                </w:r>
                <w:r w:rsidRPr="00CA4CF6">
                  <w:rPr>
                    <w:rFonts w:eastAsia="Times New Roman" w:cs="Times New Roman"/>
                    <w:color w:val="000000"/>
                  </w:rPr>
                  <w:t>168</w:t>
                </w:r>
                <w:r w:rsidR="00CA4CF6">
                  <w:rPr>
                    <w:rFonts w:eastAsia="Times New Roman" w:cs="Times New Roman"/>
                    <w:color w:val="000000"/>
                  </w:rPr>
                  <w:t>,</w:t>
                </w:r>
                <w:r w:rsidRPr="00CA4CF6">
                  <w:rPr>
                    <w:rFonts w:eastAsia="Times New Roman" w:cs="Times New Roman"/>
                    <w:color w:val="000000"/>
                  </w:rPr>
                  <w:t>000</w:t>
                </w:r>
              </w:p>
            </w:tc>
            <w:tc>
              <w:tcPr>
                <w:tcW w:w="1460" w:type="dxa"/>
                <w:tcBorders>
                  <w:top w:val="nil"/>
                  <w:left w:val="nil"/>
                  <w:bottom w:val="single" w:sz="4" w:space="0" w:color="auto"/>
                  <w:right w:val="single" w:sz="4" w:space="0" w:color="auto"/>
                </w:tcBorders>
                <w:shd w:val="clear" w:color="auto" w:fill="auto"/>
                <w:noWrap/>
                <w:vAlign w:val="bottom"/>
                <w:hideMark/>
              </w:tcPr>
              <w:p w14:paraId="19337C25" w14:textId="351859CA" w:rsidR="007A1781" w:rsidRPr="00CA4CF6" w:rsidRDefault="007A1781" w:rsidP="007A1781">
                <w:pPr>
                  <w:spacing w:after="0" w:line="240" w:lineRule="auto"/>
                  <w:rPr>
                    <w:rFonts w:eastAsia="Times New Roman" w:cs="Times New Roman"/>
                    <w:lang w:eastAsia="en-GB"/>
                  </w:rPr>
                </w:pPr>
                <w:r w:rsidRPr="00CA4CF6">
                  <w:rPr>
                    <w:rFonts w:eastAsia="Times New Roman" w:cs="Times New Roman"/>
                    <w:color w:val="000000"/>
                  </w:rPr>
                  <w:t>-174%</w:t>
                </w:r>
              </w:p>
            </w:tc>
          </w:tr>
          <w:tr w:rsidR="007A1781" w:rsidRPr="009C1CE2" w14:paraId="57B3C31D" w14:textId="77777777" w:rsidTr="008D6C97">
            <w:trPr>
              <w:trHeight w:val="288"/>
            </w:trPr>
            <w:tc>
              <w:tcPr>
                <w:tcW w:w="3200" w:type="dxa"/>
                <w:tcBorders>
                  <w:top w:val="nil"/>
                  <w:left w:val="nil"/>
                  <w:bottom w:val="nil"/>
                  <w:right w:val="nil"/>
                </w:tcBorders>
                <w:shd w:val="clear" w:color="auto" w:fill="auto"/>
                <w:noWrap/>
                <w:vAlign w:val="bottom"/>
                <w:hideMark/>
              </w:tcPr>
              <w:p w14:paraId="7A32DA8B" w14:textId="77777777" w:rsidR="007A1781" w:rsidRPr="009C1CE2" w:rsidRDefault="007A1781" w:rsidP="007A1781">
                <w:pPr>
                  <w:spacing w:after="0" w:line="240" w:lineRule="auto"/>
                  <w:rPr>
                    <w:rFonts w:ascii="Calibri" w:eastAsia="Times New Roman" w:hAnsi="Calibri" w:cs="Calibri"/>
                    <w:color w:val="000000"/>
                    <w:lang w:eastAsia="en-GB"/>
                  </w:rPr>
                </w:pPr>
                <w:r w:rsidRPr="009C1CE2">
                  <w:rPr>
                    <w:rFonts w:ascii="Calibri" w:eastAsia="Times New Roman" w:hAnsi="Calibri" w:cs="Calibri"/>
                    <w:color w:val="000000"/>
                    <w:lang w:eastAsia="en-GB"/>
                  </w:rPr>
                  <w:t>Net income</w:t>
                </w:r>
              </w:p>
            </w:tc>
            <w:tc>
              <w:tcPr>
                <w:tcW w:w="1956" w:type="dxa"/>
                <w:tcBorders>
                  <w:top w:val="nil"/>
                  <w:left w:val="nil"/>
                  <w:bottom w:val="nil"/>
                  <w:right w:val="nil"/>
                </w:tcBorders>
                <w:shd w:val="clear" w:color="auto" w:fill="auto"/>
                <w:noWrap/>
                <w:vAlign w:val="bottom"/>
                <w:hideMark/>
              </w:tcPr>
              <w:p w14:paraId="0BF6FB63"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-715,000</w:t>
                </w:r>
              </w:p>
            </w:tc>
            <w:tc>
              <w:tcPr>
                <w:tcW w:w="1956" w:type="dxa"/>
                <w:tcBorders>
                  <w:top w:val="nil"/>
                  <w:left w:val="nil"/>
                  <w:bottom w:val="nil"/>
                  <w:right w:val="nil"/>
                </w:tcBorders>
                <w:shd w:val="clear" w:color="auto" w:fill="auto"/>
                <w:noWrap/>
                <w:vAlign w:val="bottom"/>
                <w:hideMark/>
              </w:tcPr>
              <w:p w14:paraId="1D16C63B" w14:textId="77777777" w:rsidR="007A1781" w:rsidRPr="009C1CE2" w:rsidRDefault="007A1781" w:rsidP="007A1781">
                <w:pPr>
                  <w:spacing w:after="0" w:line="240" w:lineRule="auto"/>
                  <w:jc w:val="right"/>
                  <w:rPr>
                    <w:rFonts w:ascii="Calibri" w:eastAsia="Times New Roman" w:hAnsi="Calibri" w:cs="Calibri"/>
                    <w:color w:val="000000"/>
                    <w:lang w:eastAsia="en-GB"/>
                  </w:rPr>
                </w:pPr>
                <w:r w:rsidRPr="009C1CE2">
                  <w:rPr>
                    <w:rFonts w:ascii="Calibri" w:eastAsia="Times New Roman" w:hAnsi="Calibri" w:cs="Calibri"/>
                    <w:color w:val="000000"/>
                    <w:lang w:eastAsia="en-GB"/>
                  </w:rPr>
                  <w:t>881,000</w:t>
                </w:r>
              </w:p>
            </w:tc>
            <w:tc>
              <w:tcPr>
                <w:tcW w:w="1248" w:type="dxa"/>
                <w:tcBorders>
                  <w:top w:val="nil"/>
                  <w:left w:val="nil"/>
                  <w:bottom w:val="single" w:sz="4" w:space="0" w:color="auto"/>
                  <w:right w:val="single" w:sz="4" w:space="0" w:color="auto"/>
                </w:tcBorders>
                <w:shd w:val="clear" w:color="auto" w:fill="auto"/>
                <w:noWrap/>
                <w:vAlign w:val="bottom"/>
                <w:hideMark/>
              </w:tcPr>
              <w:p w14:paraId="0DBF80EE" w14:textId="36BAFFB5" w:rsidR="007A1781" w:rsidRPr="00CA4CF6" w:rsidRDefault="007A1781" w:rsidP="007A1781">
                <w:pPr>
                  <w:spacing w:after="0" w:line="240" w:lineRule="auto"/>
                  <w:jc w:val="right"/>
                  <w:rPr>
                    <w:rFonts w:eastAsia="Times New Roman" w:cs="Calibri"/>
                    <w:color w:val="000000"/>
                    <w:lang w:eastAsia="en-GB"/>
                  </w:rPr>
                </w:pPr>
                <w:r w:rsidRPr="00CA4CF6">
                  <w:rPr>
                    <w:rFonts w:eastAsia="Times New Roman" w:cs="Times New Roman"/>
                    <w:color w:val="000000"/>
                  </w:rPr>
                  <w:t>-1</w:t>
                </w:r>
                <w:r w:rsidR="00CA4CF6">
                  <w:rPr>
                    <w:rFonts w:eastAsia="Times New Roman" w:cs="Times New Roman"/>
                    <w:color w:val="000000"/>
                  </w:rPr>
                  <w:t>,</w:t>
                </w:r>
                <w:r w:rsidRPr="00CA4CF6">
                  <w:rPr>
                    <w:rFonts w:eastAsia="Times New Roman" w:cs="Times New Roman"/>
                    <w:color w:val="000000"/>
                  </w:rPr>
                  <w:t>596</w:t>
                </w:r>
                <w:r w:rsidR="00CA4CF6">
                  <w:rPr>
                    <w:rFonts w:eastAsia="Times New Roman" w:cs="Times New Roman"/>
                    <w:color w:val="000000"/>
                  </w:rPr>
                  <w:t>,</w:t>
                </w:r>
                <w:r w:rsidRPr="00CA4CF6">
                  <w:rPr>
                    <w:rFonts w:eastAsia="Times New Roman" w:cs="Times New Roman"/>
                    <w:color w:val="000000"/>
                  </w:rPr>
                  <w:t>000</w:t>
                </w:r>
              </w:p>
            </w:tc>
            <w:tc>
              <w:tcPr>
                <w:tcW w:w="1460" w:type="dxa"/>
                <w:tcBorders>
                  <w:top w:val="nil"/>
                  <w:left w:val="nil"/>
                  <w:bottom w:val="single" w:sz="4" w:space="0" w:color="auto"/>
                  <w:right w:val="single" w:sz="4" w:space="0" w:color="auto"/>
                </w:tcBorders>
                <w:shd w:val="clear" w:color="auto" w:fill="auto"/>
                <w:noWrap/>
                <w:vAlign w:val="bottom"/>
                <w:hideMark/>
              </w:tcPr>
              <w:p w14:paraId="06C1E67B" w14:textId="6E104433" w:rsidR="007A1781" w:rsidRPr="00CA4CF6" w:rsidRDefault="007A1781" w:rsidP="007A1781">
                <w:pPr>
                  <w:spacing w:after="0" w:line="240" w:lineRule="auto"/>
                  <w:rPr>
                    <w:rFonts w:eastAsia="Times New Roman" w:cs="Times New Roman"/>
                    <w:lang w:eastAsia="en-GB"/>
                  </w:rPr>
                </w:pPr>
                <w:r w:rsidRPr="00CA4CF6">
                  <w:rPr>
                    <w:rFonts w:eastAsia="Times New Roman" w:cs="Times New Roman"/>
                    <w:color w:val="000000"/>
                  </w:rPr>
                  <w:t>-181%</w:t>
                </w:r>
              </w:p>
            </w:tc>
          </w:tr>
          <w:tr w:rsidR="007A1781" w:rsidRPr="009C1CE2" w14:paraId="104F7355" w14:textId="77777777" w:rsidTr="009C1CE2">
            <w:trPr>
              <w:trHeight w:val="288"/>
            </w:trPr>
            <w:tc>
              <w:tcPr>
                <w:tcW w:w="3200" w:type="dxa"/>
                <w:tcBorders>
                  <w:top w:val="nil"/>
                  <w:left w:val="nil"/>
                  <w:bottom w:val="nil"/>
                  <w:right w:val="nil"/>
                </w:tcBorders>
                <w:shd w:val="clear" w:color="auto" w:fill="auto"/>
                <w:noWrap/>
                <w:vAlign w:val="bottom"/>
                <w:hideMark/>
              </w:tcPr>
              <w:p w14:paraId="265125D9"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1225C868"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4E85F7B3"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248" w:type="dxa"/>
                <w:tcBorders>
                  <w:top w:val="nil"/>
                  <w:left w:val="nil"/>
                  <w:bottom w:val="nil"/>
                  <w:right w:val="nil"/>
                </w:tcBorders>
                <w:shd w:val="clear" w:color="auto" w:fill="auto"/>
                <w:noWrap/>
                <w:vAlign w:val="bottom"/>
                <w:hideMark/>
              </w:tcPr>
              <w:p w14:paraId="047C7788"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3602464B"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r>
          <w:tr w:rsidR="007A1781" w:rsidRPr="009C1CE2" w14:paraId="083A4C8E" w14:textId="77777777" w:rsidTr="009C1CE2">
            <w:trPr>
              <w:trHeight w:val="288"/>
            </w:trPr>
            <w:tc>
              <w:tcPr>
                <w:tcW w:w="3200" w:type="dxa"/>
                <w:tcBorders>
                  <w:top w:val="nil"/>
                  <w:left w:val="nil"/>
                  <w:bottom w:val="nil"/>
                  <w:right w:val="nil"/>
                </w:tcBorders>
                <w:shd w:val="clear" w:color="auto" w:fill="auto"/>
                <w:noWrap/>
                <w:vAlign w:val="bottom"/>
                <w:hideMark/>
              </w:tcPr>
              <w:p w14:paraId="53082D50"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7BBF410F"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732FC4F9"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248" w:type="dxa"/>
                <w:tcBorders>
                  <w:top w:val="nil"/>
                  <w:left w:val="nil"/>
                  <w:bottom w:val="nil"/>
                  <w:right w:val="nil"/>
                </w:tcBorders>
                <w:shd w:val="clear" w:color="auto" w:fill="auto"/>
                <w:noWrap/>
                <w:vAlign w:val="bottom"/>
                <w:hideMark/>
              </w:tcPr>
              <w:p w14:paraId="0AA46D49"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6101417D"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r>
          <w:tr w:rsidR="007A1781" w:rsidRPr="009C1CE2" w14:paraId="1F0966B6" w14:textId="77777777" w:rsidTr="009C1CE2">
            <w:trPr>
              <w:trHeight w:val="288"/>
            </w:trPr>
            <w:tc>
              <w:tcPr>
                <w:tcW w:w="3200" w:type="dxa"/>
                <w:tcBorders>
                  <w:top w:val="nil"/>
                  <w:left w:val="nil"/>
                  <w:bottom w:val="nil"/>
                  <w:right w:val="nil"/>
                </w:tcBorders>
                <w:shd w:val="clear" w:color="auto" w:fill="auto"/>
                <w:noWrap/>
                <w:vAlign w:val="bottom"/>
                <w:hideMark/>
              </w:tcPr>
              <w:p w14:paraId="3F978587"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32EA70BF"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66F42E05"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248" w:type="dxa"/>
                <w:tcBorders>
                  <w:top w:val="nil"/>
                  <w:left w:val="nil"/>
                  <w:bottom w:val="nil"/>
                  <w:right w:val="nil"/>
                </w:tcBorders>
                <w:shd w:val="clear" w:color="auto" w:fill="auto"/>
                <w:noWrap/>
                <w:vAlign w:val="bottom"/>
                <w:hideMark/>
              </w:tcPr>
              <w:p w14:paraId="40965F77"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63D9366A" w14:textId="77777777" w:rsidR="007A1781" w:rsidRPr="009C1CE2" w:rsidRDefault="007A1781" w:rsidP="007A1781">
                <w:pPr>
                  <w:spacing w:after="0" w:line="240" w:lineRule="auto"/>
                  <w:rPr>
                    <w:rFonts w:ascii="Times New Roman" w:eastAsia="Times New Roman" w:hAnsi="Times New Roman" w:cs="Times New Roman"/>
                    <w:sz w:val="20"/>
                    <w:szCs w:val="20"/>
                    <w:lang w:eastAsia="en-GB"/>
                  </w:rPr>
                </w:pPr>
              </w:p>
            </w:tc>
          </w:tr>
        </w:tbl>
        <w:p w14:paraId="46B624AA" w14:textId="77777777" w:rsidR="009C1CE2" w:rsidRDefault="009C1CE2" w:rsidP="007D1947"/>
        <w:p w14:paraId="54A971B6" w14:textId="77777777" w:rsidR="009C1CE2" w:rsidRDefault="009C1CE2" w:rsidP="007D1947"/>
        <w:tbl>
          <w:tblPr>
            <w:tblW w:w="8192" w:type="dxa"/>
            <w:tblLook w:val="04A0" w:firstRow="1" w:lastRow="0" w:firstColumn="1" w:lastColumn="0" w:noHBand="0" w:noVBand="1"/>
          </w:tblPr>
          <w:tblGrid>
            <w:gridCol w:w="2872"/>
            <w:gridCol w:w="1600"/>
            <w:gridCol w:w="1540"/>
            <w:gridCol w:w="1220"/>
            <w:gridCol w:w="960"/>
          </w:tblGrid>
          <w:tr w:rsidR="00DB6A70" w:rsidRPr="00DB6A70" w14:paraId="3AF8CB1D" w14:textId="77777777" w:rsidTr="00DB6A70">
            <w:trPr>
              <w:trHeight w:val="288"/>
            </w:trPr>
            <w:tc>
              <w:tcPr>
                <w:tcW w:w="2872" w:type="dxa"/>
                <w:tcBorders>
                  <w:top w:val="nil"/>
                  <w:left w:val="nil"/>
                  <w:bottom w:val="nil"/>
                  <w:right w:val="nil"/>
                </w:tcBorders>
                <w:shd w:val="clear" w:color="auto" w:fill="auto"/>
                <w:noWrap/>
                <w:vAlign w:val="bottom"/>
                <w:hideMark/>
              </w:tcPr>
              <w:p w14:paraId="037C38CD" w14:textId="77777777" w:rsidR="00DB6A70" w:rsidRPr="00DB6A70" w:rsidRDefault="00DB6A70" w:rsidP="00DB6A70">
                <w:pPr>
                  <w:spacing w:after="0" w:line="240" w:lineRule="auto"/>
                  <w:rPr>
                    <w:rFonts w:ascii="Times New Roman" w:eastAsia="Times New Roman" w:hAnsi="Times New Roman" w:cs="Times New Roman"/>
                    <w:sz w:val="24"/>
                    <w:szCs w:val="24"/>
                    <w:lang w:eastAsia="en-GB"/>
                  </w:rPr>
                </w:pPr>
              </w:p>
            </w:tc>
            <w:tc>
              <w:tcPr>
                <w:tcW w:w="1600" w:type="dxa"/>
                <w:tcBorders>
                  <w:top w:val="nil"/>
                  <w:left w:val="nil"/>
                  <w:bottom w:val="nil"/>
                  <w:right w:val="nil"/>
                </w:tcBorders>
                <w:shd w:val="clear" w:color="auto" w:fill="auto"/>
                <w:noWrap/>
                <w:vAlign w:val="bottom"/>
                <w:hideMark/>
              </w:tcPr>
              <w:p w14:paraId="4F9BB03E" w14:textId="77777777" w:rsidR="00DB6A70" w:rsidRPr="00DB6A70" w:rsidRDefault="00DB6A70" w:rsidP="00DB6A70">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2020</w:t>
                </w:r>
              </w:p>
            </w:tc>
            <w:tc>
              <w:tcPr>
                <w:tcW w:w="1540" w:type="dxa"/>
                <w:tcBorders>
                  <w:top w:val="nil"/>
                  <w:left w:val="nil"/>
                  <w:bottom w:val="nil"/>
                  <w:right w:val="nil"/>
                </w:tcBorders>
                <w:shd w:val="clear" w:color="auto" w:fill="auto"/>
                <w:noWrap/>
                <w:vAlign w:val="bottom"/>
                <w:hideMark/>
              </w:tcPr>
              <w:p w14:paraId="22C514F7" w14:textId="77777777" w:rsidR="00DB6A70" w:rsidRPr="00DB6A70" w:rsidRDefault="00DB6A70" w:rsidP="00DB6A70">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2019</w:t>
                </w:r>
              </w:p>
            </w:tc>
            <w:tc>
              <w:tcPr>
                <w:tcW w:w="1220" w:type="dxa"/>
                <w:tcBorders>
                  <w:top w:val="nil"/>
                  <w:left w:val="nil"/>
                  <w:bottom w:val="nil"/>
                  <w:right w:val="nil"/>
                </w:tcBorders>
                <w:shd w:val="clear" w:color="auto" w:fill="auto"/>
                <w:noWrap/>
                <w:vAlign w:val="bottom"/>
                <w:hideMark/>
              </w:tcPr>
              <w:p w14:paraId="7DC2046B" w14:textId="77777777" w:rsidR="00DB6A70" w:rsidRPr="00DB6A70" w:rsidRDefault="00DB6A70" w:rsidP="00DB6A70">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Change</w:t>
                </w:r>
              </w:p>
            </w:tc>
            <w:tc>
              <w:tcPr>
                <w:tcW w:w="960" w:type="dxa"/>
                <w:tcBorders>
                  <w:top w:val="nil"/>
                  <w:left w:val="nil"/>
                  <w:bottom w:val="nil"/>
                  <w:right w:val="nil"/>
                </w:tcBorders>
                <w:shd w:val="clear" w:color="auto" w:fill="auto"/>
                <w:noWrap/>
                <w:vAlign w:val="bottom"/>
                <w:hideMark/>
              </w:tcPr>
              <w:p w14:paraId="17308206" w14:textId="77777777" w:rsidR="00DB6A70" w:rsidRPr="00DB6A70" w:rsidRDefault="00DB6A70" w:rsidP="00DB6A70">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 Change</w:t>
                </w:r>
              </w:p>
            </w:tc>
          </w:tr>
          <w:tr w:rsidR="00CA4CF6" w:rsidRPr="00DB6A70" w14:paraId="12B55C4A" w14:textId="77777777" w:rsidTr="00D80128">
            <w:trPr>
              <w:trHeight w:val="288"/>
            </w:trPr>
            <w:tc>
              <w:tcPr>
                <w:tcW w:w="2872" w:type="dxa"/>
                <w:tcBorders>
                  <w:top w:val="nil"/>
                  <w:left w:val="nil"/>
                  <w:bottom w:val="nil"/>
                  <w:right w:val="nil"/>
                </w:tcBorders>
                <w:shd w:val="clear" w:color="auto" w:fill="auto"/>
                <w:noWrap/>
                <w:vAlign w:val="bottom"/>
                <w:hideMark/>
              </w:tcPr>
              <w:p w14:paraId="7594F471" w14:textId="77777777"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Current Asset</w:t>
                </w:r>
              </w:p>
            </w:tc>
            <w:tc>
              <w:tcPr>
                <w:tcW w:w="1600" w:type="dxa"/>
                <w:tcBorders>
                  <w:top w:val="nil"/>
                  <w:left w:val="nil"/>
                  <w:bottom w:val="nil"/>
                  <w:right w:val="nil"/>
                </w:tcBorders>
                <w:shd w:val="clear" w:color="auto" w:fill="auto"/>
                <w:noWrap/>
                <w:vAlign w:val="bottom"/>
                <w:hideMark/>
              </w:tcPr>
              <w:p w14:paraId="6E729C3E"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4,202,000</w:t>
                </w:r>
              </w:p>
            </w:tc>
            <w:tc>
              <w:tcPr>
                <w:tcW w:w="1540" w:type="dxa"/>
                <w:tcBorders>
                  <w:top w:val="nil"/>
                  <w:left w:val="nil"/>
                  <w:bottom w:val="nil"/>
                  <w:right w:val="nil"/>
                </w:tcBorders>
                <w:shd w:val="clear" w:color="auto" w:fill="auto"/>
                <w:noWrap/>
                <w:vAlign w:val="bottom"/>
                <w:hideMark/>
              </w:tcPr>
              <w:p w14:paraId="3DE0E6D7"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2,093,000</w:t>
                </w:r>
              </w:p>
            </w:tc>
            <w:tc>
              <w:tcPr>
                <w:tcW w:w="1220" w:type="dxa"/>
                <w:tcBorders>
                  <w:top w:val="nil"/>
                  <w:left w:val="nil"/>
                  <w:bottom w:val="single" w:sz="4" w:space="0" w:color="auto"/>
                  <w:right w:val="single" w:sz="4" w:space="0" w:color="auto"/>
                </w:tcBorders>
                <w:shd w:val="clear" w:color="auto" w:fill="auto"/>
                <w:noWrap/>
                <w:vAlign w:val="bottom"/>
                <w:hideMark/>
              </w:tcPr>
              <w:p w14:paraId="7804AABB" w14:textId="2FC2A43F"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2</w:t>
                </w:r>
                <w:r>
                  <w:rPr>
                    <w:rFonts w:eastAsia="Times New Roman" w:cs="Times New Roman"/>
                    <w:color w:val="000000"/>
                  </w:rPr>
                  <w:t>,</w:t>
                </w:r>
                <w:r w:rsidRPr="00CA4CF6">
                  <w:rPr>
                    <w:rFonts w:eastAsia="Times New Roman" w:cs="Times New Roman"/>
                    <w:color w:val="000000"/>
                  </w:rPr>
                  <w:t>109</w:t>
                </w:r>
                <w:r>
                  <w:rPr>
                    <w:rFonts w:eastAsia="Times New Roman" w:cs="Times New Roman"/>
                    <w:color w:val="000000"/>
                  </w:rPr>
                  <w:t>,</w:t>
                </w:r>
                <w:r w:rsidRPr="00CA4CF6">
                  <w:rPr>
                    <w:rFonts w:eastAsia="Times New Roman" w:cs="Times New Roman"/>
                    <w:color w:val="000000"/>
                  </w:rPr>
                  <w:t>000</w:t>
                </w:r>
              </w:p>
            </w:tc>
            <w:tc>
              <w:tcPr>
                <w:tcW w:w="960" w:type="dxa"/>
                <w:tcBorders>
                  <w:top w:val="nil"/>
                  <w:left w:val="nil"/>
                  <w:bottom w:val="single" w:sz="4" w:space="0" w:color="auto"/>
                  <w:right w:val="single" w:sz="4" w:space="0" w:color="auto"/>
                </w:tcBorders>
                <w:shd w:val="clear" w:color="auto" w:fill="auto"/>
                <w:noWrap/>
                <w:vAlign w:val="bottom"/>
                <w:hideMark/>
              </w:tcPr>
              <w:p w14:paraId="6616C5F6" w14:textId="326242C3"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101%</w:t>
                </w:r>
              </w:p>
            </w:tc>
          </w:tr>
          <w:tr w:rsidR="00CA4CF6" w:rsidRPr="00DB6A70" w14:paraId="63744ED0" w14:textId="77777777" w:rsidTr="00D80128">
            <w:trPr>
              <w:trHeight w:val="288"/>
            </w:trPr>
            <w:tc>
              <w:tcPr>
                <w:tcW w:w="2872" w:type="dxa"/>
                <w:tcBorders>
                  <w:top w:val="nil"/>
                  <w:left w:val="nil"/>
                  <w:bottom w:val="nil"/>
                  <w:right w:val="nil"/>
                </w:tcBorders>
                <w:shd w:val="clear" w:color="auto" w:fill="auto"/>
                <w:noWrap/>
                <w:vAlign w:val="bottom"/>
                <w:hideMark/>
              </w:tcPr>
              <w:p w14:paraId="52A24844" w14:textId="7A860E7E"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Non-Current Asset</w:t>
                </w:r>
              </w:p>
            </w:tc>
            <w:tc>
              <w:tcPr>
                <w:tcW w:w="1600" w:type="dxa"/>
                <w:tcBorders>
                  <w:top w:val="nil"/>
                  <w:left w:val="nil"/>
                  <w:bottom w:val="nil"/>
                  <w:right w:val="nil"/>
                </w:tcBorders>
                <w:shd w:val="clear" w:color="auto" w:fill="auto"/>
                <w:noWrap/>
                <w:vAlign w:val="bottom"/>
                <w:hideMark/>
              </w:tcPr>
              <w:p w14:paraId="36BB3A30"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15,810,000</w:t>
                </w:r>
              </w:p>
            </w:tc>
            <w:tc>
              <w:tcPr>
                <w:tcW w:w="1540" w:type="dxa"/>
                <w:tcBorders>
                  <w:top w:val="nil"/>
                  <w:left w:val="nil"/>
                  <w:bottom w:val="nil"/>
                  <w:right w:val="nil"/>
                </w:tcBorders>
                <w:shd w:val="clear" w:color="auto" w:fill="auto"/>
                <w:noWrap/>
                <w:vAlign w:val="bottom"/>
                <w:hideMark/>
              </w:tcPr>
              <w:p w14:paraId="47B402FA"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12,558,000</w:t>
                </w:r>
              </w:p>
            </w:tc>
            <w:tc>
              <w:tcPr>
                <w:tcW w:w="1220" w:type="dxa"/>
                <w:tcBorders>
                  <w:top w:val="nil"/>
                  <w:left w:val="nil"/>
                  <w:bottom w:val="single" w:sz="4" w:space="0" w:color="auto"/>
                  <w:right w:val="single" w:sz="4" w:space="0" w:color="auto"/>
                </w:tcBorders>
                <w:shd w:val="clear" w:color="auto" w:fill="auto"/>
                <w:noWrap/>
                <w:vAlign w:val="bottom"/>
                <w:hideMark/>
              </w:tcPr>
              <w:p w14:paraId="5FE30BDB" w14:textId="4CFC9B95"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3</w:t>
                </w:r>
                <w:r>
                  <w:rPr>
                    <w:rFonts w:eastAsia="Times New Roman" w:cs="Times New Roman"/>
                    <w:color w:val="000000"/>
                  </w:rPr>
                  <w:t>,</w:t>
                </w:r>
                <w:r w:rsidRPr="00CA4CF6">
                  <w:rPr>
                    <w:rFonts w:eastAsia="Times New Roman" w:cs="Times New Roman"/>
                    <w:color w:val="000000"/>
                  </w:rPr>
                  <w:t>222</w:t>
                </w:r>
                <w:r>
                  <w:rPr>
                    <w:rFonts w:eastAsia="Times New Roman" w:cs="Times New Roman"/>
                    <w:color w:val="000000"/>
                  </w:rPr>
                  <w:t>,</w:t>
                </w:r>
                <w:r w:rsidRPr="00CA4CF6">
                  <w:rPr>
                    <w:rFonts w:eastAsia="Times New Roman" w:cs="Times New Roman"/>
                    <w:color w:val="000000"/>
                  </w:rPr>
                  <w:t>000</w:t>
                </w:r>
              </w:p>
            </w:tc>
            <w:tc>
              <w:tcPr>
                <w:tcW w:w="960" w:type="dxa"/>
                <w:tcBorders>
                  <w:top w:val="nil"/>
                  <w:left w:val="nil"/>
                  <w:bottom w:val="single" w:sz="4" w:space="0" w:color="auto"/>
                  <w:right w:val="single" w:sz="4" w:space="0" w:color="auto"/>
                </w:tcBorders>
                <w:shd w:val="clear" w:color="auto" w:fill="auto"/>
                <w:noWrap/>
                <w:vAlign w:val="bottom"/>
                <w:hideMark/>
              </w:tcPr>
              <w:p w14:paraId="244AC500" w14:textId="0F88460F"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26%</w:t>
                </w:r>
              </w:p>
            </w:tc>
          </w:tr>
          <w:tr w:rsidR="00CA4CF6" w:rsidRPr="00DB6A70" w14:paraId="40FE895B" w14:textId="77777777" w:rsidTr="00D80128">
            <w:trPr>
              <w:trHeight w:val="288"/>
            </w:trPr>
            <w:tc>
              <w:tcPr>
                <w:tcW w:w="2872" w:type="dxa"/>
                <w:tcBorders>
                  <w:top w:val="nil"/>
                  <w:left w:val="nil"/>
                  <w:bottom w:val="nil"/>
                  <w:right w:val="nil"/>
                </w:tcBorders>
                <w:shd w:val="clear" w:color="auto" w:fill="auto"/>
                <w:noWrap/>
                <w:vAlign w:val="bottom"/>
                <w:hideMark/>
              </w:tcPr>
              <w:p w14:paraId="00007C26" w14:textId="77777777"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Total Asset</w:t>
                </w:r>
              </w:p>
            </w:tc>
            <w:tc>
              <w:tcPr>
                <w:tcW w:w="1600" w:type="dxa"/>
                <w:tcBorders>
                  <w:top w:val="nil"/>
                  <w:left w:val="nil"/>
                  <w:bottom w:val="nil"/>
                  <w:right w:val="nil"/>
                </w:tcBorders>
                <w:shd w:val="clear" w:color="auto" w:fill="auto"/>
                <w:noWrap/>
                <w:vAlign w:val="bottom"/>
                <w:hideMark/>
              </w:tcPr>
              <w:p w14:paraId="2DA77793"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16,755,000</w:t>
                </w:r>
              </w:p>
            </w:tc>
            <w:tc>
              <w:tcPr>
                <w:tcW w:w="1540" w:type="dxa"/>
                <w:tcBorders>
                  <w:top w:val="nil"/>
                  <w:left w:val="nil"/>
                  <w:bottom w:val="nil"/>
                  <w:right w:val="nil"/>
                </w:tcBorders>
                <w:shd w:val="clear" w:color="auto" w:fill="auto"/>
                <w:noWrap/>
                <w:vAlign w:val="bottom"/>
                <w:hideMark/>
              </w:tcPr>
              <w:p w14:paraId="0CA31DF8"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14,957,000</w:t>
                </w:r>
              </w:p>
            </w:tc>
            <w:tc>
              <w:tcPr>
                <w:tcW w:w="1220" w:type="dxa"/>
                <w:tcBorders>
                  <w:top w:val="nil"/>
                  <w:left w:val="nil"/>
                  <w:bottom w:val="single" w:sz="4" w:space="0" w:color="auto"/>
                  <w:right w:val="single" w:sz="4" w:space="0" w:color="auto"/>
                </w:tcBorders>
                <w:shd w:val="clear" w:color="auto" w:fill="auto"/>
                <w:noWrap/>
                <w:vAlign w:val="bottom"/>
                <w:hideMark/>
              </w:tcPr>
              <w:p w14:paraId="68C17301" w14:textId="466BDC41"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1</w:t>
                </w:r>
                <w:r>
                  <w:rPr>
                    <w:rFonts w:eastAsia="Times New Roman" w:cs="Times New Roman"/>
                    <w:color w:val="000000"/>
                  </w:rPr>
                  <w:t>,</w:t>
                </w:r>
                <w:r w:rsidRPr="00CA4CF6">
                  <w:rPr>
                    <w:rFonts w:eastAsia="Times New Roman" w:cs="Times New Roman"/>
                    <w:color w:val="000000"/>
                  </w:rPr>
                  <w:t>798</w:t>
                </w:r>
                <w:r>
                  <w:rPr>
                    <w:rFonts w:eastAsia="Times New Roman" w:cs="Times New Roman"/>
                    <w:color w:val="000000"/>
                  </w:rPr>
                  <w:t>,</w:t>
                </w:r>
                <w:r w:rsidRPr="00CA4CF6">
                  <w:rPr>
                    <w:rFonts w:eastAsia="Times New Roman" w:cs="Times New Roman"/>
                    <w:color w:val="000000"/>
                  </w:rPr>
                  <w:t>000</w:t>
                </w:r>
              </w:p>
            </w:tc>
            <w:tc>
              <w:tcPr>
                <w:tcW w:w="960" w:type="dxa"/>
                <w:tcBorders>
                  <w:top w:val="nil"/>
                  <w:left w:val="nil"/>
                  <w:bottom w:val="single" w:sz="4" w:space="0" w:color="auto"/>
                  <w:right w:val="single" w:sz="4" w:space="0" w:color="auto"/>
                </w:tcBorders>
                <w:shd w:val="clear" w:color="auto" w:fill="auto"/>
                <w:noWrap/>
                <w:vAlign w:val="bottom"/>
                <w:hideMark/>
              </w:tcPr>
              <w:p w14:paraId="6065EB3E" w14:textId="30E0A2A1"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12%</w:t>
                </w:r>
              </w:p>
            </w:tc>
          </w:tr>
          <w:tr w:rsidR="00CA4CF6" w:rsidRPr="00DB6A70" w14:paraId="2482C8F7" w14:textId="77777777" w:rsidTr="00D80128">
            <w:trPr>
              <w:trHeight w:val="288"/>
            </w:trPr>
            <w:tc>
              <w:tcPr>
                <w:tcW w:w="2872" w:type="dxa"/>
                <w:tcBorders>
                  <w:top w:val="nil"/>
                  <w:left w:val="nil"/>
                  <w:bottom w:val="nil"/>
                  <w:right w:val="nil"/>
                </w:tcBorders>
                <w:shd w:val="clear" w:color="auto" w:fill="auto"/>
                <w:noWrap/>
                <w:vAlign w:val="bottom"/>
                <w:hideMark/>
              </w:tcPr>
              <w:p w14:paraId="7FE84E1B" w14:textId="77777777"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Current Liabilities</w:t>
                </w:r>
              </w:p>
            </w:tc>
            <w:tc>
              <w:tcPr>
                <w:tcW w:w="1600" w:type="dxa"/>
                <w:tcBorders>
                  <w:top w:val="nil"/>
                  <w:left w:val="nil"/>
                  <w:bottom w:val="nil"/>
                  <w:right w:val="nil"/>
                </w:tcBorders>
                <w:shd w:val="clear" w:color="auto" w:fill="auto"/>
                <w:noWrap/>
                <w:vAlign w:val="bottom"/>
                <w:hideMark/>
              </w:tcPr>
              <w:p w14:paraId="0E097126"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2,431,000</w:t>
                </w:r>
              </w:p>
            </w:tc>
            <w:tc>
              <w:tcPr>
                <w:tcW w:w="1540" w:type="dxa"/>
                <w:tcBorders>
                  <w:top w:val="nil"/>
                  <w:left w:val="nil"/>
                  <w:bottom w:val="nil"/>
                  <w:right w:val="nil"/>
                </w:tcBorders>
                <w:shd w:val="clear" w:color="auto" w:fill="auto"/>
                <w:noWrap/>
                <w:vAlign w:val="bottom"/>
                <w:hideMark/>
              </w:tcPr>
              <w:p w14:paraId="1B4684B7"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2,871,000</w:t>
                </w:r>
              </w:p>
            </w:tc>
            <w:tc>
              <w:tcPr>
                <w:tcW w:w="1220" w:type="dxa"/>
                <w:tcBorders>
                  <w:top w:val="nil"/>
                  <w:left w:val="nil"/>
                  <w:bottom w:val="single" w:sz="4" w:space="0" w:color="auto"/>
                  <w:right w:val="single" w:sz="4" w:space="0" w:color="auto"/>
                </w:tcBorders>
                <w:shd w:val="clear" w:color="auto" w:fill="auto"/>
                <w:noWrap/>
                <w:vAlign w:val="bottom"/>
                <w:hideMark/>
              </w:tcPr>
              <w:p w14:paraId="7B5E2603" w14:textId="32ED93DD"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-440</w:t>
                </w:r>
                <w:r>
                  <w:rPr>
                    <w:rFonts w:eastAsia="Times New Roman" w:cs="Times New Roman"/>
                    <w:color w:val="000000"/>
                  </w:rPr>
                  <w:t>,</w:t>
                </w:r>
                <w:r w:rsidRPr="00CA4CF6">
                  <w:rPr>
                    <w:rFonts w:eastAsia="Times New Roman" w:cs="Times New Roman"/>
                    <w:color w:val="000000"/>
                  </w:rPr>
                  <w:t>000</w:t>
                </w:r>
              </w:p>
            </w:tc>
            <w:tc>
              <w:tcPr>
                <w:tcW w:w="960" w:type="dxa"/>
                <w:tcBorders>
                  <w:top w:val="nil"/>
                  <w:left w:val="nil"/>
                  <w:bottom w:val="single" w:sz="4" w:space="0" w:color="auto"/>
                  <w:right w:val="single" w:sz="4" w:space="0" w:color="auto"/>
                </w:tcBorders>
                <w:shd w:val="clear" w:color="auto" w:fill="auto"/>
                <w:noWrap/>
                <w:vAlign w:val="bottom"/>
                <w:hideMark/>
              </w:tcPr>
              <w:p w14:paraId="65E53082" w14:textId="0B2765FC"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-15%</w:t>
                </w:r>
              </w:p>
            </w:tc>
          </w:tr>
          <w:tr w:rsidR="00CA4CF6" w:rsidRPr="00DB6A70" w14:paraId="6AC21EEF" w14:textId="77777777" w:rsidTr="00D80128">
            <w:trPr>
              <w:trHeight w:val="288"/>
            </w:trPr>
            <w:tc>
              <w:tcPr>
                <w:tcW w:w="2872" w:type="dxa"/>
                <w:tcBorders>
                  <w:top w:val="nil"/>
                  <w:left w:val="nil"/>
                  <w:bottom w:val="nil"/>
                  <w:right w:val="nil"/>
                </w:tcBorders>
                <w:shd w:val="clear" w:color="auto" w:fill="auto"/>
                <w:noWrap/>
                <w:vAlign w:val="bottom"/>
                <w:hideMark/>
              </w:tcPr>
              <w:p w14:paraId="4864681F" w14:textId="4B09AE81"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Non-current Liabilities</w:t>
                </w:r>
              </w:p>
            </w:tc>
            <w:tc>
              <w:tcPr>
                <w:tcW w:w="1600" w:type="dxa"/>
                <w:tcBorders>
                  <w:top w:val="nil"/>
                  <w:left w:val="nil"/>
                  <w:bottom w:val="nil"/>
                  <w:right w:val="nil"/>
                </w:tcBorders>
                <w:shd w:val="clear" w:color="auto" w:fill="auto"/>
                <w:noWrap/>
                <w:vAlign w:val="bottom"/>
                <w:hideMark/>
              </w:tcPr>
              <w:p w14:paraId="4EFB5689"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15,810,000</w:t>
                </w:r>
              </w:p>
            </w:tc>
            <w:tc>
              <w:tcPr>
                <w:tcW w:w="1540" w:type="dxa"/>
                <w:tcBorders>
                  <w:top w:val="nil"/>
                  <w:left w:val="nil"/>
                  <w:bottom w:val="nil"/>
                  <w:right w:val="nil"/>
                </w:tcBorders>
                <w:shd w:val="clear" w:color="auto" w:fill="auto"/>
                <w:noWrap/>
                <w:vAlign w:val="bottom"/>
                <w:hideMark/>
              </w:tcPr>
              <w:p w14:paraId="1B33A77B"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12,558,000</w:t>
                </w:r>
              </w:p>
            </w:tc>
            <w:tc>
              <w:tcPr>
                <w:tcW w:w="1220" w:type="dxa"/>
                <w:tcBorders>
                  <w:top w:val="nil"/>
                  <w:left w:val="nil"/>
                  <w:bottom w:val="single" w:sz="4" w:space="0" w:color="auto"/>
                  <w:right w:val="single" w:sz="4" w:space="0" w:color="auto"/>
                </w:tcBorders>
                <w:shd w:val="clear" w:color="auto" w:fill="auto"/>
                <w:noWrap/>
                <w:vAlign w:val="bottom"/>
                <w:hideMark/>
              </w:tcPr>
              <w:p w14:paraId="27ACC7C4" w14:textId="5A25FD02"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3</w:t>
                </w:r>
                <w:r>
                  <w:rPr>
                    <w:rFonts w:eastAsia="Times New Roman" w:cs="Times New Roman"/>
                    <w:color w:val="000000"/>
                  </w:rPr>
                  <w:t>,</w:t>
                </w:r>
                <w:r w:rsidRPr="00CA4CF6">
                  <w:rPr>
                    <w:rFonts w:eastAsia="Times New Roman" w:cs="Times New Roman"/>
                    <w:color w:val="000000"/>
                  </w:rPr>
                  <w:t>252</w:t>
                </w:r>
                <w:r>
                  <w:rPr>
                    <w:rFonts w:eastAsia="Times New Roman" w:cs="Times New Roman"/>
                    <w:color w:val="000000"/>
                  </w:rPr>
                  <w:t>,</w:t>
                </w:r>
                <w:r w:rsidRPr="00CA4CF6">
                  <w:rPr>
                    <w:rFonts w:eastAsia="Times New Roman" w:cs="Times New Roman"/>
                    <w:color w:val="000000"/>
                  </w:rPr>
                  <w:t>000</w:t>
                </w:r>
              </w:p>
            </w:tc>
            <w:tc>
              <w:tcPr>
                <w:tcW w:w="960" w:type="dxa"/>
                <w:tcBorders>
                  <w:top w:val="nil"/>
                  <w:left w:val="nil"/>
                  <w:bottom w:val="single" w:sz="4" w:space="0" w:color="auto"/>
                  <w:right w:val="single" w:sz="4" w:space="0" w:color="auto"/>
                </w:tcBorders>
                <w:shd w:val="clear" w:color="auto" w:fill="auto"/>
                <w:noWrap/>
                <w:vAlign w:val="bottom"/>
                <w:hideMark/>
              </w:tcPr>
              <w:p w14:paraId="2A7878E1" w14:textId="2B950AFA"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26%</w:t>
                </w:r>
              </w:p>
            </w:tc>
          </w:tr>
          <w:tr w:rsidR="00CA4CF6" w:rsidRPr="00DB6A70" w14:paraId="1EF5A1A4" w14:textId="77777777" w:rsidTr="00D80128">
            <w:trPr>
              <w:trHeight w:val="288"/>
            </w:trPr>
            <w:tc>
              <w:tcPr>
                <w:tcW w:w="2872" w:type="dxa"/>
                <w:tcBorders>
                  <w:top w:val="nil"/>
                  <w:left w:val="nil"/>
                  <w:bottom w:val="nil"/>
                  <w:right w:val="nil"/>
                </w:tcBorders>
                <w:shd w:val="clear" w:color="auto" w:fill="auto"/>
                <w:noWrap/>
                <w:vAlign w:val="bottom"/>
                <w:hideMark/>
              </w:tcPr>
              <w:p w14:paraId="3429B6CE" w14:textId="77777777"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Total Liabilities</w:t>
                </w:r>
              </w:p>
            </w:tc>
            <w:tc>
              <w:tcPr>
                <w:tcW w:w="1600" w:type="dxa"/>
                <w:tcBorders>
                  <w:top w:val="nil"/>
                  <w:left w:val="nil"/>
                  <w:bottom w:val="nil"/>
                  <w:right w:val="nil"/>
                </w:tcBorders>
                <w:shd w:val="clear" w:color="auto" w:fill="auto"/>
                <w:noWrap/>
                <w:vAlign w:val="bottom"/>
                <w:hideMark/>
              </w:tcPr>
              <w:p w14:paraId="3F56B99A"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18,241,000</w:t>
                </w:r>
              </w:p>
            </w:tc>
            <w:tc>
              <w:tcPr>
                <w:tcW w:w="1540" w:type="dxa"/>
                <w:tcBorders>
                  <w:top w:val="nil"/>
                  <w:left w:val="nil"/>
                  <w:bottom w:val="nil"/>
                  <w:right w:val="nil"/>
                </w:tcBorders>
                <w:shd w:val="clear" w:color="auto" w:fill="auto"/>
                <w:noWrap/>
                <w:vAlign w:val="bottom"/>
                <w:hideMark/>
              </w:tcPr>
              <w:p w14:paraId="7D1B2EB2"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15,429,000</w:t>
                </w:r>
              </w:p>
            </w:tc>
            <w:tc>
              <w:tcPr>
                <w:tcW w:w="1220" w:type="dxa"/>
                <w:tcBorders>
                  <w:top w:val="nil"/>
                  <w:left w:val="nil"/>
                  <w:bottom w:val="single" w:sz="4" w:space="0" w:color="auto"/>
                  <w:right w:val="single" w:sz="4" w:space="0" w:color="auto"/>
                </w:tcBorders>
                <w:shd w:val="clear" w:color="auto" w:fill="auto"/>
                <w:noWrap/>
                <w:vAlign w:val="bottom"/>
                <w:hideMark/>
              </w:tcPr>
              <w:p w14:paraId="16DB5622" w14:textId="78388A35"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2</w:t>
                </w:r>
                <w:r>
                  <w:rPr>
                    <w:rFonts w:eastAsia="Times New Roman" w:cs="Times New Roman"/>
                    <w:color w:val="000000"/>
                  </w:rPr>
                  <w:t>,</w:t>
                </w:r>
                <w:r w:rsidRPr="00CA4CF6">
                  <w:rPr>
                    <w:rFonts w:eastAsia="Times New Roman" w:cs="Times New Roman"/>
                    <w:color w:val="000000"/>
                  </w:rPr>
                  <w:t>812</w:t>
                </w:r>
                <w:r>
                  <w:rPr>
                    <w:rFonts w:eastAsia="Times New Roman" w:cs="Times New Roman"/>
                    <w:color w:val="000000"/>
                  </w:rPr>
                  <w:t>,</w:t>
                </w:r>
                <w:r w:rsidRPr="00CA4CF6">
                  <w:rPr>
                    <w:rFonts w:eastAsia="Times New Roman" w:cs="Times New Roman"/>
                    <w:color w:val="000000"/>
                  </w:rPr>
                  <w:t>000</w:t>
                </w:r>
              </w:p>
            </w:tc>
            <w:tc>
              <w:tcPr>
                <w:tcW w:w="960" w:type="dxa"/>
                <w:tcBorders>
                  <w:top w:val="nil"/>
                  <w:left w:val="nil"/>
                  <w:bottom w:val="single" w:sz="4" w:space="0" w:color="auto"/>
                  <w:right w:val="single" w:sz="4" w:space="0" w:color="auto"/>
                </w:tcBorders>
                <w:shd w:val="clear" w:color="auto" w:fill="auto"/>
                <w:noWrap/>
                <w:vAlign w:val="bottom"/>
                <w:hideMark/>
              </w:tcPr>
              <w:p w14:paraId="77840661" w14:textId="2641CDC8"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18%</w:t>
                </w:r>
              </w:p>
            </w:tc>
          </w:tr>
          <w:tr w:rsidR="00CA4CF6" w:rsidRPr="00DB6A70" w14:paraId="47FC5569" w14:textId="77777777" w:rsidTr="00D80128">
            <w:trPr>
              <w:trHeight w:val="288"/>
            </w:trPr>
            <w:tc>
              <w:tcPr>
                <w:tcW w:w="2872" w:type="dxa"/>
                <w:tcBorders>
                  <w:top w:val="nil"/>
                  <w:left w:val="nil"/>
                  <w:bottom w:val="nil"/>
                  <w:right w:val="nil"/>
                </w:tcBorders>
                <w:shd w:val="clear" w:color="auto" w:fill="auto"/>
                <w:noWrap/>
                <w:vAlign w:val="bottom"/>
                <w:hideMark/>
              </w:tcPr>
              <w:p w14:paraId="5046C15B" w14:textId="77777777"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Common Stock</w:t>
                </w:r>
              </w:p>
            </w:tc>
            <w:tc>
              <w:tcPr>
                <w:tcW w:w="1600" w:type="dxa"/>
                <w:tcBorders>
                  <w:top w:val="nil"/>
                  <w:left w:val="nil"/>
                  <w:bottom w:val="nil"/>
                  <w:right w:val="nil"/>
                </w:tcBorders>
                <w:shd w:val="clear" w:color="auto" w:fill="auto"/>
                <w:noWrap/>
                <w:vAlign w:val="bottom"/>
                <w:hideMark/>
              </w:tcPr>
              <w:p w14:paraId="4574A36A"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3,000</w:t>
                </w:r>
              </w:p>
            </w:tc>
            <w:tc>
              <w:tcPr>
                <w:tcW w:w="1540" w:type="dxa"/>
                <w:tcBorders>
                  <w:top w:val="nil"/>
                  <w:left w:val="nil"/>
                  <w:bottom w:val="nil"/>
                  <w:right w:val="nil"/>
                </w:tcBorders>
                <w:shd w:val="clear" w:color="auto" w:fill="auto"/>
                <w:noWrap/>
                <w:vAlign w:val="bottom"/>
                <w:hideMark/>
              </w:tcPr>
              <w:p w14:paraId="26ADEDCE"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3,000</w:t>
                </w:r>
              </w:p>
            </w:tc>
            <w:tc>
              <w:tcPr>
                <w:tcW w:w="1220" w:type="dxa"/>
                <w:tcBorders>
                  <w:top w:val="nil"/>
                  <w:left w:val="nil"/>
                  <w:bottom w:val="single" w:sz="4" w:space="0" w:color="auto"/>
                  <w:right w:val="single" w:sz="4" w:space="0" w:color="auto"/>
                </w:tcBorders>
                <w:shd w:val="clear" w:color="auto" w:fill="auto"/>
                <w:noWrap/>
                <w:vAlign w:val="bottom"/>
                <w:hideMark/>
              </w:tcPr>
              <w:p w14:paraId="7988B892" w14:textId="45804803"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0</w:t>
                </w:r>
              </w:p>
            </w:tc>
            <w:tc>
              <w:tcPr>
                <w:tcW w:w="960" w:type="dxa"/>
                <w:tcBorders>
                  <w:top w:val="nil"/>
                  <w:left w:val="nil"/>
                  <w:bottom w:val="single" w:sz="4" w:space="0" w:color="auto"/>
                  <w:right w:val="single" w:sz="4" w:space="0" w:color="auto"/>
                </w:tcBorders>
                <w:shd w:val="clear" w:color="auto" w:fill="auto"/>
                <w:noWrap/>
                <w:vAlign w:val="bottom"/>
                <w:hideMark/>
              </w:tcPr>
              <w:p w14:paraId="0D1DB6D9" w14:textId="65576ED2"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0%</w:t>
                </w:r>
              </w:p>
            </w:tc>
          </w:tr>
          <w:tr w:rsidR="00CA4CF6" w:rsidRPr="00DB6A70" w14:paraId="3FA9A442" w14:textId="77777777" w:rsidTr="00D80128">
            <w:trPr>
              <w:trHeight w:val="288"/>
            </w:trPr>
            <w:tc>
              <w:tcPr>
                <w:tcW w:w="2872" w:type="dxa"/>
                <w:tcBorders>
                  <w:top w:val="nil"/>
                  <w:left w:val="nil"/>
                  <w:bottom w:val="nil"/>
                  <w:right w:val="nil"/>
                </w:tcBorders>
                <w:shd w:val="clear" w:color="auto" w:fill="auto"/>
                <w:noWrap/>
                <w:vAlign w:val="bottom"/>
                <w:hideMark/>
              </w:tcPr>
              <w:p w14:paraId="366567ED" w14:textId="77777777"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Retained Earnings</w:t>
                </w:r>
              </w:p>
            </w:tc>
            <w:tc>
              <w:tcPr>
                <w:tcW w:w="1600" w:type="dxa"/>
                <w:tcBorders>
                  <w:top w:val="nil"/>
                  <w:left w:val="nil"/>
                  <w:bottom w:val="nil"/>
                  <w:right w:val="nil"/>
                </w:tcBorders>
                <w:shd w:val="clear" w:color="auto" w:fill="auto"/>
                <w:noWrap/>
                <w:vAlign w:val="bottom"/>
                <w:hideMark/>
              </w:tcPr>
              <w:p w14:paraId="6B50AD36"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-6,732,000</w:t>
                </w:r>
              </w:p>
            </w:tc>
            <w:tc>
              <w:tcPr>
                <w:tcW w:w="1540" w:type="dxa"/>
                <w:tcBorders>
                  <w:top w:val="nil"/>
                  <w:left w:val="nil"/>
                  <w:bottom w:val="nil"/>
                  <w:right w:val="nil"/>
                </w:tcBorders>
                <w:shd w:val="clear" w:color="auto" w:fill="auto"/>
                <w:noWrap/>
                <w:vAlign w:val="bottom"/>
                <w:hideMark/>
              </w:tcPr>
              <w:p w14:paraId="1111E0B7"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-5,965,000</w:t>
                </w:r>
              </w:p>
            </w:tc>
            <w:tc>
              <w:tcPr>
                <w:tcW w:w="1220" w:type="dxa"/>
                <w:tcBorders>
                  <w:top w:val="nil"/>
                  <w:left w:val="nil"/>
                  <w:bottom w:val="single" w:sz="4" w:space="0" w:color="auto"/>
                  <w:right w:val="single" w:sz="4" w:space="0" w:color="auto"/>
                </w:tcBorders>
                <w:shd w:val="clear" w:color="auto" w:fill="auto"/>
                <w:noWrap/>
                <w:vAlign w:val="bottom"/>
                <w:hideMark/>
              </w:tcPr>
              <w:p w14:paraId="75E675C3" w14:textId="2C1B140F"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-767</w:t>
                </w:r>
                <w:r>
                  <w:rPr>
                    <w:rFonts w:eastAsia="Times New Roman" w:cs="Times New Roman"/>
                    <w:color w:val="000000"/>
                  </w:rPr>
                  <w:t>,</w:t>
                </w:r>
                <w:r w:rsidRPr="00CA4CF6">
                  <w:rPr>
                    <w:rFonts w:eastAsia="Times New Roman" w:cs="Times New Roman"/>
                    <w:color w:val="000000"/>
                  </w:rPr>
                  <w:t>000</w:t>
                </w:r>
              </w:p>
            </w:tc>
            <w:tc>
              <w:tcPr>
                <w:tcW w:w="960" w:type="dxa"/>
                <w:tcBorders>
                  <w:top w:val="nil"/>
                  <w:left w:val="nil"/>
                  <w:bottom w:val="single" w:sz="4" w:space="0" w:color="auto"/>
                  <w:right w:val="single" w:sz="4" w:space="0" w:color="auto"/>
                </w:tcBorders>
                <w:shd w:val="clear" w:color="auto" w:fill="auto"/>
                <w:noWrap/>
                <w:vAlign w:val="bottom"/>
                <w:hideMark/>
              </w:tcPr>
              <w:p w14:paraId="2540BD44" w14:textId="40F8EBB8"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13%</w:t>
                </w:r>
              </w:p>
            </w:tc>
          </w:tr>
          <w:tr w:rsidR="00CA4CF6" w:rsidRPr="00DB6A70" w14:paraId="3BF46150" w14:textId="77777777" w:rsidTr="00D80128">
            <w:trPr>
              <w:trHeight w:val="288"/>
            </w:trPr>
            <w:tc>
              <w:tcPr>
                <w:tcW w:w="2872" w:type="dxa"/>
                <w:tcBorders>
                  <w:top w:val="nil"/>
                  <w:left w:val="nil"/>
                  <w:bottom w:val="nil"/>
                  <w:right w:val="nil"/>
                </w:tcBorders>
                <w:shd w:val="clear" w:color="auto" w:fill="auto"/>
                <w:noWrap/>
                <w:vAlign w:val="bottom"/>
                <w:hideMark/>
              </w:tcPr>
              <w:p w14:paraId="6A0F478C" w14:textId="77777777"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Total Stockholders' Equity</w:t>
                </w:r>
              </w:p>
            </w:tc>
            <w:tc>
              <w:tcPr>
                <w:tcW w:w="1600" w:type="dxa"/>
                <w:tcBorders>
                  <w:top w:val="nil"/>
                  <w:left w:val="nil"/>
                  <w:bottom w:val="nil"/>
                  <w:right w:val="nil"/>
                </w:tcBorders>
                <w:shd w:val="clear" w:color="auto" w:fill="auto"/>
                <w:noWrap/>
                <w:vAlign w:val="bottom"/>
                <w:hideMark/>
              </w:tcPr>
              <w:p w14:paraId="6738C250"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-1,490,000</w:t>
                </w:r>
              </w:p>
            </w:tc>
            <w:tc>
              <w:tcPr>
                <w:tcW w:w="1540" w:type="dxa"/>
                <w:tcBorders>
                  <w:top w:val="nil"/>
                  <w:left w:val="nil"/>
                  <w:bottom w:val="nil"/>
                  <w:right w:val="nil"/>
                </w:tcBorders>
                <w:shd w:val="clear" w:color="auto" w:fill="auto"/>
                <w:noWrap/>
                <w:vAlign w:val="bottom"/>
                <w:hideMark/>
              </w:tcPr>
              <w:p w14:paraId="07836BF4"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-482,000</w:t>
                </w:r>
              </w:p>
            </w:tc>
            <w:tc>
              <w:tcPr>
                <w:tcW w:w="1220" w:type="dxa"/>
                <w:tcBorders>
                  <w:top w:val="nil"/>
                  <w:left w:val="nil"/>
                  <w:bottom w:val="single" w:sz="4" w:space="0" w:color="auto"/>
                  <w:right w:val="single" w:sz="4" w:space="0" w:color="auto"/>
                </w:tcBorders>
                <w:shd w:val="clear" w:color="auto" w:fill="auto"/>
                <w:noWrap/>
                <w:vAlign w:val="bottom"/>
                <w:hideMark/>
              </w:tcPr>
              <w:p w14:paraId="57D130E7" w14:textId="33F563BC"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-1</w:t>
                </w:r>
                <w:r>
                  <w:rPr>
                    <w:rFonts w:eastAsia="Times New Roman" w:cs="Times New Roman"/>
                    <w:color w:val="000000"/>
                  </w:rPr>
                  <w:t>,</w:t>
                </w:r>
                <w:r w:rsidRPr="00CA4CF6">
                  <w:rPr>
                    <w:rFonts w:eastAsia="Times New Roman" w:cs="Times New Roman"/>
                    <w:color w:val="000000"/>
                  </w:rPr>
                  <w:t>008</w:t>
                </w:r>
                <w:r>
                  <w:rPr>
                    <w:rFonts w:eastAsia="Times New Roman" w:cs="Times New Roman"/>
                    <w:color w:val="000000"/>
                  </w:rPr>
                  <w:t>,</w:t>
                </w:r>
                <w:r w:rsidRPr="00CA4CF6">
                  <w:rPr>
                    <w:rFonts w:eastAsia="Times New Roman" w:cs="Times New Roman"/>
                    <w:color w:val="000000"/>
                  </w:rPr>
                  <w:t>000</w:t>
                </w:r>
              </w:p>
            </w:tc>
            <w:tc>
              <w:tcPr>
                <w:tcW w:w="960" w:type="dxa"/>
                <w:tcBorders>
                  <w:top w:val="nil"/>
                  <w:left w:val="nil"/>
                  <w:bottom w:val="single" w:sz="4" w:space="0" w:color="auto"/>
                  <w:right w:val="single" w:sz="4" w:space="0" w:color="auto"/>
                </w:tcBorders>
                <w:shd w:val="clear" w:color="auto" w:fill="auto"/>
                <w:noWrap/>
                <w:vAlign w:val="bottom"/>
                <w:hideMark/>
              </w:tcPr>
              <w:p w14:paraId="0F4DEFC7" w14:textId="13ABCE55"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209%</w:t>
                </w:r>
              </w:p>
            </w:tc>
          </w:tr>
          <w:tr w:rsidR="00CA4CF6" w:rsidRPr="00DB6A70" w14:paraId="54F328DF" w14:textId="77777777" w:rsidTr="00D80128">
            <w:trPr>
              <w:trHeight w:val="288"/>
            </w:trPr>
            <w:tc>
              <w:tcPr>
                <w:tcW w:w="2872" w:type="dxa"/>
                <w:tcBorders>
                  <w:top w:val="nil"/>
                  <w:left w:val="nil"/>
                  <w:bottom w:val="nil"/>
                  <w:right w:val="nil"/>
                </w:tcBorders>
                <w:shd w:val="clear" w:color="auto" w:fill="auto"/>
                <w:noWrap/>
                <w:vAlign w:val="bottom"/>
                <w:hideMark/>
              </w:tcPr>
              <w:p w14:paraId="2946007F" w14:textId="77777777" w:rsidR="00CA4CF6" w:rsidRPr="00DB6A70" w:rsidRDefault="00CA4CF6" w:rsidP="00CA4CF6">
                <w:pPr>
                  <w:spacing w:after="0" w:line="240" w:lineRule="auto"/>
                  <w:rPr>
                    <w:rFonts w:ascii="Calibri" w:eastAsia="Times New Roman" w:hAnsi="Calibri" w:cs="Calibri"/>
                    <w:color w:val="000000"/>
                    <w:lang w:eastAsia="en-GB"/>
                  </w:rPr>
                </w:pPr>
                <w:r w:rsidRPr="00DB6A70">
                  <w:rPr>
                    <w:rFonts w:ascii="Calibri" w:eastAsia="Times New Roman" w:hAnsi="Calibri" w:cs="Calibri"/>
                    <w:color w:val="000000"/>
                    <w:lang w:eastAsia="en-GB"/>
                  </w:rPr>
                  <w:t>Total Liabilities and Stockholder</w:t>
                </w:r>
              </w:p>
            </w:tc>
            <w:tc>
              <w:tcPr>
                <w:tcW w:w="1600" w:type="dxa"/>
                <w:tcBorders>
                  <w:top w:val="nil"/>
                  <w:left w:val="nil"/>
                  <w:bottom w:val="nil"/>
                  <w:right w:val="nil"/>
                </w:tcBorders>
                <w:shd w:val="clear" w:color="auto" w:fill="auto"/>
                <w:noWrap/>
                <w:vAlign w:val="bottom"/>
                <w:hideMark/>
              </w:tcPr>
              <w:p w14:paraId="7D8DD815"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16,755,000</w:t>
                </w:r>
              </w:p>
            </w:tc>
            <w:tc>
              <w:tcPr>
                <w:tcW w:w="1540" w:type="dxa"/>
                <w:tcBorders>
                  <w:top w:val="nil"/>
                  <w:left w:val="nil"/>
                  <w:bottom w:val="nil"/>
                  <w:right w:val="nil"/>
                </w:tcBorders>
                <w:shd w:val="clear" w:color="auto" w:fill="auto"/>
                <w:noWrap/>
                <w:vAlign w:val="bottom"/>
                <w:hideMark/>
              </w:tcPr>
              <w:p w14:paraId="45A79690" w14:textId="77777777" w:rsidR="00CA4CF6" w:rsidRPr="00DB6A70" w:rsidRDefault="00CA4CF6" w:rsidP="00CA4CF6">
                <w:pPr>
                  <w:spacing w:after="0" w:line="240" w:lineRule="auto"/>
                  <w:jc w:val="right"/>
                  <w:rPr>
                    <w:rFonts w:ascii="Calibri" w:eastAsia="Times New Roman" w:hAnsi="Calibri" w:cs="Calibri"/>
                    <w:color w:val="000000"/>
                    <w:lang w:eastAsia="en-GB"/>
                  </w:rPr>
                </w:pPr>
                <w:r w:rsidRPr="00DB6A70">
                  <w:rPr>
                    <w:rFonts w:ascii="Calibri" w:eastAsia="Times New Roman" w:hAnsi="Calibri" w:cs="Calibri"/>
                    <w:color w:val="000000"/>
                    <w:lang w:eastAsia="en-GB"/>
                  </w:rPr>
                  <w:t>14,957,000</w:t>
                </w:r>
              </w:p>
            </w:tc>
            <w:tc>
              <w:tcPr>
                <w:tcW w:w="1220" w:type="dxa"/>
                <w:tcBorders>
                  <w:top w:val="nil"/>
                  <w:left w:val="nil"/>
                  <w:bottom w:val="single" w:sz="4" w:space="0" w:color="auto"/>
                  <w:right w:val="single" w:sz="4" w:space="0" w:color="auto"/>
                </w:tcBorders>
                <w:shd w:val="clear" w:color="auto" w:fill="auto"/>
                <w:noWrap/>
                <w:vAlign w:val="bottom"/>
                <w:hideMark/>
              </w:tcPr>
              <w:p w14:paraId="4947F2BF" w14:textId="60B64F5F" w:rsidR="00CA4CF6" w:rsidRPr="00CA4CF6" w:rsidRDefault="00CA4CF6" w:rsidP="00CA4CF6">
                <w:pPr>
                  <w:spacing w:after="0" w:line="240" w:lineRule="auto"/>
                  <w:jc w:val="right"/>
                  <w:rPr>
                    <w:rFonts w:eastAsia="Times New Roman" w:cs="Calibri"/>
                    <w:color w:val="000000"/>
                    <w:lang w:eastAsia="en-GB"/>
                  </w:rPr>
                </w:pPr>
                <w:r w:rsidRPr="00CA4CF6">
                  <w:rPr>
                    <w:rFonts w:eastAsia="Times New Roman" w:cs="Times New Roman"/>
                    <w:color w:val="000000"/>
                  </w:rPr>
                  <w:t>1</w:t>
                </w:r>
                <w:r>
                  <w:rPr>
                    <w:rFonts w:eastAsia="Times New Roman" w:cs="Times New Roman"/>
                    <w:color w:val="000000"/>
                  </w:rPr>
                  <w:t>,</w:t>
                </w:r>
                <w:r w:rsidRPr="00CA4CF6">
                  <w:rPr>
                    <w:rFonts w:eastAsia="Times New Roman" w:cs="Times New Roman"/>
                    <w:color w:val="000000"/>
                  </w:rPr>
                  <w:t>798</w:t>
                </w:r>
                <w:r>
                  <w:rPr>
                    <w:rFonts w:eastAsia="Times New Roman" w:cs="Times New Roman"/>
                    <w:color w:val="000000"/>
                  </w:rPr>
                  <w:t>,</w:t>
                </w:r>
                <w:r w:rsidRPr="00CA4CF6">
                  <w:rPr>
                    <w:rFonts w:eastAsia="Times New Roman" w:cs="Times New Roman"/>
                    <w:color w:val="000000"/>
                  </w:rPr>
                  <w:t>000</w:t>
                </w:r>
              </w:p>
            </w:tc>
            <w:tc>
              <w:tcPr>
                <w:tcW w:w="960" w:type="dxa"/>
                <w:tcBorders>
                  <w:top w:val="nil"/>
                  <w:left w:val="nil"/>
                  <w:bottom w:val="single" w:sz="4" w:space="0" w:color="auto"/>
                  <w:right w:val="single" w:sz="4" w:space="0" w:color="auto"/>
                </w:tcBorders>
                <w:shd w:val="clear" w:color="auto" w:fill="auto"/>
                <w:noWrap/>
                <w:vAlign w:val="bottom"/>
                <w:hideMark/>
              </w:tcPr>
              <w:p w14:paraId="68385A75" w14:textId="34B68573" w:rsidR="00CA4CF6" w:rsidRPr="00CA4CF6" w:rsidRDefault="00CA4CF6" w:rsidP="00CA4CF6">
                <w:pPr>
                  <w:spacing w:after="0" w:line="240" w:lineRule="auto"/>
                  <w:rPr>
                    <w:rFonts w:eastAsia="Times New Roman" w:cs="Times New Roman"/>
                    <w:lang w:eastAsia="en-GB"/>
                  </w:rPr>
                </w:pPr>
                <w:r w:rsidRPr="00CA4CF6">
                  <w:rPr>
                    <w:rFonts w:eastAsia="Times New Roman" w:cs="Times New Roman"/>
                    <w:color w:val="000000"/>
                  </w:rPr>
                  <w:t>12%</w:t>
                </w:r>
              </w:p>
            </w:tc>
          </w:tr>
        </w:tbl>
        <w:p w14:paraId="0F73E235" w14:textId="77777777" w:rsidR="009C1CE2" w:rsidRDefault="009C1CE2" w:rsidP="007D1947"/>
        <w:p w14:paraId="6BB9D402" w14:textId="77777777" w:rsidR="009C1CE2" w:rsidRDefault="009C1CE2" w:rsidP="007D1947"/>
        <w:p w14:paraId="32BB3BCE" w14:textId="731C42D0" w:rsidR="00AA2A91" w:rsidRDefault="00AA2A91" w:rsidP="004D519C"/>
        <w:p w14:paraId="1E3C088C" w14:textId="6416F20D" w:rsidR="00CA4CF6" w:rsidRPr="00CA4CF6" w:rsidRDefault="00CA4CF6" w:rsidP="004D519C">
          <w:pPr>
            <w:rPr>
              <w:rFonts w:asciiTheme="majorHAnsi" w:hAnsiTheme="majorHAnsi"/>
              <w:color w:val="4472C4" w:themeColor="accent5"/>
              <w:sz w:val="32"/>
              <w:szCs w:val="32"/>
            </w:rPr>
          </w:pPr>
          <w:r w:rsidRPr="00CA4CF6">
            <w:rPr>
              <w:rFonts w:asciiTheme="majorHAnsi" w:hAnsiTheme="majorHAnsi"/>
              <w:color w:val="4472C4" w:themeColor="accent5"/>
              <w:sz w:val="32"/>
              <w:szCs w:val="32"/>
            </w:rPr>
            <w:lastRenderedPageBreak/>
            <w:t>Limitations of ratio analysis</w:t>
          </w:r>
        </w:p>
        <w:p w14:paraId="3D41FC2B" w14:textId="77777777" w:rsidR="00CA4CF6" w:rsidRPr="00CA4CF6" w:rsidRDefault="00CA4CF6" w:rsidP="00CA4CF6">
          <w:pPr>
            <w:spacing w:line="360" w:lineRule="auto"/>
            <w:jc w:val="both"/>
            <w:rPr>
              <w:rFonts w:ascii="Arial" w:eastAsia="Calibri" w:hAnsi="Arial" w:cs="Arial"/>
              <w:sz w:val="24"/>
              <w:szCs w:val="24"/>
            </w:rPr>
          </w:pPr>
          <w:r w:rsidRPr="00CA4CF6">
            <w:rPr>
              <w:rFonts w:ascii="Arial" w:eastAsia="Calibri" w:hAnsi="Arial" w:cs="Arial"/>
              <w:sz w:val="24"/>
              <w:szCs w:val="24"/>
            </w:rPr>
            <w:t xml:space="preserve">The information which is recorded in the financial statements is calculated by the ratios, but the financial statements must suffer a huge number of limitations that affects the ratio analysis and its quality. The financial statements don’t predict the future, it just provides historical information, nor do they reflect on the current conditions. Another limitation of ratio analysis is the different policies of accounting, lack of comparison, and standards. The future performance of companies is not represented by the ratio analysis. The top ratio analysis limitations are: </w:t>
          </w:r>
        </w:p>
        <w:p w14:paraId="2773D178" w14:textId="77777777" w:rsidR="00CA4CF6" w:rsidRPr="00CA4CF6" w:rsidRDefault="00CA4CF6" w:rsidP="00CA4CF6">
          <w:pPr>
            <w:spacing w:line="360" w:lineRule="auto"/>
            <w:jc w:val="both"/>
            <w:rPr>
              <w:rFonts w:ascii="Arial" w:eastAsia="Calibri" w:hAnsi="Arial" w:cs="Arial"/>
              <w:sz w:val="24"/>
              <w:szCs w:val="24"/>
            </w:rPr>
          </w:pPr>
          <w:r w:rsidRPr="00CA4CF6">
            <w:rPr>
              <w:rFonts w:ascii="Arial" w:eastAsia="Calibri" w:hAnsi="Arial" w:cs="Arial"/>
              <w:sz w:val="24"/>
              <w:szCs w:val="24"/>
            </w:rPr>
            <w:t>The attention of intended users is diverted from the financial statements and figures and they don’t care about the business size, economies, and bargaining power. (Robinson, 2020). According to them, these factors don’t have any impact on the performance of the company. Another ratio analysis limitation is that it doesn’t count on any depending liability. The contingent liability mostly depends on matters, litigation, etc. If the ratio analysis results in adverse business outcomes, these factors can be a source of serious repercussions on the financial matters of the company. Ratio analysis doesn’t have the capability to incorporate the accounting policies and their impact on recognizing expenses and income. Ratio analysis doesn’t exhibit the comparison between organizations. (</w:t>
          </w:r>
          <w:proofErr w:type="spellStart"/>
          <w:r w:rsidRPr="00CA4CF6">
            <w:rPr>
              <w:rFonts w:ascii="Arial" w:eastAsia="Calibri" w:hAnsi="Arial" w:cs="Arial"/>
              <w:sz w:val="24"/>
              <w:szCs w:val="24"/>
            </w:rPr>
            <w:t>Kanapickienė</w:t>
          </w:r>
          <w:proofErr w:type="spellEnd"/>
          <w:r w:rsidRPr="00CA4CF6">
            <w:rPr>
              <w:rFonts w:ascii="Arial" w:eastAsia="Calibri" w:hAnsi="Arial" w:cs="Arial"/>
              <w:sz w:val="24"/>
              <w:szCs w:val="24"/>
            </w:rPr>
            <w:t xml:space="preserve">, 2015). The companies report depreciation based on two methods, the declining balance method, and the straight-line method. Both methods have different net profits. However, the companies that are exposed to movements related to currency are impacted differently. The companies that use creative accounting can distort their financial statements. The ratio analysis can become incomparable if the accounting policies and procedure adopted by the company changes significantly. For instance, if a business shifts from the LIFO valuation method to the FIFO method significant variation in the company’s liquidity ratio and profitability will be seen. Another limitation of ratio analysis is that it is not standardized. (Palepu, 2020). A company that operates in the Real estate has a low capital employed return (ROCE). In some companies, it is not necessary to revalue the assets at such frequencies making it difficult to compare. The standards of ratio analysis are not the same among industries and the companies that are purely based on the financial ratios are not easy to be compared with. Another limitation is historical figures. The ratio analysis states that the history will be repeated, and it depends on the historical figures. These figures are not relevant when the business model of a </w:t>
          </w:r>
          <w:r w:rsidRPr="00CA4CF6">
            <w:rPr>
              <w:rFonts w:ascii="Arial" w:eastAsia="Calibri" w:hAnsi="Arial" w:cs="Arial"/>
              <w:sz w:val="24"/>
              <w:szCs w:val="24"/>
            </w:rPr>
            <w:lastRenderedPageBreak/>
            <w:t xml:space="preserve">company is changed or if it enters a different business line. The ratio analysis doesn’t consider the inflation and its impacts, rise in price, etc. it also doesn’t consider the market conditions and their impacts. The business revenues are appeared to be increasing every year. In this research, raw data has been collected from 12 different companies generating the explanatory factor analysis and descriptive statistics. A total of 130 firms were identified having a 1690 sample size. The analysis has been conducted for each of them however the per-share earnings, interest coverage, return on assets and asset turnover were excluded from the data collection because of the invalid results. </w:t>
          </w:r>
        </w:p>
        <w:p w14:paraId="3B761FE2" w14:textId="6EE3BF44" w:rsidR="00AA2A91" w:rsidRDefault="00AA2A91" w:rsidP="00AA2A91">
          <w:pPr>
            <w:pStyle w:val="Heading1"/>
          </w:pPr>
          <w:bookmarkStart w:id="3" w:name="_Toc463944608"/>
          <w:r>
            <w:t>Conclusion</w:t>
          </w:r>
          <w:r w:rsidR="00D854A5">
            <w:t xml:space="preserve"> </w:t>
          </w:r>
          <w:bookmarkEnd w:id="3"/>
        </w:p>
        <w:p w14:paraId="3D5E67FA" w14:textId="77777777" w:rsidR="00CA4CF6" w:rsidRPr="00CA4CF6" w:rsidRDefault="00CA4CF6" w:rsidP="00CA4CF6">
          <w:pPr>
            <w:spacing w:line="360" w:lineRule="auto"/>
            <w:jc w:val="both"/>
            <w:rPr>
              <w:rFonts w:ascii="Arial" w:eastAsia="Calibri" w:hAnsi="Arial" w:cs="Arial"/>
              <w:sz w:val="24"/>
              <w:szCs w:val="24"/>
            </w:rPr>
          </w:pPr>
          <w:r w:rsidRPr="00CA4CF6">
            <w:rPr>
              <w:rFonts w:ascii="Arial" w:eastAsia="Calibri" w:hAnsi="Arial" w:cs="Arial"/>
              <w:sz w:val="24"/>
              <w:szCs w:val="24"/>
            </w:rPr>
            <w:t xml:space="preserve">This study was conducted to bridge the understanding and expansion of the performance analysis providing the firms with real-life implications regarding potential investors and stakeholders. Outlining the set of financial ratios are very important for companies. Four important ratios were identified by the findings such as inventory turnover, receivable turnover, accounts, ROE, cash. The investor’s decisions can be based on these factors rather than examining activity ratios, solvency, profitability and liquidity. If the ratio analysis results in adverse business outcomes, these factors can be a source of serious repercussions on the financial matters of the company. The future studies are detected in this study understanding the performance analysis. With the help of this research and research researches, a trend can be established by the researchers between the economies. This research gap can be used by the researchers to develop further studies. </w:t>
          </w:r>
        </w:p>
        <w:p w14:paraId="322D90AF" w14:textId="77777777" w:rsidR="00CA4CF6" w:rsidRPr="00CA4CF6" w:rsidRDefault="00CA4CF6" w:rsidP="00CA4CF6"/>
        <w:p w14:paraId="3DB1E6EF" w14:textId="77777777" w:rsidR="00AA2A91" w:rsidRDefault="00AA2A91" w:rsidP="00AA2A91"/>
        <w:p w14:paraId="6CF543C0" w14:textId="77777777" w:rsidR="00AA2A91" w:rsidRDefault="00AA2A91" w:rsidP="00AA2A91"/>
        <w:p w14:paraId="1835104B" w14:textId="77777777" w:rsidR="00AA2A91" w:rsidRDefault="00AA2A91" w:rsidP="00AA2A91"/>
        <w:p w14:paraId="46BEC451" w14:textId="77777777" w:rsidR="00AA2A91" w:rsidRDefault="00AA2A91" w:rsidP="00AA2A91"/>
        <w:p w14:paraId="1F7E44AC" w14:textId="77777777" w:rsidR="00AA2A91" w:rsidRDefault="00AA2A91" w:rsidP="00AA2A91"/>
        <w:p w14:paraId="4A1D4DE1" w14:textId="77777777" w:rsidR="00AA2A91" w:rsidRDefault="00AA2A91" w:rsidP="00AA2A91"/>
        <w:p w14:paraId="614190F2" w14:textId="77777777" w:rsidR="00AA2A91" w:rsidRDefault="00AA2A91" w:rsidP="00AA2A91"/>
        <w:p w14:paraId="308ADC24" w14:textId="77777777" w:rsidR="00CA4CF6" w:rsidRDefault="00CA4CF6" w:rsidP="00AA2A91">
          <w:pPr>
            <w:pStyle w:val="Heading1"/>
          </w:pPr>
          <w:bookmarkStart w:id="4" w:name="_Toc463944609"/>
          <w:bookmarkStart w:id="5" w:name="_GoBack"/>
          <w:bookmarkEnd w:id="5"/>
        </w:p>
        <w:p w14:paraId="58C49762" w14:textId="5A2C2F56" w:rsidR="00AA2A91" w:rsidRDefault="00AA2A91" w:rsidP="00AA2A91">
          <w:pPr>
            <w:pStyle w:val="Heading1"/>
          </w:pPr>
          <w:r>
            <w:t>Bibliography</w:t>
          </w:r>
          <w:bookmarkEnd w:id="4"/>
        </w:p>
        <w:p w14:paraId="5F89BD45"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proofErr w:type="spellStart"/>
          <w:r w:rsidRPr="00CA4CF6">
            <w:rPr>
              <w:rFonts w:ascii="Arial" w:eastAsia="Calibri" w:hAnsi="Arial" w:cs="Arial"/>
              <w:sz w:val="24"/>
              <w:szCs w:val="24"/>
            </w:rPr>
            <w:t>Hasanaj</w:t>
          </w:r>
          <w:proofErr w:type="spellEnd"/>
          <w:r w:rsidRPr="00CA4CF6">
            <w:rPr>
              <w:rFonts w:ascii="Arial" w:eastAsia="Calibri" w:hAnsi="Arial" w:cs="Arial"/>
              <w:sz w:val="24"/>
              <w:szCs w:val="24"/>
            </w:rPr>
            <w:t xml:space="preserve">, P. and </w:t>
          </w:r>
          <w:proofErr w:type="spellStart"/>
          <w:r w:rsidRPr="00CA4CF6">
            <w:rPr>
              <w:rFonts w:ascii="Arial" w:eastAsia="Calibri" w:hAnsi="Arial" w:cs="Arial"/>
              <w:sz w:val="24"/>
              <w:szCs w:val="24"/>
            </w:rPr>
            <w:t>Kuqi</w:t>
          </w:r>
          <w:proofErr w:type="spellEnd"/>
          <w:r w:rsidRPr="00CA4CF6">
            <w:rPr>
              <w:rFonts w:ascii="Arial" w:eastAsia="Calibri" w:hAnsi="Arial" w:cs="Arial"/>
              <w:sz w:val="24"/>
              <w:szCs w:val="24"/>
            </w:rPr>
            <w:t>, B., 2019. Analysis of financial statements. Humanities and Social Science Research, 2(2), pp. p17-p17.</w:t>
          </w:r>
        </w:p>
        <w:p w14:paraId="422ED9FB"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r w:rsidRPr="00CA4CF6">
            <w:rPr>
              <w:rFonts w:ascii="Arial" w:eastAsia="Calibri" w:hAnsi="Arial" w:cs="Arial"/>
              <w:sz w:val="24"/>
              <w:szCs w:val="24"/>
            </w:rPr>
            <w:t xml:space="preserve">Palepu, K.G., Healy, P.M., Wright, S., Bradbury, M. and </w:t>
          </w:r>
          <w:proofErr w:type="spellStart"/>
          <w:r w:rsidRPr="00CA4CF6">
            <w:rPr>
              <w:rFonts w:ascii="Arial" w:eastAsia="Calibri" w:hAnsi="Arial" w:cs="Arial"/>
              <w:sz w:val="24"/>
              <w:szCs w:val="24"/>
            </w:rPr>
            <w:t>Coulton</w:t>
          </w:r>
          <w:proofErr w:type="spellEnd"/>
          <w:r w:rsidRPr="00CA4CF6">
            <w:rPr>
              <w:rFonts w:ascii="Arial" w:eastAsia="Calibri" w:hAnsi="Arial" w:cs="Arial"/>
              <w:sz w:val="24"/>
              <w:szCs w:val="24"/>
            </w:rPr>
            <w:t>, J., 2020. Business analysis and valuation: Using financial statements. Cengage AU.</w:t>
          </w:r>
        </w:p>
        <w:p w14:paraId="1A6D4AD4"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r w:rsidRPr="00CA4CF6">
            <w:rPr>
              <w:rFonts w:ascii="Arial" w:eastAsia="Calibri" w:hAnsi="Arial" w:cs="Arial"/>
              <w:sz w:val="24"/>
              <w:szCs w:val="24"/>
            </w:rPr>
            <w:t xml:space="preserve">Drake, M.S., Quinn, P.J. and </w:t>
          </w:r>
          <w:proofErr w:type="spellStart"/>
          <w:r w:rsidRPr="00CA4CF6">
            <w:rPr>
              <w:rFonts w:ascii="Arial" w:eastAsia="Calibri" w:hAnsi="Arial" w:cs="Arial"/>
              <w:sz w:val="24"/>
              <w:szCs w:val="24"/>
            </w:rPr>
            <w:t>Thornock</w:t>
          </w:r>
          <w:proofErr w:type="spellEnd"/>
          <w:r w:rsidRPr="00CA4CF6">
            <w:rPr>
              <w:rFonts w:ascii="Arial" w:eastAsia="Calibri" w:hAnsi="Arial" w:cs="Arial"/>
              <w:sz w:val="24"/>
              <w:szCs w:val="24"/>
            </w:rPr>
            <w:t>, J.R., 2017. Who uses financial statements? A demographic analysis of financial statement downloads from EDGAR. Accounting Horizons, 31(3), pp.55-68.</w:t>
          </w:r>
        </w:p>
        <w:p w14:paraId="6DDC55EB"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proofErr w:type="spellStart"/>
          <w:r w:rsidRPr="00CA4CF6">
            <w:rPr>
              <w:rFonts w:ascii="Arial" w:eastAsia="Calibri" w:hAnsi="Arial" w:cs="Arial"/>
              <w:sz w:val="24"/>
              <w:szCs w:val="24"/>
            </w:rPr>
            <w:t>Welc</w:t>
          </w:r>
          <w:proofErr w:type="spellEnd"/>
          <w:r w:rsidRPr="00CA4CF6">
            <w:rPr>
              <w:rFonts w:ascii="Arial" w:eastAsia="Calibri" w:hAnsi="Arial" w:cs="Arial"/>
              <w:sz w:val="24"/>
              <w:szCs w:val="24"/>
            </w:rPr>
            <w:t>, J., 2022. Financial statement analysis. In Evaluating Corporate Financial Performance (pp. 131-212). Palgrave Macmillan, Cham.</w:t>
          </w:r>
        </w:p>
        <w:p w14:paraId="38D90D56"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proofErr w:type="spellStart"/>
          <w:r w:rsidRPr="00CA4CF6">
            <w:rPr>
              <w:rFonts w:ascii="Arial" w:eastAsia="Calibri" w:hAnsi="Arial" w:cs="Arial"/>
              <w:sz w:val="24"/>
              <w:szCs w:val="24"/>
            </w:rPr>
            <w:t>Kanapickienė</w:t>
          </w:r>
          <w:proofErr w:type="spellEnd"/>
          <w:r w:rsidRPr="00CA4CF6">
            <w:rPr>
              <w:rFonts w:ascii="Arial" w:eastAsia="Calibri" w:hAnsi="Arial" w:cs="Arial"/>
              <w:sz w:val="24"/>
              <w:szCs w:val="24"/>
            </w:rPr>
            <w:t xml:space="preserve">, R. and </w:t>
          </w:r>
          <w:proofErr w:type="spellStart"/>
          <w:r w:rsidRPr="00CA4CF6">
            <w:rPr>
              <w:rFonts w:ascii="Arial" w:eastAsia="Calibri" w:hAnsi="Arial" w:cs="Arial"/>
              <w:sz w:val="24"/>
              <w:szCs w:val="24"/>
            </w:rPr>
            <w:t>Grundienė</w:t>
          </w:r>
          <w:proofErr w:type="spellEnd"/>
          <w:r w:rsidRPr="00CA4CF6">
            <w:rPr>
              <w:rFonts w:ascii="Arial" w:eastAsia="Calibri" w:hAnsi="Arial" w:cs="Arial"/>
              <w:sz w:val="24"/>
              <w:szCs w:val="24"/>
            </w:rPr>
            <w:t>, Ž., 2015. The model of fraud detection in financial statements by means of financial ratios. Procedia-Social and Behavioural Sciences, 213, pp.321-327.</w:t>
          </w:r>
        </w:p>
        <w:p w14:paraId="79E1648B"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r w:rsidRPr="00CA4CF6">
            <w:rPr>
              <w:rFonts w:ascii="Arial" w:eastAsia="Calibri" w:hAnsi="Arial" w:cs="Arial"/>
              <w:sz w:val="24"/>
              <w:szCs w:val="24"/>
            </w:rPr>
            <w:t>Robinson, T.R., 2020. International financial statement analysis. John Wiley &amp; Sons.</w:t>
          </w:r>
        </w:p>
        <w:p w14:paraId="56DB3390"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proofErr w:type="spellStart"/>
          <w:r w:rsidRPr="00CA4CF6">
            <w:rPr>
              <w:rFonts w:ascii="Arial" w:eastAsia="Calibri" w:hAnsi="Arial" w:cs="Arial"/>
              <w:sz w:val="24"/>
              <w:szCs w:val="24"/>
            </w:rPr>
            <w:t>Gamayuni</w:t>
          </w:r>
          <w:proofErr w:type="spellEnd"/>
          <w:r w:rsidRPr="00CA4CF6">
            <w:rPr>
              <w:rFonts w:ascii="Arial" w:eastAsia="Calibri" w:hAnsi="Arial" w:cs="Arial"/>
              <w:sz w:val="24"/>
              <w:szCs w:val="24"/>
            </w:rPr>
            <w:t>, R.R., 2015. The effect of intangible asset, financial performance and financial policies on the firm value. International Journal of scientific and technology research, 4(1), pp.202-212.</w:t>
          </w:r>
        </w:p>
        <w:p w14:paraId="3255F9F3"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r w:rsidRPr="00CA4CF6">
            <w:rPr>
              <w:rFonts w:ascii="Arial" w:eastAsia="Calibri" w:hAnsi="Arial" w:cs="Arial"/>
              <w:sz w:val="24"/>
              <w:szCs w:val="24"/>
            </w:rPr>
            <w:t xml:space="preserve">Sanjaya, R., 2019. The Influence of Ratio Analysis to The Dividend </w:t>
          </w:r>
          <w:proofErr w:type="spellStart"/>
          <w:r w:rsidRPr="00CA4CF6">
            <w:rPr>
              <w:rFonts w:ascii="Arial" w:eastAsia="Calibri" w:hAnsi="Arial" w:cs="Arial"/>
              <w:sz w:val="24"/>
              <w:szCs w:val="24"/>
            </w:rPr>
            <w:t>Payout</w:t>
          </w:r>
          <w:proofErr w:type="spellEnd"/>
          <w:r w:rsidRPr="00CA4CF6">
            <w:rPr>
              <w:rFonts w:ascii="Arial" w:eastAsia="Calibri" w:hAnsi="Arial" w:cs="Arial"/>
              <w:sz w:val="24"/>
              <w:szCs w:val="24"/>
            </w:rPr>
            <w:t xml:space="preserve"> Ratio and Its Impact on The Value of The Company Listed on The Malaysia Stock Exchange. Economic &amp; Accounting Journal, 2(2), pp.95-103.</w:t>
          </w:r>
        </w:p>
        <w:p w14:paraId="2762A291"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proofErr w:type="spellStart"/>
          <w:r w:rsidRPr="00CA4CF6">
            <w:rPr>
              <w:rFonts w:ascii="Arial" w:eastAsia="Calibri" w:hAnsi="Arial" w:cs="Arial"/>
              <w:sz w:val="24"/>
              <w:szCs w:val="24"/>
            </w:rPr>
            <w:t>Islami</w:t>
          </w:r>
          <w:proofErr w:type="spellEnd"/>
          <w:r w:rsidRPr="00CA4CF6">
            <w:rPr>
              <w:rFonts w:ascii="Arial" w:eastAsia="Calibri" w:hAnsi="Arial" w:cs="Arial"/>
              <w:sz w:val="24"/>
              <w:szCs w:val="24"/>
            </w:rPr>
            <w:t>, I.N. and Rio, W., 2019. Financial ratio analysis to predict financial distress on property and real estate company listed in Indonesia stock exchange. JAAF (Journal of Applied Accounting and Finance), 2(2), pp.125-137.</w:t>
          </w:r>
        </w:p>
        <w:p w14:paraId="0E034C80"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proofErr w:type="spellStart"/>
          <w:r w:rsidRPr="00CA4CF6">
            <w:rPr>
              <w:rFonts w:ascii="Arial" w:eastAsia="Calibri" w:hAnsi="Arial" w:cs="Arial"/>
              <w:sz w:val="24"/>
              <w:szCs w:val="24"/>
            </w:rPr>
            <w:t>Damjibhai</w:t>
          </w:r>
          <w:proofErr w:type="spellEnd"/>
          <w:r w:rsidRPr="00CA4CF6">
            <w:rPr>
              <w:rFonts w:ascii="Arial" w:eastAsia="Calibri" w:hAnsi="Arial" w:cs="Arial"/>
              <w:sz w:val="24"/>
              <w:szCs w:val="24"/>
            </w:rPr>
            <w:t>, S.D., 2016. Performance Measurement Through Ratio Analysis: The Case of Indian Hotel Company Ltd. IUP Journal of Management research, 15(1).</w:t>
          </w:r>
        </w:p>
        <w:p w14:paraId="2F9A8A57" w14:textId="77777777" w:rsidR="00CA4CF6" w:rsidRPr="00CA4CF6" w:rsidRDefault="00CA4CF6" w:rsidP="00CA4CF6">
          <w:pPr>
            <w:numPr>
              <w:ilvl w:val="0"/>
              <w:numId w:val="2"/>
            </w:numPr>
            <w:spacing w:line="360" w:lineRule="auto"/>
            <w:contextualSpacing/>
            <w:jc w:val="both"/>
            <w:rPr>
              <w:rFonts w:ascii="Arial" w:eastAsia="Calibri" w:hAnsi="Arial" w:cs="Arial"/>
              <w:sz w:val="24"/>
              <w:szCs w:val="24"/>
            </w:rPr>
          </w:pPr>
          <w:proofErr w:type="spellStart"/>
          <w:r w:rsidRPr="00CA4CF6">
            <w:rPr>
              <w:rFonts w:ascii="Arial" w:eastAsia="Calibri" w:hAnsi="Arial" w:cs="Arial"/>
              <w:sz w:val="24"/>
              <w:szCs w:val="24"/>
            </w:rPr>
            <w:t>Borovčanin</w:t>
          </w:r>
          <w:proofErr w:type="spellEnd"/>
          <w:r w:rsidRPr="00CA4CF6">
            <w:rPr>
              <w:rFonts w:ascii="Arial" w:eastAsia="Calibri" w:hAnsi="Arial" w:cs="Arial"/>
              <w:sz w:val="24"/>
              <w:szCs w:val="24"/>
            </w:rPr>
            <w:t xml:space="preserve">, D., 2015. A comparative analysis on hotel financial performance. In SITCON 2015-Singidunum International Tourism Conference (pp. 198-201). </w:t>
          </w:r>
          <w:proofErr w:type="spellStart"/>
          <w:r w:rsidRPr="00CA4CF6">
            <w:rPr>
              <w:rFonts w:ascii="Arial" w:eastAsia="Calibri" w:hAnsi="Arial" w:cs="Arial"/>
              <w:sz w:val="24"/>
              <w:szCs w:val="24"/>
            </w:rPr>
            <w:t>Singidunum</w:t>
          </w:r>
          <w:proofErr w:type="spellEnd"/>
          <w:r w:rsidRPr="00CA4CF6">
            <w:rPr>
              <w:rFonts w:ascii="Arial" w:eastAsia="Calibri" w:hAnsi="Arial" w:cs="Arial"/>
              <w:sz w:val="24"/>
              <w:szCs w:val="24"/>
            </w:rPr>
            <w:t xml:space="preserve"> University.</w:t>
          </w:r>
        </w:p>
        <w:p w14:paraId="6C20E369" w14:textId="77777777" w:rsidR="00CA4CF6" w:rsidRPr="00CA4CF6" w:rsidRDefault="00CA4CF6" w:rsidP="00CA4CF6"/>
        <w:p w14:paraId="08F07262" w14:textId="77777777" w:rsidR="004A11F6" w:rsidRPr="007D1947" w:rsidRDefault="004A11F6" w:rsidP="007D1947"/>
        <w:p w14:paraId="0B60BCAC" w14:textId="77777777" w:rsidR="00CA09F3" w:rsidRDefault="00CA4CF6"/>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803277"/>
    <w:multiLevelType w:val="hybridMultilevel"/>
    <w:tmpl w:val="94DC6A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203775"/>
    <w:rsid w:val="00324CCD"/>
    <w:rsid w:val="004A11F6"/>
    <w:rsid w:val="004D519C"/>
    <w:rsid w:val="007A1781"/>
    <w:rsid w:val="007D1947"/>
    <w:rsid w:val="009C1CE2"/>
    <w:rsid w:val="00AA2A91"/>
    <w:rsid w:val="00C71FB5"/>
    <w:rsid w:val="00CA09F3"/>
    <w:rsid w:val="00CA4CF6"/>
    <w:rsid w:val="00D854A5"/>
    <w:rsid w:val="00DB6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F3FD3"/>
    <w:rsid w:val="0083132B"/>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4.xml><?xml version="1.0" encoding="utf-8"?>
<ds:datastoreItem xmlns:ds="http://schemas.openxmlformats.org/officeDocument/2006/customXml" ds:itemID="{A97990B5-5872-48F0-B27B-A913957C7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2054</Words>
  <Characters>11713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Financial Statements – Hilton Hotel</dc:title>
  <dc:subject/>
  <dc:creator>Marie Pitson</dc:creator>
  <cp:keywords/>
  <dc:description/>
  <cp:lastModifiedBy>Andreea Spanu (1918498)</cp:lastModifiedBy>
  <cp:revision>2</cp:revision>
  <dcterms:created xsi:type="dcterms:W3CDTF">2022-06-07T22:03:00Z</dcterms:created>
  <dcterms:modified xsi:type="dcterms:W3CDTF">2022-06-07T22:03:00Z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