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2AE701" w14:textId="77777777" w:rsidR="00B95687" w:rsidRDefault="00BF0029">
      <w:r>
        <w:t xml:space="preserve">‘The Pharisees helped to </w:t>
      </w:r>
      <w:r w:rsidR="00D261F8">
        <w:t>preserve</w:t>
      </w:r>
      <w:r>
        <w:t xml:space="preserve"> that which was best in Judaism’. Comment on the description and assess the significance of the Pharisees for the Jewish faith.</w:t>
      </w:r>
    </w:p>
    <w:p w14:paraId="32783610" w14:textId="77777777" w:rsidR="00521BEB" w:rsidRDefault="00521BEB"/>
    <w:p w14:paraId="52ECF88A" w14:textId="77777777" w:rsidR="00BF0029" w:rsidRDefault="00BF0029"/>
    <w:p w14:paraId="1F06AF48" w14:textId="590FFF78" w:rsidR="005E629B" w:rsidRDefault="00BE23CC" w:rsidP="000B411F">
      <w:r>
        <w:t xml:space="preserve">Pharisees, the Hebrew term ‘parush’ meaning </w:t>
      </w:r>
      <w:r w:rsidR="004A3E77">
        <w:t>separated</w:t>
      </w:r>
      <w:r w:rsidR="00E81AA7">
        <w:t>, the holy ones or the true community</w:t>
      </w:r>
      <w:r w:rsidR="00E81AA7">
        <w:rPr>
          <w:rStyle w:val="FootnoteReference"/>
        </w:rPr>
        <w:footnoteReference w:id="1"/>
      </w:r>
      <w:r w:rsidR="00BE3810">
        <w:t xml:space="preserve"> </w:t>
      </w:r>
      <w:r w:rsidR="003D10B3">
        <w:t>suggestive of the physical separation from tho</w:t>
      </w:r>
      <w:r w:rsidR="002A40D2">
        <w:t xml:space="preserve">se who did not acknowledge the </w:t>
      </w:r>
      <w:r w:rsidR="003D10B3">
        <w:t>purity laws.</w:t>
      </w:r>
      <w:r w:rsidR="003D10B3">
        <w:rPr>
          <w:rStyle w:val="FootnoteReference"/>
        </w:rPr>
        <w:footnoteReference w:id="2"/>
      </w:r>
      <w:r w:rsidR="00452D5C">
        <w:t xml:space="preserve"> A</w:t>
      </w:r>
      <w:r w:rsidR="000B3B18">
        <w:t>lthough</w:t>
      </w:r>
      <w:r w:rsidR="00800A54">
        <w:t xml:space="preserve"> suggested to</w:t>
      </w:r>
      <w:r w:rsidR="0036237E">
        <w:t xml:space="preserve"> be</w:t>
      </w:r>
      <w:r w:rsidR="000B3B18">
        <w:t xml:space="preserve"> the holy ones, the Pharisaic</w:t>
      </w:r>
      <w:r w:rsidR="002A40D2">
        <w:t xml:space="preserve"> community was made up of </w:t>
      </w:r>
      <w:r w:rsidR="000B3B18">
        <w:t>commoners with no scribal education.</w:t>
      </w:r>
      <w:r w:rsidR="000B3B18">
        <w:rPr>
          <w:rStyle w:val="FootnoteReference"/>
        </w:rPr>
        <w:footnoteReference w:id="3"/>
      </w:r>
      <w:r>
        <w:t xml:space="preserve"> Scholars suggest the Pharisees</w:t>
      </w:r>
      <w:r w:rsidR="002A40D2">
        <w:t xml:space="preserve"> adopted parush</w:t>
      </w:r>
      <w:r w:rsidR="00C6213D">
        <w:t xml:space="preserve"> </w:t>
      </w:r>
      <w:r w:rsidR="002A40D2">
        <w:t>to signify the physical separation</w:t>
      </w:r>
      <w:r w:rsidR="004D06BA">
        <w:t xml:space="preserve"> </w:t>
      </w:r>
      <w:r>
        <w:t>from the masses for the sake of holiness</w:t>
      </w:r>
      <w:r w:rsidR="004D06BA">
        <w:rPr>
          <w:rStyle w:val="FootnoteReference"/>
        </w:rPr>
        <w:footnoteReference w:id="4"/>
      </w:r>
      <w:r>
        <w:t>; where others suggest they were instructed to separate themselves from the Sadducean interpretation of Judaism</w:t>
      </w:r>
      <w:r w:rsidR="00E649F5">
        <w:t>.</w:t>
      </w:r>
      <w:r>
        <w:rPr>
          <w:rStyle w:val="FootnoteReference"/>
        </w:rPr>
        <w:footnoteReference w:id="5"/>
      </w:r>
      <w:r w:rsidR="00F547CB">
        <w:t xml:space="preserve"> </w:t>
      </w:r>
      <w:r w:rsidR="00F547CB" w:rsidRPr="008E3DF8">
        <w:t xml:space="preserve">Zeitlin argues the formation of </w:t>
      </w:r>
      <w:r w:rsidR="00E03AFE" w:rsidRPr="008E3DF8">
        <w:t>the group stemmed from</w:t>
      </w:r>
      <w:r w:rsidR="008E3DF8" w:rsidRPr="008E3DF8">
        <w:t xml:space="preserve"> the  political, economic, social and religious bodies.</w:t>
      </w:r>
      <w:r w:rsidR="008E3DF8">
        <w:rPr>
          <w:rStyle w:val="FootnoteReference"/>
        </w:rPr>
        <w:footnoteReference w:id="6"/>
      </w:r>
      <w:r w:rsidR="006B73AE" w:rsidRPr="008E3DF8">
        <w:t xml:space="preserve"> </w:t>
      </w:r>
      <w:r w:rsidR="006B73AE">
        <w:t>This specific Jewish</w:t>
      </w:r>
      <w:r w:rsidR="00E649F5">
        <w:t xml:space="preserve"> gro</w:t>
      </w:r>
      <w:r w:rsidR="0043002C">
        <w:t xml:space="preserve">up were the successors of the Hasideans </w:t>
      </w:r>
      <w:r w:rsidR="00E649F5">
        <w:t>during the 2</w:t>
      </w:r>
      <w:r w:rsidR="00E649F5">
        <w:rPr>
          <w:vertAlign w:val="superscript"/>
        </w:rPr>
        <w:t xml:space="preserve">nd </w:t>
      </w:r>
      <w:r w:rsidR="00CB6718">
        <w:t xml:space="preserve">century C.E </w:t>
      </w:r>
      <w:r w:rsidR="0043002C">
        <w:t>who supported the study of the Torah and observance of Jewish ritual</w:t>
      </w:r>
      <w:r w:rsidR="006B73AE">
        <w:t>.</w:t>
      </w:r>
      <w:r w:rsidR="0043002C">
        <w:rPr>
          <w:rStyle w:val="FootnoteReference"/>
        </w:rPr>
        <w:footnoteReference w:id="7"/>
      </w:r>
      <w:r w:rsidR="006B73AE">
        <w:t xml:space="preserve"> </w:t>
      </w:r>
      <w:r w:rsidR="00DF4823">
        <w:t>They suggest themselves to be the traditional followers of Ezra, who after Moses they believe to be the founding father of the Jewish faith.</w:t>
      </w:r>
      <w:r w:rsidR="00DF4823">
        <w:rPr>
          <w:rStyle w:val="FootnoteReference"/>
        </w:rPr>
        <w:footnoteReference w:id="8"/>
      </w:r>
      <w:r w:rsidR="00DF4823">
        <w:t xml:space="preserve"> </w:t>
      </w:r>
      <w:r w:rsidR="006B73AE">
        <w:t>Their first</w:t>
      </w:r>
      <w:r w:rsidR="008815B6">
        <w:t xml:space="preserve"> biblican</w:t>
      </w:r>
      <w:r w:rsidR="006B73AE">
        <w:t xml:space="preserve"> mention </w:t>
      </w:r>
      <w:r w:rsidR="008815B6">
        <w:t xml:space="preserve">is </w:t>
      </w:r>
      <w:r w:rsidR="00612147">
        <w:t xml:space="preserve">in </w:t>
      </w:r>
      <w:r w:rsidR="00BD5878">
        <w:t xml:space="preserve">Maccabees, </w:t>
      </w:r>
      <w:r w:rsidR="00DF4823">
        <w:t>categorised</w:t>
      </w:r>
      <w:r w:rsidR="006B73AE">
        <w:t xml:space="preserve"> to</w:t>
      </w:r>
      <w:r w:rsidR="00E07C47">
        <w:t xml:space="preserve"> be in the company of the Assideans,</w:t>
      </w:r>
      <w:r w:rsidR="006B73AE">
        <w:t xml:space="preserve"> a group of men in </w:t>
      </w:r>
      <w:r w:rsidR="00DF4823">
        <w:t>Israel</w:t>
      </w:r>
      <w:r w:rsidR="006B73AE">
        <w:t xml:space="preserve"> who were </w:t>
      </w:r>
      <w:r w:rsidR="00DF4823">
        <w:t>devoted</w:t>
      </w:r>
      <w:r w:rsidR="006B73AE">
        <w:t xml:space="preserve"> to the Law</w:t>
      </w:r>
      <w:r w:rsidR="00E07C47">
        <w:t>:</w:t>
      </w:r>
      <w:r w:rsidR="006B73AE">
        <w:rPr>
          <w:rStyle w:val="FootnoteReference"/>
        </w:rPr>
        <w:footnoteReference w:id="9"/>
      </w:r>
      <w:r w:rsidR="00E07C47" w:rsidRPr="00E07C47">
        <w:t xml:space="preserve"> </w:t>
      </w:r>
      <w:r w:rsidR="00E07C47">
        <w:t>“the strong in power of Israel, everyon</w:t>
      </w:r>
      <w:r w:rsidR="000B411F">
        <w:t>e who volunteered for the Law”(</w:t>
      </w:r>
      <w:r w:rsidR="00367175">
        <w:t xml:space="preserve">I </w:t>
      </w:r>
      <w:r w:rsidR="00E07C47">
        <w:t xml:space="preserve">Macc. 2:42). </w:t>
      </w:r>
    </w:p>
    <w:p w14:paraId="4C7FBF15" w14:textId="77777777" w:rsidR="005E629B" w:rsidRDefault="005E629B" w:rsidP="008E5AD0"/>
    <w:p w14:paraId="5448DF5F" w14:textId="24BC84D5" w:rsidR="000B411F" w:rsidRDefault="000B411F" w:rsidP="000B411F">
      <w:r>
        <w:t>The study of Pharisaism has caused a lot of conservancy within the scholarly field, Mason suggests over the past two decades an attempt has been made to uncover what is truly know</w:t>
      </w:r>
      <w:r w:rsidR="00BD5878">
        <w:t>n</w:t>
      </w:r>
      <w:r>
        <w:t xml:space="preserve"> a</w:t>
      </w:r>
      <w:r w:rsidR="00BD5878">
        <w:t>bout the religious group who were</w:t>
      </w:r>
      <w:r>
        <w:t xml:space="preserve"> suggested to have changed the face of Judaism following the destruction of the second Temple.</w:t>
      </w:r>
      <w:r>
        <w:rPr>
          <w:rStyle w:val="FootnoteReference"/>
        </w:rPr>
        <w:footnoteReference w:id="10"/>
      </w:r>
      <w:r>
        <w:t xml:space="preserve"> A look at the sources,</w:t>
      </w:r>
      <w:r w:rsidR="001F125B">
        <w:t xml:space="preserve"> particularly Josephus and the g</w:t>
      </w:r>
      <w:r>
        <w:t xml:space="preserve">ospels to where we gather information on the Pharisees </w:t>
      </w:r>
      <w:r w:rsidR="0083309B">
        <w:t>is a necessity</w:t>
      </w:r>
      <w:r>
        <w:t>.</w:t>
      </w:r>
    </w:p>
    <w:p w14:paraId="6860663D" w14:textId="77777777" w:rsidR="00350153" w:rsidRDefault="00350153" w:rsidP="000B411F"/>
    <w:p w14:paraId="720C2785" w14:textId="74CC48A2" w:rsidR="00350153" w:rsidRDefault="00350153" w:rsidP="00350153">
      <w:r>
        <w:t xml:space="preserve">When looking at the Pharisees during the second temple period; a renowned historian with writings regarding the Jewish revolt in </w:t>
      </w:r>
      <w:r w:rsidRPr="00661E61">
        <w:rPr>
          <w:i/>
        </w:rPr>
        <w:t>The Jewish War</w:t>
      </w:r>
      <w:r>
        <w:t xml:space="preserve"> and an in-depth analysis of humanities formation to the first century in</w:t>
      </w:r>
      <w:r w:rsidRPr="00661E61">
        <w:rPr>
          <w:i/>
        </w:rPr>
        <w:t xml:space="preserve"> Antiquities of the Jews</w:t>
      </w:r>
      <w:r>
        <w:t xml:space="preserve">, the works of Josephus Flavius. </w:t>
      </w:r>
      <w:r w:rsidR="0083309B">
        <w:t>His popularity is evident through biblical Christian writers as Josephus and his works,</w:t>
      </w:r>
      <w:r>
        <w:t xml:space="preserve"> helped to provide an extensive amount of background information on early Christian writings, particularly the gospels.</w:t>
      </w:r>
      <w:r>
        <w:rPr>
          <w:rStyle w:val="FootnoteReference"/>
        </w:rPr>
        <w:footnoteReference w:id="11"/>
      </w:r>
      <w:r>
        <w:t xml:space="preserve"> </w:t>
      </w:r>
    </w:p>
    <w:p w14:paraId="5754FE9E" w14:textId="5840CE0D" w:rsidR="00350153" w:rsidRDefault="00350153" w:rsidP="00350153">
      <w:r>
        <w:t>T</w:t>
      </w:r>
      <w:r w:rsidR="001A6615">
        <w:t xml:space="preserve">he Jewish war shows the </w:t>
      </w:r>
      <w:r>
        <w:t>Jews to “espouse bizarre social values, have a belligerent nature and are poor citizens of the Roman empire”.</w:t>
      </w:r>
      <w:r>
        <w:rPr>
          <w:rStyle w:val="FootnoteReference"/>
        </w:rPr>
        <w:footnoteReference w:id="12"/>
      </w:r>
    </w:p>
    <w:p w14:paraId="72B8E36A" w14:textId="31F323D6" w:rsidR="00350153" w:rsidRDefault="00350153" w:rsidP="00350153">
      <w:r>
        <w:lastRenderedPageBreak/>
        <w:t>But Mason notes Josephus was persuaded to write Antiquities by citizens who were interested in Jewish history.</w:t>
      </w:r>
      <w:r>
        <w:rPr>
          <w:rStyle w:val="FootnoteReference"/>
        </w:rPr>
        <w:footnoteReference w:id="13"/>
      </w:r>
      <w:r w:rsidR="001A6615">
        <w:t xml:space="preserve"> Did Josephus want to write Antiquities at all? Or was it written</w:t>
      </w:r>
      <w:r>
        <w:t xml:space="preserve"> </w:t>
      </w:r>
      <w:r w:rsidR="001A6615">
        <w:t xml:space="preserve">in response to </w:t>
      </w:r>
      <w:r>
        <w:t xml:space="preserve">what people </w:t>
      </w:r>
      <w:r w:rsidR="001A6615">
        <w:t>desired; this also allowed him</w:t>
      </w:r>
      <w:r w:rsidR="0083309B">
        <w:t xml:space="preserve"> the </w:t>
      </w:r>
      <w:r>
        <w:t>opportunity to change his somewhat anti-</w:t>
      </w:r>
      <w:r w:rsidR="001A6615">
        <w:t>Pharisaic</w:t>
      </w:r>
      <w:r>
        <w:t xml:space="preserve"> </w:t>
      </w:r>
      <w:r w:rsidR="0083309B">
        <w:t xml:space="preserve">writing </w:t>
      </w:r>
      <w:r w:rsidR="001A6615">
        <w:t>in war by</w:t>
      </w:r>
      <w:r w:rsidR="0083309B">
        <w:t xml:space="preserve"> devoting</w:t>
      </w:r>
      <w:r>
        <w:t xml:space="preserve"> his following work to the question of Jewish antiquity.</w:t>
      </w:r>
      <w:r w:rsidR="00A808A6">
        <w:t xml:space="preserve"> Jones can support this view a</w:t>
      </w:r>
      <w:r w:rsidR="00D2100B">
        <w:t xml:space="preserve">s he poses the statement of Josephus’s </w:t>
      </w:r>
      <w:r w:rsidR="00A808A6">
        <w:t>dislike towards the Pharisees.</w:t>
      </w:r>
      <w:r w:rsidR="00A808A6">
        <w:rPr>
          <w:rStyle w:val="FootnoteReference"/>
        </w:rPr>
        <w:footnoteReference w:id="14"/>
      </w:r>
    </w:p>
    <w:p w14:paraId="12CEB239" w14:textId="4DAC5798" w:rsidR="0083309B" w:rsidRDefault="00350153" w:rsidP="00350153">
      <w:r>
        <w:t>Although Josephus in his works of Antiquities provided an in depth analysis of the Pharisees, the reliability of Josephus as a source has to be question</w:t>
      </w:r>
      <w:r w:rsidR="00F73EFB">
        <w:t>ed</w:t>
      </w:r>
      <w:r>
        <w:t>. From both of his writings, he posed a considerable different view of the group; in w</w:t>
      </w:r>
      <w:r w:rsidR="00F73EFB">
        <w:t>ar the Pharisees are showed as a non-</w:t>
      </w:r>
      <w:r>
        <w:t>powerful pre-revolt pub</w:t>
      </w:r>
      <w:r w:rsidR="00BE0C7E">
        <w:t>lished in the 70’s, whereas in a</w:t>
      </w:r>
      <w:r>
        <w:t>ntiquities the Pharisees were the leading party pre-revolt which was published in the 90’s</w:t>
      </w:r>
      <w:r w:rsidR="0083309B">
        <w:rPr>
          <w:rStyle w:val="FootnoteReference"/>
        </w:rPr>
        <w:footnoteReference w:id="15"/>
      </w:r>
      <w:r>
        <w:t>. From this somewhat drastic change of attitude towards the group in the space of twenty years gives us reason to speculate to Josephus’s motives here</w:t>
      </w:r>
      <w:r w:rsidR="0083309B">
        <w:rPr>
          <w:rStyle w:val="FootnoteReference"/>
        </w:rPr>
        <w:footnoteReference w:id="16"/>
      </w:r>
      <w:r>
        <w:t xml:space="preserve">; how could he have been adamant to the group having no power to that changing </w:t>
      </w:r>
      <w:r w:rsidR="0083309B">
        <w:t>by the time of his next publication</w:t>
      </w:r>
      <w:r w:rsidR="00BE0C7E">
        <w:t>?</w:t>
      </w:r>
      <w:r>
        <w:t xml:space="preserve"> This suggest</w:t>
      </w:r>
      <w:r w:rsidR="0083309B">
        <w:t>s</w:t>
      </w:r>
      <w:r>
        <w:t xml:space="preserve"> Josephus is not a completely reliable source when looking at his work on the Pharisees</w:t>
      </w:r>
      <w:r w:rsidR="00F051D6">
        <w:t>.</w:t>
      </w:r>
      <w:r>
        <w:t xml:space="preserve"> </w:t>
      </w:r>
    </w:p>
    <w:p w14:paraId="2B612A8E" w14:textId="52353E2D" w:rsidR="00350153" w:rsidRDefault="00F051D6" w:rsidP="00350153">
      <w:r>
        <w:t xml:space="preserve">Williams </w:t>
      </w:r>
      <w:r w:rsidR="0083309B">
        <w:t>suggests</w:t>
      </w:r>
      <w:r w:rsidR="00BE0C7E">
        <w:t xml:space="preserve"> Josephus’s</w:t>
      </w:r>
      <w:r w:rsidR="00350153">
        <w:t xml:space="preserve"> change of view of the Pharisees in Antiquities was as the revolt led aga</w:t>
      </w:r>
      <w:r>
        <w:t xml:space="preserve">inst Rome </w:t>
      </w:r>
      <w:r w:rsidR="00BE0C7E">
        <w:t xml:space="preserve">had ended </w:t>
      </w:r>
      <w:r w:rsidR="00350153">
        <w:t>allowing Josephus writing style to change</w:t>
      </w:r>
      <w:r>
        <w:t xml:space="preserve">; </w:t>
      </w:r>
      <w:r w:rsidR="00350153">
        <w:t>he was able to be ‘less cautious’ when discussing the representation of the gr</w:t>
      </w:r>
      <w:r w:rsidR="00F73EFB">
        <w:t>oup than he had been previously.</w:t>
      </w:r>
      <w:r w:rsidR="00350153">
        <w:t xml:space="preserve"> “In Antiquities he did not always supress source material which contradicted his own view”.</w:t>
      </w:r>
      <w:r w:rsidR="00350153">
        <w:rPr>
          <w:rStyle w:val="FootnoteReference"/>
        </w:rPr>
        <w:footnoteReference w:id="17"/>
      </w:r>
      <w:r w:rsidR="0083309B">
        <w:t xml:space="preserve">  Could this suggest the</w:t>
      </w:r>
      <w:r w:rsidR="00350153">
        <w:t xml:space="preserve"> feelings and opinions he</w:t>
      </w:r>
      <w:r w:rsidR="0083309B">
        <w:t xml:space="preserve"> expressed within </w:t>
      </w:r>
      <w:r w:rsidR="00350153">
        <w:t>war was that of his personal opinion rather than in ant</w:t>
      </w:r>
      <w:r w:rsidR="0083309B">
        <w:t>iquities?</w:t>
      </w:r>
    </w:p>
    <w:p w14:paraId="49AA618D" w14:textId="772D8D45" w:rsidR="00350153" w:rsidRDefault="00BE0C7E" w:rsidP="00350153">
      <w:r>
        <w:t>Although a</w:t>
      </w:r>
      <w:r w:rsidR="00350153">
        <w:t>ntiquities shows a more positive representation of the Pharisees, it is clear some passages of the text are clearly anti-Pharisaic, particularly Ant. 13:400-432.</w:t>
      </w:r>
      <w:r w:rsidR="00350153">
        <w:rPr>
          <w:rStyle w:val="FootnoteReference"/>
        </w:rPr>
        <w:footnoteReference w:id="18"/>
      </w:r>
    </w:p>
    <w:p w14:paraId="286D4181" w14:textId="7934D396" w:rsidR="00350153" w:rsidRDefault="00350153" w:rsidP="00350153">
      <w:r>
        <w:t>Saldarini addresses how Josephus “approves of the Pharisees when they are a force for stability but disapproves of them when they challenge the dominant, traditional and stable government and the way of life in Judaism”.</w:t>
      </w:r>
      <w:r>
        <w:rPr>
          <w:rStyle w:val="FootnoteReference"/>
        </w:rPr>
        <w:footnoteReference w:id="19"/>
      </w:r>
      <w:r>
        <w:t xml:space="preserve"> He picks and chooses to when he likes or dislikes them or their ideas therefore cannot be overly re</w:t>
      </w:r>
      <w:r w:rsidR="00612147">
        <w:t>garded to be a reliable source</w:t>
      </w:r>
      <w:r>
        <w:t xml:space="preserve">. </w:t>
      </w:r>
    </w:p>
    <w:p w14:paraId="2480402B" w14:textId="77777777" w:rsidR="00350153" w:rsidRDefault="00350153" w:rsidP="00350153"/>
    <w:p w14:paraId="618C1535" w14:textId="60EDCE94" w:rsidR="00350153" w:rsidRDefault="009063BF" w:rsidP="00350153">
      <w:r>
        <w:t>The Gospels,</w:t>
      </w:r>
      <w:r w:rsidR="00350153">
        <w:t xml:space="preserve"> an influential source when looking at the extensive portrayal of the Pharisees, with many references to the group being distinctively </w:t>
      </w:r>
      <w:r w:rsidR="00AA5DA9">
        <w:t xml:space="preserve">harmful. Some have even suggested </w:t>
      </w:r>
      <w:r w:rsidR="00350153">
        <w:t>Jesus in more than a d</w:t>
      </w:r>
      <w:r w:rsidR="00AA5DA9">
        <w:t xml:space="preserve">ozen instances </w:t>
      </w:r>
      <w:r w:rsidR="00350153">
        <w:t>made anti-Pharisaic statements regarding their extreme obedience of the ritual laws; this made them unable to see the bigger picture and support those in their community who were in need of help and guidance which Jesus found infuriating.</w:t>
      </w:r>
      <w:r w:rsidR="00350153">
        <w:rPr>
          <w:rStyle w:val="FootnoteReference"/>
        </w:rPr>
        <w:footnoteReference w:id="20"/>
      </w:r>
      <w:r w:rsidR="00350153">
        <w:t xml:space="preserve"> </w:t>
      </w:r>
      <w:r w:rsidR="00827F01">
        <w:t>The work of the Gospel helped t</w:t>
      </w:r>
      <w:r w:rsidR="00AA5DA9">
        <w:t>o promote the Jewish group amo</w:t>
      </w:r>
      <w:r w:rsidR="00827F01">
        <w:t>ng the Christian faith, however in many i</w:t>
      </w:r>
      <w:r w:rsidR="004C0990">
        <w:t>n</w:t>
      </w:r>
      <w:r w:rsidR="00827F01">
        <w:t>stances i</w:t>
      </w:r>
      <w:r w:rsidR="00DA14B5">
        <w:t>n Luke and Matthew, Pharisees and scribes are grou</w:t>
      </w:r>
      <w:r w:rsidR="00AA5DA9">
        <w:t>ped together</w:t>
      </w:r>
      <w:r w:rsidR="00DA14B5">
        <w:rPr>
          <w:rStyle w:val="FootnoteReference"/>
        </w:rPr>
        <w:footnoteReference w:id="21"/>
      </w:r>
      <w:r w:rsidR="00DA14B5">
        <w:t>: “The scribes and Pharisees” (Matt 5:20). Could this suggest h</w:t>
      </w:r>
      <w:r w:rsidR="00BE0C7E">
        <w:t>ow the writers of the gospels did</w:t>
      </w:r>
      <w:r w:rsidR="00DA14B5">
        <w:t xml:space="preserve"> not value the group to have an extensive importance to have their own individual mention, going on to imply their influence on the Jewish faith from a Christian perspective is minimal.</w:t>
      </w:r>
    </w:p>
    <w:p w14:paraId="642CF2ED" w14:textId="0A85D486" w:rsidR="00DA14B5" w:rsidRDefault="00DA14B5" w:rsidP="00350153">
      <w:r>
        <w:t>It could be argued the scribes that are discussed in these passages were influential members of the Pharisaic community</w:t>
      </w:r>
      <w:r>
        <w:rPr>
          <w:rStyle w:val="FootnoteReference"/>
        </w:rPr>
        <w:footnoteReference w:id="22"/>
      </w:r>
      <w:r>
        <w:t xml:space="preserve">, </w:t>
      </w:r>
      <w:r w:rsidR="00BE0C7E">
        <w:t>Jeremias</w:t>
      </w:r>
      <w:r>
        <w:t xml:space="preserve"> notes in Luke 11:45, the scribe who interacted with the Pharisees did not include himself to belonging to the specific group; making it unclear to determine in what instances of the Gospels to where the scribes belong to Pharisaism or not.</w:t>
      </w:r>
      <w:r>
        <w:rPr>
          <w:rStyle w:val="FootnoteReference"/>
        </w:rPr>
        <w:footnoteReference w:id="23"/>
      </w:r>
      <w:r w:rsidR="00D631E0">
        <w:t xml:space="preserve"> Matthew</w:t>
      </w:r>
      <w:r w:rsidR="00BB0795">
        <w:t xml:space="preserve"> on behalf of Jesus</w:t>
      </w:r>
      <w:r w:rsidR="00D631E0">
        <w:t xml:space="preserve"> in particular </w:t>
      </w:r>
      <w:r w:rsidR="00BB0795">
        <w:t>shows extreme hostility to the group, referring to the Jewish leadership as “hypocrites”, “vipers” and “blind guides” (Matt 23:23-33)</w:t>
      </w:r>
      <w:r w:rsidR="00453E10">
        <w:t>. Jones</w:t>
      </w:r>
      <w:r w:rsidR="00BB0795">
        <w:t xml:space="preserve"> suggests the gospel of </w:t>
      </w:r>
      <w:r w:rsidR="00904787">
        <w:t>Matthew</w:t>
      </w:r>
      <w:r w:rsidR="00612147">
        <w:t xml:space="preserve"> could have implied </w:t>
      </w:r>
      <w:r w:rsidR="00BB0795">
        <w:t>Pharisaism is a religious body who yields bad people.</w:t>
      </w:r>
      <w:r w:rsidR="00520579">
        <w:rPr>
          <w:rStyle w:val="FootnoteReference"/>
        </w:rPr>
        <w:footnoteReference w:id="24"/>
      </w:r>
    </w:p>
    <w:p w14:paraId="32221068" w14:textId="10684A86" w:rsidR="00453E10" w:rsidRDefault="00BE0C7E" w:rsidP="00350153">
      <w:r>
        <w:t>Jones goes on to suggest the g</w:t>
      </w:r>
      <w:r w:rsidR="00453E10">
        <w:t xml:space="preserve">ospels portrayed the Jewish group in a rather negative light </w:t>
      </w:r>
      <w:r w:rsidR="000A058F">
        <w:t xml:space="preserve">as it posed a threat to </w:t>
      </w:r>
      <w:r w:rsidR="00904787">
        <w:t>Christianity</w:t>
      </w:r>
      <w:r w:rsidR="000A058F">
        <w:t xml:space="preserve"> as it was still able to function and progress following the destruction of the Temple.</w:t>
      </w:r>
      <w:r w:rsidR="000A058F">
        <w:rPr>
          <w:rStyle w:val="FootnoteReference"/>
        </w:rPr>
        <w:footnoteReference w:id="25"/>
      </w:r>
      <w:r w:rsidR="00042FE5">
        <w:t xml:space="preserve"> The</w:t>
      </w:r>
      <w:r w:rsidR="0023510A">
        <w:t>refore</w:t>
      </w:r>
      <w:r w:rsidR="00042FE5">
        <w:t xml:space="preserve"> negative portrayal of the gospels </w:t>
      </w:r>
      <w:r w:rsidR="00AA5DA9">
        <w:t>could be suggestive</w:t>
      </w:r>
      <w:r w:rsidR="0023510A">
        <w:t xml:space="preserve"> of the difficult relationship </w:t>
      </w:r>
      <w:r w:rsidR="00AA5DA9">
        <w:t>between the Jews and Christians</w:t>
      </w:r>
      <w:r w:rsidR="0023510A">
        <w:t>.</w:t>
      </w:r>
    </w:p>
    <w:p w14:paraId="672A6C5D" w14:textId="77777777" w:rsidR="00350153" w:rsidRDefault="00350153" w:rsidP="00350153"/>
    <w:p w14:paraId="5D4C3E06" w14:textId="3A3B0CB0" w:rsidR="00B90B42" w:rsidRDefault="006F513D" w:rsidP="00B90B42">
      <w:r>
        <w:t xml:space="preserve">The Pharisees understood the way in which to ensure their survival and progression as a group was by adapting traditional Judaism to the needs of the first century Jews. </w:t>
      </w:r>
      <w:r w:rsidR="00904787">
        <w:t>In order to help develop God’s commandments whilst adapting to the predominant Jewish religion, the idea</w:t>
      </w:r>
      <w:r w:rsidR="00AA5DA9">
        <w:t xml:space="preserve"> of the dual Torah was coined</w:t>
      </w:r>
      <w:r w:rsidR="00904787">
        <w:t>, symbolising both written and oral law.</w:t>
      </w:r>
      <w:r w:rsidR="002A2FB8">
        <w:rPr>
          <w:rStyle w:val="FootnoteReference"/>
        </w:rPr>
        <w:footnoteReference w:id="26"/>
      </w:r>
      <w:r w:rsidR="00904787">
        <w:t xml:space="preserve"> </w:t>
      </w:r>
      <w:r w:rsidR="00D027C8" w:rsidRPr="003D10B3">
        <w:t>Zeitlin</w:t>
      </w:r>
      <w:r w:rsidR="00E2615A">
        <w:t xml:space="preserve"> argues how the unwritten law is </w:t>
      </w:r>
      <w:r w:rsidR="00D027C8">
        <w:t>as old if not older than those which are written down in the Pentateuch.</w:t>
      </w:r>
      <w:r w:rsidR="00D027C8">
        <w:rPr>
          <w:rStyle w:val="FootnoteReference"/>
        </w:rPr>
        <w:footnoteReference w:id="27"/>
      </w:r>
      <w:r w:rsidR="00AA5DA9">
        <w:t xml:space="preserve"> The role of the oral law was to provide guidance and support with reference to the written laws as the daily application of law was unknown.</w:t>
      </w:r>
      <w:r w:rsidR="00D027C8">
        <w:t xml:space="preserve"> The main issue surrounding the unwritten law during this time was its validity, where many people would not hold them in as high regard as that of the written form. </w:t>
      </w:r>
      <w:r w:rsidR="00DA1B0E">
        <w:t xml:space="preserve">From the oral law, greater importance was posed upon the individual rather than the community believing by through direct interaction with God </w:t>
      </w:r>
      <w:r w:rsidR="00B90B42">
        <w:t>the oral Torah is kept.</w:t>
      </w:r>
      <w:r w:rsidR="00B90B42">
        <w:rPr>
          <w:rStyle w:val="FootnoteReference"/>
        </w:rPr>
        <w:footnoteReference w:id="28"/>
      </w:r>
      <w:r w:rsidR="00B90B42">
        <w:t xml:space="preserve"> From the focus on the individual relationship with God was developed, the Pharisees concept of God developed. He was perceived to be an omnipotent Being, all-wise, all-knowing and all-merciful. It was conveyed to </w:t>
      </w:r>
      <w:r w:rsidR="00AA5DA9">
        <w:t xml:space="preserve">represent </w:t>
      </w:r>
      <w:r w:rsidR="00B90B42">
        <w:t>how God loved all creatures and requested man to walk the earth in His way, by acting honourably and showing loving kindness to all.</w:t>
      </w:r>
      <w:r w:rsidR="00B90B42">
        <w:rPr>
          <w:rStyle w:val="FootnoteReference"/>
        </w:rPr>
        <w:footnoteReference w:id="29"/>
      </w:r>
      <w:r w:rsidR="00B90B42">
        <w:t xml:space="preserve"> The Torah is arguably used as a tool to guide Jews as we are made wit</w:t>
      </w:r>
      <w:r w:rsidR="00AA5DA9">
        <w:t>h two compulsions, good or bad; a</w:t>
      </w:r>
      <w:r w:rsidR="00B90B42">
        <w:t xml:space="preserve"> view which differs from the Saddusaic</w:t>
      </w:r>
      <w:r w:rsidR="00BE0C7E">
        <w:t xml:space="preserve"> viewpoint </w:t>
      </w:r>
      <w:r w:rsidR="00AA5DA9">
        <w:t>of free will,</w:t>
      </w:r>
      <w:r w:rsidR="00B90B42">
        <w:t xml:space="preserve"> everything on earth is preordained by God but man has the ability but also the choice in order to choose good or evil. This can be supported by the Talmud</w:t>
      </w:r>
      <w:r w:rsidR="00BE0C7E">
        <w:t>,</w:t>
      </w:r>
      <w:r w:rsidR="00B90B42">
        <w:t xml:space="preserve"> “If man chooses to do good, the heavenly powers help him. If he chooses to do evil, they leave the way open to him” (Shab. 104a). Depending on the desired action of the person, a reward or punishment in the next life is decided. Jones</w:t>
      </w:r>
      <w:r w:rsidR="00BE0C7E">
        <w:t xml:space="preserve"> notes it is from this belief</w:t>
      </w:r>
      <w:r w:rsidR="00B90B42">
        <w:t xml:space="preserve"> the resurrection of the dead can be attributed to the importance of the individual relationship with God through the oral Torah.</w:t>
      </w:r>
      <w:r w:rsidR="00B90B42">
        <w:rPr>
          <w:rStyle w:val="FootnoteReference"/>
        </w:rPr>
        <w:footnoteReference w:id="30"/>
      </w:r>
    </w:p>
    <w:p w14:paraId="50F45B99" w14:textId="066294F5" w:rsidR="00B90B42" w:rsidRDefault="00B90B42" w:rsidP="00B90B42">
      <w:r>
        <w:t>Their belief of</w:t>
      </w:r>
      <w:r w:rsidR="00BE0C7E">
        <w:t xml:space="preserve"> the</w:t>
      </w:r>
      <w:r>
        <w:t xml:space="preserve"> resurrection of the dead is seen in the Talmud and the New Testament; the Pharisees suggest their ideas of immortality and resurrection can be suggested from passages in the Torah.</w:t>
      </w:r>
      <w:r>
        <w:rPr>
          <w:rStyle w:val="FootnoteReference"/>
        </w:rPr>
        <w:footnoteReference w:id="31"/>
      </w:r>
    </w:p>
    <w:p w14:paraId="510C3C7C" w14:textId="77777777" w:rsidR="00B90B42" w:rsidRDefault="00B90B42" w:rsidP="00B90B42"/>
    <w:p w14:paraId="0D2B7B48" w14:textId="2DE268D8" w:rsidR="00B90B42" w:rsidRDefault="00612147" w:rsidP="00B90B42">
      <w:r>
        <w:t xml:space="preserve">The belief that God was everywhere was a </w:t>
      </w:r>
      <w:r w:rsidR="00B90B42">
        <w:t>prevalent</w:t>
      </w:r>
      <w:r>
        <w:t xml:space="preserve"> conception</w:t>
      </w:r>
      <w:r w:rsidR="00B90B42">
        <w:t xml:space="preserve"> within Pharisaism allowing Him to be worshipped in or outside of the Temple pre destruction. Therefore</w:t>
      </w:r>
      <w:r w:rsidR="00245E79">
        <w:t>,</w:t>
      </w:r>
      <w:r w:rsidR="00B90B42">
        <w:t xml:space="preserve"> the group </w:t>
      </w:r>
      <w:r w:rsidR="00686E39">
        <w:t>accepted</w:t>
      </w:r>
      <w:r w:rsidR="002953AD">
        <w:t xml:space="preserve"> the s</w:t>
      </w:r>
      <w:r w:rsidR="00DB08FE">
        <w:t xml:space="preserve">ynagogue </w:t>
      </w:r>
      <w:r w:rsidR="00B90B42">
        <w:t>as their specific place</w:t>
      </w:r>
      <w:r w:rsidR="00686E39">
        <w:t xml:space="preserve"> of worship but was a</w:t>
      </w:r>
      <w:r w:rsidR="00DB08FE">
        <w:t xml:space="preserve">dopted as a school, law court, </w:t>
      </w:r>
      <w:r w:rsidR="00B90B42">
        <w:t>plac</w:t>
      </w:r>
      <w:r w:rsidR="002953AD">
        <w:t>e of prayer and study; for the s</w:t>
      </w:r>
      <w:r w:rsidR="00B90B42">
        <w:t xml:space="preserve">ynagogue to have other functions other than just worship unlike the Temple </w:t>
      </w:r>
      <w:r w:rsidR="00DB08FE">
        <w:t xml:space="preserve">which </w:t>
      </w:r>
      <w:r w:rsidR="00B90B42">
        <w:t>brought about rivalry among the Sadducees.</w:t>
      </w:r>
      <w:r w:rsidR="00B90B42">
        <w:rPr>
          <w:rStyle w:val="FootnoteReference"/>
        </w:rPr>
        <w:footnoteReference w:id="32"/>
      </w:r>
      <w:r w:rsidR="00FE00DC">
        <w:t xml:space="preserve"> Although the importance of the synagogue was stressed, </w:t>
      </w:r>
      <w:r w:rsidR="002953AD">
        <w:t>worship in the s</w:t>
      </w:r>
      <w:r w:rsidR="00686E39">
        <w:t xml:space="preserve">ynagogue was of </w:t>
      </w:r>
      <w:r w:rsidR="00BE0C7E">
        <w:t xml:space="preserve">no value unless it was accompanied with </w:t>
      </w:r>
      <w:r w:rsidR="00686E39">
        <w:t>study or social activities.</w:t>
      </w:r>
      <w:r w:rsidR="004C0990">
        <w:t xml:space="preserve"> The synagogues function was to allow the written law to be understood whilst acknowledging the responsibility</w:t>
      </w:r>
      <w:r w:rsidR="00BE0C7E">
        <w:t xml:space="preserve"> </w:t>
      </w:r>
      <w:r w:rsidR="004C0990">
        <w:t>put upon them</w:t>
      </w:r>
      <w:r w:rsidR="00BE0C7E">
        <w:t xml:space="preserve"> by developing the oral law</w:t>
      </w:r>
      <w:r w:rsidR="004C0990">
        <w:t>.</w:t>
      </w:r>
      <w:r w:rsidR="004C0990">
        <w:rPr>
          <w:rStyle w:val="FootnoteReference"/>
        </w:rPr>
        <w:footnoteReference w:id="33"/>
      </w:r>
      <w:r w:rsidR="004C0990">
        <w:t xml:space="preserve"> </w:t>
      </w:r>
      <w:r w:rsidR="00686E39">
        <w:t xml:space="preserve"> The move to the synagogue however</w:t>
      </w:r>
      <w:r w:rsidR="00B90B42">
        <w:t xml:space="preserve"> allowed the Pharisees to survive following the destruction of the Temple</w:t>
      </w:r>
      <w:r w:rsidR="00686E39">
        <w:t>; t</w:t>
      </w:r>
      <w:r w:rsidR="00B90B42">
        <w:t xml:space="preserve">he Pharisees had </w:t>
      </w:r>
      <w:r w:rsidR="00686E39">
        <w:t>now</w:t>
      </w:r>
      <w:r w:rsidR="00B90B42">
        <w:t xml:space="preserve"> accepted God did not exclusively reside in the Temple</w:t>
      </w:r>
      <w:r w:rsidR="00686E39">
        <w:t xml:space="preserve"> which then allowed their form</w:t>
      </w:r>
      <w:r w:rsidR="00B90B42">
        <w:t xml:space="preserve"> of </w:t>
      </w:r>
      <w:r w:rsidR="00686E39">
        <w:t>Judaism to flourish</w:t>
      </w:r>
      <w:r w:rsidR="00B90B42">
        <w:t>.</w:t>
      </w:r>
      <w:r w:rsidR="00686E39">
        <w:t xml:space="preserve"> I</w:t>
      </w:r>
      <w:r w:rsidR="00B90B42">
        <w:t>t is unclear in Judaism to when the synagogue was first established, some suggest it can be accredited to Moses,</w:t>
      </w:r>
      <w:r w:rsidR="00B90B42">
        <w:rPr>
          <w:rStyle w:val="FootnoteReference"/>
        </w:rPr>
        <w:footnoteReference w:id="34"/>
      </w:r>
      <w:r w:rsidR="00B90B42">
        <w:t xml:space="preserve"> but it was the first century to where it became a well-established institution. Following the destruction, the Synagogue took on many customs and rituals from the Temple; some rituals however like ritual sacrifice were prohibited as they were seen to belong to the Temple only.</w:t>
      </w:r>
      <w:r w:rsidR="00B90B42">
        <w:rPr>
          <w:rStyle w:val="FootnoteReference"/>
        </w:rPr>
        <w:footnoteReference w:id="35"/>
      </w:r>
    </w:p>
    <w:p w14:paraId="0BD70B66" w14:textId="77777777" w:rsidR="004C0990" w:rsidRDefault="004C0990" w:rsidP="00B90B42"/>
    <w:p w14:paraId="2C8B3B34" w14:textId="40341AB7" w:rsidR="00061790" w:rsidRDefault="004C0990" w:rsidP="00B90B42">
      <w:r>
        <w:t>Following the move away from the Temple, the home and the family life came with more importance, bringing with this t</w:t>
      </w:r>
      <w:r w:rsidR="004C391E">
        <w:t xml:space="preserve">he purity customs with many </w:t>
      </w:r>
      <w:r w:rsidR="00061790">
        <w:t>regulations regarding the consumption and preparation of food.</w:t>
      </w:r>
      <w:r w:rsidR="00061790">
        <w:rPr>
          <w:rStyle w:val="FootnoteReference"/>
        </w:rPr>
        <w:footnoteReference w:id="36"/>
      </w:r>
      <w:r w:rsidR="00061790">
        <w:t xml:space="preserve"> From the transition of ritual purity from the sanctuary to the home whether it be the kitchen or dining table allowed Jews to live in agreement with the Law but within the confides of their own home.</w:t>
      </w:r>
      <w:r w:rsidR="00061790">
        <w:rPr>
          <w:rStyle w:val="FootnoteReference"/>
        </w:rPr>
        <w:footnoteReference w:id="37"/>
      </w:r>
      <w:r w:rsidR="00EB1A26">
        <w:t xml:space="preserve"> They were often referred to as a group who consumed food every day in accordance to purity the way in which the priests of the Temple ate.</w:t>
      </w:r>
      <w:r w:rsidR="00EB1A26">
        <w:rPr>
          <w:rStyle w:val="FootnoteReference"/>
        </w:rPr>
        <w:footnoteReference w:id="38"/>
      </w:r>
      <w:r w:rsidR="00B144D0">
        <w:t xml:space="preserve"> In regards to pregnant women in her second trimester, impurity was not to touc</w:t>
      </w:r>
      <w:r w:rsidR="00612147">
        <w:t xml:space="preserve">h most holy foods but for other foods </w:t>
      </w:r>
      <w:r w:rsidR="00B144D0">
        <w:t>standard</w:t>
      </w:r>
      <w:r w:rsidR="00612147">
        <w:t xml:space="preserve">s were </w:t>
      </w:r>
      <w:r w:rsidR="00B144D0">
        <w:t>lowered. Sanders explores the view that common Jewish people were rejected from the world of the divine and sacred but were one position lower on the purity scale than the Pharisees, who were further one position lower than the priests separate from the Temple.</w:t>
      </w:r>
      <w:r w:rsidR="00B144D0">
        <w:rPr>
          <w:rStyle w:val="FootnoteReference"/>
        </w:rPr>
        <w:footnoteReference w:id="39"/>
      </w:r>
    </w:p>
    <w:p w14:paraId="5D792FCC" w14:textId="136BD7CD" w:rsidR="00B90B42" w:rsidRDefault="00B144D0" w:rsidP="00B90B42">
      <w:r>
        <w:t>Handwashing was a purity custom within the Diaspora, with suggestion of its origination from the biblical use of ‘clean hands’ signifying innocence.</w:t>
      </w:r>
      <w:r>
        <w:rPr>
          <w:rStyle w:val="FootnoteReference"/>
        </w:rPr>
        <w:footnoteReference w:id="40"/>
      </w:r>
      <w:r>
        <w:t xml:space="preserve"> Some Pharisees would wash their hands following the physical contact with scripture due to its holy nature which could result in reverse logic in impure hands.</w:t>
      </w:r>
      <w:r>
        <w:rPr>
          <w:rStyle w:val="FootnoteReference"/>
        </w:rPr>
        <w:footnoteReference w:id="41"/>
      </w:r>
      <w:r>
        <w:t xml:space="preserve"> It is suggested this treatment of handwashing as a symbol</w:t>
      </w:r>
      <w:r w:rsidR="00716660">
        <w:t xml:space="preserve"> of the desire for Pharisees to resemble</w:t>
      </w:r>
      <w:r>
        <w:t xml:space="preserve"> the priests of the Temple.</w:t>
      </w:r>
      <w:r w:rsidR="00716660">
        <w:rPr>
          <w:rStyle w:val="FootnoteReference"/>
        </w:rPr>
        <w:footnoteReference w:id="42"/>
      </w:r>
    </w:p>
    <w:p w14:paraId="75BDB295" w14:textId="03423388" w:rsidR="00D027C8" w:rsidRDefault="00D027C8" w:rsidP="00D027C8"/>
    <w:p w14:paraId="45F19A56" w14:textId="76AD3D1F" w:rsidR="00CB6981" w:rsidRDefault="00F12DDF" w:rsidP="008E5AD0">
      <w:r>
        <w:t xml:space="preserve">Judah ha-Nasi, the rabbinic scholar and head of </w:t>
      </w:r>
      <w:r w:rsidR="002F4014">
        <w:t>the bet din hagadol,</w:t>
      </w:r>
      <w:r>
        <w:t xml:space="preserve"> or Sanhedrin which was</w:t>
      </w:r>
      <w:r w:rsidR="00FA5BC8">
        <w:t xml:space="preserve"> the politi</w:t>
      </w:r>
      <w:r w:rsidR="00481098">
        <w:t>cal, religious supreme council</w:t>
      </w:r>
      <w:r w:rsidR="00FA5BC8">
        <w:t xml:space="preserve"> within Israel</w:t>
      </w:r>
      <w:r w:rsidR="00B55347">
        <w:t xml:space="preserve"> in operation from the time of the Maccabeanian revolt.</w:t>
      </w:r>
      <w:r w:rsidR="00B65763">
        <w:t xml:space="preserve"> </w:t>
      </w:r>
      <w:r w:rsidR="009D6012">
        <w:t>The San</w:t>
      </w:r>
      <w:r w:rsidR="00AB269F">
        <w:t>hedrin was</w:t>
      </w:r>
      <w:r w:rsidR="00BD5301">
        <w:t xml:space="preserve"> made up of a body of sages with a variety of different</w:t>
      </w:r>
      <w:r w:rsidR="00D83F77">
        <w:t xml:space="preserve"> Jewish groups of the times amo</w:t>
      </w:r>
      <w:r w:rsidR="00BD5301">
        <w:t>ng them</w:t>
      </w:r>
      <w:r w:rsidR="00612147">
        <w:t xml:space="preserve">, from Pharisees, </w:t>
      </w:r>
      <w:r w:rsidR="00D83F77">
        <w:t xml:space="preserve">Sadducees to </w:t>
      </w:r>
      <w:r w:rsidR="00BD5301">
        <w:t>the Essenes</w:t>
      </w:r>
      <w:r w:rsidR="00BF2170">
        <w:t xml:space="preserve">. </w:t>
      </w:r>
      <w:r w:rsidR="00AB269F">
        <w:t xml:space="preserve">The </w:t>
      </w:r>
      <w:r w:rsidR="00BD5301">
        <w:t>Sanhedrin</w:t>
      </w:r>
      <w:r w:rsidR="00BF2170">
        <w:t xml:space="preserve"> would meet daily and discuss issues of </w:t>
      </w:r>
      <w:r w:rsidR="00AB269F">
        <w:t>criminal matters, accused lawbreakers, tribunals for adulterous women alongside preparation of the</w:t>
      </w:r>
      <w:r w:rsidR="00612147">
        <w:t xml:space="preserve"> Torah scroll for the King and T</w:t>
      </w:r>
      <w:r w:rsidR="00AB269F">
        <w:t>emple and resolving issues in regards to ritual law.</w:t>
      </w:r>
      <w:r w:rsidR="00AB269F">
        <w:rPr>
          <w:rStyle w:val="FootnoteReference"/>
        </w:rPr>
        <w:footnoteReference w:id="43"/>
      </w:r>
      <w:r w:rsidR="00AB269F">
        <w:t xml:space="preserve"> </w:t>
      </w:r>
      <w:r w:rsidR="00BF2170">
        <w:t xml:space="preserve">The Sanhedrin was led by five suggestive pairs of </w:t>
      </w:r>
      <w:r w:rsidR="00825FCB">
        <w:t>‘zugot</w:t>
      </w:r>
      <w:r w:rsidR="00BF2170">
        <w:t>s</w:t>
      </w:r>
      <w:r w:rsidR="00825FCB">
        <w:t>’</w:t>
      </w:r>
      <w:r w:rsidR="00E07C47">
        <w:t xml:space="preserve"> or religious-legal authorities</w:t>
      </w:r>
      <w:r w:rsidR="00BF2170">
        <w:t>,</w:t>
      </w:r>
      <w:r w:rsidR="00825FCB">
        <w:t xml:space="preserve"> </w:t>
      </w:r>
      <w:r w:rsidR="00BF2170">
        <w:t xml:space="preserve">with the most influential pair being </w:t>
      </w:r>
      <w:r w:rsidR="00825FCB">
        <w:t xml:space="preserve">Hillel and </w:t>
      </w:r>
      <w:r w:rsidR="003D05CD">
        <w:t>colleague</w:t>
      </w:r>
      <w:r w:rsidR="00825FCB">
        <w:t xml:space="preserve"> Shammai.</w:t>
      </w:r>
      <w:r w:rsidR="00825FCB">
        <w:rPr>
          <w:rStyle w:val="FootnoteReference"/>
        </w:rPr>
        <w:footnoteReference w:id="44"/>
      </w:r>
      <w:r w:rsidR="000075DB">
        <w:t xml:space="preserve"> Each pair of zugots helped to adopt and further develop the body of oral law</w:t>
      </w:r>
      <w:r w:rsidR="00681E2D">
        <w:t xml:space="preserve"> but this often brought</w:t>
      </w:r>
      <w:r w:rsidR="00FB0C6B">
        <w:t xml:space="preserve"> about</w:t>
      </w:r>
      <w:r w:rsidR="00681E2D">
        <w:t xml:space="preserve"> disagreements</w:t>
      </w:r>
      <w:r w:rsidR="00FB0C6B">
        <w:t>.</w:t>
      </w:r>
      <w:r w:rsidR="00BF2170" w:rsidRPr="00BF2170">
        <w:t xml:space="preserve"> </w:t>
      </w:r>
      <w:r w:rsidR="00BF2170">
        <w:t>When the Temple was destroyed in 70 CE, so was the Sanhedrin in Jerusalem; this was not</w:t>
      </w:r>
      <w:r w:rsidR="00FB0C6B">
        <w:t xml:space="preserve"> however</w:t>
      </w:r>
      <w:r w:rsidR="00BF2170">
        <w:t xml:space="preserve"> the end of the Sanhedrin</w:t>
      </w:r>
      <w:r w:rsidR="00FB0C6B">
        <w:t>, it reconstituted in Jamnia</w:t>
      </w:r>
      <w:r w:rsidR="00DB6DD1">
        <w:t xml:space="preserve"> or Yavneh through the work of </w:t>
      </w:r>
      <w:r w:rsidR="00AA31F9">
        <w:t>Yohanan ben Zakkai.</w:t>
      </w:r>
      <w:r w:rsidR="00FB0C6B">
        <w:rPr>
          <w:rStyle w:val="FootnoteReference"/>
        </w:rPr>
        <w:footnoteReference w:id="45"/>
      </w:r>
      <w:r w:rsidR="00AA31F9">
        <w:t xml:space="preserve"> Zakki fled from Jerusalem in order to establish </w:t>
      </w:r>
      <w:r w:rsidR="000075DB">
        <w:t>a programme for the survival of the Jewish people whilst implementing the survival of the Jewish fa</w:t>
      </w:r>
      <w:r w:rsidR="00681E2D">
        <w:t>ith through the preservation of the oral law</w:t>
      </w:r>
      <w:r w:rsidR="00FB0C6B">
        <w:t xml:space="preserve"> to the small coastal town of Yavneh</w:t>
      </w:r>
      <w:r w:rsidR="00681E2D">
        <w:t>.</w:t>
      </w:r>
      <w:r w:rsidR="0030127E">
        <w:rPr>
          <w:rStyle w:val="FootnoteReference"/>
        </w:rPr>
        <w:footnoteReference w:id="46"/>
      </w:r>
      <w:r w:rsidR="00681E2D">
        <w:t xml:space="preserve"> </w:t>
      </w:r>
      <w:r w:rsidR="008A7C51">
        <w:t>It was at Yavneh where Rabbi</w:t>
      </w:r>
      <w:r w:rsidR="00FA514E">
        <w:t>s were granted author</w:t>
      </w:r>
      <w:r w:rsidR="008A3CFC">
        <w:t>it</w:t>
      </w:r>
      <w:r w:rsidR="00FA514E">
        <w:t>a</w:t>
      </w:r>
      <w:r w:rsidR="008A7C51">
        <w:t>tive stat</w:t>
      </w:r>
      <w:r w:rsidR="0011061D">
        <w:t>us, this is seen to be the c</w:t>
      </w:r>
      <w:r w:rsidR="00983F72">
        <w:t>ommencement of Rabbinic Judaism.</w:t>
      </w:r>
      <w:r w:rsidR="00FB0C6B">
        <w:rPr>
          <w:rStyle w:val="FootnoteReference"/>
        </w:rPr>
        <w:footnoteReference w:id="47"/>
      </w:r>
    </w:p>
    <w:p w14:paraId="2B67E08E" w14:textId="6967E728" w:rsidR="006B73AE" w:rsidRDefault="00CB6981" w:rsidP="008E5AD0">
      <w:r>
        <w:t xml:space="preserve">It is also suggested the foundations of </w:t>
      </w:r>
      <w:r w:rsidR="009921D8">
        <w:t>the Mishnah were laid down in Yavneh; this can be supported by the Rabbis of Yavneh efforts in the preservation of oral Torah.</w:t>
      </w:r>
      <w:r w:rsidR="009921D8">
        <w:rPr>
          <w:rStyle w:val="FootnoteReference"/>
        </w:rPr>
        <w:footnoteReference w:id="48"/>
      </w:r>
      <w:r w:rsidR="008A7C51">
        <w:t xml:space="preserve"> </w:t>
      </w:r>
    </w:p>
    <w:p w14:paraId="41230E08" w14:textId="2F7DB2C8" w:rsidR="004920DB" w:rsidRDefault="000075DB" w:rsidP="008E5AD0">
      <w:r>
        <w:t xml:space="preserve">It is suggested that </w:t>
      </w:r>
      <w:r w:rsidR="004920DB">
        <w:t xml:space="preserve">those who met at Yavneh were the </w:t>
      </w:r>
      <w:r w:rsidR="00F554DE">
        <w:t>airs</w:t>
      </w:r>
      <w:r w:rsidR="004920DB">
        <w:t xml:space="preserve"> of the Pharisees who shared the same heritage.</w:t>
      </w:r>
      <w:r w:rsidR="00676F41">
        <w:rPr>
          <w:rStyle w:val="FootnoteReference"/>
        </w:rPr>
        <w:footnoteReference w:id="49"/>
      </w:r>
      <w:r>
        <w:t xml:space="preserve"> The move to Yavneh was an extremely impor</w:t>
      </w:r>
      <w:r w:rsidR="00593AAE">
        <w:t>tant development as it represented the move from Temple worship and political dominance to the devotion to Torah study and Jewish law, particularly oral law.</w:t>
      </w:r>
      <w:r w:rsidR="00593AAE">
        <w:rPr>
          <w:rStyle w:val="FootnoteReference"/>
        </w:rPr>
        <w:footnoteReference w:id="50"/>
      </w:r>
      <w:r w:rsidR="005F0B68">
        <w:t xml:space="preserve"> With the </w:t>
      </w:r>
      <w:r w:rsidR="00612147">
        <w:t>emphasis</w:t>
      </w:r>
      <w:r w:rsidR="005F0B68">
        <w:t xml:space="preserve"> of law becoming the focal point of Yavneh reasserted the impor</w:t>
      </w:r>
      <w:r w:rsidR="00F62750">
        <w:t xml:space="preserve">tance of the synagogue </w:t>
      </w:r>
      <w:r w:rsidR="008A3CFC">
        <w:t xml:space="preserve">as the </w:t>
      </w:r>
      <w:r w:rsidR="002D2154">
        <w:t>principal</w:t>
      </w:r>
      <w:r w:rsidR="008A3CFC">
        <w:t xml:space="preserve"> point of the Jewish faith</w:t>
      </w:r>
      <w:r w:rsidR="002A6C17">
        <w:t>.</w:t>
      </w:r>
    </w:p>
    <w:p w14:paraId="6CBE7962" w14:textId="77777777" w:rsidR="008E5AD0" w:rsidRDefault="008E5AD0" w:rsidP="008E5AD0"/>
    <w:p w14:paraId="62438D6D" w14:textId="63FA6614" w:rsidR="008E5AD0" w:rsidRDefault="008E5AD0" w:rsidP="008E5AD0"/>
    <w:p w14:paraId="31825763" w14:textId="2738AFCA" w:rsidR="00697811" w:rsidRDefault="000D06BF" w:rsidP="00697811">
      <w:r>
        <w:t>When looking at the influence of the Pharisees on the Jewish faith, many factors could be examined. Zeitlin acknowledges that</w:t>
      </w:r>
      <w:r w:rsidR="00D44CBA">
        <w:t xml:space="preserve"> </w:t>
      </w:r>
      <w:r w:rsidR="003244BD">
        <w:t xml:space="preserve">“The Pharisees </w:t>
      </w:r>
      <w:r w:rsidR="00CC722D">
        <w:t>moulded</w:t>
      </w:r>
      <w:r w:rsidR="003244BD">
        <w:t xml:space="preserve"> Judaism. Judaism of today is based </w:t>
      </w:r>
      <w:r w:rsidR="007268D4">
        <w:t>on their teachings”.</w:t>
      </w:r>
      <w:r w:rsidR="007268D4">
        <w:rPr>
          <w:rStyle w:val="FootnoteReference"/>
        </w:rPr>
        <w:footnoteReference w:id="51"/>
      </w:r>
      <w:r>
        <w:t xml:space="preserve"> Although the specific movement of Pharisaism ended around 220 AD, Orthodox, Conservative and Reform Judaism all subsequently are in debt to the group who laid down the foundations to the three main Jewish sects today.</w:t>
      </w:r>
      <w:r>
        <w:rPr>
          <w:rStyle w:val="FootnoteReference"/>
        </w:rPr>
        <w:footnoteReference w:id="52"/>
      </w:r>
      <w:r w:rsidR="00697811">
        <w:t xml:space="preserve"> The information provided by the sources discussed have helped to shed a light on the group as not all the work of the gospels or Josephus is exclusively negative, however both sources are somewhat biased</w:t>
      </w:r>
      <w:r w:rsidR="00E74746">
        <w:t xml:space="preserve"> where their motives for writing in both instances are unclear</w:t>
      </w:r>
      <w:r w:rsidR="00697811">
        <w:t>.</w:t>
      </w:r>
      <w:r w:rsidR="00E74746">
        <w:t xml:space="preserve"> When looking at the sources, particular Josephus’s work on the group, caution needs to be taken as his reliability</w:t>
      </w:r>
      <w:r w:rsidR="003D05CD">
        <w:t xml:space="preserve"> could be questioned</w:t>
      </w:r>
      <w:r w:rsidR="00E74746">
        <w:t>.</w:t>
      </w:r>
    </w:p>
    <w:p w14:paraId="6D10A69B" w14:textId="7F030276" w:rsidR="000D06BF" w:rsidRDefault="000D06BF" w:rsidP="008E5AD0"/>
    <w:p w14:paraId="3ECD286C" w14:textId="3EFF23F0" w:rsidR="00AB3C2C" w:rsidRDefault="00AB3C2C" w:rsidP="00AB3C2C">
      <w:r>
        <w:t>The Pharisees led the effort that helped to provide a solution to the Temple tragedy. Not only did Jews of the time lose their place of worship, many Jews felt with the loss of the Temple also signified they lost their relationship with God and left asking some very solemn questions: Why has God allowed this to happen? How do we express our relationship to God? The work of th</w:t>
      </w:r>
      <w:r w:rsidR="00CE3EA3">
        <w:t>e Pharisees accompanied by the oral l</w:t>
      </w:r>
      <w:r>
        <w:t>aw allowed the Jews to understand that God did not solely reside i</w:t>
      </w:r>
      <w:r w:rsidR="00750082">
        <w:t>n the Temple but was everywhere,</w:t>
      </w:r>
      <w:r w:rsidR="003D05CD">
        <w:t xml:space="preserve"> thi</w:t>
      </w:r>
      <w:r w:rsidR="00750082">
        <w:t>s is evident from the reaffirmed importance they placed on</w:t>
      </w:r>
      <w:r w:rsidR="00CE3EA3">
        <w:t xml:space="preserve"> </w:t>
      </w:r>
      <w:r w:rsidR="003D05CD">
        <w:t>the synagogue</w:t>
      </w:r>
      <w:r w:rsidR="00750082">
        <w:t>s,</w:t>
      </w:r>
      <w:bookmarkStart w:id="0" w:name="_GoBack"/>
      <w:bookmarkEnd w:id="0"/>
      <w:r w:rsidR="00750082">
        <w:t xml:space="preserve"> </w:t>
      </w:r>
      <w:r w:rsidR="003D05CD">
        <w:t>which was</w:t>
      </w:r>
      <w:r w:rsidR="00CE3EA3">
        <w:t xml:space="preserve"> at the heart of Pharaisaism before 70CE and has continued to</w:t>
      </w:r>
      <w:r w:rsidR="003D05CD">
        <w:t xml:space="preserve"> the present day</w:t>
      </w:r>
      <w:r w:rsidR="00CE3EA3">
        <w:t xml:space="preserve"> within the three mains branches of Judaism</w:t>
      </w:r>
      <w:r w:rsidR="003D05CD">
        <w:t xml:space="preserve">. </w:t>
      </w:r>
      <w:r>
        <w:t xml:space="preserve">  </w:t>
      </w:r>
    </w:p>
    <w:p w14:paraId="4F897758" w14:textId="0CE1D292" w:rsidR="008E5AD0" w:rsidRDefault="000D06BF" w:rsidP="008E5AD0">
      <w:r>
        <w:t xml:space="preserve">Without the Pharisees, the oral Torah would have been disregarded and certainly not </w:t>
      </w:r>
      <w:r w:rsidR="002D2154">
        <w:t xml:space="preserve">preserved in the Mishnah, </w:t>
      </w:r>
      <w:r>
        <w:t>which is considered to be the most important book after the Torah.</w:t>
      </w:r>
      <w:r w:rsidR="000F202D">
        <w:rPr>
          <w:rStyle w:val="FootnoteReference"/>
        </w:rPr>
        <w:footnoteReference w:id="53"/>
      </w:r>
      <w:r>
        <w:t xml:space="preserve"> The importance of purity and cleanliness of bodies but also of preparation of food</w:t>
      </w:r>
      <w:r w:rsidR="00697811">
        <w:t xml:space="preserve"> are still at the hear</w:t>
      </w:r>
      <w:r w:rsidR="00407BF7">
        <w:t>t</w:t>
      </w:r>
      <w:r w:rsidR="00697811">
        <w:t xml:space="preserve"> of the religion</w:t>
      </w:r>
      <w:r w:rsidR="00500E2E">
        <w:t xml:space="preserve"> in present day</w:t>
      </w:r>
      <w:r>
        <w:t xml:space="preserve">. </w:t>
      </w:r>
      <w:r w:rsidR="00500E2E">
        <w:t>The z</w:t>
      </w:r>
      <w:r w:rsidR="00697811">
        <w:t xml:space="preserve">ugots, particularly </w:t>
      </w:r>
      <w:r w:rsidR="00AB3C2C">
        <w:t>Hillel</w:t>
      </w:r>
      <w:r w:rsidR="00697811">
        <w:t xml:space="preserve"> who in his interpretations of the law allowed present day Jews to seek religious answers to their issues regarding divorce,</w:t>
      </w:r>
      <w:r w:rsidR="00500E2E">
        <w:t xml:space="preserve"> wearing of te</w:t>
      </w:r>
      <w:r w:rsidR="00500953">
        <w:t>ffilin and work on the Sabbath to name a few.</w:t>
      </w:r>
      <w:r w:rsidR="00500953">
        <w:rPr>
          <w:rStyle w:val="FootnoteReference"/>
        </w:rPr>
        <w:footnoteReference w:id="54"/>
      </w:r>
      <w:r w:rsidR="00500953">
        <w:t xml:space="preserve"> </w:t>
      </w:r>
      <w:r w:rsidR="00D44CBA">
        <w:t xml:space="preserve"> However</w:t>
      </w:r>
      <w:r w:rsidR="00D4228B">
        <w:t>,</w:t>
      </w:r>
      <w:r w:rsidR="00D44CBA">
        <w:t xml:space="preserve"> I do not believe the use of the </w:t>
      </w:r>
      <w:r w:rsidR="00BB2190">
        <w:t>adjective</w:t>
      </w:r>
      <w:r>
        <w:t xml:space="preserve"> ‘best’</w:t>
      </w:r>
      <w:r w:rsidR="00BB2190">
        <w:t xml:space="preserve"> is the correct choice of word</w:t>
      </w:r>
      <w:r w:rsidR="002D2154">
        <w:t xml:space="preserve"> in the title’s quote</w:t>
      </w:r>
      <w:r w:rsidR="00823735">
        <w:t>, as it is not our right to argue what is best</w:t>
      </w:r>
      <w:r w:rsidR="00BB2190">
        <w:t xml:space="preserve">. </w:t>
      </w:r>
      <w:r w:rsidR="002D2154">
        <w:t xml:space="preserve">However, the </w:t>
      </w:r>
      <w:r>
        <w:t>influence and importance of the</w:t>
      </w:r>
      <w:r w:rsidR="00500E2E">
        <w:t xml:space="preserve"> Pharisees on the</w:t>
      </w:r>
      <w:r>
        <w:t xml:space="preserve"> Jewish faith particularly following on from 70 CE cannot be denied.</w:t>
      </w:r>
    </w:p>
    <w:p w14:paraId="3029D724" w14:textId="77777777" w:rsidR="00500E2E" w:rsidRDefault="00500E2E" w:rsidP="008E5AD0"/>
    <w:p w14:paraId="502F4DEE" w14:textId="41CD72BC" w:rsidR="00500E2E" w:rsidRDefault="00500E2E" w:rsidP="008E5AD0">
      <w:r>
        <w:t>Word Count:</w:t>
      </w:r>
    </w:p>
    <w:p w14:paraId="28BCAD7B" w14:textId="77777777" w:rsidR="00923343" w:rsidRDefault="00923343" w:rsidP="008E5AD0"/>
    <w:p w14:paraId="69581203" w14:textId="77777777" w:rsidR="00923343" w:rsidRDefault="00923343" w:rsidP="008E5AD0"/>
    <w:p w14:paraId="72B7DE1F" w14:textId="77777777" w:rsidR="00923343" w:rsidRDefault="00923343" w:rsidP="008E5AD0"/>
    <w:p w14:paraId="12D12DB8" w14:textId="77777777" w:rsidR="00923343" w:rsidRDefault="00923343" w:rsidP="008E5AD0"/>
    <w:p w14:paraId="7DD3B964" w14:textId="77777777" w:rsidR="00923343" w:rsidRDefault="00923343" w:rsidP="008E5AD0"/>
    <w:p w14:paraId="3E7C3175" w14:textId="77777777" w:rsidR="00923343" w:rsidRDefault="00923343" w:rsidP="008E5AD0"/>
    <w:p w14:paraId="3D82205C" w14:textId="77777777" w:rsidR="00923343" w:rsidRDefault="00923343" w:rsidP="008E5AD0"/>
    <w:p w14:paraId="44202E81" w14:textId="77777777" w:rsidR="00923343" w:rsidRDefault="00923343" w:rsidP="008E5AD0"/>
    <w:p w14:paraId="21A4F6D6" w14:textId="77777777" w:rsidR="00923343" w:rsidRDefault="00923343" w:rsidP="008E5AD0"/>
    <w:p w14:paraId="509E3FC4" w14:textId="77777777" w:rsidR="00923343" w:rsidRDefault="00923343" w:rsidP="008E5AD0"/>
    <w:p w14:paraId="62011BBE" w14:textId="77777777" w:rsidR="00923343" w:rsidRDefault="00923343" w:rsidP="008E5AD0"/>
    <w:p w14:paraId="5F92242F" w14:textId="77777777" w:rsidR="00923343" w:rsidRDefault="00923343" w:rsidP="008E5AD0"/>
    <w:p w14:paraId="3347765B" w14:textId="77777777" w:rsidR="00245E79" w:rsidRDefault="00245E79" w:rsidP="008E5AD0"/>
    <w:p w14:paraId="2EF56B9D" w14:textId="77777777" w:rsidR="008E5AD0" w:rsidRPr="00407BF7" w:rsidRDefault="008E5AD0" w:rsidP="008E5AD0">
      <w:r w:rsidRPr="00407BF7">
        <w:t>Bibliography</w:t>
      </w:r>
    </w:p>
    <w:p w14:paraId="3AE981B0" w14:textId="77777777" w:rsidR="009921D8" w:rsidRPr="00407BF7" w:rsidRDefault="009921D8" w:rsidP="008E5AD0"/>
    <w:p w14:paraId="31340DCB" w14:textId="77777777" w:rsidR="009921D8" w:rsidRPr="00407BF7" w:rsidRDefault="009921D8" w:rsidP="009921D8">
      <w:r w:rsidRPr="00407BF7">
        <w:t xml:space="preserve">Avi-Yonah, M. and Herr, M. D.  (2007), ‘Jabneh’ in </w:t>
      </w:r>
      <w:r w:rsidRPr="00407BF7">
        <w:rPr>
          <w:i/>
        </w:rPr>
        <w:t>Encyclopaedia Judaica</w:t>
      </w:r>
      <w:r w:rsidRPr="00407BF7">
        <w:t>, Vol. 11, 2, pp.9-10, Available from:</w:t>
      </w:r>
      <w:r w:rsidRPr="00407BF7">
        <w:rPr>
          <w:i/>
        </w:rPr>
        <w:t xml:space="preserve"> </w:t>
      </w:r>
      <w:r w:rsidRPr="00407BF7">
        <w:t xml:space="preserve">Gale Virtual Reference Library, </w:t>
      </w:r>
      <w:hyperlink r:id="rId8" w:history="1">
        <w:r w:rsidRPr="00407BF7">
          <w:rPr>
            <w:rStyle w:val="Hyperlink"/>
          </w:rPr>
          <w:t>http://go.galegroup.com/ps/retrieve.do?docId=GALE%7CCX2587509822&amp;userGroupName=walamp&amp;inPS=true&amp;contentSegment=&amp;sort=RELEVANCE&amp;prodId=GVRL&amp;searchId=R1&amp;tabID=T003&amp;resultListType=RESULT_LIST&amp;currentPosition=6&amp;searchResultsType</w:t>
        </w:r>
      </w:hyperlink>
      <w:r w:rsidRPr="00407BF7">
        <w:t>=</w:t>
      </w:r>
      <w:r w:rsidRPr="00407BF7">
        <w:rPr>
          <w:i/>
        </w:rPr>
        <w:t xml:space="preserve"> </w:t>
      </w:r>
      <w:r w:rsidRPr="00407BF7">
        <w:t>(Date Accessed: 7</w:t>
      </w:r>
      <w:r w:rsidRPr="00407BF7">
        <w:rPr>
          <w:vertAlign w:val="superscript"/>
        </w:rPr>
        <w:t>th</w:t>
      </w:r>
      <w:r w:rsidRPr="00407BF7">
        <w:t xml:space="preserve"> December 2017).</w:t>
      </w:r>
    </w:p>
    <w:p w14:paraId="2B212278" w14:textId="77777777" w:rsidR="009921D8" w:rsidRPr="00407BF7" w:rsidRDefault="009921D8" w:rsidP="008E5AD0"/>
    <w:p w14:paraId="6E36CE2E" w14:textId="77777777" w:rsidR="00920595" w:rsidRPr="00407BF7" w:rsidRDefault="00920595" w:rsidP="008E5AD0"/>
    <w:p w14:paraId="47909CCB" w14:textId="684E93C8" w:rsidR="00920595" w:rsidRPr="00407BF7" w:rsidRDefault="00920595" w:rsidP="008E5AD0">
      <w:r w:rsidRPr="00407BF7">
        <w:t xml:space="preserve">Cohen, S. J. D.  (2010), ‘The Significance of Yavneh: Pharisees, Rabbis and the End of Jewish Sectarianism’ in </w:t>
      </w:r>
      <w:r w:rsidRPr="00407BF7">
        <w:rPr>
          <w:i/>
        </w:rPr>
        <w:t>The Significance of Yavneh and Other Essays in Jewish Hellenism</w:t>
      </w:r>
      <w:r w:rsidRPr="00407BF7">
        <w:t>, (Tubingen: Mohr Siebeck).</w:t>
      </w:r>
    </w:p>
    <w:p w14:paraId="25666A52" w14:textId="77777777" w:rsidR="00A64789" w:rsidRPr="00407BF7" w:rsidRDefault="00A64789" w:rsidP="008E5AD0"/>
    <w:p w14:paraId="459A75FE" w14:textId="51AD7647" w:rsidR="00A64789" w:rsidRPr="00407BF7" w:rsidRDefault="00A64789" w:rsidP="008E5AD0">
      <w:pPr>
        <w:rPr>
          <w:rFonts w:cs="Arial"/>
        </w:rPr>
      </w:pPr>
      <w:r w:rsidRPr="00407BF7">
        <w:rPr>
          <w:rFonts w:cs="Arial"/>
        </w:rPr>
        <w:t xml:space="preserve">Cohn-Sherbok, D. (2003), </w:t>
      </w:r>
      <w:r w:rsidRPr="00407BF7">
        <w:rPr>
          <w:rFonts w:cs="Arial"/>
          <w:i/>
        </w:rPr>
        <w:t>Judaism History, Belief and Practice</w:t>
      </w:r>
      <w:r w:rsidRPr="00407BF7">
        <w:rPr>
          <w:rFonts w:cs="Arial"/>
        </w:rPr>
        <w:t xml:space="preserve">, (London: Routledge). </w:t>
      </w:r>
    </w:p>
    <w:p w14:paraId="2B50FCED" w14:textId="77777777" w:rsidR="00A46365" w:rsidRPr="00407BF7" w:rsidRDefault="00A46365" w:rsidP="008E5AD0">
      <w:pPr>
        <w:rPr>
          <w:rFonts w:cs="Arial"/>
        </w:rPr>
      </w:pPr>
    </w:p>
    <w:p w14:paraId="5D03E9C9" w14:textId="29254BD2" w:rsidR="00A46365" w:rsidRDefault="00A46365" w:rsidP="008E5AD0">
      <w:pPr>
        <w:rPr>
          <w:rFonts w:cs="Arial"/>
        </w:rPr>
      </w:pPr>
      <w:r w:rsidRPr="00407BF7">
        <w:rPr>
          <w:rFonts w:cs="Arial"/>
        </w:rPr>
        <w:t>Cohn-Sherbok, D. (2010),</w:t>
      </w:r>
      <w:r w:rsidR="00B578F0" w:rsidRPr="00407BF7">
        <w:rPr>
          <w:rFonts w:cs="Arial"/>
          <w:i/>
        </w:rPr>
        <w:t xml:space="preserve"> Judaism Today</w:t>
      </w:r>
      <w:r w:rsidR="00B578F0" w:rsidRPr="00407BF7">
        <w:rPr>
          <w:rFonts w:cs="Arial"/>
        </w:rPr>
        <w:t>, (London: Continuum International Publishing Group).</w:t>
      </w:r>
    </w:p>
    <w:p w14:paraId="3793F455" w14:textId="77777777" w:rsidR="000F202D" w:rsidRDefault="000F202D" w:rsidP="008E5AD0">
      <w:pPr>
        <w:rPr>
          <w:rFonts w:cs="Arial"/>
        </w:rPr>
      </w:pPr>
    </w:p>
    <w:p w14:paraId="421136F9" w14:textId="4DF35E96" w:rsidR="000F202D" w:rsidRDefault="000F202D" w:rsidP="008E5AD0">
      <w:pPr>
        <w:rPr>
          <w:rFonts w:cs="Arial"/>
        </w:rPr>
      </w:pPr>
      <w:r>
        <w:t xml:space="preserve">Chryssides, G. D., Cohn-Sherbok, D. and El-Alami, D. (2014), </w:t>
      </w:r>
      <w:r>
        <w:rPr>
          <w:i/>
        </w:rPr>
        <w:t>Why Can’t They Get Along?: A conversation between a Muslim, a Jew and a Christian</w:t>
      </w:r>
      <w:r>
        <w:t>, (Oxford: Lion Books), p.174.</w:t>
      </w:r>
    </w:p>
    <w:p w14:paraId="2C93A7AA" w14:textId="77777777" w:rsidR="000F202D" w:rsidRDefault="000F202D" w:rsidP="008E5AD0"/>
    <w:p w14:paraId="5B8670BF" w14:textId="297FE104" w:rsidR="00416808" w:rsidRPr="00416808" w:rsidRDefault="00416808" w:rsidP="008E5AD0">
      <w:pPr>
        <w:rPr>
          <w:rFonts w:cs="Arial"/>
        </w:rPr>
      </w:pPr>
      <w:r w:rsidRPr="00416808">
        <w:t xml:space="preserve">Eisen, Y. (Unknown Date), </w:t>
      </w:r>
      <w:r w:rsidRPr="00416808">
        <w:rPr>
          <w:i/>
        </w:rPr>
        <w:t>Spiritual Leadership in Yavneh</w:t>
      </w:r>
      <w:r w:rsidRPr="00416808">
        <w:t xml:space="preserve">, </w:t>
      </w:r>
      <w:hyperlink r:id="rId9" w:history="1">
        <w:r w:rsidRPr="00416808">
          <w:rPr>
            <w:rStyle w:val="Hyperlink"/>
          </w:rPr>
          <w:t>http://www.chabad.org/library/article_cdo/aid/2713638/jewish/Spiritual-Leadership-in-Yavneh.htm</w:t>
        </w:r>
      </w:hyperlink>
      <w:r w:rsidRPr="00416808">
        <w:t xml:space="preserve"> (Date Accessed: 7th December 2017).</w:t>
      </w:r>
    </w:p>
    <w:p w14:paraId="069F55F1" w14:textId="77777777" w:rsidR="00A64789" w:rsidRPr="00407BF7" w:rsidRDefault="00A64789" w:rsidP="008E5AD0">
      <w:pPr>
        <w:rPr>
          <w:rFonts w:cs="Arial"/>
        </w:rPr>
      </w:pPr>
    </w:p>
    <w:p w14:paraId="54F71333" w14:textId="76668C4A" w:rsidR="00A430F8" w:rsidRPr="00407BF7" w:rsidRDefault="00A430F8" w:rsidP="008E5AD0">
      <w:r w:rsidRPr="00407BF7">
        <w:t xml:space="preserve">Gafni, I. (2007), ‘Anasnias Son of Zadok’ in </w:t>
      </w:r>
      <w:r w:rsidRPr="00407BF7">
        <w:rPr>
          <w:i/>
        </w:rPr>
        <w:t>Encyclopaedia Judaica</w:t>
      </w:r>
      <w:r w:rsidRPr="00407BF7">
        <w:t xml:space="preserve"> (Series online), Vol. 2, 2, p.130, Available from Gale Virtual Reference Library, http://go.galegroup.com/ps/i.do?p=GVRL&amp;sw=w&amp;u=walamp&amp;v=2.1&amp;markList=true&amp;it=r&amp;id=GALE%7CCX2587501055 (Date Accessed: 30</w:t>
      </w:r>
      <w:r w:rsidRPr="00407BF7">
        <w:rPr>
          <w:vertAlign w:val="superscript"/>
        </w:rPr>
        <w:t>th</w:t>
      </w:r>
      <w:r w:rsidRPr="00407BF7">
        <w:t xml:space="preserve"> October 2017).</w:t>
      </w:r>
    </w:p>
    <w:p w14:paraId="5BE65B6C" w14:textId="77777777" w:rsidR="008A021A" w:rsidRPr="00407BF7" w:rsidRDefault="008A021A" w:rsidP="008E5AD0"/>
    <w:p w14:paraId="47C52E2D" w14:textId="77777777" w:rsidR="00A430F8" w:rsidRPr="00407BF7" w:rsidRDefault="00A430F8" w:rsidP="008E5AD0"/>
    <w:p w14:paraId="72894185" w14:textId="0E957DBC" w:rsidR="00A430F8" w:rsidRPr="00407BF7" w:rsidRDefault="00A430F8" w:rsidP="008E5AD0">
      <w:r w:rsidRPr="00407BF7">
        <w:t xml:space="preserve">Jaffee, M. S. (2005), ‘Oral Torah’ in </w:t>
      </w:r>
      <w:r w:rsidRPr="00407BF7">
        <w:rPr>
          <w:i/>
        </w:rPr>
        <w:t>Encyclopaedia of Religion</w:t>
      </w:r>
      <w:r w:rsidRPr="00407BF7">
        <w:t xml:space="preserve"> (Series online), Vol. 10, 2, pp. 6838- 6842, Available from</w:t>
      </w:r>
      <w:r w:rsidR="00740818" w:rsidRPr="00407BF7">
        <w:t>:</w:t>
      </w:r>
      <w:r w:rsidRPr="00407BF7">
        <w:t xml:space="preserve"> Gale Virtual Reference Library, http://go.galegroup.com/ps/i.do?p=GVRL&amp;sw=w&amp;u=walamp&amp;v=2.1&amp;markList=true&amp;it=r&amp;id=GALE%7CCX3424502331 (Date Accessed: 30</w:t>
      </w:r>
      <w:r w:rsidRPr="00407BF7">
        <w:rPr>
          <w:vertAlign w:val="superscript"/>
        </w:rPr>
        <w:t>th</w:t>
      </w:r>
      <w:r w:rsidRPr="00407BF7">
        <w:t xml:space="preserve"> October 2017).</w:t>
      </w:r>
    </w:p>
    <w:p w14:paraId="2E880F16" w14:textId="77777777" w:rsidR="00923343" w:rsidRPr="00407BF7" w:rsidRDefault="00923343" w:rsidP="008E5AD0"/>
    <w:p w14:paraId="4BE83CC7" w14:textId="16386E10" w:rsidR="00966B1F" w:rsidRPr="00407BF7" w:rsidRDefault="00966B1F" w:rsidP="008E5AD0">
      <w:r w:rsidRPr="00407BF7">
        <w:t>Jeremias, J. (</w:t>
      </w:r>
      <w:r w:rsidR="00C75882" w:rsidRPr="00407BF7">
        <w:t>1969</w:t>
      </w:r>
      <w:r w:rsidRPr="00407BF7">
        <w:t>),</w:t>
      </w:r>
      <w:r w:rsidR="00C618A5" w:rsidRPr="00407BF7">
        <w:t xml:space="preserve"> </w:t>
      </w:r>
      <w:r w:rsidR="00C75882" w:rsidRPr="00407BF7">
        <w:rPr>
          <w:i/>
        </w:rPr>
        <w:t>Jerusalem in the Time of Jesus</w:t>
      </w:r>
      <w:r w:rsidR="00C75882" w:rsidRPr="00407BF7">
        <w:t>, (Philadelphia: Fortress Press).</w:t>
      </w:r>
    </w:p>
    <w:p w14:paraId="598DE3BE" w14:textId="77777777" w:rsidR="00520579" w:rsidRPr="00407BF7" w:rsidRDefault="00520579" w:rsidP="008E5AD0"/>
    <w:p w14:paraId="3366E5A9" w14:textId="2D2C18E5" w:rsidR="00520579" w:rsidRDefault="00520579" w:rsidP="008E5AD0">
      <w:r w:rsidRPr="00407BF7">
        <w:t xml:space="preserve">Jones, G. L. (1997), ‘Blind Guides’ in </w:t>
      </w:r>
      <w:r w:rsidRPr="00407BF7">
        <w:rPr>
          <w:i/>
        </w:rPr>
        <w:t>The Bones of Joseph: From Ancient Texts to the Modern Church</w:t>
      </w:r>
      <w:r w:rsidRPr="00407BF7">
        <w:t>, (Michigan:William B. Eerdmans Publishing Company).</w:t>
      </w:r>
    </w:p>
    <w:p w14:paraId="348BD4B4" w14:textId="77777777" w:rsidR="00917F35" w:rsidRDefault="00917F35" w:rsidP="008E5AD0"/>
    <w:p w14:paraId="736BBBCE" w14:textId="202E62B5" w:rsidR="00917F35" w:rsidRPr="00407BF7" w:rsidRDefault="00917F35" w:rsidP="008E5AD0">
      <w:r>
        <w:t xml:space="preserve">Kletter, R., Ziffer, I. and Zwickel, W. (2010), </w:t>
      </w:r>
      <w:r>
        <w:rPr>
          <w:i/>
        </w:rPr>
        <w:t>Yavneh</w:t>
      </w:r>
      <w:r>
        <w:t>, (Fribourg: Academia Press).</w:t>
      </w:r>
    </w:p>
    <w:p w14:paraId="27707DAE" w14:textId="77777777" w:rsidR="00966B1F" w:rsidRPr="00407BF7" w:rsidRDefault="00966B1F" w:rsidP="008E5AD0"/>
    <w:p w14:paraId="34B79AC8" w14:textId="3A4E5A55" w:rsidR="00923343" w:rsidRPr="00407BF7" w:rsidRDefault="00923343" w:rsidP="008E5AD0">
      <w:r w:rsidRPr="00407BF7">
        <w:t xml:space="preserve">Mansoor, M. (2007), ‘Pharisees’ in </w:t>
      </w:r>
      <w:r w:rsidRPr="00407BF7">
        <w:rPr>
          <w:i/>
        </w:rPr>
        <w:t>Encyclopaedia Judaica</w:t>
      </w:r>
      <w:r w:rsidRPr="00407BF7">
        <w:t xml:space="preserve"> (Series online), Vol. 16, 2, pp. 30-32, Available from Gale Virtual Reference Library, http://go.galegroup.com/ps/i.do?p=GVRL&amp;sw=w&amp;u=walamp&amp;v=2.1&amp;markList=true&amp;it=r&amp;id=GALE%7CCX2587515688 (Date Accessed: 30</w:t>
      </w:r>
      <w:r w:rsidRPr="00407BF7">
        <w:rPr>
          <w:vertAlign w:val="superscript"/>
        </w:rPr>
        <w:t>th</w:t>
      </w:r>
      <w:r w:rsidRPr="00407BF7">
        <w:t xml:space="preserve"> October 2017).</w:t>
      </w:r>
    </w:p>
    <w:p w14:paraId="053E939C" w14:textId="77777777" w:rsidR="00D946F4" w:rsidRPr="00407BF7" w:rsidRDefault="00D946F4" w:rsidP="008E5AD0"/>
    <w:p w14:paraId="4CB18869" w14:textId="32A300E9" w:rsidR="00D946F4" w:rsidRPr="00407BF7" w:rsidRDefault="00D946F4" w:rsidP="008E5AD0">
      <w:r w:rsidRPr="00407BF7">
        <w:t xml:space="preserve">Marcus, R. (1952), ‘The Pharisees in the Light of Modern Scholarship’ in </w:t>
      </w:r>
      <w:r w:rsidRPr="00407BF7">
        <w:rPr>
          <w:i/>
        </w:rPr>
        <w:t>The Journal of Religion</w:t>
      </w:r>
      <w:r w:rsidRPr="00407BF7">
        <w:t xml:space="preserve">, Vol. 32, 3, pp.153-164, Available from JSTOR: </w:t>
      </w:r>
      <w:hyperlink r:id="rId10" w:history="1">
        <w:r w:rsidRPr="00407BF7">
          <w:rPr>
            <w:rStyle w:val="Hyperlink"/>
          </w:rPr>
          <w:t>http://www.jstor.org/stable/1201164</w:t>
        </w:r>
      </w:hyperlink>
      <w:r w:rsidRPr="00407BF7">
        <w:t xml:space="preserve"> (Date Accessed: 5th December 2017).</w:t>
      </w:r>
    </w:p>
    <w:p w14:paraId="4D9937C6" w14:textId="77777777" w:rsidR="00C231CD" w:rsidRPr="00407BF7" w:rsidRDefault="00C231CD" w:rsidP="008E5AD0"/>
    <w:p w14:paraId="09FD76E2" w14:textId="7DC857BB" w:rsidR="00C231CD" w:rsidRPr="00407BF7" w:rsidRDefault="00C231CD" w:rsidP="008E5AD0">
      <w:r w:rsidRPr="00407BF7">
        <w:t xml:space="preserve">Mason, S. (1991), </w:t>
      </w:r>
      <w:r w:rsidRPr="00407BF7">
        <w:rPr>
          <w:i/>
        </w:rPr>
        <w:t>Flavius Josephus on the Pharisees: A Composition-Critical Study</w:t>
      </w:r>
      <w:r w:rsidRPr="00407BF7">
        <w:t>, (New York: Brill).</w:t>
      </w:r>
    </w:p>
    <w:p w14:paraId="09DA9719" w14:textId="77777777" w:rsidR="00C231CD" w:rsidRPr="00407BF7" w:rsidRDefault="00C231CD" w:rsidP="008E5AD0"/>
    <w:p w14:paraId="21E35ECB" w14:textId="3BD7A29D" w:rsidR="00C231CD" w:rsidRPr="00407BF7" w:rsidRDefault="00C231CD" w:rsidP="008E5AD0">
      <w:r w:rsidRPr="00407BF7">
        <w:t xml:space="preserve">Mason, S. (2003), </w:t>
      </w:r>
      <w:r w:rsidRPr="00407BF7">
        <w:rPr>
          <w:i/>
        </w:rPr>
        <w:t>Josephus and the New Testament</w:t>
      </w:r>
      <w:r w:rsidRPr="00407BF7">
        <w:t>, (Massachusetts: Hendrickson Publishers), p.9.</w:t>
      </w:r>
    </w:p>
    <w:p w14:paraId="07F9B387" w14:textId="77777777" w:rsidR="00A430F8" w:rsidRPr="00407BF7" w:rsidRDefault="00A430F8" w:rsidP="008E5AD0"/>
    <w:p w14:paraId="11690435" w14:textId="053E7190" w:rsidR="00A430F8" w:rsidRPr="00407BF7" w:rsidRDefault="00A430F8" w:rsidP="008E5AD0">
      <w:r w:rsidRPr="00407BF7">
        <w:t xml:space="preserve">Mantel, H. (2007), ‘Sanhedrin’ in </w:t>
      </w:r>
      <w:r w:rsidRPr="00407BF7">
        <w:rPr>
          <w:i/>
        </w:rPr>
        <w:t>Encyclopaedia Judaica</w:t>
      </w:r>
      <w:r w:rsidRPr="00407BF7">
        <w:t xml:space="preserve"> (Series online), Vol. 18, 2, pp. 21-23, Available from Gale Virtual Reference Library, http://go.galegroup.com/ps/i.do?p=GVRL&amp;sw=w&amp;u=walamp&amp;v=2.1&amp;markList=true&amp;it=r&amp;id=GALE%7CCX2587517488 (Date Accessed: 30</w:t>
      </w:r>
      <w:r w:rsidRPr="00407BF7">
        <w:rPr>
          <w:vertAlign w:val="superscript"/>
        </w:rPr>
        <w:t>th</w:t>
      </w:r>
      <w:r w:rsidRPr="00407BF7">
        <w:t xml:space="preserve"> October 2017). </w:t>
      </w:r>
    </w:p>
    <w:p w14:paraId="4CB97D9E" w14:textId="77777777" w:rsidR="00A430F8" w:rsidRPr="00407BF7" w:rsidRDefault="00A430F8" w:rsidP="008E5AD0"/>
    <w:p w14:paraId="0314E48D" w14:textId="14A50F29" w:rsidR="00A430F8" w:rsidRPr="00407BF7" w:rsidRDefault="00A430F8" w:rsidP="008E5AD0">
      <w:r w:rsidRPr="00407BF7">
        <w:t xml:space="preserve">Miller, S. S. (2005), ‘Hillel’ in </w:t>
      </w:r>
      <w:r w:rsidRPr="00407BF7">
        <w:rPr>
          <w:i/>
        </w:rPr>
        <w:t>Encyclopaedia of Religion</w:t>
      </w:r>
      <w:r w:rsidRPr="00407BF7">
        <w:t xml:space="preserve"> (Series online), Vol. 6, 2, pp. 3981-3982, Available from Gale Virtual Reference Library, http://go.galegroup.com/ps/i.do?p=GVRL&amp;sw=w&amp;u=walamp&amp;v=2.1&amp;markList=true&amp;it=r&amp;id=GALE%7CCX3424501347 (Date Accessed: 30</w:t>
      </w:r>
      <w:r w:rsidRPr="00407BF7">
        <w:rPr>
          <w:vertAlign w:val="superscript"/>
        </w:rPr>
        <w:t>th</w:t>
      </w:r>
      <w:r w:rsidRPr="00407BF7">
        <w:t xml:space="preserve"> October 2017).</w:t>
      </w:r>
    </w:p>
    <w:p w14:paraId="0551D566" w14:textId="77777777" w:rsidR="00D86CBB" w:rsidRPr="00407BF7" w:rsidRDefault="00D86CBB" w:rsidP="008E5AD0"/>
    <w:p w14:paraId="2F74645A" w14:textId="1C62B42B" w:rsidR="00D86CBB" w:rsidRPr="00407BF7" w:rsidRDefault="00D86CBB" w:rsidP="008E5AD0">
      <w:pPr>
        <w:rPr>
          <w:rFonts w:cs="Helvetica"/>
          <w:color w:val="191919"/>
          <w:lang w:val="en-US"/>
        </w:rPr>
      </w:pPr>
      <w:r w:rsidRPr="00407BF7">
        <w:rPr>
          <w:rFonts w:cs="Helvetica"/>
          <w:color w:val="191919"/>
          <w:lang w:val="en-US"/>
        </w:rPr>
        <w:t xml:space="preserve">Neusner, J (1984), </w:t>
      </w:r>
      <w:r w:rsidRPr="00407BF7">
        <w:rPr>
          <w:rFonts w:cs="Helvetica"/>
          <w:i/>
          <w:iCs/>
          <w:color w:val="191919"/>
          <w:lang w:val="en-US"/>
        </w:rPr>
        <w:t>Judaism in the Beginning of Christianity</w:t>
      </w:r>
      <w:r w:rsidR="005B3201" w:rsidRPr="00407BF7">
        <w:rPr>
          <w:rFonts w:cs="Helvetica"/>
          <w:color w:val="191919"/>
          <w:lang w:val="en-US"/>
        </w:rPr>
        <w:t>, (Philadelphia: Fortress Press).</w:t>
      </w:r>
    </w:p>
    <w:p w14:paraId="10C1FBD0" w14:textId="77777777" w:rsidR="00407BF7" w:rsidRPr="00407BF7" w:rsidRDefault="00407BF7" w:rsidP="008E5AD0">
      <w:pPr>
        <w:rPr>
          <w:rFonts w:cs="Helvetica"/>
          <w:color w:val="191919"/>
          <w:lang w:val="en-US"/>
        </w:rPr>
      </w:pPr>
    </w:p>
    <w:p w14:paraId="21EBD957" w14:textId="77777777" w:rsidR="00407BF7" w:rsidRPr="00407BF7" w:rsidRDefault="00407BF7" w:rsidP="00407BF7">
      <w:pPr>
        <w:rPr>
          <w:rFonts w:cs="Arial"/>
        </w:rPr>
      </w:pPr>
      <w:r w:rsidRPr="00407BF7">
        <w:rPr>
          <w:rFonts w:cs="Arial"/>
        </w:rPr>
        <w:t xml:space="preserve">Pilkington, C. M. (1995), </w:t>
      </w:r>
      <w:r w:rsidRPr="00407BF7">
        <w:rPr>
          <w:rFonts w:cs="Arial"/>
          <w:i/>
          <w:iCs/>
        </w:rPr>
        <w:t xml:space="preserve">World Faiths Judaism, </w:t>
      </w:r>
      <w:r w:rsidRPr="00407BF7">
        <w:rPr>
          <w:rFonts w:cs="Arial"/>
        </w:rPr>
        <w:t>(London: Teach Yourself Books).</w:t>
      </w:r>
    </w:p>
    <w:p w14:paraId="7CE61621" w14:textId="77777777" w:rsidR="00407BF7" w:rsidRPr="00407BF7" w:rsidRDefault="00407BF7" w:rsidP="008E5AD0"/>
    <w:p w14:paraId="40751022" w14:textId="77777777" w:rsidR="008E5AD0" w:rsidRPr="00407BF7" w:rsidRDefault="008E5AD0" w:rsidP="008E5AD0"/>
    <w:p w14:paraId="4AF5504D" w14:textId="6A18F136" w:rsidR="00766248" w:rsidRPr="00407BF7" w:rsidRDefault="00766248" w:rsidP="008E5AD0">
      <w:r w:rsidRPr="00407BF7">
        <w:t>Rabinowitz</w:t>
      </w:r>
      <w:r w:rsidR="00E05B7A" w:rsidRPr="00407BF7">
        <w:t>, L. I.</w:t>
      </w:r>
      <w:r w:rsidRPr="00407BF7">
        <w:t xml:space="preserve"> (</w:t>
      </w:r>
      <w:r w:rsidR="00E05B7A" w:rsidRPr="00407BF7">
        <w:t>2007</w:t>
      </w:r>
      <w:r w:rsidRPr="00407BF7">
        <w:t xml:space="preserve">), ‘Synagogue’ in </w:t>
      </w:r>
      <w:r w:rsidRPr="00407BF7">
        <w:rPr>
          <w:i/>
        </w:rPr>
        <w:t>Encyclopaedia Judaica</w:t>
      </w:r>
      <w:r w:rsidRPr="00407BF7">
        <w:t>, Vol. 19, 2, pp. 352-383, Available from Gale Virtual Reference Library, http://go.galegroup.com/ps/retrieve.do?tabID=T003&amp;resultListType=RESULT_LIST&amp;searchResultsType=SingleTab&amp;searchType=BasicSearchForm&amp;currentPosition=1&amp;docId=GALE%7CCX2587519427&amp;docType=Topic+overview&amp;sort=RELEVANCE&amp;contentSegment=&amp;prodId=GVRL&amp;contentSet=GALE%7CCX2587519427&amp;searchId=R1&amp;userGroupName=walamp&amp;inPS=true# (Date Accessed: 5</w:t>
      </w:r>
      <w:r w:rsidRPr="00407BF7">
        <w:rPr>
          <w:vertAlign w:val="superscript"/>
        </w:rPr>
        <w:t>th</w:t>
      </w:r>
      <w:r w:rsidRPr="00407BF7">
        <w:t xml:space="preserve"> December 2017).</w:t>
      </w:r>
    </w:p>
    <w:p w14:paraId="401689B1" w14:textId="77777777" w:rsidR="00766248" w:rsidRPr="00407BF7" w:rsidRDefault="00766248" w:rsidP="008E5AD0"/>
    <w:p w14:paraId="440EDDF5" w14:textId="2260712E" w:rsidR="00473D13" w:rsidRPr="00407BF7" w:rsidRDefault="00473D13" w:rsidP="008E5AD0">
      <w:r w:rsidRPr="00407BF7">
        <w:t xml:space="preserve">Saldarini, A. J. (2001), </w:t>
      </w:r>
      <w:r w:rsidRPr="00407BF7">
        <w:rPr>
          <w:i/>
        </w:rPr>
        <w:t>Pharisees, Scribes and Sadducees in Palestinian Society: A Sociological Approach</w:t>
      </w:r>
      <w:r w:rsidRPr="00407BF7">
        <w:t>, (Michigan: Wm. B. Eerdmans Publishing Company).</w:t>
      </w:r>
    </w:p>
    <w:p w14:paraId="039A2EC6" w14:textId="77777777" w:rsidR="00C504A4" w:rsidRPr="00407BF7" w:rsidRDefault="00C504A4" w:rsidP="008E5AD0"/>
    <w:p w14:paraId="2DA67FCB" w14:textId="4807C2A5" w:rsidR="003435BC" w:rsidRPr="00407BF7" w:rsidRDefault="003435BC" w:rsidP="008E5AD0">
      <w:r w:rsidRPr="00407BF7">
        <w:t xml:space="preserve"> Salzberg, A. (Unknown Date), </w:t>
      </w:r>
      <w:r w:rsidRPr="00407BF7">
        <w:rPr>
          <w:i/>
        </w:rPr>
        <w:t>Judaism after the Temple</w:t>
      </w:r>
      <w:r w:rsidRPr="00407BF7">
        <w:t>, https://www.myjewishlearning.com/article/judaism-after-the-temple/ (Date Accessed:7</w:t>
      </w:r>
      <w:r w:rsidRPr="00407BF7">
        <w:rPr>
          <w:vertAlign w:val="superscript"/>
        </w:rPr>
        <w:t>th</w:t>
      </w:r>
      <w:r w:rsidRPr="00407BF7">
        <w:t xml:space="preserve"> December 2017).</w:t>
      </w:r>
    </w:p>
    <w:p w14:paraId="67816D61" w14:textId="77777777" w:rsidR="003435BC" w:rsidRPr="00407BF7" w:rsidRDefault="003435BC" w:rsidP="008E5AD0"/>
    <w:p w14:paraId="4D011016" w14:textId="038CC54C" w:rsidR="00C504A4" w:rsidRPr="00407BF7" w:rsidRDefault="00C504A4" w:rsidP="008E5AD0">
      <w:r w:rsidRPr="00407BF7">
        <w:rPr>
          <w:color w:val="000000"/>
        </w:rPr>
        <w:t>Sanders, E. P. (1992). </w:t>
      </w:r>
      <w:r w:rsidRPr="00407BF7">
        <w:rPr>
          <w:i/>
          <w:iCs/>
          <w:color w:val="000000"/>
        </w:rPr>
        <w:t>Judaism: Practice and Belief, 63 BCE-66 CE</w:t>
      </w:r>
      <w:r w:rsidRPr="00407BF7">
        <w:rPr>
          <w:color w:val="000000"/>
        </w:rPr>
        <w:t>, (London: SCM Press), pp.413-451.</w:t>
      </w:r>
    </w:p>
    <w:p w14:paraId="0965C744" w14:textId="77777777" w:rsidR="00473D13" w:rsidRPr="00407BF7" w:rsidRDefault="00473D13" w:rsidP="008E5AD0"/>
    <w:p w14:paraId="37C67CD0" w14:textId="77777777" w:rsidR="00391281" w:rsidRPr="00407BF7" w:rsidRDefault="008E5AD0">
      <w:r w:rsidRPr="00407BF7">
        <w:rPr>
          <w:rFonts w:cs="Arial"/>
        </w:rPr>
        <w:t xml:space="preserve">Werblowsky, R. J. Z. and Wigoder, G. (1997), </w:t>
      </w:r>
      <w:r w:rsidRPr="00407BF7">
        <w:rPr>
          <w:rFonts w:cs="Arial"/>
          <w:i/>
        </w:rPr>
        <w:t>The Oxford Dictionary of the Jewish Religion</w:t>
      </w:r>
      <w:r w:rsidRPr="00407BF7">
        <w:rPr>
          <w:rFonts w:cs="Arial"/>
        </w:rPr>
        <w:t>, (New York: Oxford University Press) pp.528-529.</w:t>
      </w:r>
      <w:r w:rsidRPr="00407BF7">
        <w:t xml:space="preserve"> </w:t>
      </w:r>
    </w:p>
    <w:p w14:paraId="5A55786F" w14:textId="77777777" w:rsidR="00391281" w:rsidRPr="00407BF7" w:rsidRDefault="00391281"/>
    <w:p w14:paraId="18A0B879" w14:textId="673CFA63" w:rsidR="00D261F8" w:rsidRPr="00407BF7" w:rsidRDefault="00391281">
      <w:r w:rsidRPr="00407BF7">
        <w:t xml:space="preserve">Williams, D. S. (1993), ‘Morton Smith on the Pharisees in Josephus’ in </w:t>
      </w:r>
      <w:r w:rsidRPr="00407BF7">
        <w:rPr>
          <w:i/>
        </w:rPr>
        <w:t>The Jewish Quarterly Review</w:t>
      </w:r>
      <w:r w:rsidRPr="00407BF7">
        <w:t>, Vol. 84, 1, pp.29-41.</w:t>
      </w:r>
    </w:p>
    <w:p w14:paraId="06FEF032" w14:textId="77777777" w:rsidR="003D10B3" w:rsidRPr="00407BF7" w:rsidRDefault="003D10B3"/>
    <w:p w14:paraId="7D51598B" w14:textId="77A9A831" w:rsidR="003D10B3" w:rsidRPr="00407BF7" w:rsidRDefault="003D10B3">
      <w:r w:rsidRPr="00407BF7">
        <w:t xml:space="preserve">Zeitlin, S. (1961), ‘The Pharisees: A Historical Study’ in </w:t>
      </w:r>
      <w:r w:rsidRPr="00407BF7">
        <w:rPr>
          <w:i/>
        </w:rPr>
        <w:t>The Jewish Quarterly Review</w:t>
      </w:r>
      <w:r w:rsidRPr="00407BF7">
        <w:t>, Vol 52, 2, Available from JSTOR: http://www.jstor.org/stable/1453781, (Date Accessed: 29</w:t>
      </w:r>
      <w:r w:rsidRPr="00407BF7">
        <w:rPr>
          <w:vertAlign w:val="superscript"/>
        </w:rPr>
        <w:t>th</w:t>
      </w:r>
      <w:r w:rsidRPr="00407BF7">
        <w:t xml:space="preserve"> November 2017), p.97-129.</w:t>
      </w:r>
    </w:p>
    <w:sectPr w:rsidR="003D10B3" w:rsidRPr="00407BF7" w:rsidSect="00E3535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44DD71" w14:textId="77777777" w:rsidR="00A21DE4" w:rsidRDefault="00A21DE4" w:rsidP="00BE23CC">
      <w:r>
        <w:separator/>
      </w:r>
    </w:p>
  </w:endnote>
  <w:endnote w:type="continuationSeparator" w:id="0">
    <w:p w14:paraId="10C85409" w14:textId="77777777" w:rsidR="00A21DE4" w:rsidRDefault="00A21DE4" w:rsidP="00BE2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E5D616" w14:textId="77777777" w:rsidR="00A21DE4" w:rsidRDefault="00A21DE4" w:rsidP="00BE23CC">
      <w:r>
        <w:separator/>
      </w:r>
    </w:p>
  </w:footnote>
  <w:footnote w:type="continuationSeparator" w:id="0">
    <w:p w14:paraId="469E3334" w14:textId="77777777" w:rsidR="00A21DE4" w:rsidRDefault="00A21DE4" w:rsidP="00BE23CC">
      <w:r>
        <w:continuationSeparator/>
      </w:r>
    </w:p>
  </w:footnote>
  <w:footnote w:id="1">
    <w:p w14:paraId="5FC431F6" w14:textId="645A8FF5" w:rsidR="00E81AA7" w:rsidRPr="00500E2E" w:rsidRDefault="00E81AA7" w:rsidP="00500E2E">
      <w:pPr>
        <w:rPr>
          <w:sz w:val="18"/>
          <w:szCs w:val="18"/>
        </w:rPr>
      </w:pPr>
      <w:r w:rsidRPr="00500E2E">
        <w:rPr>
          <w:rStyle w:val="FootnoteReference"/>
          <w:sz w:val="18"/>
          <w:szCs w:val="18"/>
        </w:rPr>
        <w:footnoteRef/>
      </w:r>
      <w:r w:rsidR="00500E2E" w:rsidRPr="00500E2E">
        <w:rPr>
          <w:sz w:val="18"/>
          <w:szCs w:val="18"/>
        </w:rPr>
        <w:t xml:space="preserve"> J. Jeremias (1969), </w:t>
      </w:r>
      <w:r w:rsidR="00500E2E" w:rsidRPr="00500E2E">
        <w:rPr>
          <w:i/>
          <w:sz w:val="18"/>
          <w:szCs w:val="18"/>
        </w:rPr>
        <w:t>Jerusalem in the Time of Jesus</w:t>
      </w:r>
      <w:r w:rsidR="00500E2E" w:rsidRPr="00500E2E">
        <w:rPr>
          <w:sz w:val="18"/>
          <w:szCs w:val="18"/>
        </w:rPr>
        <w:t xml:space="preserve">, (Philadelphia: Fortress Press), </w:t>
      </w:r>
      <w:r w:rsidRPr="00500E2E">
        <w:rPr>
          <w:sz w:val="18"/>
          <w:szCs w:val="18"/>
        </w:rPr>
        <w:t>p.246</w:t>
      </w:r>
      <w:r w:rsidR="00500E2E" w:rsidRPr="00500E2E">
        <w:rPr>
          <w:sz w:val="18"/>
          <w:szCs w:val="18"/>
        </w:rPr>
        <w:t>.</w:t>
      </w:r>
    </w:p>
  </w:footnote>
  <w:footnote w:id="2">
    <w:p w14:paraId="4676FD41" w14:textId="5AE3A54D" w:rsidR="003D10B3" w:rsidRPr="00500E2E" w:rsidRDefault="003D10B3" w:rsidP="003D10B3">
      <w:pPr>
        <w:pStyle w:val="NormalWeb"/>
        <w:spacing w:before="0" w:beforeAutospacing="0" w:after="0" w:afterAutospacing="0"/>
        <w:rPr>
          <w:rFonts w:asciiTheme="minorHAnsi" w:hAnsiTheme="minorHAnsi"/>
          <w:sz w:val="18"/>
          <w:szCs w:val="18"/>
        </w:rPr>
      </w:pPr>
      <w:r w:rsidRPr="00500E2E">
        <w:rPr>
          <w:rStyle w:val="FootnoteReference"/>
          <w:rFonts w:asciiTheme="minorHAnsi" w:hAnsiTheme="minorHAnsi"/>
          <w:sz w:val="18"/>
          <w:szCs w:val="18"/>
        </w:rPr>
        <w:footnoteRef/>
      </w:r>
      <w:r w:rsidRPr="00500E2E">
        <w:rPr>
          <w:rFonts w:asciiTheme="minorHAnsi" w:hAnsiTheme="minorHAnsi"/>
          <w:sz w:val="18"/>
          <w:szCs w:val="18"/>
        </w:rPr>
        <w:t xml:space="preserve"> S. Zeitlin (1961), ‘The Pharisees: A Historical Study’ in </w:t>
      </w:r>
      <w:r w:rsidRPr="00500E2E">
        <w:rPr>
          <w:rFonts w:asciiTheme="minorHAnsi" w:hAnsiTheme="minorHAnsi"/>
          <w:i/>
          <w:sz w:val="18"/>
          <w:szCs w:val="18"/>
        </w:rPr>
        <w:t>The Jewish Quarterly Review</w:t>
      </w:r>
      <w:r w:rsidRPr="00500E2E">
        <w:rPr>
          <w:rFonts w:asciiTheme="minorHAnsi" w:hAnsiTheme="minorHAnsi"/>
          <w:sz w:val="18"/>
          <w:szCs w:val="18"/>
        </w:rPr>
        <w:t>, Vol 52, 2, Available from JSTOR: http://www.jstor.org/stable/1453781, (Date Accessed: 29</w:t>
      </w:r>
      <w:r w:rsidRPr="00500E2E">
        <w:rPr>
          <w:rFonts w:asciiTheme="minorHAnsi" w:hAnsiTheme="minorHAnsi"/>
          <w:sz w:val="18"/>
          <w:szCs w:val="18"/>
          <w:vertAlign w:val="superscript"/>
        </w:rPr>
        <w:t>th</w:t>
      </w:r>
      <w:r w:rsidRPr="00500E2E">
        <w:rPr>
          <w:rFonts w:asciiTheme="minorHAnsi" w:hAnsiTheme="minorHAnsi"/>
          <w:sz w:val="18"/>
          <w:szCs w:val="18"/>
        </w:rPr>
        <w:t xml:space="preserve"> November 2017), p.99.</w:t>
      </w:r>
    </w:p>
  </w:footnote>
  <w:footnote w:id="3">
    <w:p w14:paraId="5866FCBC" w14:textId="2546A9EC" w:rsidR="000B3B18" w:rsidRPr="00500E2E" w:rsidRDefault="000B3B18">
      <w:pPr>
        <w:pStyle w:val="FootnoteText"/>
        <w:rPr>
          <w:sz w:val="18"/>
          <w:szCs w:val="18"/>
        </w:rPr>
      </w:pPr>
      <w:r w:rsidRPr="00500E2E">
        <w:rPr>
          <w:rStyle w:val="FootnoteReference"/>
          <w:sz w:val="18"/>
          <w:szCs w:val="18"/>
        </w:rPr>
        <w:footnoteRef/>
      </w:r>
      <w:r w:rsidR="00500E2E" w:rsidRPr="00500E2E">
        <w:rPr>
          <w:sz w:val="18"/>
          <w:szCs w:val="18"/>
        </w:rPr>
        <w:t xml:space="preserve"> J. Jeremias (1969), Jerusalem, </w:t>
      </w:r>
      <w:r w:rsidRPr="00500E2E">
        <w:rPr>
          <w:sz w:val="18"/>
          <w:szCs w:val="18"/>
        </w:rPr>
        <w:t>p.259</w:t>
      </w:r>
    </w:p>
  </w:footnote>
  <w:footnote w:id="4">
    <w:p w14:paraId="17AC9459" w14:textId="425A2C75" w:rsidR="004D06BA" w:rsidRPr="00500E2E" w:rsidRDefault="004D06BA">
      <w:pPr>
        <w:pStyle w:val="FootnoteText"/>
        <w:rPr>
          <w:sz w:val="18"/>
          <w:szCs w:val="18"/>
        </w:rPr>
      </w:pPr>
      <w:r w:rsidRPr="00500E2E">
        <w:rPr>
          <w:rStyle w:val="FootnoteReference"/>
          <w:sz w:val="18"/>
          <w:szCs w:val="18"/>
        </w:rPr>
        <w:footnoteRef/>
      </w:r>
      <w:r w:rsidRPr="00500E2E">
        <w:rPr>
          <w:sz w:val="18"/>
          <w:szCs w:val="18"/>
        </w:rPr>
        <w:t xml:space="preserve"> R. Marcus (1952), ‘The Pharisees in the Light of Modern Scholarship’ in </w:t>
      </w:r>
      <w:r w:rsidRPr="00500E2E">
        <w:rPr>
          <w:i/>
          <w:sz w:val="18"/>
          <w:szCs w:val="18"/>
        </w:rPr>
        <w:t>The Journal of Religion</w:t>
      </w:r>
      <w:r w:rsidRPr="00500E2E">
        <w:rPr>
          <w:sz w:val="18"/>
          <w:szCs w:val="18"/>
        </w:rPr>
        <w:t>, Vol. 32, 3, Available from JSTOR: http://www.jstor.org/stable/1201164 (Date Accessed: 5th December 2017), p.153.</w:t>
      </w:r>
    </w:p>
  </w:footnote>
  <w:footnote w:id="5">
    <w:p w14:paraId="0C893E1D" w14:textId="01B9851A" w:rsidR="00BE23CC" w:rsidRPr="00500E2E" w:rsidRDefault="00BE23CC" w:rsidP="00E649F5">
      <w:pPr>
        <w:rPr>
          <w:rFonts w:cs="Arial"/>
          <w:sz w:val="18"/>
          <w:szCs w:val="18"/>
        </w:rPr>
      </w:pPr>
      <w:r w:rsidRPr="00500E2E">
        <w:rPr>
          <w:rStyle w:val="FootnoteReference"/>
          <w:sz w:val="18"/>
          <w:szCs w:val="18"/>
        </w:rPr>
        <w:footnoteRef/>
      </w:r>
      <w:r w:rsidRPr="00500E2E">
        <w:rPr>
          <w:sz w:val="18"/>
          <w:szCs w:val="18"/>
        </w:rPr>
        <w:t xml:space="preserve"> D. </w:t>
      </w:r>
      <w:r w:rsidRPr="00500E2E">
        <w:rPr>
          <w:rFonts w:cs="Arial"/>
          <w:sz w:val="18"/>
          <w:szCs w:val="18"/>
        </w:rPr>
        <w:t xml:space="preserve">Cohn-Sherbok (2003), </w:t>
      </w:r>
      <w:r w:rsidRPr="00500E2E">
        <w:rPr>
          <w:rFonts w:cs="Arial"/>
          <w:i/>
          <w:sz w:val="18"/>
          <w:szCs w:val="18"/>
        </w:rPr>
        <w:t>Judaism History, Belief and Practice</w:t>
      </w:r>
      <w:r w:rsidRPr="00500E2E">
        <w:rPr>
          <w:rFonts w:cs="Arial"/>
          <w:sz w:val="18"/>
          <w:szCs w:val="18"/>
        </w:rPr>
        <w:t xml:space="preserve">, (London: Routledge), p. 90. </w:t>
      </w:r>
    </w:p>
  </w:footnote>
  <w:footnote w:id="6">
    <w:p w14:paraId="347C9DB8" w14:textId="17A4DD1C" w:rsidR="008E3DF8" w:rsidRPr="00500E2E" w:rsidRDefault="008E3DF8">
      <w:pPr>
        <w:pStyle w:val="FootnoteText"/>
        <w:rPr>
          <w:sz w:val="18"/>
          <w:szCs w:val="18"/>
        </w:rPr>
      </w:pPr>
      <w:r w:rsidRPr="00500E2E">
        <w:rPr>
          <w:rStyle w:val="FootnoteReference"/>
          <w:sz w:val="18"/>
          <w:szCs w:val="18"/>
        </w:rPr>
        <w:footnoteRef/>
      </w:r>
      <w:r w:rsidRPr="00500E2E">
        <w:rPr>
          <w:sz w:val="18"/>
          <w:szCs w:val="18"/>
        </w:rPr>
        <w:t xml:space="preserve"> S. Zeitlin (1961), ‘The Pharisees’, p.125.</w:t>
      </w:r>
    </w:p>
  </w:footnote>
  <w:footnote w:id="7">
    <w:p w14:paraId="1FCDBFB3" w14:textId="2B969882" w:rsidR="0043002C" w:rsidRPr="00500E2E" w:rsidRDefault="0043002C" w:rsidP="00DF4823">
      <w:pPr>
        <w:rPr>
          <w:sz w:val="18"/>
          <w:szCs w:val="18"/>
        </w:rPr>
      </w:pPr>
      <w:r w:rsidRPr="00500E2E">
        <w:rPr>
          <w:rStyle w:val="FootnoteReference"/>
          <w:sz w:val="18"/>
          <w:szCs w:val="18"/>
        </w:rPr>
        <w:footnoteRef/>
      </w:r>
      <w:r w:rsidRPr="00500E2E">
        <w:rPr>
          <w:sz w:val="18"/>
          <w:szCs w:val="18"/>
        </w:rPr>
        <w:t xml:space="preserve"> </w:t>
      </w:r>
      <w:r w:rsidR="00C96474" w:rsidRPr="00500E2E">
        <w:rPr>
          <w:sz w:val="18"/>
          <w:szCs w:val="18"/>
        </w:rPr>
        <w:t xml:space="preserve">Mansoor, M. (2007), ‘Pharisees’ in </w:t>
      </w:r>
      <w:r w:rsidR="00C96474" w:rsidRPr="00500E2E">
        <w:rPr>
          <w:i/>
          <w:sz w:val="18"/>
          <w:szCs w:val="18"/>
        </w:rPr>
        <w:t>Encyclopaedia Judaica</w:t>
      </w:r>
      <w:r w:rsidR="00C96474" w:rsidRPr="00500E2E">
        <w:rPr>
          <w:sz w:val="18"/>
          <w:szCs w:val="18"/>
        </w:rPr>
        <w:t xml:space="preserve"> (Series online), Vol. 16, 2, pp. 30-32, Available from </w:t>
      </w:r>
      <w:r w:rsidR="00500E2E">
        <w:rPr>
          <w:sz w:val="18"/>
          <w:szCs w:val="18"/>
        </w:rPr>
        <w:t xml:space="preserve">Gale Virtual Reference Library, </w:t>
      </w:r>
      <w:r w:rsidR="00C96474" w:rsidRPr="00500E2E">
        <w:rPr>
          <w:sz w:val="18"/>
          <w:szCs w:val="18"/>
        </w:rPr>
        <w:t>http://go.galegroup.com/ps/i.do?p=GVRL&amp;sw=w&amp;u=walamp&amp;v=2.1&amp;markList=true&amp;it=r&amp;id=GALE%7CCX2587515688 (Date Accessed: 30</w:t>
      </w:r>
      <w:r w:rsidR="00C96474" w:rsidRPr="00500E2E">
        <w:rPr>
          <w:sz w:val="18"/>
          <w:szCs w:val="18"/>
          <w:vertAlign w:val="superscript"/>
        </w:rPr>
        <w:t>th</w:t>
      </w:r>
      <w:r w:rsidR="00DF4823" w:rsidRPr="00500E2E">
        <w:rPr>
          <w:sz w:val="18"/>
          <w:szCs w:val="18"/>
        </w:rPr>
        <w:t xml:space="preserve"> October 2017), p. </w:t>
      </w:r>
      <w:r w:rsidRPr="00500E2E">
        <w:rPr>
          <w:sz w:val="18"/>
          <w:szCs w:val="18"/>
        </w:rPr>
        <w:t>30.</w:t>
      </w:r>
    </w:p>
  </w:footnote>
  <w:footnote w:id="8">
    <w:p w14:paraId="1AADD1FB" w14:textId="7E0CA529" w:rsidR="00DF4823" w:rsidRPr="00500E2E" w:rsidRDefault="00DF4823">
      <w:pPr>
        <w:pStyle w:val="FootnoteText"/>
        <w:rPr>
          <w:sz w:val="18"/>
          <w:szCs w:val="18"/>
        </w:rPr>
      </w:pPr>
      <w:r w:rsidRPr="00500E2E">
        <w:rPr>
          <w:rStyle w:val="FootnoteReference"/>
          <w:sz w:val="18"/>
          <w:szCs w:val="18"/>
        </w:rPr>
        <w:footnoteRef/>
      </w:r>
      <w:r w:rsidRPr="00500E2E">
        <w:rPr>
          <w:sz w:val="18"/>
          <w:szCs w:val="18"/>
        </w:rPr>
        <w:t xml:space="preserve"> Mansoor, M. (2007), ‘Pharisees’, p.30.</w:t>
      </w:r>
    </w:p>
  </w:footnote>
  <w:footnote w:id="9">
    <w:p w14:paraId="1D6F13D7" w14:textId="3E0FC463" w:rsidR="006B73AE" w:rsidRPr="00500E2E" w:rsidRDefault="006B73AE">
      <w:pPr>
        <w:pStyle w:val="FootnoteText"/>
        <w:rPr>
          <w:sz w:val="18"/>
          <w:szCs w:val="18"/>
        </w:rPr>
      </w:pPr>
      <w:r w:rsidRPr="00500E2E">
        <w:rPr>
          <w:rStyle w:val="FootnoteReference"/>
          <w:sz w:val="18"/>
          <w:szCs w:val="18"/>
        </w:rPr>
        <w:footnoteRef/>
      </w:r>
      <w:r w:rsidRPr="00500E2E">
        <w:rPr>
          <w:sz w:val="18"/>
          <w:szCs w:val="18"/>
        </w:rPr>
        <w:t xml:space="preserve"> </w:t>
      </w:r>
      <w:r w:rsidR="00500E2E" w:rsidRPr="00500E2E">
        <w:rPr>
          <w:sz w:val="18"/>
          <w:szCs w:val="18"/>
        </w:rPr>
        <w:t xml:space="preserve">J. Jeremias (1969), Jerusalem, </w:t>
      </w:r>
      <w:r w:rsidRPr="00500E2E">
        <w:rPr>
          <w:sz w:val="18"/>
          <w:szCs w:val="18"/>
        </w:rPr>
        <w:t>p.247.</w:t>
      </w:r>
    </w:p>
  </w:footnote>
  <w:footnote w:id="10">
    <w:p w14:paraId="0AAE1D2D" w14:textId="77777777" w:rsidR="000B411F" w:rsidRPr="00500E2E" w:rsidRDefault="000B411F" w:rsidP="000B411F">
      <w:pPr>
        <w:pStyle w:val="FootnoteText"/>
        <w:rPr>
          <w:sz w:val="18"/>
          <w:szCs w:val="18"/>
        </w:rPr>
      </w:pPr>
      <w:r w:rsidRPr="00500E2E">
        <w:rPr>
          <w:rStyle w:val="FootnoteReference"/>
          <w:sz w:val="18"/>
          <w:szCs w:val="18"/>
        </w:rPr>
        <w:footnoteRef/>
      </w:r>
      <w:r w:rsidRPr="00500E2E">
        <w:rPr>
          <w:sz w:val="18"/>
          <w:szCs w:val="18"/>
        </w:rPr>
        <w:t xml:space="preserve"> S. Mason (1991), </w:t>
      </w:r>
      <w:r w:rsidRPr="00500E2E">
        <w:rPr>
          <w:i/>
          <w:sz w:val="18"/>
          <w:szCs w:val="18"/>
        </w:rPr>
        <w:t>Flavius Josephus on the Pharisees: A Composition-Critical Study</w:t>
      </w:r>
      <w:r w:rsidRPr="00500E2E">
        <w:rPr>
          <w:sz w:val="18"/>
          <w:szCs w:val="18"/>
        </w:rPr>
        <w:t>, (New York: Brill), p.3.</w:t>
      </w:r>
    </w:p>
  </w:footnote>
  <w:footnote w:id="11">
    <w:p w14:paraId="0276BF32" w14:textId="77777777" w:rsidR="00350153" w:rsidRPr="00500E2E" w:rsidRDefault="00350153" w:rsidP="00350153">
      <w:pPr>
        <w:pStyle w:val="FootnoteText"/>
        <w:rPr>
          <w:sz w:val="18"/>
          <w:szCs w:val="18"/>
        </w:rPr>
      </w:pPr>
      <w:r w:rsidRPr="00500E2E">
        <w:rPr>
          <w:rStyle w:val="FootnoteReference"/>
          <w:sz w:val="18"/>
          <w:szCs w:val="18"/>
        </w:rPr>
        <w:footnoteRef/>
      </w:r>
      <w:r w:rsidRPr="00500E2E">
        <w:rPr>
          <w:sz w:val="18"/>
          <w:szCs w:val="18"/>
        </w:rPr>
        <w:t xml:space="preserve"> S. Mason (2003), </w:t>
      </w:r>
      <w:r w:rsidRPr="00500E2E">
        <w:rPr>
          <w:i/>
          <w:sz w:val="18"/>
          <w:szCs w:val="18"/>
        </w:rPr>
        <w:t>Josephus and the New Testament</w:t>
      </w:r>
      <w:r w:rsidRPr="00500E2E">
        <w:rPr>
          <w:sz w:val="18"/>
          <w:szCs w:val="18"/>
        </w:rPr>
        <w:t>, (Massachusetts: Hendrickson Publishers), p.9.</w:t>
      </w:r>
    </w:p>
  </w:footnote>
  <w:footnote w:id="12">
    <w:p w14:paraId="20917FAA" w14:textId="77777777" w:rsidR="00350153" w:rsidRPr="00491D3D" w:rsidRDefault="00350153" w:rsidP="00350153">
      <w:pPr>
        <w:pStyle w:val="FootnoteText"/>
        <w:rPr>
          <w:sz w:val="18"/>
          <w:szCs w:val="18"/>
        </w:rPr>
      </w:pPr>
      <w:r w:rsidRPr="00500E2E">
        <w:rPr>
          <w:rStyle w:val="FootnoteReference"/>
          <w:sz w:val="18"/>
          <w:szCs w:val="18"/>
        </w:rPr>
        <w:footnoteRef/>
      </w:r>
      <w:r w:rsidRPr="00500E2E">
        <w:rPr>
          <w:sz w:val="18"/>
          <w:szCs w:val="18"/>
        </w:rPr>
        <w:t xml:space="preserve"> S. Mason (2003), </w:t>
      </w:r>
      <w:r w:rsidRPr="00500E2E">
        <w:rPr>
          <w:i/>
          <w:sz w:val="18"/>
          <w:szCs w:val="18"/>
        </w:rPr>
        <w:t xml:space="preserve">Josephus and the New Testament, </w:t>
      </w:r>
      <w:r w:rsidRPr="00500E2E">
        <w:rPr>
          <w:sz w:val="18"/>
          <w:szCs w:val="18"/>
        </w:rPr>
        <w:t>p.64.</w:t>
      </w:r>
    </w:p>
  </w:footnote>
  <w:footnote w:id="13">
    <w:p w14:paraId="08DB4D78"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S. Mason (2003), </w:t>
      </w:r>
      <w:r w:rsidRPr="00245E79">
        <w:rPr>
          <w:i/>
          <w:sz w:val="18"/>
          <w:szCs w:val="18"/>
        </w:rPr>
        <w:t>Josephus and the New Testament</w:t>
      </w:r>
      <w:r w:rsidRPr="00245E79">
        <w:rPr>
          <w:sz w:val="18"/>
          <w:szCs w:val="18"/>
        </w:rPr>
        <w:t>, p.102.</w:t>
      </w:r>
    </w:p>
  </w:footnote>
  <w:footnote w:id="14">
    <w:p w14:paraId="303C4042" w14:textId="2B884C0F" w:rsidR="00A808A6" w:rsidRPr="00245E79" w:rsidRDefault="00A808A6">
      <w:pPr>
        <w:pStyle w:val="FootnoteText"/>
        <w:rPr>
          <w:sz w:val="18"/>
          <w:szCs w:val="18"/>
        </w:rPr>
      </w:pPr>
      <w:r w:rsidRPr="00245E79">
        <w:rPr>
          <w:rStyle w:val="FootnoteReference"/>
          <w:sz w:val="18"/>
          <w:szCs w:val="18"/>
        </w:rPr>
        <w:footnoteRef/>
      </w:r>
      <w:r w:rsidRPr="00245E79">
        <w:rPr>
          <w:sz w:val="18"/>
          <w:szCs w:val="18"/>
        </w:rPr>
        <w:t xml:space="preserve"> G. L. Jones (1997), ‘Blind Guides’ in </w:t>
      </w:r>
      <w:r w:rsidRPr="00245E79">
        <w:rPr>
          <w:i/>
          <w:sz w:val="18"/>
          <w:szCs w:val="18"/>
        </w:rPr>
        <w:t>The Bones of Joseph: From Ancient Texts to the Modern Church</w:t>
      </w:r>
      <w:r w:rsidRPr="00245E79">
        <w:rPr>
          <w:sz w:val="18"/>
          <w:szCs w:val="18"/>
        </w:rPr>
        <w:t>, (Michigan: William B. Eerdmans Publishing Company), p.109.</w:t>
      </w:r>
    </w:p>
  </w:footnote>
  <w:footnote w:id="15">
    <w:p w14:paraId="430FD16B" w14:textId="15D46805" w:rsidR="0083309B" w:rsidRPr="00245E79" w:rsidRDefault="0083309B">
      <w:pPr>
        <w:pStyle w:val="FootnoteText"/>
        <w:rPr>
          <w:sz w:val="18"/>
          <w:szCs w:val="18"/>
        </w:rPr>
      </w:pPr>
      <w:r w:rsidRPr="00245E79">
        <w:rPr>
          <w:rStyle w:val="FootnoteReference"/>
          <w:sz w:val="18"/>
          <w:szCs w:val="18"/>
        </w:rPr>
        <w:footnoteRef/>
      </w:r>
      <w:r w:rsidRPr="00245E79">
        <w:rPr>
          <w:sz w:val="18"/>
          <w:szCs w:val="18"/>
        </w:rPr>
        <w:t xml:space="preserve"> </w:t>
      </w:r>
      <w:r w:rsidR="00500E2E" w:rsidRPr="00245E79">
        <w:rPr>
          <w:sz w:val="18"/>
          <w:szCs w:val="18"/>
        </w:rPr>
        <w:t>J. Jeremias (1969), Jerusalem, p.</w:t>
      </w:r>
      <w:r w:rsidR="00DA14B5" w:rsidRPr="00245E79">
        <w:rPr>
          <w:sz w:val="18"/>
          <w:szCs w:val="18"/>
        </w:rPr>
        <w:t>253</w:t>
      </w:r>
      <w:r w:rsidR="00500E2E" w:rsidRPr="00245E79">
        <w:rPr>
          <w:sz w:val="18"/>
          <w:szCs w:val="18"/>
        </w:rPr>
        <w:t>.</w:t>
      </w:r>
    </w:p>
  </w:footnote>
  <w:footnote w:id="16">
    <w:p w14:paraId="398CEA7F" w14:textId="00586F8C" w:rsidR="0083309B" w:rsidRPr="00245E79" w:rsidRDefault="0083309B">
      <w:pPr>
        <w:pStyle w:val="FootnoteText"/>
        <w:rPr>
          <w:sz w:val="18"/>
          <w:szCs w:val="18"/>
        </w:rPr>
      </w:pPr>
      <w:r w:rsidRPr="00245E79">
        <w:rPr>
          <w:rStyle w:val="FootnoteReference"/>
          <w:sz w:val="18"/>
          <w:szCs w:val="18"/>
        </w:rPr>
        <w:footnoteRef/>
      </w:r>
      <w:r w:rsidRPr="00245E79">
        <w:rPr>
          <w:sz w:val="18"/>
          <w:szCs w:val="18"/>
        </w:rPr>
        <w:t xml:space="preserve"> S. Mason (2003), </w:t>
      </w:r>
      <w:r w:rsidRPr="00245E79">
        <w:rPr>
          <w:i/>
          <w:sz w:val="18"/>
          <w:szCs w:val="18"/>
        </w:rPr>
        <w:t>Josephus and the New Testament</w:t>
      </w:r>
      <w:r w:rsidRPr="00245E79">
        <w:rPr>
          <w:sz w:val="18"/>
          <w:szCs w:val="18"/>
        </w:rPr>
        <w:t>, p.139.</w:t>
      </w:r>
    </w:p>
  </w:footnote>
  <w:footnote w:id="17">
    <w:p w14:paraId="60379B41"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D. S. Williams (1993), ‘Morton Smith on the Pharisees in Josephus’ in </w:t>
      </w:r>
      <w:r w:rsidRPr="00245E79">
        <w:rPr>
          <w:i/>
          <w:sz w:val="18"/>
          <w:szCs w:val="18"/>
        </w:rPr>
        <w:t>The Jewish Quarterly Review</w:t>
      </w:r>
      <w:r w:rsidRPr="00245E79">
        <w:rPr>
          <w:sz w:val="18"/>
          <w:szCs w:val="18"/>
        </w:rPr>
        <w:t>, Vol. 84, 1, p.37.</w:t>
      </w:r>
    </w:p>
  </w:footnote>
  <w:footnote w:id="18">
    <w:p w14:paraId="504C0253"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D. S. Williams (1993), ‘Morton Smith on the Pharisees’, p.37.</w:t>
      </w:r>
    </w:p>
  </w:footnote>
  <w:footnote w:id="19">
    <w:p w14:paraId="0F0211B5"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A. J. Saldarini (2001), </w:t>
      </w:r>
      <w:r w:rsidRPr="00245E79">
        <w:rPr>
          <w:i/>
          <w:sz w:val="18"/>
          <w:szCs w:val="18"/>
        </w:rPr>
        <w:t>Pharisees, Scribes and Sadducees in Palestinian Society: A Sociological Approach</w:t>
      </w:r>
      <w:r w:rsidRPr="00245E79">
        <w:rPr>
          <w:sz w:val="18"/>
          <w:szCs w:val="18"/>
        </w:rPr>
        <w:t>, (Michigan: Wm. B. Eerdmans Publishing Company), p.129.</w:t>
      </w:r>
    </w:p>
  </w:footnote>
  <w:footnote w:id="20">
    <w:p w14:paraId="561681E5" w14:textId="77777777" w:rsidR="00350153" w:rsidRPr="00245E79" w:rsidRDefault="00350153" w:rsidP="00350153">
      <w:pPr>
        <w:pStyle w:val="FootnoteText"/>
        <w:rPr>
          <w:sz w:val="18"/>
          <w:szCs w:val="18"/>
        </w:rPr>
      </w:pPr>
      <w:r w:rsidRPr="00245E79">
        <w:rPr>
          <w:rStyle w:val="FootnoteReference"/>
          <w:sz w:val="18"/>
          <w:szCs w:val="18"/>
        </w:rPr>
        <w:footnoteRef/>
      </w:r>
      <w:r w:rsidRPr="00245E79">
        <w:rPr>
          <w:sz w:val="18"/>
          <w:szCs w:val="18"/>
        </w:rPr>
        <w:t xml:space="preserve"> R. Marcus (1952), ‘The Pharisees in the Light’, p.162.</w:t>
      </w:r>
    </w:p>
  </w:footnote>
  <w:footnote w:id="21">
    <w:p w14:paraId="3FB1F9B5" w14:textId="77923BA0" w:rsidR="00DA14B5" w:rsidRDefault="00DA14B5">
      <w:pPr>
        <w:pStyle w:val="FootnoteText"/>
      </w:pPr>
      <w:r w:rsidRPr="00245E79">
        <w:rPr>
          <w:rStyle w:val="FootnoteReference"/>
          <w:sz w:val="18"/>
          <w:szCs w:val="18"/>
        </w:rPr>
        <w:footnoteRef/>
      </w:r>
      <w:r w:rsidR="00245E79" w:rsidRPr="00245E79">
        <w:rPr>
          <w:sz w:val="18"/>
          <w:szCs w:val="18"/>
        </w:rPr>
        <w:t xml:space="preserve">J. Jeremias (1969), </w:t>
      </w:r>
      <w:r w:rsidR="00245E79" w:rsidRPr="00245E79">
        <w:rPr>
          <w:i/>
          <w:sz w:val="18"/>
          <w:szCs w:val="18"/>
        </w:rPr>
        <w:t>Jerusalem</w:t>
      </w:r>
      <w:r w:rsidR="00245E79" w:rsidRPr="00245E79">
        <w:rPr>
          <w:sz w:val="18"/>
          <w:szCs w:val="18"/>
        </w:rPr>
        <w:t>, p.255.</w:t>
      </w:r>
      <w:r w:rsidRPr="00245E79">
        <w:rPr>
          <w:sz w:val="18"/>
          <w:szCs w:val="18"/>
        </w:rPr>
        <w:t xml:space="preserve"> </w:t>
      </w:r>
    </w:p>
  </w:footnote>
  <w:footnote w:id="22">
    <w:p w14:paraId="3F76FE08" w14:textId="4B64A5BE" w:rsidR="00DA14B5" w:rsidRPr="00245E79" w:rsidRDefault="00DA14B5">
      <w:pPr>
        <w:pStyle w:val="FootnoteText"/>
        <w:rPr>
          <w:sz w:val="18"/>
          <w:szCs w:val="18"/>
        </w:rPr>
      </w:pPr>
      <w:r w:rsidRPr="00245E79">
        <w:rPr>
          <w:rStyle w:val="FootnoteReference"/>
          <w:sz w:val="18"/>
          <w:szCs w:val="18"/>
        </w:rPr>
        <w:footnoteRef/>
      </w:r>
      <w:r w:rsidRPr="00245E79">
        <w:rPr>
          <w:sz w:val="18"/>
          <w:szCs w:val="18"/>
        </w:rPr>
        <w:t xml:space="preserve"> </w:t>
      </w:r>
      <w:r w:rsidR="00245E79" w:rsidRPr="00245E79">
        <w:rPr>
          <w:sz w:val="18"/>
          <w:szCs w:val="18"/>
        </w:rPr>
        <w:t>J. Jeremias (1969), Jerusalem,</w:t>
      </w:r>
      <w:r w:rsidR="00245E79">
        <w:rPr>
          <w:sz w:val="18"/>
          <w:szCs w:val="18"/>
        </w:rPr>
        <w:t xml:space="preserve"> </w:t>
      </w:r>
      <w:r w:rsidRPr="00245E79">
        <w:rPr>
          <w:sz w:val="18"/>
          <w:szCs w:val="18"/>
        </w:rPr>
        <w:t>p.254</w:t>
      </w:r>
      <w:r w:rsidR="00245E79" w:rsidRPr="00245E79">
        <w:rPr>
          <w:sz w:val="18"/>
          <w:szCs w:val="18"/>
        </w:rPr>
        <w:t>.</w:t>
      </w:r>
    </w:p>
  </w:footnote>
  <w:footnote w:id="23">
    <w:p w14:paraId="7B6DCCEB" w14:textId="2B77E1DD" w:rsidR="00DA14B5" w:rsidRPr="00245E79" w:rsidRDefault="00DA14B5">
      <w:pPr>
        <w:pStyle w:val="FootnoteText"/>
        <w:rPr>
          <w:sz w:val="18"/>
          <w:szCs w:val="18"/>
        </w:rPr>
      </w:pPr>
      <w:r w:rsidRPr="00245E79">
        <w:rPr>
          <w:rStyle w:val="FootnoteReference"/>
          <w:sz w:val="18"/>
          <w:szCs w:val="18"/>
        </w:rPr>
        <w:footnoteRef/>
      </w:r>
      <w:r w:rsidRPr="00245E79">
        <w:rPr>
          <w:sz w:val="18"/>
          <w:szCs w:val="18"/>
        </w:rPr>
        <w:t xml:space="preserve"> </w:t>
      </w:r>
      <w:r w:rsidR="00245E79" w:rsidRPr="00245E79">
        <w:rPr>
          <w:sz w:val="18"/>
          <w:szCs w:val="18"/>
        </w:rPr>
        <w:t xml:space="preserve">J. Jeremias (1969), </w:t>
      </w:r>
      <w:r w:rsidR="00245E79" w:rsidRPr="00245E79">
        <w:rPr>
          <w:i/>
          <w:sz w:val="18"/>
          <w:szCs w:val="18"/>
        </w:rPr>
        <w:t>Jerusalem</w:t>
      </w:r>
      <w:r w:rsidR="00245E79" w:rsidRPr="00245E79">
        <w:rPr>
          <w:sz w:val="18"/>
          <w:szCs w:val="18"/>
        </w:rPr>
        <w:t>,</w:t>
      </w:r>
      <w:r w:rsidR="00245E79" w:rsidRPr="00245E79">
        <w:rPr>
          <w:i/>
          <w:sz w:val="18"/>
          <w:szCs w:val="18"/>
        </w:rPr>
        <w:t xml:space="preserve"> </w:t>
      </w:r>
      <w:r w:rsidRPr="00245E79">
        <w:rPr>
          <w:sz w:val="18"/>
          <w:szCs w:val="18"/>
        </w:rPr>
        <w:t>p.256.</w:t>
      </w:r>
    </w:p>
  </w:footnote>
  <w:footnote w:id="24">
    <w:p w14:paraId="7D65327E" w14:textId="40066FD9" w:rsidR="00520579" w:rsidRPr="00245E79" w:rsidRDefault="00520579">
      <w:pPr>
        <w:pStyle w:val="FootnoteText"/>
        <w:rPr>
          <w:sz w:val="18"/>
          <w:szCs w:val="18"/>
        </w:rPr>
      </w:pPr>
      <w:r w:rsidRPr="00245E79">
        <w:rPr>
          <w:rStyle w:val="FootnoteReference"/>
          <w:sz w:val="18"/>
          <w:szCs w:val="18"/>
        </w:rPr>
        <w:footnoteRef/>
      </w:r>
      <w:r w:rsidRPr="00245E79">
        <w:rPr>
          <w:sz w:val="18"/>
          <w:szCs w:val="18"/>
        </w:rPr>
        <w:t xml:space="preserve"> G. L. Jones (1997), ‘Blind Guides’</w:t>
      </w:r>
      <w:r w:rsidR="00A808A6" w:rsidRPr="00245E79">
        <w:rPr>
          <w:sz w:val="18"/>
          <w:szCs w:val="18"/>
        </w:rPr>
        <w:t>,</w:t>
      </w:r>
      <w:r w:rsidR="00245E79" w:rsidRPr="00245E79">
        <w:rPr>
          <w:sz w:val="18"/>
          <w:szCs w:val="18"/>
        </w:rPr>
        <w:t xml:space="preserve"> </w:t>
      </w:r>
      <w:r w:rsidRPr="00245E79">
        <w:rPr>
          <w:sz w:val="18"/>
          <w:szCs w:val="18"/>
        </w:rPr>
        <w:t>p.100.</w:t>
      </w:r>
    </w:p>
  </w:footnote>
  <w:footnote w:id="25">
    <w:p w14:paraId="3C8CAA6E" w14:textId="04107416" w:rsidR="000A058F" w:rsidRPr="00245E79" w:rsidRDefault="000A058F">
      <w:pPr>
        <w:pStyle w:val="FootnoteText"/>
        <w:rPr>
          <w:sz w:val="18"/>
          <w:szCs w:val="18"/>
        </w:rPr>
      </w:pPr>
      <w:r w:rsidRPr="00245E79">
        <w:rPr>
          <w:rStyle w:val="FootnoteReference"/>
          <w:sz w:val="18"/>
          <w:szCs w:val="18"/>
        </w:rPr>
        <w:footnoteRef/>
      </w:r>
      <w:r w:rsidRPr="00245E79">
        <w:rPr>
          <w:sz w:val="18"/>
          <w:szCs w:val="18"/>
        </w:rPr>
        <w:t xml:space="preserve"> G. L. Jones (1997), ‘Blind Guides’, p.107.</w:t>
      </w:r>
    </w:p>
  </w:footnote>
  <w:footnote w:id="26">
    <w:p w14:paraId="232BD96B" w14:textId="03ADF457" w:rsidR="002A2FB8" w:rsidRPr="00245E79" w:rsidRDefault="002A2FB8">
      <w:pPr>
        <w:pStyle w:val="FootnoteText"/>
        <w:rPr>
          <w:sz w:val="18"/>
          <w:szCs w:val="18"/>
        </w:rPr>
      </w:pPr>
      <w:r w:rsidRPr="00245E79">
        <w:rPr>
          <w:rStyle w:val="FootnoteReference"/>
          <w:sz w:val="18"/>
          <w:szCs w:val="18"/>
        </w:rPr>
        <w:footnoteRef/>
      </w:r>
      <w:r w:rsidRPr="00245E79">
        <w:rPr>
          <w:sz w:val="18"/>
          <w:szCs w:val="18"/>
        </w:rPr>
        <w:t xml:space="preserve"> G. L. Jones (1997), ‘Blind Guides’, p.112.</w:t>
      </w:r>
    </w:p>
  </w:footnote>
  <w:footnote w:id="27">
    <w:p w14:paraId="45168DC0" w14:textId="77777777" w:rsidR="00D027C8" w:rsidRPr="00245E79" w:rsidRDefault="00D027C8" w:rsidP="00D027C8">
      <w:pPr>
        <w:pStyle w:val="FootnoteText"/>
        <w:rPr>
          <w:sz w:val="18"/>
          <w:szCs w:val="18"/>
        </w:rPr>
      </w:pPr>
      <w:r w:rsidRPr="00245E79">
        <w:rPr>
          <w:rStyle w:val="FootnoteReference"/>
          <w:sz w:val="18"/>
          <w:szCs w:val="18"/>
        </w:rPr>
        <w:footnoteRef/>
      </w:r>
      <w:r w:rsidRPr="00245E79">
        <w:rPr>
          <w:sz w:val="18"/>
          <w:szCs w:val="18"/>
        </w:rPr>
        <w:t xml:space="preserve"> S. Zeitlin (1961), ‘The Pharisees’, p.101.</w:t>
      </w:r>
    </w:p>
  </w:footnote>
  <w:footnote w:id="28">
    <w:p w14:paraId="079142E0" w14:textId="647BA47F" w:rsidR="00B90B42" w:rsidRPr="00245E79" w:rsidRDefault="00B90B42">
      <w:pPr>
        <w:pStyle w:val="FootnoteText"/>
        <w:rPr>
          <w:sz w:val="18"/>
          <w:szCs w:val="18"/>
        </w:rPr>
      </w:pPr>
      <w:r w:rsidRPr="00245E79">
        <w:rPr>
          <w:rStyle w:val="FootnoteReference"/>
          <w:sz w:val="18"/>
          <w:szCs w:val="18"/>
        </w:rPr>
        <w:footnoteRef/>
      </w:r>
      <w:r w:rsidRPr="00245E79">
        <w:rPr>
          <w:sz w:val="18"/>
          <w:szCs w:val="18"/>
        </w:rPr>
        <w:t xml:space="preserve"> G. L. Jones (1997), ‘Blind Guides’, p.114.</w:t>
      </w:r>
    </w:p>
  </w:footnote>
  <w:footnote w:id="29">
    <w:p w14:paraId="496ADA3E"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Mansoor, M. (2007), ‘Pharisees’, p.31.</w:t>
      </w:r>
    </w:p>
  </w:footnote>
  <w:footnote w:id="30">
    <w:p w14:paraId="74197EA5" w14:textId="2CAD3D38" w:rsidR="00B90B42" w:rsidRDefault="00B90B42">
      <w:pPr>
        <w:pStyle w:val="FootnoteText"/>
      </w:pPr>
      <w:r w:rsidRPr="00245E79">
        <w:rPr>
          <w:rStyle w:val="FootnoteReference"/>
          <w:sz w:val="18"/>
          <w:szCs w:val="18"/>
        </w:rPr>
        <w:footnoteRef/>
      </w:r>
      <w:r w:rsidRPr="00245E79">
        <w:rPr>
          <w:sz w:val="18"/>
          <w:szCs w:val="18"/>
        </w:rPr>
        <w:t xml:space="preserve"> G. L. Jones (1997), ‘Blind Guides’, p.114.</w:t>
      </w:r>
    </w:p>
  </w:footnote>
  <w:footnote w:id="31">
    <w:p w14:paraId="23435850"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Mansoor, M. (2007), ‘Pharisees’, p.31.</w:t>
      </w:r>
    </w:p>
  </w:footnote>
  <w:footnote w:id="32">
    <w:p w14:paraId="58252849"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Mansoor, M. (2007), ‘Pharisees’, p.31.</w:t>
      </w:r>
    </w:p>
  </w:footnote>
  <w:footnote w:id="33">
    <w:p w14:paraId="21E1C0F5" w14:textId="31EDD37C" w:rsidR="004C0990" w:rsidRPr="00245E79" w:rsidRDefault="004C0990">
      <w:pPr>
        <w:pStyle w:val="FootnoteText"/>
        <w:rPr>
          <w:sz w:val="18"/>
          <w:szCs w:val="18"/>
        </w:rPr>
      </w:pPr>
      <w:r w:rsidRPr="00245E79">
        <w:rPr>
          <w:rStyle w:val="FootnoteReference"/>
          <w:sz w:val="18"/>
          <w:szCs w:val="18"/>
        </w:rPr>
        <w:footnoteRef/>
      </w:r>
      <w:r w:rsidRPr="00245E79">
        <w:rPr>
          <w:sz w:val="18"/>
          <w:szCs w:val="18"/>
        </w:rPr>
        <w:t xml:space="preserve"> G. L. Jones (1997), ‘Blind Guides’, p.115.</w:t>
      </w:r>
    </w:p>
  </w:footnote>
  <w:footnote w:id="34">
    <w:p w14:paraId="24875C07"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L. I. Rabinowitz (2007), ‘Synagogue’ in </w:t>
      </w:r>
      <w:r w:rsidRPr="00245E79">
        <w:rPr>
          <w:i/>
          <w:sz w:val="18"/>
          <w:szCs w:val="18"/>
        </w:rPr>
        <w:t>Encyclopaedia Judaica</w:t>
      </w:r>
      <w:r w:rsidRPr="00245E79">
        <w:rPr>
          <w:sz w:val="18"/>
          <w:szCs w:val="18"/>
        </w:rPr>
        <w:t>, Vol. 19, 2, Available from Gale Virtual Reference Library, http://go.galegroup.com/ps/retrieve.do?tabID=T003&amp;resultListType=RESULT_LIST&amp;searchResultsType=SingleTab&amp;searchType=BasicSearchForm&amp;currentPosition=1&amp;docId=GALE%7CCX2587519427&amp;docType=Topic+overview&amp;sort=RELEVANCE&amp;contentSegment=&amp;prodId=GVRL&amp;contentSet=GALE%7CCX2587519427&amp;searchId=R1&amp;userGroupName=walamp&amp;inPS=true# (Date Accessed: 5</w:t>
      </w:r>
      <w:r w:rsidRPr="00245E79">
        <w:rPr>
          <w:sz w:val="18"/>
          <w:szCs w:val="18"/>
          <w:vertAlign w:val="superscript"/>
        </w:rPr>
        <w:t>th</w:t>
      </w:r>
      <w:r w:rsidRPr="00245E79">
        <w:rPr>
          <w:sz w:val="18"/>
          <w:szCs w:val="18"/>
        </w:rPr>
        <w:t xml:space="preserve"> December 2017),p.353.</w:t>
      </w:r>
    </w:p>
  </w:footnote>
  <w:footnote w:id="35">
    <w:p w14:paraId="77E23468" w14:textId="77777777" w:rsidR="00B90B42" w:rsidRPr="00245E79" w:rsidRDefault="00B90B42" w:rsidP="00B90B42">
      <w:pPr>
        <w:pStyle w:val="FootnoteText"/>
        <w:rPr>
          <w:sz w:val="18"/>
          <w:szCs w:val="18"/>
        </w:rPr>
      </w:pPr>
      <w:r w:rsidRPr="00245E79">
        <w:rPr>
          <w:rStyle w:val="FootnoteReference"/>
          <w:sz w:val="18"/>
          <w:szCs w:val="18"/>
        </w:rPr>
        <w:footnoteRef/>
      </w:r>
      <w:r w:rsidRPr="00245E79">
        <w:rPr>
          <w:sz w:val="18"/>
          <w:szCs w:val="18"/>
        </w:rPr>
        <w:t xml:space="preserve"> L. I. Rabinowitz (2007), ‘Synagogue’, p.355.</w:t>
      </w:r>
    </w:p>
  </w:footnote>
  <w:footnote w:id="36">
    <w:p w14:paraId="7A2A907E" w14:textId="1160CDAE" w:rsidR="00061790" w:rsidRPr="00245E79" w:rsidRDefault="00061790">
      <w:pPr>
        <w:pStyle w:val="FootnoteText"/>
        <w:rPr>
          <w:sz w:val="18"/>
          <w:szCs w:val="18"/>
        </w:rPr>
      </w:pPr>
      <w:r w:rsidRPr="00245E79">
        <w:rPr>
          <w:rStyle w:val="FootnoteReference"/>
          <w:sz w:val="18"/>
          <w:szCs w:val="18"/>
        </w:rPr>
        <w:footnoteRef/>
      </w:r>
      <w:r w:rsidRPr="00245E79">
        <w:rPr>
          <w:sz w:val="18"/>
          <w:szCs w:val="18"/>
        </w:rPr>
        <w:t xml:space="preserve"> G. L. Jones (1997), ‘Blind Guides’, p.115.</w:t>
      </w:r>
    </w:p>
  </w:footnote>
  <w:footnote w:id="37">
    <w:p w14:paraId="3A23B0C2" w14:textId="2466CC22" w:rsidR="00061790" w:rsidRPr="00245E79" w:rsidRDefault="00061790">
      <w:pPr>
        <w:pStyle w:val="FootnoteText"/>
        <w:rPr>
          <w:sz w:val="18"/>
          <w:szCs w:val="18"/>
        </w:rPr>
      </w:pPr>
      <w:r w:rsidRPr="00245E79">
        <w:rPr>
          <w:rStyle w:val="FootnoteReference"/>
          <w:sz w:val="18"/>
          <w:szCs w:val="18"/>
        </w:rPr>
        <w:footnoteRef/>
      </w:r>
      <w:r w:rsidRPr="00245E79">
        <w:rPr>
          <w:sz w:val="18"/>
          <w:szCs w:val="18"/>
        </w:rPr>
        <w:t xml:space="preserve"> G. L. Jones (1997), ‘Blind Guides’, p.115.</w:t>
      </w:r>
    </w:p>
  </w:footnote>
  <w:footnote w:id="38">
    <w:p w14:paraId="6935D45B" w14:textId="34C63762" w:rsidR="00EB1A26" w:rsidRPr="00245E79" w:rsidRDefault="00EB1A26" w:rsidP="00245E79">
      <w:pPr>
        <w:rPr>
          <w:sz w:val="18"/>
          <w:szCs w:val="18"/>
        </w:rPr>
      </w:pPr>
      <w:r w:rsidRPr="00245E79">
        <w:rPr>
          <w:rStyle w:val="FootnoteReference"/>
          <w:sz w:val="18"/>
          <w:szCs w:val="18"/>
        </w:rPr>
        <w:footnoteRef/>
      </w:r>
      <w:r w:rsidRPr="00245E79">
        <w:rPr>
          <w:sz w:val="18"/>
          <w:szCs w:val="18"/>
        </w:rPr>
        <w:t xml:space="preserve"> </w:t>
      </w:r>
      <w:r w:rsidRPr="00245E79">
        <w:rPr>
          <w:color w:val="000000"/>
          <w:sz w:val="18"/>
          <w:szCs w:val="18"/>
        </w:rPr>
        <w:t>Sanders, E. P. (1992). </w:t>
      </w:r>
      <w:r w:rsidRPr="00245E79">
        <w:rPr>
          <w:i/>
          <w:iCs/>
          <w:color w:val="000000"/>
          <w:sz w:val="18"/>
          <w:szCs w:val="18"/>
        </w:rPr>
        <w:t>Judaism: Practice and Belief, 63 BCE-66 CE</w:t>
      </w:r>
      <w:r w:rsidRPr="00245E79">
        <w:rPr>
          <w:color w:val="000000"/>
          <w:sz w:val="18"/>
          <w:szCs w:val="18"/>
        </w:rPr>
        <w:t>, (London: SCM Press), p.431.</w:t>
      </w:r>
    </w:p>
  </w:footnote>
  <w:footnote w:id="39">
    <w:p w14:paraId="3C65DF7F" w14:textId="7869D9AD" w:rsidR="00B144D0" w:rsidRPr="00FA514E" w:rsidRDefault="00B144D0">
      <w:pPr>
        <w:pStyle w:val="FootnoteText"/>
        <w:rPr>
          <w:sz w:val="18"/>
          <w:szCs w:val="18"/>
        </w:rPr>
      </w:pPr>
      <w:r w:rsidRPr="00245E79">
        <w:rPr>
          <w:rStyle w:val="FootnoteReference"/>
          <w:sz w:val="18"/>
          <w:szCs w:val="18"/>
        </w:rPr>
        <w:footnoteRef/>
      </w:r>
      <w:r w:rsidRPr="00245E79">
        <w:rPr>
          <w:sz w:val="18"/>
          <w:szCs w:val="18"/>
        </w:rPr>
        <w:t xml:space="preserve"> </w:t>
      </w:r>
      <w:r w:rsidRPr="00245E79">
        <w:rPr>
          <w:color w:val="000000"/>
          <w:sz w:val="18"/>
          <w:szCs w:val="18"/>
        </w:rPr>
        <w:t>Sanders, E. P. (1992). </w:t>
      </w:r>
      <w:r w:rsidRPr="00245E79">
        <w:rPr>
          <w:iCs/>
          <w:color w:val="000000"/>
          <w:sz w:val="18"/>
          <w:szCs w:val="18"/>
        </w:rPr>
        <w:t xml:space="preserve">Judaism, </w:t>
      </w:r>
      <w:r w:rsidRPr="00245E79">
        <w:rPr>
          <w:color w:val="000000"/>
          <w:sz w:val="18"/>
          <w:szCs w:val="18"/>
        </w:rPr>
        <w:t>p.435.</w:t>
      </w:r>
    </w:p>
  </w:footnote>
  <w:footnote w:id="40">
    <w:p w14:paraId="78E1DC56" w14:textId="444865D3" w:rsidR="00B144D0" w:rsidRPr="00FA514E" w:rsidRDefault="00B144D0">
      <w:pPr>
        <w:pStyle w:val="FootnoteText"/>
        <w:rPr>
          <w:sz w:val="18"/>
          <w:szCs w:val="18"/>
        </w:rPr>
      </w:pPr>
      <w:r w:rsidRPr="00FA514E">
        <w:rPr>
          <w:rStyle w:val="FootnoteReference"/>
          <w:sz w:val="18"/>
          <w:szCs w:val="18"/>
        </w:rPr>
        <w:footnoteRef/>
      </w:r>
      <w:r w:rsidRPr="00FA514E">
        <w:rPr>
          <w:sz w:val="18"/>
          <w:szCs w:val="18"/>
        </w:rPr>
        <w:t xml:space="preserve"> </w:t>
      </w:r>
      <w:r w:rsidRPr="00FA514E">
        <w:rPr>
          <w:color w:val="000000"/>
          <w:sz w:val="18"/>
          <w:szCs w:val="18"/>
        </w:rPr>
        <w:t>Sanders, E. P. (1992). </w:t>
      </w:r>
      <w:r w:rsidRPr="00FA514E">
        <w:rPr>
          <w:iCs/>
          <w:color w:val="000000"/>
          <w:sz w:val="18"/>
          <w:szCs w:val="18"/>
        </w:rPr>
        <w:t xml:space="preserve">Judaism, </w:t>
      </w:r>
      <w:r w:rsidRPr="00FA514E">
        <w:rPr>
          <w:color w:val="000000"/>
          <w:sz w:val="18"/>
          <w:szCs w:val="18"/>
        </w:rPr>
        <w:t>p.437.</w:t>
      </w:r>
    </w:p>
  </w:footnote>
  <w:footnote w:id="41">
    <w:p w14:paraId="651F0F46" w14:textId="7519DC7F" w:rsidR="00B144D0" w:rsidRPr="00FA514E" w:rsidRDefault="00B144D0">
      <w:pPr>
        <w:pStyle w:val="FootnoteText"/>
        <w:rPr>
          <w:sz w:val="18"/>
          <w:szCs w:val="18"/>
        </w:rPr>
      </w:pPr>
      <w:r w:rsidRPr="00FA514E">
        <w:rPr>
          <w:rStyle w:val="FootnoteReference"/>
          <w:sz w:val="18"/>
          <w:szCs w:val="18"/>
        </w:rPr>
        <w:footnoteRef/>
      </w:r>
      <w:r w:rsidRPr="00FA514E">
        <w:rPr>
          <w:sz w:val="18"/>
          <w:szCs w:val="18"/>
        </w:rPr>
        <w:t xml:space="preserve"> </w:t>
      </w:r>
      <w:r w:rsidRPr="00FA514E">
        <w:rPr>
          <w:color w:val="000000"/>
          <w:sz w:val="18"/>
          <w:szCs w:val="18"/>
        </w:rPr>
        <w:t>Sanders, E. P. (1992). </w:t>
      </w:r>
      <w:r w:rsidRPr="00FA514E">
        <w:rPr>
          <w:iCs/>
          <w:color w:val="000000"/>
          <w:sz w:val="18"/>
          <w:szCs w:val="18"/>
        </w:rPr>
        <w:t xml:space="preserve">Judaism, </w:t>
      </w:r>
      <w:r w:rsidRPr="00FA514E">
        <w:rPr>
          <w:color w:val="000000"/>
          <w:sz w:val="18"/>
          <w:szCs w:val="18"/>
        </w:rPr>
        <w:t>p.438.</w:t>
      </w:r>
    </w:p>
  </w:footnote>
  <w:footnote w:id="42">
    <w:p w14:paraId="2B42805B" w14:textId="4E105834" w:rsidR="00716660" w:rsidRPr="00FA514E" w:rsidRDefault="00716660">
      <w:pPr>
        <w:pStyle w:val="FootnoteText"/>
        <w:rPr>
          <w:sz w:val="18"/>
          <w:szCs w:val="18"/>
        </w:rPr>
      </w:pPr>
      <w:r w:rsidRPr="00FA514E">
        <w:rPr>
          <w:rStyle w:val="FootnoteReference"/>
          <w:sz w:val="18"/>
          <w:szCs w:val="18"/>
        </w:rPr>
        <w:footnoteRef/>
      </w:r>
      <w:r w:rsidRPr="00FA514E">
        <w:rPr>
          <w:sz w:val="18"/>
          <w:szCs w:val="18"/>
        </w:rPr>
        <w:t xml:space="preserve"> </w:t>
      </w:r>
      <w:r w:rsidRPr="00FA514E">
        <w:rPr>
          <w:color w:val="000000"/>
          <w:sz w:val="18"/>
          <w:szCs w:val="18"/>
        </w:rPr>
        <w:t>Sanders, E. P. (1992). </w:t>
      </w:r>
      <w:r w:rsidRPr="00FA514E">
        <w:rPr>
          <w:iCs/>
          <w:color w:val="000000"/>
          <w:sz w:val="18"/>
          <w:szCs w:val="18"/>
        </w:rPr>
        <w:t xml:space="preserve">Judaism, </w:t>
      </w:r>
      <w:r w:rsidRPr="00FA514E">
        <w:rPr>
          <w:color w:val="000000"/>
          <w:sz w:val="18"/>
          <w:szCs w:val="18"/>
        </w:rPr>
        <w:t>p.438.</w:t>
      </w:r>
    </w:p>
  </w:footnote>
  <w:footnote w:id="43">
    <w:p w14:paraId="62CD8198" w14:textId="604E5ECA" w:rsidR="00AB269F" w:rsidRPr="00FA514E" w:rsidRDefault="00AB269F">
      <w:pPr>
        <w:pStyle w:val="FootnoteText"/>
        <w:rPr>
          <w:sz w:val="18"/>
          <w:szCs w:val="18"/>
        </w:rPr>
      </w:pPr>
      <w:r w:rsidRPr="00FA514E">
        <w:rPr>
          <w:rStyle w:val="FootnoteReference"/>
          <w:sz w:val="18"/>
          <w:szCs w:val="18"/>
        </w:rPr>
        <w:footnoteRef/>
      </w:r>
      <w:r w:rsidRPr="00FA514E">
        <w:rPr>
          <w:sz w:val="18"/>
          <w:szCs w:val="18"/>
        </w:rPr>
        <w:t xml:space="preserve"> S. Schoenberg (</w:t>
      </w:r>
      <w:r w:rsidR="0030127E" w:rsidRPr="00FA514E">
        <w:rPr>
          <w:sz w:val="18"/>
          <w:szCs w:val="18"/>
        </w:rPr>
        <w:t>Unknown Date</w:t>
      </w:r>
      <w:r w:rsidRPr="00FA514E">
        <w:rPr>
          <w:sz w:val="18"/>
          <w:szCs w:val="18"/>
        </w:rPr>
        <w:t xml:space="preserve">), </w:t>
      </w:r>
      <w:r w:rsidRPr="00FA514E">
        <w:rPr>
          <w:i/>
          <w:sz w:val="18"/>
          <w:szCs w:val="18"/>
        </w:rPr>
        <w:t>Ancient Jewish History: The Sanhedrin</w:t>
      </w:r>
      <w:r w:rsidRPr="00FA514E">
        <w:rPr>
          <w:sz w:val="18"/>
          <w:szCs w:val="18"/>
        </w:rPr>
        <w:t>, http://www.jewishvirtuallibrary.org/the-sanhedrin (Date Accessed: 7th December 2017).</w:t>
      </w:r>
    </w:p>
  </w:footnote>
  <w:footnote w:id="44">
    <w:p w14:paraId="39F77992" w14:textId="1F6ABFC1" w:rsidR="00825FCB" w:rsidRPr="00FA514E" w:rsidRDefault="00825FCB" w:rsidP="00825FCB">
      <w:pPr>
        <w:rPr>
          <w:sz w:val="18"/>
          <w:szCs w:val="18"/>
        </w:rPr>
      </w:pPr>
      <w:r w:rsidRPr="00FA514E">
        <w:rPr>
          <w:rStyle w:val="FootnoteReference"/>
          <w:sz w:val="18"/>
          <w:szCs w:val="18"/>
        </w:rPr>
        <w:footnoteRef/>
      </w:r>
      <w:r w:rsidRPr="00FA514E">
        <w:rPr>
          <w:sz w:val="18"/>
          <w:szCs w:val="18"/>
        </w:rPr>
        <w:t xml:space="preserve"> Miller, S. S. (2005), ‘Hillel’ in </w:t>
      </w:r>
      <w:r w:rsidRPr="00FA514E">
        <w:rPr>
          <w:i/>
          <w:sz w:val="18"/>
          <w:szCs w:val="18"/>
        </w:rPr>
        <w:t>Encyclopaedia of Religion</w:t>
      </w:r>
      <w:r w:rsidRPr="00FA514E">
        <w:rPr>
          <w:sz w:val="18"/>
          <w:szCs w:val="18"/>
        </w:rPr>
        <w:t xml:space="preserve"> (Series online), Vol. 6, 2, pp. 3981-3982, Available from Gale Virtual Reference Library, http://go.galegroup.com/ps/i.do?p=GVRL&amp;sw=w&amp;u=walamp&amp;v=2.1&amp;markList=true&amp;it=r&amp;id=GALE%7CCX3424501347 (Date Accessed: 30</w:t>
      </w:r>
      <w:r w:rsidRPr="00FA514E">
        <w:rPr>
          <w:sz w:val="18"/>
          <w:szCs w:val="18"/>
          <w:vertAlign w:val="superscript"/>
        </w:rPr>
        <w:t>th</w:t>
      </w:r>
      <w:r w:rsidRPr="00FA514E">
        <w:rPr>
          <w:sz w:val="18"/>
          <w:szCs w:val="18"/>
        </w:rPr>
        <w:t xml:space="preserve"> October 2017), p.3981.</w:t>
      </w:r>
    </w:p>
  </w:footnote>
  <w:footnote w:id="45">
    <w:p w14:paraId="168753ED" w14:textId="5252E1D3" w:rsidR="00FB0C6B" w:rsidRPr="00FA514E" w:rsidRDefault="00FB0C6B">
      <w:pPr>
        <w:pStyle w:val="FootnoteText"/>
        <w:rPr>
          <w:sz w:val="18"/>
          <w:szCs w:val="18"/>
        </w:rPr>
      </w:pPr>
      <w:r w:rsidRPr="00FA514E">
        <w:rPr>
          <w:rStyle w:val="FootnoteReference"/>
          <w:sz w:val="18"/>
          <w:szCs w:val="18"/>
        </w:rPr>
        <w:footnoteRef/>
      </w:r>
      <w:r w:rsidRPr="00FA514E">
        <w:rPr>
          <w:sz w:val="18"/>
          <w:szCs w:val="18"/>
        </w:rPr>
        <w:t xml:space="preserve"> </w:t>
      </w:r>
      <w:r w:rsidR="00416808" w:rsidRPr="00FA514E">
        <w:rPr>
          <w:sz w:val="18"/>
          <w:szCs w:val="18"/>
        </w:rPr>
        <w:t xml:space="preserve">Y. Eisen (Unknown Date), </w:t>
      </w:r>
      <w:r w:rsidR="00416808" w:rsidRPr="00FA514E">
        <w:rPr>
          <w:i/>
          <w:sz w:val="18"/>
          <w:szCs w:val="18"/>
        </w:rPr>
        <w:t>Spiritual Leadership in Yavneh</w:t>
      </w:r>
      <w:r w:rsidR="00416808" w:rsidRPr="00FA514E">
        <w:rPr>
          <w:sz w:val="18"/>
          <w:szCs w:val="18"/>
        </w:rPr>
        <w:t>, http://www.chabad.org/library/article_cdo/aid/2713638/jewish/Spiritual-Leadership-in-Yavneh.htm (Date Accessed: 7th December 2017).</w:t>
      </w:r>
    </w:p>
  </w:footnote>
  <w:footnote w:id="46">
    <w:p w14:paraId="357F6F06" w14:textId="6CE2885B" w:rsidR="0030127E" w:rsidRPr="00FA514E" w:rsidRDefault="0030127E">
      <w:pPr>
        <w:pStyle w:val="FootnoteText"/>
        <w:rPr>
          <w:sz w:val="18"/>
          <w:szCs w:val="18"/>
        </w:rPr>
      </w:pPr>
      <w:r w:rsidRPr="00FA514E">
        <w:rPr>
          <w:rStyle w:val="FootnoteReference"/>
          <w:sz w:val="18"/>
          <w:szCs w:val="18"/>
        </w:rPr>
        <w:footnoteRef/>
      </w:r>
      <w:r w:rsidRPr="00FA514E">
        <w:rPr>
          <w:sz w:val="18"/>
          <w:szCs w:val="18"/>
        </w:rPr>
        <w:t xml:space="preserve"> </w:t>
      </w:r>
      <w:r w:rsidR="00416808" w:rsidRPr="00FA514E">
        <w:rPr>
          <w:sz w:val="18"/>
          <w:szCs w:val="18"/>
        </w:rPr>
        <w:t xml:space="preserve">M. Avi-Yonah and M. D. Herr (2007), ‘Jabneh’ in </w:t>
      </w:r>
      <w:r w:rsidR="00416808" w:rsidRPr="00FA514E">
        <w:rPr>
          <w:i/>
          <w:sz w:val="18"/>
          <w:szCs w:val="18"/>
        </w:rPr>
        <w:t>Encyclopaedia Judaica</w:t>
      </w:r>
      <w:r w:rsidR="00416808" w:rsidRPr="00FA514E">
        <w:rPr>
          <w:sz w:val="18"/>
          <w:szCs w:val="18"/>
        </w:rPr>
        <w:t>, Vol. 11, 2, Available from:</w:t>
      </w:r>
      <w:r w:rsidR="00416808" w:rsidRPr="00FA514E">
        <w:rPr>
          <w:i/>
          <w:sz w:val="18"/>
          <w:szCs w:val="18"/>
        </w:rPr>
        <w:t xml:space="preserve"> </w:t>
      </w:r>
      <w:r w:rsidR="00416808" w:rsidRPr="00FA514E">
        <w:rPr>
          <w:sz w:val="18"/>
          <w:szCs w:val="18"/>
        </w:rPr>
        <w:t>Gale Virtual Reference Library,http://go.galegroup.com/ps/retrieve.do?docId=GALE%7CCX2587509822&amp;userGroupName=</w:t>
      </w:r>
      <w:r w:rsidR="00416808" w:rsidRPr="00FA514E">
        <w:rPr>
          <w:color w:val="000000" w:themeColor="text1"/>
          <w:sz w:val="18"/>
          <w:szCs w:val="18"/>
        </w:rPr>
        <w:t>walamp&amp;inPS=true&amp;contentSegment=&amp;sort=RELEVANCE&amp;prodId=GVRL&amp;searchId=R1&amp;tabID</w:t>
      </w:r>
      <w:r w:rsidR="00416808" w:rsidRPr="00FA514E">
        <w:rPr>
          <w:sz w:val="18"/>
          <w:szCs w:val="18"/>
        </w:rPr>
        <w:t>=T003&amp;resultListType=RESULT_LIST&amp;currentPosition=6&amp;searchResultsType=</w:t>
      </w:r>
      <w:r w:rsidR="00416808" w:rsidRPr="00FA514E">
        <w:rPr>
          <w:i/>
          <w:sz w:val="18"/>
          <w:szCs w:val="18"/>
        </w:rPr>
        <w:t xml:space="preserve"> </w:t>
      </w:r>
      <w:r w:rsidR="00416808" w:rsidRPr="00FA514E">
        <w:rPr>
          <w:sz w:val="18"/>
          <w:szCs w:val="18"/>
        </w:rPr>
        <w:t>(Date Accessed: 7</w:t>
      </w:r>
      <w:r w:rsidR="00416808" w:rsidRPr="00FA514E">
        <w:rPr>
          <w:sz w:val="18"/>
          <w:szCs w:val="18"/>
          <w:vertAlign w:val="superscript"/>
        </w:rPr>
        <w:t>th</w:t>
      </w:r>
      <w:r w:rsidR="00416808" w:rsidRPr="00FA514E">
        <w:rPr>
          <w:sz w:val="18"/>
          <w:szCs w:val="18"/>
        </w:rPr>
        <w:t xml:space="preserve"> December 2017), p.10.</w:t>
      </w:r>
    </w:p>
  </w:footnote>
  <w:footnote w:id="47">
    <w:p w14:paraId="1BA2F99E" w14:textId="26FFA467" w:rsidR="00FB0C6B" w:rsidRPr="00FA514E" w:rsidRDefault="00FB0C6B">
      <w:pPr>
        <w:pStyle w:val="FootnoteText"/>
        <w:rPr>
          <w:sz w:val="18"/>
          <w:szCs w:val="18"/>
        </w:rPr>
      </w:pPr>
      <w:r w:rsidRPr="00FA514E">
        <w:rPr>
          <w:rStyle w:val="FootnoteReference"/>
          <w:sz w:val="18"/>
          <w:szCs w:val="18"/>
        </w:rPr>
        <w:footnoteRef/>
      </w:r>
      <w:r w:rsidRPr="00FA514E">
        <w:rPr>
          <w:sz w:val="18"/>
          <w:szCs w:val="18"/>
        </w:rPr>
        <w:t xml:space="preserve"> </w:t>
      </w:r>
      <w:r w:rsidR="00416808" w:rsidRPr="00FA514E">
        <w:rPr>
          <w:sz w:val="18"/>
          <w:szCs w:val="18"/>
        </w:rPr>
        <w:t>R. Kletter, I. Ziffer and W. Zwickel (</w:t>
      </w:r>
      <w:r w:rsidR="00917F35" w:rsidRPr="00FA514E">
        <w:rPr>
          <w:sz w:val="18"/>
          <w:szCs w:val="18"/>
        </w:rPr>
        <w:t>2010</w:t>
      </w:r>
      <w:r w:rsidR="00416808" w:rsidRPr="00FA514E">
        <w:rPr>
          <w:sz w:val="18"/>
          <w:szCs w:val="18"/>
        </w:rPr>
        <w:t xml:space="preserve">), </w:t>
      </w:r>
      <w:r w:rsidR="00416808" w:rsidRPr="00FA514E">
        <w:rPr>
          <w:i/>
          <w:sz w:val="18"/>
          <w:szCs w:val="18"/>
        </w:rPr>
        <w:t>Yavneh</w:t>
      </w:r>
      <w:r w:rsidR="00416808" w:rsidRPr="00FA514E">
        <w:rPr>
          <w:sz w:val="18"/>
          <w:szCs w:val="18"/>
        </w:rPr>
        <w:t>, (</w:t>
      </w:r>
      <w:r w:rsidR="00917F35" w:rsidRPr="00FA514E">
        <w:rPr>
          <w:sz w:val="18"/>
          <w:szCs w:val="18"/>
        </w:rPr>
        <w:t>Fribourg: Academia Press</w:t>
      </w:r>
      <w:r w:rsidR="00416808" w:rsidRPr="00FA514E">
        <w:rPr>
          <w:sz w:val="18"/>
          <w:szCs w:val="18"/>
        </w:rPr>
        <w:t>), p.4.</w:t>
      </w:r>
    </w:p>
  </w:footnote>
  <w:footnote w:id="48">
    <w:p w14:paraId="521BCEA5" w14:textId="42F1F897" w:rsidR="009921D8" w:rsidRPr="00FA514E" w:rsidRDefault="009921D8" w:rsidP="009921D8">
      <w:pPr>
        <w:rPr>
          <w:sz w:val="18"/>
          <w:szCs w:val="18"/>
        </w:rPr>
      </w:pPr>
      <w:r w:rsidRPr="00FA514E">
        <w:rPr>
          <w:rStyle w:val="FootnoteReference"/>
          <w:sz w:val="18"/>
          <w:szCs w:val="18"/>
        </w:rPr>
        <w:footnoteRef/>
      </w:r>
      <w:r w:rsidRPr="00FA514E">
        <w:rPr>
          <w:sz w:val="18"/>
          <w:szCs w:val="18"/>
        </w:rPr>
        <w:t xml:space="preserve"> M. Avi-Yonah and M. D. Herr (2007), ‘Jabneh’ p.10.</w:t>
      </w:r>
    </w:p>
  </w:footnote>
  <w:footnote w:id="49">
    <w:p w14:paraId="3061F263" w14:textId="37311B05" w:rsidR="00676F41" w:rsidRPr="0064750C" w:rsidRDefault="00676F41">
      <w:pPr>
        <w:pStyle w:val="FootnoteText"/>
        <w:rPr>
          <w:sz w:val="18"/>
          <w:szCs w:val="18"/>
        </w:rPr>
      </w:pPr>
      <w:r w:rsidRPr="00FA514E">
        <w:rPr>
          <w:rStyle w:val="FootnoteReference"/>
          <w:sz w:val="18"/>
          <w:szCs w:val="18"/>
        </w:rPr>
        <w:footnoteRef/>
      </w:r>
      <w:r w:rsidRPr="00FA514E">
        <w:rPr>
          <w:sz w:val="18"/>
          <w:szCs w:val="18"/>
        </w:rPr>
        <w:t xml:space="preserve"> S. J. D. Cohen (</w:t>
      </w:r>
      <w:r w:rsidR="0078640C" w:rsidRPr="00FA514E">
        <w:rPr>
          <w:sz w:val="18"/>
          <w:szCs w:val="18"/>
        </w:rPr>
        <w:t>2010</w:t>
      </w:r>
      <w:r w:rsidRPr="00FA514E">
        <w:rPr>
          <w:sz w:val="18"/>
          <w:szCs w:val="18"/>
        </w:rPr>
        <w:t xml:space="preserve">), ‘The Significance of Yavneh: Pharisees, Rabbis and the End of Jewish Sectarianism’ in </w:t>
      </w:r>
      <w:r w:rsidRPr="00FA514E">
        <w:rPr>
          <w:i/>
          <w:sz w:val="18"/>
          <w:szCs w:val="18"/>
        </w:rPr>
        <w:t>The Significance of Yavneh and Other Essays in Jewish Hellenism</w:t>
      </w:r>
      <w:r w:rsidRPr="00FA514E">
        <w:rPr>
          <w:sz w:val="18"/>
          <w:szCs w:val="18"/>
        </w:rPr>
        <w:t>, (</w:t>
      </w:r>
      <w:r w:rsidR="0078640C" w:rsidRPr="00FA514E">
        <w:rPr>
          <w:sz w:val="18"/>
          <w:szCs w:val="18"/>
        </w:rPr>
        <w:t>T</w:t>
      </w:r>
      <w:r w:rsidR="00920595" w:rsidRPr="00FA514E">
        <w:rPr>
          <w:sz w:val="18"/>
          <w:szCs w:val="18"/>
        </w:rPr>
        <w:t>ubingen: Mohr Siebeck</w:t>
      </w:r>
      <w:r w:rsidRPr="00FA514E">
        <w:rPr>
          <w:sz w:val="18"/>
          <w:szCs w:val="18"/>
        </w:rPr>
        <w:t>), p.44.</w:t>
      </w:r>
    </w:p>
  </w:footnote>
  <w:footnote w:id="50">
    <w:p w14:paraId="76F81827" w14:textId="2D6D4D6B" w:rsidR="00593AAE" w:rsidRPr="00116B3F" w:rsidRDefault="00593AAE">
      <w:pPr>
        <w:pStyle w:val="FootnoteText"/>
      </w:pPr>
      <w:r>
        <w:rPr>
          <w:rStyle w:val="FootnoteReference"/>
        </w:rPr>
        <w:footnoteRef/>
      </w:r>
      <w:r w:rsidR="00116B3F">
        <w:t xml:space="preserve"> </w:t>
      </w:r>
      <w:r w:rsidR="00116B3F" w:rsidRPr="003435BC">
        <w:rPr>
          <w:sz w:val="18"/>
          <w:szCs w:val="18"/>
        </w:rPr>
        <w:t>A. Salzberg (</w:t>
      </w:r>
      <w:r w:rsidR="003435BC" w:rsidRPr="003435BC">
        <w:rPr>
          <w:sz w:val="18"/>
          <w:szCs w:val="18"/>
        </w:rPr>
        <w:t>Unknown Date</w:t>
      </w:r>
      <w:r w:rsidR="00116B3F" w:rsidRPr="003435BC">
        <w:rPr>
          <w:sz w:val="18"/>
          <w:szCs w:val="18"/>
        </w:rPr>
        <w:t xml:space="preserve">), </w:t>
      </w:r>
      <w:r w:rsidR="00116B3F" w:rsidRPr="003435BC">
        <w:rPr>
          <w:i/>
          <w:sz w:val="18"/>
          <w:szCs w:val="18"/>
        </w:rPr>
        <w:t>Judaism after the Temple</w:t>
      </w:r>
      <w:r w:rsidR="00116B3F" w:rsidRPr="003435BC">
        <w:rPr>
          <w:sz w:val="18"/>
          <w:szCs w:val="18"/>
        </w:rPr>
        <w:t>, https://www.myjewishlearning.com/article/judaism-after-the-temple/ (Date Accessed:7</w:t>
      </w:r>
      <w:r w:rsidR="00116B3F" w:rsidRPr="003435BC">
        <w:rPr>
          <w:sz w:val="18"/>
          <w:szCs w:val="18"/>
          <w:vertAlign w:val="superscript"/>
        </w:rPr>
        <w:t>th</w:t>
      </w:r>
      <w:r w:rsidR="00116B3F" w:rsidRPr="003435BC">
        <w:rPr>
          <w:sz w:val="18"/>
          <w:szCs w:val="18"/>
        </w:rPr>
        <w:t xml:space="preserve"> December 2017).</w:t>
      </w:r>
    </w:p>
  </w:footnote>
  <w:footnote w:id="51">
    <w:p w14:paraId="36175C58" w14:textId="65C9BC31" w:rsidR="007268D4" w:rsidRPr="0064750C" w:rsidRDefault="007268D4">
      <w:pPr>
        <w:pStyle w:val="FootnoteText"/>
        <w:rPr>
          <w:sz w:val="18"/>
          <w:szCs w:val="18"/>
        </w:rPr>
      </w:pPr>
      <w:r w:rsidRPr="0064750C">
        <w:rPr>
          <w:rStyle w:val="FootnoteReference"/>
          <w:sz w:val="18"/>
          <w:szCs w:val="18"/>
        </w:rPr>
        <w:footnoteRef/>
      </w:r>
      <w:r w:rsidRPr="0064750C">
        <w:rPr>
          <w:sz w:val="18"/>
          <w:szCs w:val="18"/>
        </w:rPr>
        <w:t xml:space="preserve"> S. Zeitlin (1961), ‘The Pharisees’, p.129.</w:t>
      </w:r>
    </w:p>
  </w:footnote>
  <w:footnote w:id="52">
    <w:p w14:paraId="64FED675" w14:textId="77777777" w:rsidR="000D06BF" w:rsidRDefault="000D06BF" w:rsidP="000D06BF">
      <w:pPr>
        <w:pStyle w:val="FootnoteText"/>
      </w:pPr>
      <w:r w:rsidRPr="0064750C">
        <w:rPr>
          <w:rStyle w:val="FootnoteReference"/>
          <w:sz w:val="18"/>
          <w:szCs w:val="18"/>
        </w:rPr>
        <w:footnoteRef/>
      </w:r>
      <w:r w:rsidRPr="0064750C">
        <w:rPr>
          <w:sz w:val="18"/>
          <w:szCs w:val="18"/>
        </w:rPr>
        <w:t xml:space="preserve"> G. L. Jones (1997), ‘Blind Guides’, p.121</w:t>
      </w:r>
      <w:r>
        <w:t>.</w:t>
      </w:r>
    </w:p>
  </w:footnote>
  <w:footnote w:id="53">
    <w:p w14:paraId="2A23D791" w14:textId="1C8EC7CC" w:rsidR="000F202D" w:rsidRPr="000F202D" w:rsidRDefault="000F202D">
      <w:pPr>
        <w:pStyle w:val="FootnoteText"/>
        <w:rPr>
          <w:sz w:val="18"/>
          <w:szCs w:val="18"/>
        </w:rPr>
      </w:pPr>
      <w:r w:rsidRPr="000F202D">
        <w:rPr>
          <w:rStyle w:val="FootnoteReference"/>
          <w:sz w:val="18"/>
          <w:szCs w:val="18"/>
        </w:rPr>
        <w:footnoteRef/>
      </w:r>
      <w:r w:rsidRPr="000F202D">
        <w:rPr>
          <w:sz w:val="18"/>
          <w:szCs w:val="18"/>
        </w:rPr>
        <w:t xml:space="preserve"> G. D. Chryssides, D. Cohn-Sherbok and D. El-Alami (2014),</w:t>
      </w:r>
      <w:r>
        <w:rPr>
          <w:sz w:val="18"/>
          <w:szCs w:val="18"/>
        </w:rPr>
        <w:t xml:space="preserve"> </w:t>
      </w:r>
      <w:r w:rsidRPr="000F202D">
        <w:rPr>
          <w:i/>
          <w:sz w:val="18"/>
          <w:szCs w:val="18"/>
        </w:rPr>
        <w:t>Why Can’t They Get Along?: A conversation between a Muslim, a Jew and a Christian</w:t>
      </w:r>
      <w:r w:rsidRPr="000F202D">
        <w:rPr>
          <w:sz w:val="18"/>
          <w:szCs w:val="18"/>
        </w:rPr>
        <w:t>, (Oxford: Lion Books), p.174.</w:t>
      </w:r>
    </w:p>
  </w:footnote>
  <w:footnote w:id="54">
    <w:p w14:paraId="0F706194" w14:textId="0C808FC4" w:rsidR="00500953" w:rsidRPr="00416808" w:rsidRDefault="00500953" w:rsidP="00416808">
      <w:pPr>
        <w:rPr>
          <w:rFonts w:ascii="Arial" w:hAnsi="Arial" w:cs="Arial"/>
          <w:sz w:val="18"/>
          <w:szCs w:val="18"/>
        </w:rPr>
      </w:pPr>
      <w:r w:rsidRPr="00AB3C2C">
        <w:rPr>
          <w:rStyle w:val="FootnoteReference"/>
          <w:sz w:val="18"/>
          <w:szCs w:val="18"/>
        </w:rPr>
        <w:footnoteRef/>
      </w:r>
      <w:r w:rsidRPr="00AB3C2C">
        <w:rPr>
          <w:sz w:val="18"/>
          <w:szCs w:val="18"/>
        </w:rPr>
        <w:t xml:space="preserve"> </w:t>
      </w:r>
      <w:r w:rsidR="00407BF7" w:rsidRPr="00AB3C2C">
        <w:rPr>
          <w:rFonts w:ascii="Arial" w:hAnsi="Arial" w:cs="Arial"/>
          <w:sz w:val="18"/>
          <w:szCs w:val="18"/>
        </w:rPr>
        <w:t xml:space="preserve">Pilkington, C. M. (1995), </w:t>
      </w:r>
      <w:r w:rsidR="00407BF7" w:rsidRPr="00AB3C2C">
        <w:rPr>
          <w:rFonts w:ascii="Arial" w:hAnsi="Arial" w:cs="Arial"/>
          <w:i/>
          <w:iCs/>
          <w:sz w:val="18"/>
          <w:szCs w:val="18"/>
        </w:rPr>
        <w:t xml:space="preserve">World Faiths Judaism, </w:t>
      </w:r>
      <w:r w:rsidR="00407BF7" w:rsidRPr="00AB3C2C">
        <w:rPr>
          <w:rFonts w:ascii="Arial" w:hAnsi="Arial" w:cs="Arial"/>
          <w:sz w:val="18"/>
          <w:szCs w:val="18"/>
        </w:rPr>
        <w:t>(London: Teach Yourself Books),</w:t>
      </w:r>
      <w:r w:rsidR="000F202D">
        <w:rPr>
          <w:rFonts w:ascii="Arial" w:hAnsi="Arial" w:cs="Arial"/>
          <w:sz w:val="18"/>
          <w:szCs w:val="18"/>
        </w:rPr>
        <w:t xml:space="preserve"> </w:t>
      </w:r>
      <w:r w:rsidR="00EE0888" w:rsidRPr="00AB3C2C">
        <w:rPr>
          <w:sz w:val="18"/>
          <w:szCs w:val="18"/>
        </w:rPr>
        <w:t>p.31</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82C0F"/>
    <w:multiLevelType w:val="hybridMultilevel"/>
    <w:tmpl w:val="DBA4E090"/>
    <w:lvl w:ilvl="0" w:tplc="828EE4D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A37131"/>
    <w:multiLevelType w:val="hybridMultilevel"/>
    <w:tmpl w:val="AF28FE4A"/>
    <w:lvl w:ilvl="0" w:tplc="7CA8E06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029"/>
    <w:rsid w:val="000075DB"/>
    <w:rsid w:val="00011266"/>
    <w:rsid w:val="00013BC9"/>
    <w:rsid w:val="00024624"/>
    <w:rsid w:val="00037A6F"/>
    <w:rsid w:val="00037DEF"/>
    <w:rsid w:val="00042FE5"/>
    <w:rsid w:val="00061790"/>
    <w:rsid w:val="00064F22"/>
    <w:rsid w:val="000661FF"/>
    <w:rsid w:val="00080AA1"/>
    <w:rsid w:val="000A058F"/>
    <w:rsid w:val="000A1288"/>
    <w:rsid w:val="000A5BF4"/>
    <w:rsid w:val="000B3B18"/>
    <w:rsid w:val="000B411F"/>
    <w:rsid w:val="000B6DE1"/>
    <w:rsid w:val="000D06BF"/>
    <w:rsid w:val="000D7586"/>
    <w:rsid w:val="000D7BAB"/>
    <w:rsid w:val="000E6743"/>
    <w:rsid w:val="000E7DDF"/>
    <w:rsid w:val="000F202D"/>
    <w:rsid w:val="0011061D"/>
    <w:rsid w:val="001112AC"/>
    <w:rsid w:val="001127CF"/>
    <w:rsid w:val="00113807"/>
    <w:rsid w:val="00116B3F"/>
    <w:rsid w:val="00121861"/>
    <w:rsid w:val="00134BE6"/>
    <w:rsid w:val="00142FD1"/>
    <w:rsid w:val="00143070"/>
    <w:rsid w:val="00160C35"/>
    <w:rsid w:val="001646A6"/>
    <w:rsid w:val="00181AFC"/>
    <w:rsid w:val="001A6615"/>
    <w:rsid w:val="001B439C"/>
    <w:rsid w:val="001F125B"/>
    <w:rsid w:val="0021796E"/>
    <w:rsid w:val="00222955"/>
    <w:rsid w:val="00224106"/>
    <w:rsid w:val="0023510A"/>
    <w:rsid w:val="00245E79"/>
    <w:rsid w:val="002566FE"/>
    <w:rsid w:val="00276098"/>
    <w:rsid w:val="002953AD"/>
    <w:rsid w:val="002A2FB8"/>
    <w:rsid w:val="002A40D2"/>
    <w:rsid w:val="002A6C17"/>
    <w:rsid w:val="002D0649"/>
    <w:rsid w:val="002D2154"/>
    <w:rsid w:val="002D4DA1"/>
    <w:rsid w:val="002E3D1A"/>
    <w:rsid w:val="002F1273"/>
    <w:rsid w:val="002F4014"/>
    <w:rsid w:val="0030127E"/>
    <w:rsid w:val="0031784E"/>
    <w:rsid w:val="003240C4"/>
    <w:rsid w:val="003244BD"/>
    <w:rsid w:val="0032567B"/>
    <w:rsid w:val="003259D0"/>
    <w:rsid w:val="003435BC"/>
    <w:rsid w:val="00350153"/>
    <w:rsid w:val="00354757"/>
    <w:rsid w:val="0036237E"/>
    <w:rsid w:val="00367175"/>
    <w:rsid w:val="00391281"/>
    <w:rsid w:val="003D05CD"/>
    <w:rsid w:val="003D088C"/>
    <w:rsid w:val="003D10B3"/>
    <w:rsid w:val="00403551"/>
    <w:rsid w:val="00407BF7"/>
    <w:rsid w:val="00416808"/>
    <w:rsid w:val="0043002C"/>
    <w:rsid w:val="00431EF0"/>
    <w:rsid w:val="004439AA"/>
    <w:rsid w:val="00447F89"/>
    <w:rsid w:val="00452D5C"/>
    <w:rsid w:val="00453E10"/>
    <w:rsid w:val="0046432D"/>
    <w:rsid w:val="00473D13"/>
    <w:rsid w:val="00481098"/>
    <w:rsid w:val="00486A64"/>
    <w:rsid w:val="00491D3D"/>
    <w:rsid w:val="004920DB"/>
    <w:rsid w:val="004A0E75"/>
    <w:rsid w:val="004A3A63"/>
    <w:rsid w:val="004A3E77"/>
    <w:rsid w:val="004B5787"/>
    <w:rsid w:val="004C0990"/>
    <w:rsid w:val="004C391E"/>
    <w:rsid w:val="004C6E06"/>
    <w:rsid w:val="004D0300"/>
    <w:rsid w:val="004D06BA"/>
    <w:rsid w:val="004F5EE5"/>
    <w:rsid w:val="00500953"/>
    <w:rsid w:val="00500E2E"/>
    <w:rsid w:val="00503658"/>
    <w:rsid w:val="00507714"/>
    <w:rsid w:val="00520579"/>
    <w:rsid w:val="005217CB"/>
    <w:rsid w:val="00521BEB"/>
    <w:rsid w:val="005352BA"/>
    <w:rsid w:val="0057409A"/>
    <w:rsid w:val="00593AAE"/>
    <w:rsid w:val="005B3201"/>
    <w:rsid w:val="005B630B"/>
    <w:rsid w:val="005E629B"/>
    <w:rsid w:val="005F0B68"/>
    <w:rsid w:val="005F7FF0"/>
    <w:rsid w:val="00604132"/>
    <w:rsid w:val="00612147"/>
    <w:rsid w:val="00620ABC"/>
    <w:rsid w:val="00642286"/>
    <w:rsid w:val="0064750C"/>
    <w:rsid w:val="00661E61"/>
    <w:rsid w:val="00662D1B"/>
    <w:rsid w:val="00670754"/>
    <w:rsid w:val="00676F41"/>
    <w:rsid w:val="00681E2D"/>
    <w:rsid w:val="00686E39"/>
    <w:rsid w:val="00697811"/>
    <w:rsid w:val="00697B23"/>
    <w:rsid w:val="006A0D80"/>
    <w:rsid w:val="006B5097"/>
    <w:rsid w:val="006B73AE"/>
    <w:rsid w:val="006D41ED"/>
    <w:rsid w:val="006F07ED"/>
    <w:rsid w:val="006F513D"/>
    <w:rsid w:val="006F70B5"/>
    <w:rsid w:val="00716660"/>
    <w:rsid w:val="0072241B"/>
    <w:rsid w:val="00725072"/>
    <w:rsid w:val="007268D4"/>
    <w:rsid w:val="00736173"/>
    <w:rsid w:val="00740818"/>
    <w:rsid w:val="00740A24"/>
    <w:rsid w:val="00750082"/>
    <w:rsid w:val="007574DE"/>
    <w:rsid w:val="00766248"/>
    <w:rsid w:val="007776CE"/>
    <w:rsid w:val="00784F48"/>
    <w:rsid w:val="0078640C"/>
    <w:rsid w:val="007A0FFB"/>
    <w:rsid w:val="007D5D03"/>
    <w:rsid w:val="007E593C"/>
    <w:rsid w:val="00800A54"/>
    <w:rsid w:val="0080247D"/>
    <w:rsid w:val="00807ADC"/>
    <w:rsid w:val="008178D2"/>
    <w:rsid w:val="00817C06"/>
    <w:rsid w:val="00823735"/>
    <w:rsid w:val="00825FCB"/>
    <w:rsid w:val="00827F01"/>
    <w:rsid w:val="0083309B"/>
    <w:rsid w:val="008360F6"/>
    <w:rsid w:val="00847385"/>
    <w:rsid w:val="008500B3"/>
    <w:rsid w:val="00863A3F"/>
    <w:rsid w:val="0087500A"/>
    <w:rsid w:val="008815B6"/>
    <w:rsid w:val="008A021A"/>
    <w:rsid w:val="008A3CFC"/>
    <w:rsid w:val="008A4133"/>
    <w:rsid w:val="008A60AB"/>
    <w:rsid w:val="008A7C51"/>
    <w:rsid w:val="008E3DF8"/>
    <w:rsid w:val="008E5AD0"/>
    <w:rsid w:val="008F053C"/>
    <w:rsid w:val="008F0E7D"/>
    <w:rsid w:val="00904787"/>
    <w:rsid w:val="009063BF"/>
    <w:rsid w:val="009178E9"/>
    <w:rsid w:val="00917F35"/>
    <w:rsid w:val="00920595"/>
    <w:rsid w:val="00923343"/>
    <w:rsid w:val="00927DBA"/>
    <w:rsid w:val="00961A97"/>
    <w:rsid w:val="00966B1F"/>
    <w:rsid w:val="00983D98"/>
    <w:rsid w:val="00983F72"/>
    <w:rsid w:val="0098409B"/>
    <w:rsid w:val="009921D8"/>
    <w:rsid w:val="009A5A12"/>
    <w:rsid w:val="009B7334"/>
    <w:rsid w:val="009D6012"/>
    <w:rsid w:val="009E3977"/>
    <w:rsid w:val="009F7615"/>
    <w:rsid w:val="00A04AF1"/>
    <w:rsid w:val="00A07925"/>
    <w:rsid w:val="00A21DE4"/>
    <w:rsid w:val="00A31AFC"/>
    <w:rsid w:val="00A32ECA"/>
    <w:rsid w:val="00A430F8"/>
    <w:rsid w:val="00A46365"/>
    <w:rsid w:val="00A64789"/>
    <w:rsid w:val="00A76AF4"/>
    <w:rsid w:val="00A77410"/>
    <w:rsid w:val="00A808A6"/>
    <w:rsid w:val="00A81E51"/>
    <w:rsid w:val="00A9688B"/>
    <w:rsid w:val="00AA029A"/>
    <w:rsid w:val="00AA31F9"/>
    <w:rsid w:val="00AA35E7"/>
    <w:rsid w:val="00AA5DA9"/>
    <w:rsid w:val="00AB269F"/>
    <w:rsid w:val="00AB3C2C"/>
    <w:rsid w:val="00AF1F9C"/>
    <w:rsid w:val="00AF201B"/>
    <w:rsid w:val="00AF75FF"/>
    <w:rsid w:val="00B03120"/>
    <w:rsid w:val="00B144D0"/>
    <w:rsid w:val="00B31E4B"/>
    <w:rsid w:val="00B34589"/>
    <w:rsid w:val="00B44119"/>
    <w:rsid w:val="00B55347"/>
    <w:rsid w:val="00B578F0"/>
    <w:rsid w:val="00B60B5A"/>
    <w:rsid w:val="00B62E12"/>
    <w:rsid w:val="00B65763"/>
    <w:rsid w:val="00B82374"/>
    <w:rsid w:val="00B909C8"/>
    <w:rsid w:val="00B90B42"/>
    <w:rsid w:val="00B96D65"/>
    <w:rsid w:val="00BA1789"/>
    <w:rsid w:val="00BB0795"/>
    <w:rsid w:val="00BB2190"/>
    <w:rsid w:val="00BD5301"/>
    <w:rsid w:val="00BD5878"/>
    <w:rsid w:val="00BE0C7E"/>
    <w:rsid w:val="00BE23CC"/>
    <w:rsid w:val="00BE3810"/>
    <w:rsid w:val="00BF0029"/>
    <w:rsid w:val="00BF2170"/>
    <w:rsid w:val="00C0230C"/>
    <w:rsid w:val="00C13648"/>
    <w:rsid w:val="00C231CD"/>
    <w:rsid w:val="00C37901"/>
    <w:rsid w:val="00C42CA0"/>
    <w:rsid w:val="00C43E6C"/>
    <w:rsid w:val="00C504A4"/>
    <w:rsid w:val="00C56D1D"/>
    <w:rsid w:val="00C618A5"/>
    <w:rsid w:val="00C6213D"/>
    <w:rsid w:val="00C702A8"/>
    <w:rsid w:val="00C75882"/>
    <w:rsid w:val="00C825DE"/>
    <w:rsid w:val="00C962E9"/>
    <w:rsid w:val="00C96474"/>
    <w:rsid w:val="00CA20B1"/>
    <w:rsid w:val="00CA26B5"/>
    <w:rsid w:val="00CB6718"/>
    <w:rsid w:val="00CB6981"/>
    <w:rsid w:val="00CC722D"/>
    <w:rsid w:val="00CE3EA3"/>
    <w:rsid w:val="00D027C8"/>
    <w:rsid w:val="00D04BA7"/>
    <w:rsid w:val="00D06B71"/>
    <w:rsid w:val="00D15BAA"/>
    <w:rsid w:val="00D2100B"/>
    <w:rsid w:val="00D261F8"/>
    <w:rsid w:val="00D377CC"/>
    <w:rsid w:val="00D4228B"/>
    <w:rsid w:val="00D44CBA"/>
    <w:rsid w:val="00D611D9"/>
    <w:rsid w:val="00D631E0"/>
    <w:rsid w:val="00D679AD"/>
    <w:rsid w:val="00D751EC"/>
    <w:rsid w:val="00D7532E"/>
    <w:rsid w:val="00D83F77"/>
    <w:rsid w:val="00D86CBB"/>
    <w:rsid w:val="00D871CC"/>
    <w:rsid w:val="00D8721E"/>
    <w:rsid w:val="00D8738B"/>
    <w:rsid w:val="00D946F4"/>
    <w:rsid w:val="00DA14B5"/>
    <w:rsid w:val="00DA1B0E"/>
    <w:rsid w:val="00DA3AE2"/>
    <w:rsid w:val="00DB08FE"/>
    <w:rsid w:val="00DB3967"/>
    <w:rsid w:val="00DB67CE"/>
    <w:rsid w:val="00DB6DD1"/>
    <w:rsid w:val="00DB7A2B"/>
    <w:rsid w:val="00DC0C74"/>
    <w:rsid w:val="00DC3984"/>
    <w:rsid w:val="00DC62D8"/>
    <w:rsid w:val="00DF4823"/>
    <w:rsid w:val="00DF4E90"/>
    <w:rsid w:val="00E03AFE"/>
    <w:rsid w:val="00E05B7A"/>
    <w:rsid w:val="00E07C47"/>
    <w:rsid w:val="00E2615A"/>
    <w:rsid w:val="00E35356"/>
    <w:rsid w:val="00E41917"/>
    <w:rsid w:val="00E442CF"/>
    <w:rsid w:val="00E649F5"/>
    <w:rsid w:val="00E74746"/>
    <w:rsid w:val="00E81AA7"/>
    <w:rsid w:val="00E97F2A"/>
    <w:rsid w:val="00EA508F"/>
    <w:rsid w:val="00EB1A26"/>
    <w:rsid w:val="00ED7292"/>
    <w:rsid w:val="00EE0888"/>
    <w:rsid w:val="00EF6E21"/>
    <w:rsid w:val="00F051D6"/>
    <w:rsid w:val="00F101CB"/>
    <w:rsid w:val="00F12DDF"/>
    <w:rsid w:val="00F1321E"/>
    <w:rsid w:val="00F23668"/>
    <w:rsid w:val="00F36EFB"/>
    <w:rsid w:val="00F52AAC"/>
    <w:rsid w:val="00F547CB"/>
    <w:rsid w:val="00F5517A"/>
    <w:rsid w:val="00F554DE"/>
    <w:rsid w:val="00F62750"/>
    <w:rsid w:val="00F73EFB"/>
    <w:rsid w:val="00FA514E"/>
    <w:rsid w:val="00FA5BC8"/>
    <w:rsid w:val="00FB0C6B"/>
    <w:rsid w:val="00FB6A8F"/>
    <w:rsid w:val="00FC3E9C"/>
    <w:rsid w:val="00FE0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B3866A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A12"/>
    <w:pPr>
      <w:ind w:left="720"/>
      <w:contextualSpacing/>
    </w:pPr>
  </w:style>
  <w:style w:type="character" w:styleId="Hyperlink">
    <w:name w:val="Hyperlink"/>
    <w:basedOn w:val="DefaultParagraphFont"/>
    <w:uiPriority w:val="99"/>
    <w:unhideWhenUsed/>
    <w:rsid w:val="00923343"/>
    <w:rPr>
      <w:color w:val="0563C1" w:themeColor="hyperlink"/>
      <w:u w:val="single"/>
    </w:rPr>
  </w:style>
  <w:style w:type="character" w:styleId="FollowedHyperlink">
    <w:name w:val="FollowedHyperlink"/>
    <w:basedOn w:val="DefaultParagraphFont"/>
    <w:uiPriority w:val="99"/>
    <w:semiHidden/>
    <w:unhideWhenUsed/>
    <w:rsid w:val="00A430F8"/>
    <w:rPr>
      <w:color w:val="954F72" w:themeColor="followedHyperlink"/>
      <w:u w:val="single"/>
    </w:rPr>
  </w:style>
  <w:style w:type="paragraph" w:styleId="FootnoteText">
    <w:name w:val="footnote text"/>
    <w:basedOn w:val="Normal"/>
    <w:link w:val="FootnoteTextChar"/>
    <w:uiPriority w:val="99"/>
    <w:unhideWhenUsed/>
    <w:rsid w:val="00BE23CC"/>
  </w:style>
  <w:style w:type="character" w:customStyle="1" w:styleId="FootnoteTextChar">
    <w:name w:val="Footnote Text Char"/>
    <w:basedOn w:val="DefaultParagraphFont"/>
    <w:link w:val="FootnoteText"/>
    <w:uiPriority w:val="99"/>
    <w:rsid w:val="00BE23CC"/>
    <w:rPr>
      <w:lang w:val="en-GB"/>
    </w:rPr>
  </w:style>
  <w:style w:type="character" w:styleId="FootnoteReference">
    <w:name w:val="footnote reference"/>
    <w:basedOn w:val="DefaultParagraphFont"/>
    <w:uiPriority w:val="99"/>
    <w:unhideWhenUsed/>
    <w:rsid w:val="00BE23CC"/>
    <w:rPr>
      <w:vertAlign w:val="superscript"/>
    </w:rPr>
  </w:style>
  <w:style w:type="paragraph" w:styleId="NormalWeb">
    <w:name w:val="Normal (Web)"/>
    <w:basedOn w:val="Normal"/>
    <w:uiPriority w:val="99"/>
    <w:unhideWhenUsed/>
    <w:rsid w:val="003D10B3"/>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2837109">
      <w:bodyDiv w:val="1"/>
      <w:marLeft w:val="0"/>
      <w:marRight w:val="0"/>
      <w:marTop w:val="0"/>
      <w:marBottom w:val="0"/>
      <w:divBdr>
        <w:top w:val="none" w:sz="0" w:space="0" w:color="auto"/>
        <w:left w:val="none" w:sz="0" w:space="0" w:color="auto"/>
        <w:bottom w:val="none" w:sz="0" w:space="0" w:color="auto"/>
        <w:right w:val="none" w:sz="0" w:space="0" w:color="auto"/>
      </w:divBdr>
      <w:divsChild>
        <w:div w:id="1575357614">
          <w:marLeft w:val="0"/>
          <w:marRight w:val="0"/>
          <w:marTop w:val="0"/>
          <w:marBottom w:val="0"/>
          <w:divBdr>
            <w:top w:val="none" w:sz="0" w:space="0" w:color="auto"/>
            <w:left w:val="none" w:sz="0" w:space="0" w:color="auto"/>
            <w:bottom w:val="none" w:sz="0" w:space="0" w:color="auto"/>
            <w:right w:val="none" w:sz="0" w:space="0" w:color="auto"/>
          </w:divBdr>
          <w:divsChild>
            <w:div w:id="173999740">
              <w:marLeft w:val="0"/>
              <w:marRight w:val="0"/>
              <w:marTop w:val="0"/>
              <w:marBottom w:val="0"/>
              <w:divBdr>
                <w:top w:val="none" w:sz="0" w:space="0" w:color="auto"/>
                <w:left w:val="none" w:sz="0" w:space="0" w:color="auto"/>
                <w:bottom w:val="none" w:sz="0" w:space="0" w:color="auto"/>
                <w:right w:val="none" w:sz="0" w:space="0" w:color="auto"/>
              </w:divBdr>
              <w:divsChild>
                <w:div w:id="154089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go.galegroup.com/ps/retrieve.do?docId=GALE%7CCX2587509822&amp;userGroupName=walamp&amp;inPS=true&amp;contentSegment=&amp;sort=RELEVANCE&amp;prodId=GVRL&amp;searchId=R1&amp;tabID=T003&amp;resultListType=RESULT_LIST&amp;currentPosition=6&amp;searchResultsType" TargetMode="External"/><Relationship Id="rId9" Type="http://schemas.openxmlformats.org/officeDocument/2006/relationships/hyperlink" Target="http://www.chabad.org/library/article_cdo/aid/2713638/jewish/Spiritual-Leadership-in-Yavneh.htm" TargetMode="External"/><Relationship Id="rId10" Type="http://schemas.openxmlformats.org/officeDocument/2006/relationships/hyperlink" Target="http://www.jstor.org/stable/1201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E109AFE-03FC-1D4A-8277-9CE84982E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918</TotalTime>
  <Pages>9</Pages>
  <Words>3184</Words>
  <Characters>18152</Characters>
  <Application>Microsoft Macintosh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Wakefield (1500651)</dc:creator>
  <cp:keywords/>
  <dc:description/>
  <cp:lastModifiedBy>Daisy Wakefield (1500651)</cp:lastModifiedBy>
  <cp:revision>64</cp:revision>
  <dcterms:created xsi:type="dcterms:W3CDTF">2017-10-25T16:41:00Z</dcterms:created>
  <dcterms:modified xsi:type="dcterms:W3CDTF">2017-12-08T11:45:00Z</dcterms:modified>
</cp:coreProperties>
</file>