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C8EBF7" w14:textId="0C50EF0C" w:rsidR="00991377" w:rsidRDefault="00991377" w:rsidP="00991377">
      <w:pPr>
        <w:pStyle w:val="paragraph"/>
        <w:spacing w:line="480" w:lineRule="auto"/>
        <w:jc w:val="center"/>
        <w:textAlignment w:val="baseline"/>
        <w:rPr>
          <w:rStyle w:val="normaltextrun"/>
          <w:b/>
          <w:bCs/>
          <w:lang w:val="en-US"/>
        </w:rPr>
      </w:pPr>
      <w:r>
        <w:rPr>
          <w:rStyle w:val="normaltextrun"/>
          <w:b/>
          <w:bCs/>
          <w:lang w:val="en-US"/>
        </w:rPr>
        <w:t>Faisal Shamsdin</w:t>
      </w:r>
    </w:p>
    <w:p w14:paraId="17EF5589" w14:textId="6454346D" w:rsidR="00991377" w:rsidRDefault="00991377" w:rsidP="00991377">
      <w:pPr>
        <w:pStyle w:val="paragraph"/>
        <w:spacing w:line="480" w:lineRule="auto"/>
        <w:jc w:val="center"/>
        <w:textAlignment w:val="baseline"/>
        <w:rPr>
          <w:rStyle w:val="normaltextrun"/>
          <w:b/>
          <w:bCs/>
          <w:lang w:val="en-US"/>
        </w:rPr>
      </w:pPr>
      <w:r>
        <w:rPr>
          <w:rStyle w:val="normaltextrun"/>
          <w:b/>
          <w:bCs/>
          <w:lang w:val="en-US"/>
        </w:rPr>
        <w:t>Public Law Assignment</w:t>
      </w:r>
    </w:p>
    <w:p w14:paraId="24DDE649" w14:textId="77777777" w:rsidR="00991377" w:rsidRDefault="00991377" w:rsidP="00D75B74">
      <w:pPr>
        <w:pStyle w:val="paragraph"/>
        <w:spacing w:line="480" w:lineRule="auto"/>
        <w:jc w:val="both"/>
        <w:textAlignment w:val="baseline"/>
        <w:rPr>
          <w:rStyle w:val="normaltextrun"/>
          <w:b/>
          <w:bCs/>
          <w:lang w:val="en-US"/>
        </w:rPr>
      </w:pPr>
    </w:p>
    <w:p w14:paraId="4B5246FA" w14:textId="581125A4" w:rsidR="00D75B74" w:rsidRPr="00315CF4" w:rsidRDefault="00D75B74" w:rsidP="00D75B74">
      <w:pPr>
        <w:pStyle w:val="paragraph"/>
        <w:spacing w:line="480" w:lineRule="auto"/>
        <w:jc w:val="both"/>
        <w:textAlignment w:val="baseline"/>
        <w:rPr>
          <w:b/>
          <w:bCs/>
          <w:lang w:val="en-US"/>
        </w:rPr>
      </w:pPr>
      <w:r w:rsidRPr="00315CF4">
        <w:rPr>
          <w:rStyle w:val="normaltextrun"/>
          <w:b/>
          <w:bCs/>
          <w:lang w:val="en-US"/>
        </w:rPr>
        <w:t>Question 1</w:t>
      </w:r>
      <w:r w:rsidRPr="00315CF4">
        <w:rPr>
          <w:rStyle w:val="eop"/>
          <w:b/>
          <w:bCs/>
          <w:lang w:val="en-US"/>
        </w:rPr>
        <w:t> </w:t>
      </w:r>
    </w:p>
    <w:p w14:paraId="2E79BB84"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Many jurisdictions have instituted the doctrine of separation of powers in their governance structure. This doctrine has a lot of influence on public officials who formulate the Constitution of a country and philosophers</w:t>
      </w:r>
      <w:sdt>
        <w:sdtPr>
          <w:rPr>
            <w:rStyle w:val="normaltextrun"/>
            <w:lang w:val="en-US"/>
          </w:rPr>
          <w:id w:val="1079168921"/>
          <w:citation/>
        </w:sdtPr>
        <w:sdtEndPr>
          <w:rPr>
            <w:rStyle w:val="normaltextrun"/>
          </w:rPr>
        </w:sdtEndPr>
        <w:sdtContent>
          <w:r w:rsidRPr="00315CF4">
            <w:rPr>
              <w:rStyle w:val="normaltextrun"/>
              <w:lang w:val="en-US"/>
            </w:rPr>
            <w:fldChar w:fldCharType="begin"/>
          </w:r>
          <w:r w:rsidRPr="00315CF4">
            <w:rPr>
              <w:rStyle w:val="normaltextrun"/>
              <w:lang w:val="en-US"/>
            </w:rPr>
            <w:instrText xml:space="preserve"> CITATION WBG651 \l 1033 </w:instrText>
          </w:r>
          <w:r w:rsidRPr="00315CF4">
            <w:rPr>
              <w:rStyle w:val="normaltextrun"/>
              <w:lang w:val="en-US"/>
            </w:rPr>
            <w:fldChar w:fldCharType="separate"/>
          </w:r>
          <w:r w:rsidRPr="00315CF4">
            <w:rPr>
              <w:rStyle w:val="normaltextrun"/>
              <w:noProof/>
              <w:lang w:val="en-US"/>
            </w:rPr>
            <w:t xml:space="preserve"> </w:t>
          </w:r>
          <w:r w:rsidRPr="00315CF4">
            <w:rPr>
              <w:noProof/>
              <w:lang w:val="en-US"/>
            </w:rPr>
            <w:t>(Gwyn, 1965)</w:t>
          </w:r>
          <w:r w:rsidRPr="00315CF4">
            <w:rPr>
              <w:rStyle w:val="normaltextrun"/>
              <w:lang w:val="en-US"/>
            </w:rPr>
            <w:fldChar w:fldCharType="end"/>
          </w:r>
        </w:sdtContent>
      </w:sdt>
      <w:r w:rsidRPr="00315CF4">
        <w:rPr>
          <w:rStyle w:val="normaltextrun"/>
          <w:lang w:val="en-US"/>
        </w:rPr>
        <w:t>.  According to a French jurist named Montesquieu, no liberty can exist, and everything can come to an end in the event where the arms of the government, that is, executive, legislature and the judiciary are governed via a single authority or individual</w:t>
      </w:r>
      <w:sdt>
        <w:sdtPr>
          <w:rPr>
            <w:rStyle w:val="normaltextrun"/>
            <w:lang w:val="en-US"/>
          </w:rPr>
          <w:id w:val="-1112743904"/>
          <w:citation/>
        </w:sdtPr>
        <w:sdtEndPr>
          <w:rPr>
            <w:rStyle w:val="normaltextrun"/>
          </w:rPr>
        </w:sdtEndPr>
        <w:sdtContent>
          <w:r w:rsidRPr="00315CF4">
            <w:rPr>
              <w:rStyle w:val="normaltextrun"/>
              <w:lang w:val="en-US"/>
            </w:rPr>
            <w:fldChar w:fldCharType="begin"/>
          </w:r>
          <w:r w:rsidRPr="00315CF4">
            <w:rPr>
              <w:rStyle w:val="normaltextrun"/>
              <w:lang w:val="en-US"/>
            </w:rPr>
            <w:instrText xml:space="preserve"> CITATION MRa37 \l 1033 </w:instrText>
          </w:r>
          <w:r w:rsidRPr="00315CF4">
            <w:rPr>
              <w:rStyle w:val="normaltextrun"/>
              <w:lang w:val="en-US"/>
            </w:rPr>
            <w:fldChar w:fldCharType="separate"/>
          </w:r>
          <w:r w:rsidRPr="00315CF4">
            <w:rPr>
              <w:rStyle w:val="normaltextrun"/>
              <w:noProof/>
              <w:lang w:val="en-US"/>
            </w:rPr>
            <w:t xml:space="preserve"> </w:t>
          </w:r>
          <w:r w:rsidRPr="00315CF4">
            <w:rPr>
              <w:noProof/>
              <w:lang w:val="en-US"/>
            </w:rPr>
            <w:t>(Radin, 1937)</w:t>
          </w:r>
          <w:r w:rsidRPr="00315CF4">
            <w:rPr>
              <w:rStyle w:val="normaltextrun"/>
              <w:lang w:val="en-US"/>
            </w:rPr>
            <w:fldChar w:fldCharType="end"/>
          </w:r>
        </w:sdtContent>
      </w:sdt>
      <w:r w:rsidRPr="00315CF4">
        <w:rPr>
          <w:rStyle w:val="normaltextrun"/>
          <w:lang w:val="en-US"/>
        </w:rPr>
        <w:t xml:space="preserve">. Britain has a clear structure of the separation of powers </w:t>
      </w:r>
      <w:proofErr w:type="gramStart"/>
      <w:r w:rsidRPr="00315CF4">
        <w:rPr>
          <w:rStyle w:val="normaltextrun"/>
          <w:lang w:val="en-US"/>
        </w:rPr>
        <w:t>on the basis of</w:t>
      </w:r>
      <w:proofErr w:type="gramEnd"/>
      <w:r w:rsidRPr="00315CF4">
        <w:rPr>
          <w:rStyle w:val="normaltextrun"/>
          <w:lang w:val="en-US"/>
        </w:rPr>
        <w:t xml:space="preserve"> the mandate and duties of the three organs of government (Brand, 1932). The powers of the government are exercised by the executive, legislature and the judiciary. Their powers are limited, and they constantly exercise checks and balances on each other. Based on the vision of Montesquieu, an individual should not perform his or her duties in the three arms of government at the same time (Krause, 2000). There should be non-interference of the operations of among the different government organs.</w:t>
      </w:r>
      <w:r w:rsidRPr="00315CF4">
        <w:rPr>
          <w:rStyle w:val="eop"/>
          <w:lang w:val="en-US"/>
        </w:rPr>
        <w:t> </w:t>
      </w:r>
    </w:p>
    <w:p w14:paraId="0F1B7080"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The executive arm of government comprises of the government which includes the Prime Minister and the Cabinet. The function of the executive is the implementation of policies of the government (European Commission, 2021). It encompasses the formulation of a wide range of policies and management of different operations. This entails implementation of the laws, provision of economic and social welfare, security, administration of public services and creation of good diplomatic relations with other states. </w:t>
      </w:r>
      <w:r w:rsidRPr="00315CF4">
        <w:rPr>
          <w:rStyle w:val="eop"/>
          <w:lang w:val="en-US"/>
        </w:rPr>
        <w:t> </w:t>
      </w:r>
    </w:p>
    <w:p w14:paraId="2AB7A529"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lastRenderedPageBreak/>
        <w:t xml:space="preserve">The judiciary comprises of judges within the law courts which also includes lay magistrates situated at the magistrate’s courts and the judicial officers within the tribunals (European Commission, 2021). The judiciary entails the criminal and civil courts. The civil court covers public law and private law issues. There are instances where the court may engage in minor law-making functions such as governing procedures of the court, formulation of rules and administrative functions. </w:t>
      </w:r>
      <w:r w:rsidRPr="00315CF4">
        <w:rPr>
          <w:rStyle w:val="eop"/>
          <w:lang w:val="en-US"/>
        </w:rPr>
        <w:t> </w:t>
      </w:r>
    </w:p>
    <w:p w14:paraId="6247D462"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The parliament is another organ of the UK government. The sovereignty of parliament is one of the principles of the UK Constitution (European Commission, 2021). It is deemed to be the supreme legal authority within the United Kingdom. The parliament is composed of three main elements, that is, the Monarchy, House of Lords and House of Commons. Some of the functions of the UK government are formulation of new laws and amending legislations that are already in existence. Also, the parliament engages in reviewing and approving the government’s taxation and expenditure. The Chancellor of the Exchequer presents the budget to the House of Commons annually. The Members of Parliament have deliberations or debates concerning the proposals and examine the Finance Bill prior to it becoming the law. The parliament also has oversight roles which entails examining and challenging the government’s work through interrogating ministers, work of the committee and conducting debates. Both the House of Lords and House of Commons conducts debates where the members have deliberations on policies of the government, new laws that have been proposed and various thematic issues of that day.</w:t>
      </w:r>
      <w:r w:rsidRPr="00315CF4">
        <w:rPr>
          <w:rStyle w:val="eop"/>
          <w:lang w:val="en-US"/>
        </w:rPr>
        <w:t> </w:t>
      </w:r>
    </w:p>
    <w:p w14:paraId="78ABA02B"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Separation between the executive and legislature.</w:t>
      </w:r>
      <w:r w:rsidRPr="00315CF4">
        <w:rPr>
          <w:rStyle w:val="eop"/>
          <w:lang w:val="en-US"/>
        </w:rPr>
        <w:t> </w:t>
      </w:r>
    </w:p>
    <w:p w14:paraId="6B2C9964"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Within the UK, there is a close interlinkage between the legislature and the executive (</w:t>
      </w:r>
      <w:proofErr w:type="spellStart"/>
      <w:r w:rsidRPr="00315CF4">
        <w:rPr>
          <w:rStyle w:val="normaltextrun"/>
          <w:lang w:val="en-US"/>
        </w:rPr>
        <w:t>Benwell</w:t>
      </w:r>
      <w:proofErr w:type="spellEnd"/>
      <w:r w:rsidRPr="00315CF4">
        <w:rPr>
          <w:rStyle w:val="normaltextrun"/>
          <w:lang w:val="en-US"/>
        </w:rPr>
        <w:t xml:space="preserve"> &amp; Gay, 2011). The UK Prime Minister and a large percentage of the members of the cabinet are also members of the House of Commons. In this instance, the Prime Minister is usually the </w:t>
      </w:r>
      <w:r w:rsidRPr="00315CF4">
        <w:rPr>
          <w:rStyle w:val="normaltextrun"/>
          <w:lang w:val="en-US"/>
        </w:rPr>
        <w:lastRenderedPageBreak/>
        <w:t>majority party leader within the legislature and the head of the executive arm of government. The Parliament has the powers to delegate the lawmaking mandate to the executive to formulate and enact subordinate legislation</w:t>
      </w:r>
      <w:sdt>
        <w:sdtPr>
          <w:rPr>
            <w:rStyle w:val="normaltextrun"/>
            <w:lang w:val="en-US"/>
          </w:rPr>
          <w:id w:val="-139115984"/>
          <w:citation/>
        </w:sdtPr>
        <w:sdtEndPr>
          <w:rPr>
            <w:rStyle w:val="normaltextrun"/>
          </w:rPr>
        </w:sdtEndPr>
        <w:sdtContent>
          <w:r w:rsidRPr="00315CF4">
            <w:rPr>
              <w:rStyle w:val="normaltextrun"/>
              <w:lang w:val="en-US"/>
            </w:rPr>
            <w:fldChar w:fldCharType="begin"/>
          </w:r>
          <w:r w:rsidRPr="00315CF4">
            <w:rPr>
              <w:rStyle w:val="normaltextrun"/>
              <w:lang w:val="en-US"/>
            </w:rPr>
            <w:instrText xml:space="preserve"> CITATION Ron11 \l 1033 </w:instrText>
          </w:r>
          <w:r w:rsidRPr="00315CF4">
            <w:rPr>
              <w:rStyle w:val="normaltextrun"/>
              <w:lang w:val="en-US"/>
            </w:rPr>
            <w:fldChar w:fldCharType="separate"/>
          </w:r>
          <w:r w:rsidRPr="00315CF4">
            <w:rPr>
              <w:rStyle w:val="normaltextrun"/>
              <w:noProof/>
              <w:lang w:val="en-US"/>
            </w:rPr>
            <w:t xml:space="preserve"> </w:t>
          </w:r>
          <w:r w:rsidRPr="00315CF4">
            <w:rPr>
              <w:noProof/>
              <w:lang w:val="en-US"/>
            </w:rPr>
            <w:t>(Krotoszynski, 2011)</w:t>
          </w:r>
          <w:r w:rsidRPr="00315CF4">
            <w:rPr>
              <w:rStyle w:val="normaltextrun"/>
              <w:lang w:val="en-US"/>
            </w:rPr>
            <w:fldChar w:fldCharType="end"/>
          </w:r>
        </w:sdtContent>
      </w:sdt>
      <w:r w:rsidRPr="00315CF4">
        <w:rPr>
          <w:rStyle w:val="normaltextrun"/>
          <w:lang w:val="en-US"/>
        </w:rPr>
        <w:t>. Despite the executive, judiciary and legislature are not being distinct, the presence of the executive within the legislature is subjected to scrutiny in which Ministers are constantly summoned to Parliament to answer questions that the MPs may have.</w:t>
      </w:r>
      <w:r w:rsidRPr="00315CF4">
        <w:rPr>
          <w:rStyle w:val="eop"/>
          <w:lang w:val="en-US"/>
        </w:rPr>
        <w:t> </w:t>
      </w:r>
    </w:p>
    <w:p w14:paraId="29057044"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Separation of the legislature and the judiciary</w:t>
      </w:r>
      <w:r w:rsidRPr="00315CF4">
        <w:rPr>
          <w:rStyle w:val="eop"/>
          <w:lang w:val="en-US"/>
        </w:rPr>
        <w:t> </w:t>
      </w:r>
    </w:p>
    <w:p w14:paraId="50B09993"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When a case has been filed in a court, the judges are supposed to make interpretations of the legislation in accordance with the Parliament’s intention. The judges have a lot of influence on the way a legislation can be interpreted and applied. However, the judiciary does not have powers to challenge an Act of Parliament’s validity unless it contravenes the European Law (Saunders, 2006). The judges can make a declaration that an Act of Parliament is not compatible with the European Convention of Human Rights but cannot invalidate it based on this ground. There are judges that have opined that there are limitations to the sovereignty of Parliament and there are instances where it may not be obligated to apply the Act of Parliament that contravenes vital constitutional principles like the rule of law. Despite the judiciary having the mandate of developing common law, the legislature can legislate with the aim of either modifying or overturning common law, therefore overruling the law made by the judiciary.</w:t>
      </w:r>
      <w:r w:rsidRPr="00315CF4">
        <w:rPr>
          <w:rStyle w:val="eop"/>
          <w:lang w:val="en-US"/>
        </w:rPr>
        <w:t> </w:t>
      </w:r>
    </w:p>
    <w:p w14:paraId="22007113" w14:textId="651A1ED6" w:rsidR="00D75B74" w:rsidRPr="00315CF4" w:rsidRDefault="00D75B74" w:rsidP="00D75B74">
      <w:pPr>
        <w:pStyle w:val="paragraph"/>
        <w:spacing w:line="480" w:lineRule="auto"/>
        <w:jc w:val="both"/>
        <w:textAlignment w:val="baseline"/>
        <w:rPr>
          <w:lang w:val="en-US"/>
        </w:rPr>
      </w:pPr>
      <w:r w:rsidRPr="00315CF4">
        <w:rPr>
          <w:rStyle w:val="normaltextrun"/>
          <w:lang w:val="en-US"/>
        </w:rPr>
        <w:t>Judges who occupy the senior courts have a life tenure hence there is protection of the court’s independence (Ervin, 1970). A resolution made by the two Houses of Parliament is required for the removal of judge at the High Court. The judges at low courts can be removed after being subjected to disciplinary proceedings. Judges are not allowed to vie for an elective seat in Parli</w:t>
      </w:r>
      <w:r w:rsidR="00991377">
        <w:rPr>
          <w:rStyle w:val="normaltextrun"/>
          <w:lang w:val="en-US"/>
        </w:rPr>
        <w:t>a</w:t>
      </w:r>
      <w:r w:rsidRPr="00315CF4">
        <w:rPr>
          <w:rStyle w:val="normaltextrun"/>
          <w:lang w:val="en-US"/>
        </w:rPr>
        <w:t xml:space="preserve">ment. </w:t>
      </w:r>
      <w:r w:rsidRPr="00315CF4">
        <w:rPr>
          <w:rStyle w:val="eop"/>
          <w:lang w:val="en-US"/>
        </w:rPr>
        <w:t> </w:t>
      </w:r>
    </w:p>
    <w:p w14:paraId="05FEA31F"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lastRenderedPageBreak/>
        <w:t>Under Article 9 of the Bill of Rights 1688, it stipulates that the Parliament privilege principle that entails allowing the Members of Parliament to have absolute freedom of speech without being subjected to judicial action on matters such as libel (</w:t>
      </w:r>
      <w:proofErr w:type="spellStart"/>
      <w:r w:rsidRPr="00315CF4">
        <w:rPr>
          <w:rStyle w:val="normaltextrun"/>
          <w:lang w:val="en-US"/>
        </w:rPr>
        <w:t>Reinstein</w:t>
      </w:r>
      <w:proofErr w:type="spellEnd"/>
      <w:r w:rsidRPr="00315CF4">
        <w:rPr>
          <w:rStyle w:val="normaltextrun"/>
          <w:lang w:val="en-US"/>
        </w:rPr>
        <w:t xml:space="preserve"> &amp; </w:t>
      </w:r>
      <w:proofErr w:type="spellStart"/>
      <w:r w:rsidRPr="00315CF4">
        <w:rPr>
          <w:rStyle w:val="normaltextrun"/>
          <w:lang w:val="en-US"/>
        </w:rPr>
        <w:t>Silvergate</w:t>
      </w:r>
      <w:proofErr w:type="spellEnd"/>
      <w:r w:rsidRPr="00315CF4">
        <w:rPr>
          <w:rStyle w:val="normaltextrun"/>
          <w:lang w:val="en-US"/>
        </w:rPr>
        <w:t>, 1973). Also, Members of Parliament are barred from criticizing decisions of the court and the sub Judice rule which prohibits parliament from interfering with cases that are currently in the courts.</w:t>
      </w:r>
      <w:r w:rsidRPr="00315CF4">
        <w:rPr>
          <w:rStyle w:val="eop"/>
          <w:lang w:val="en-US"/>
        </w:rPr>
        <w:t> </w:t>
      </w:r>
    </w:p>
    <w:p w14:paraId="14C49F1A"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This was illustrated in the case of </w:t>
      </w:r>
      <w:r w:rsidRPr="00315CF4">
        <w:rPr>
          <w:rStyle w:val="normaltextrun"/>
          <w:i/>
          <w:iCs/>
          <w:lang w:val="en-US"/>
        </w:rPr>
        <w:t>Jackson vs Attorney general 2005 UKHL 56</w:t>
      </w:r>
      <w:r w:rsidRPr="00315CF4">
        <w:rPr>
          <w:rStyle w:val="normaltextrun"/>
          <w:lang w:val="en-US"/>
        </w:rPr>
        <w:t xml:space="preserve"> which entails examining the limits of the sovereignty of parliament. The Appellate Court held that the procedure of Parliamentary Acts cannot be used for the purposes of effecting fundamental changes in the Constitution. An appeal was made to the House of Lords concerning the preliminary issues. The House of Lord held there were no limitations on the type of legislation that can be passed through Acts of Parliament apart from the limitations expressly embedded in the legislation. Therefore, the Parliament Act had been passed through a procedure that is valid and the Hunting Act was deemed to be an Act of Parliament.</w:t>
      </w:r>
      <w:r w:rsidRPr="00315CF4">
        <w:rPr>
          <w:rStyle w:val="eop"/>
          <w:lang w:val="en-US"/>
        </w:rPr>
        <w:t> </w:t>
      </w:r>
    </w:p>
    <w:p w14:paraId="56185CD2"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Separation of the executive and the judiciary</w:t>
      </w:r>
      <w:r w:rsidRPr="00315CF4">
        <w:rPr>
          <w:rStyle w:val="eop"/>
          <w:lang w:val="en-US"/>
        </w:rPr>
        <w:t> </w:t>
      </w:r>
    </w:p>
    <w:p w14:paraId="7FADBCDA"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The judiciary exercises oversight over the executive through ensuring that the executive carries out its functions within the scope of its powers (Saunders, 2006). This entails ensuring that the executive exercises its powers only when it is allowed and required. Its powers should be exercised based on the law. The oversight carried out by the judiciary also includes ensuring that the legislative actions performed by the executive which is entails formulation and enactment of subordinate laws are performed within the ambit of the powers that are delegated by Parliament. Therefore, the court has the authority to examine the legality of the public bodies’ actions. This procedure is referred to as judicial review. Based on this role, it is imperative for the judges to be independent of the executive’s influence.</w:t>
      </w:r>
      <w:r w:rsidRPr="00315CF4">
        <w:rPr>
          <w:rStyle w:val="eop"/>
          <w:lang w:val="en-US"/>
        </w:rPr>
        <w:t> </w:t>
      </w:r>
    </w:p>
    <w:p w14:paraId="4732EBDC"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normaltextrun"/>
          <w:lang w:val="en-US"/>
        </w:rPr>
        <w:lastRenderedPageBreak/>
        <w:t xml:space="preserve">This was illustrated in the case of </w:t>
      </w:r>
      <w:r w:rsidRPr="00315CF4">
        <w:rPr>
          <w:rStyle w:val="normaltextrun"/>
          <w:i/>
          <w:iCs/>
          <w:lang w:val="en-US"/>
        </w:rPr>
        <w:t>McGonnell v The United Kingdom ECHR 2000;</w:t>
      </w:r>
      <w:r w:rsidRPr="00315CF4">
        <w:rPr>
          <w:rStyle w:val="normaltextrun"/>
          <w:lang w:val="en-US"/>
        </w:rPr>
        <w:t xml:space="preserve"> the applicant was the owner of a land in St. Martin’s parish within Guernsey. He had done many applications for authorization of using his land for residential purposes but was not successful. He moved into a converted packing shed in 1986 which was situated on his land. The island’s draft Detailed Development Plan was put under consideration and within the public inquiry. The applicant had filed requests that the construction of a residential building on the land he owned ought to be permitted. This request was rejected by the inspector who was in support of the draft development plan’s proposal that entailed the land being zoned as an area that is reserved for agricultural use. Therefore, any form of development was prohibited. Three years after the adoption of the development plan, the applicant filled a formal application for purposes of changing the use of that land. The application was rejected by the planning committee, hence the applicant appealed at the Royal Court. The appeal was dismissed by the court. A member of Parliament who was involved in passing of the legislation was also acting in the capacity of a judicial officer had the responsibility of enforcing laws which had been passed. The decision made by the Bailiff was perceived to be biased and lacked impartiality as there was a likelihood that the Bailiff was influence by his involvement in the Development Plan’s adoption.</w:t>
      </w:r>
    </w:p>
    <w:sdt>
      <w:sdtPr>
        <w:rPr>
          <w:rFonts w:asciiTheme="minorHAnsi" w:eastAsiaTheme="minorHAnsi" w:hAnsiTheme="minorHAnsi" w:cstheme="minorBidi"/>
          <w:b w:val="0"/>
          <w:bCs w:val="0"/>
          <w:kern w:val="0"/>
          <w:sz w:val="24"/>
          <w:szCs w:val="24"/>
          <w:lang w:eastAsia="en-US"/>
        </w:rPr>
        <w:id w:val="521826434"/>
        <w:docPartObj>
          <w:docPartGallery w:val="Bibliographies"/>
          <w:docPartUnique/>
        </w:docPartObj>
      </w:sdtPr>
      <w:sdtEndPr/>
      <w:sdtContent>
        <w:p w14:paraId="078F29B9" w14:textId="77777777" w:rsidR="00D75B74" w:rsidRPr="00315CF4" w:rsidRDefault="00D75B74" w:rsidP="00D75B74">
          <w:pPr>
            <w:pStyle w:val="Heading1"/>
            <w:spacing w:line="480" w:lineRule="auto"/>
            <w:jc w:val="center"/>
            <w:rPr>
              <w:sz w:val="24"/>
              <w:szCs w:val="24"/>
            </w:rPr>
          </w:pPr>
          <w:r w:rsidRPr="00315CF4">
            <w:rPr>
              <w:sz w:val="24"/>
              <w:szCs w:val="24"/>
            </w:rPr>
            <w:t>References</w:t>
          </w:r>
        </w:p>
        <w:sdt>
          <w:sdtPr>
            <w:rPr>
              <w:rFonts w:ascii="Times New Roman" w:hAnsi="Times New Roman" w:cs="Times New Roman"/>
              <w:sz w:val="24"/>
              <w:szCs w:val="24"/>
            </w:rPr>
            <w:id w:val="-573587230"/>
            <w:bibliography/>
          </w:sdtPr>
          <w:sdtEndPr/>
          <w:sdtContent>
            <w:p w14:paraId="1A4046AC" w14:textId="77777777" w:rsidR="00D75B74" w:rsidRPr="00315CF4" w:rsidRDefault="00D75B74" w:rsidP="00D75B74">
              <w:pPr>
                <w:pStyle w:val="Bibliography"/>
                <w:spacing w:line="480" w:lineRule="auto"/>
                <w:jc w:val="both"/>
                <w:rPr>
                  <w:rFonts w:ascii="Times New Roman" w:hAnsi="Times New Roman" w:cs="Times New Roman"/>
                  <w:b/>
                  <w:bCs/>
                  <w:sz w:val="24"/>
                  <w:szCs w:val="24"/>
                  <w:lang w:val="en-US"/>
                </w:rPr>
              </w:pPr>
              <w:r w:rsidRPr="00315CF4">
                <w:rPr>
                  <w:rFonts w:ascii="Times New Roman" w:hAnsi="Times New Roman" w:cs="Times New Roman"/>
                  <w:b/>
                  <w:bCs/>
                  <w:sz w:val="24"/>
                  <w:szCs w:val="24"/>
                  <w:lang w:val="en-US"/>
                </w:rPr>
                <w:t>Legislation</w:t>
              </w:r>
            </w:p>
            <w:p w14:paraId="2EE3EB42" w14:textId="77777777" w:rsidR="00D75B74" w:rsidRPr="00315CF4" w:rsidRDefault="00D75B74" w:rsidP="00D75B74">
              <w:pPr>
                <w:pStyle w:val="Bibliography"/>
                <w:spacing w:line="480" w:lineRule="auto"/>
                <w:jc w:val="both"/>
                <w:rPr>
                  <w:rFonts w:ascii="Times New Roman" w:hAnsi="Times New Roman" w:cs="Times New Roman"/>
                  <w:sz w:val="24"/>
                  <w:szCs w:val="24"/>
                </w:rPr>
              </w:pPr>
              <w:r w:rsidRPr="00315CF4">
                <w:rPr>
                  <w:rStyle w:val="normaltextrun"/>
                  <w:rFonts w:ascii="Times New Roman" w:hAnsi="Times New Roman" w:cs="Times New Roman"/>
                  <w:sz w:val="24"/>
                  <w:szCs w:val="24"/>
                  <w:lang w:val="en-US"/>
                </w:rPr>
                <w:t>Bill of Rights 1688</w:t>
              </w:r>
            </w:p>
            <w:p w14:paraId="78C51458" w14:textId="77777777" w:rsidR="00D75B74" w:rsidRPr="00315CF4" w:rsidRDefault="00D75B74" w:rsidP="00D75B74">
              <w:pPr>
                <w:pStyle w:val="Bibliography"/>
                <w:spacing w:line="480" w:lineRule="auto"/>
                <w:jc w:val="both"/>
                <w:rPr>
                  <w:rStyle w:val="normaltextrun"/>
                  <w:rFonts w:ascii="Times New Roman" w:hAnsi="Times New Roman" w:cs="Times New Roman"/>
                  <w:sz w:val="24"/>
                  <w:szCs w:val="24"/>
                  <w:lang w:val="en-US"/>
                </w:rPr>
              </w:pPr>
              <w:r w:rsidRPr="00315CF4">
                <w:rPr>
                  <w:rStyle w:val="normaltextrun"/>
                  <w:rFonts w:ascii="Times New Roman" w:hAnsi="Times New Roman" w:cs="Times New Roman"/>
                  <w:sz w:val="24"/>
                  <w:szCs w:val="24"/>
                  <w:lang w:val="en-US"/>
                </w:rPr>
                <w:t>European Convention of Human Rights</w:t>
              </w:r>
            </w:p>
            <w:p w14:paraId="3BAA7E36" w14:textId="77777777" w:rsidR="00D75B74" w:rsidRPr="00315CF4" w:rsidRDefault="00D75B74" w:rsidP="00D75B74">
              <w:pPr>
                <w:spacing w:line="480" w:lineRule="auto"/>
                <w:jc w:val="both"/>
                <w:rPr>
                  <w:rStyle w:val="normaltextrun"/>
                  <w:rFonts w:ascii="Times New Roman" w:hAnsi="Times New Roman" w:cs="Times New Roman"/>
                  <w:sz w:val="24"/>
                  <w:szCs w:val="24"/>
                  <w:lang w:val="en-US"/>
                </w:rPr>
              </w:pPr>
              <w:r w:rsidRPr="00315CF4">
                <w:rPr>
                  <w:rStyle w:val="normaltextrun"/>
                  <w:rFonts w:ascii="Times New Roman" w:hAnsi="Times New Roman" w:cs="Times New Roman"/>
                  <w:sz w:val="24"/>
                  <w:szCs w:val="24"/>
                  <w:lang w:val="en-US"/>
                </w:rPr>
                <w:t>Hunting Act</w:t>
              </w:r>
            </w:p>
            <w:p w14:paraId="16B8BC68" w14:textId="77777777" w:rsidR="00D75B74" w:rsidRPr="00315CF4" w:rsidRDefault="00D75B74" w:rsidP="00D75B74">
              <w:pPr>
                <w:spacing w:line="480" w:lineRule="auto"/>
                <w:jc w:val="both"/>
                <w:rPr>
                  <w:rStyle w:val="normaltextrun"/>
                  <w:rFonts w:ascii="Times New Roman" w:hAnsi="Times New Roman" w:cs="Times New Roman"/>
                  <w:b/>
                  <w:bCs/>
                  <w:sz w:val="24"/>
                  <w:szCs w:val="24"/>
                  <w:lang w:val="en-US"/>
                </w:rPr>
              </w:pPr>
              <w:r w:rsidRPr="00315CF4">
                <w:rPr>
                  <w:rStyle w:val="normaltextrun"/>
                  <w:rFonts w:ascii="Times New Roman" w:hAnsi="Times New Roman" w:cs="Times New Roman"/>
                  <w:b/>
                  <w:bCs/>
                  <w:sz w:val="24"/>
                  <w:szCs w:val="24"/>
                  <w:lang w:val="en-US"/>
                </w:rPr>
                <w:t>Case Law</w:t>
              </w:r>
            </w:p>
            <w:p w14:paraId="48208CA4" w14:textId="77777777" w:rsidR="00D75B74" w:rsidRPr="00315CF4" w:rsidRDefault="00D75B74" w:rsidP="00D75B74">
              <w:pPr>
                <w:spacing w:line="480" w:lineRule="auto"/>
                <w:jc w:val="both"/>
                <w:rPr>
                  <w:rStyle w:val="normaltextrun"/>
                  <w:rFonts w:ascii="Times New Roman" w:hAnsi="Times New Roman" w:cs="Times New Roman"/>
                  <w:sz w:val="24"/>
                  <w:szCs w:val="24"/>
                  <w:lang w:val="en-US"/>
                </w:rPr>
              </w:pPr>
              <w:r w:rsidRPr="00315CF4">
                <w:rPr>
                  <w:rStyle w:val="normaltextrun"/>
                  <w:rFonts w:ascii="Times New Roman" w:hAnsi="Times New Roman" w:cs="Times New Roman"/>
                  <w:sz w:val="24"/>
                  <w:szCs w:val="24"/>
                  <w:lang w:val="en-US"/>
                </w:rPr>
                <w:t>McGonnell v The United Kingdom ECHR 2000</w:t>
              </w:r>
            </w:p>
            <w:p w14:paraId="23C04586" w14:textId="77777777" w:rsidR="00D75B74" w:rsidRPr="00315CF4" w:rsidRDefault="00D75B74" w:rsidP="00D75B74">
              <w:pPr>
                <w:spacing w:line="480" w:lineRule="auto"/>
                <w:jc w:val="both"/>
                <w:rPr>
                  <w:rStyle w:val="normaltextrun"/>
                  <w:rFonts w:ascii="Times New Roman" w:hAnsi="Times New Roman" w:cs="Times New Roman"/>
                  <w:sz w:val="24"/>
                  <w:szCs w:val="24"/>
                  <w:lang w:val="en-US"/>
                </w:rPr>
              </w:pPr>
              <w:r w:rsidRPr="00315CF4">
                <w:rPr>
                  <w:rStyle w:val="normaltextrun"/>
                  <w:rFonts w:ascii="Times New Roman" w:hAnsi="Times New Roman" w:cs="Times New Roman"/>
                  <w:sz w:val="24"/>
                  <w:szCs w:val="24"/>
                  <w:lang w:val="en-US"/>
                </w:rPr>
                <w:lastRenderedPageBreak/>
                <w:t>Jackson vs Attorney general 2005 UKHL 56</w:t>
              </w:r>
            </w:p>
            <w:p w14:paraId="2237E645" w14:textId="77777777" w:rsidR="00D75B74" w:rsidRPr="00315CF4" w:rsidRDefault="00D75B74" w:rsidP="00D75B74">
              <w:pPr>
                <w:spacing w:line="480" w:lineRule="auto"/>
                <w:jc w:val="both"/>
                <w:rPr>
                  <w:rFonts w:ascii="Times New Roman" w:hAnsi="Times New Roman" w:cs="Times New Roman"/>
                  <w:b/>
                  <w:bCs/>
                  <w:sz w:val="24"/>
                  <w:szCs w:val="24"/>
                  <w:lang w:val="en-US"/>
                </w:rPr>
              </w:pPr>
              <w:r w:rsidRPr="00315CF4">
                <w:rPr>
                  <w:rStyle w:val="normaltextrun"/>
                  <w:rFonts w:ascii="Times New Roman" w:hAnsi="Times New Roman" w:cs="Times New Roman"/>
                  <w:b/>
                  <w:bCs/>
                  <w:sz w:val="24"/>
                  <w:szCs w:val="24"/>
                  <w:lang w:val="en-US"/>
                </w:rPr>
                <w:t>Journals</w:t>
              </w:r>
            </w:p>
            <w:p w14:paraId="5589AE92"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sz w:val="24"/>
                  <w:szCs w:val="24"/>
                </w:rPr>
                <w:fldChar w:fldCharType="begin"/>
              </w:r>
              <w:r w:rsidRPr="00315CF4">
                <w:rPr>
                  <w:rFonts w:ascii="Times New Roman" w:hAnsi="Times New Roman" w:cs="Times New Roman"/>
                  <w:sz w:val="24"/>
                  <w:szCs w:val="24"/>
                </w:rPr>
                <w:instrText xml:space="preserve"> BIBLIOGRAPHY </w:instrText>
              </w:r>
              <w:r w:rsidRPr="00315CF4">
                <w:rPr>
                  <w:rFonts w:ascii="Times New Roman" w:hAnsi="Times New Roman" w:cs="Times New Roman"/>
                  <w:sz w:val="24"/>
                  <w:szCs w:val="24"/>
                </w:rPr>
                <w:fldChar w:fldCharType="separate"/>
              </w:r>
              <w:r w:rsidRPr="00315CF4">
                <w:rPr>
                  <w:rFonts w:ascii="Times New Roman" w:hAnsi="Times New Roman" w:cs="Times New Roman"/>
                  <w:noProof/>
                  <w:sz w:val="24"/>
                  <w:szCs w:val="24"/>
                </w:rPr>
                <w:t xml:space="preserve">Benwell, R. &amp; Gay, O., 2011. The Separation of Powers. </w:t>
              </w:r>
              <w:r w:rsidRPr="00315CF4">
                <w:rPr>
                  <w:rFonts w:ascii="Times New Roman" w:hAnsi="Times New Roman" w:cs="Times New Roman"/>
                  <w:i/>
                  <w:iCs/>
                  <w:noProof/>
                  <w:sz w:val="24"/>
                  <w:szCs w:val="24"/>
                </w:rPr>
                <w:t>House of Commons Library.</w:t>
              </w:r>
            </w:p>
            <w:p w14:paraId="1DFAF826"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Brand, J., 1932. Montesquieu and the Separation of Powers. </w:t>
              </w:r>
            </w:p>
            <w:p w14:paraId="400E8CDE"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Ervin, S., 1970. Separation of Powers: Judicial independence. </w:t>
              </w:r>
              <w:r w:rsidRPr="00315CF4">
                <w:rPr>
                  <w:rFonts w:ascii="Times New Roman" w:hAnsi="Times New Roman" w:cs="Times New Roman"/>
                  <w:i/>
                  <w:iCs/>
                  <w:noProof/>
                  <w:sz w:val="24"/>
                  <w:szCs w:val="24"/>
                </w:rPr>
                <w:t xml:space="preserve">Law and Contemporatry problems, </w:t>
              </w:r>
              <w:r w:rsidRPr="00315CF4">
                <w:rPr>
                  <w:rFonts w:ascii="Times New Roman" w:hAnsi="Times New Roman" w:cs="Times New Roman"/>
                  <w:noProof/>
                  <w:sz w:val="24"/>
                  <w:szCs w:val="24"/>
                </w:rPr>
                <w:t>35(1), pp. 108-127.</w:t>
              </w:r>
            </w:p>
            <w:p w14:paraId="093EE9EF"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Gwyn, W. B., 1965. The meaning of the separation of powers. </w:t>
              </w:r>
            </w:p>
            <w:p w14:paraId="4DA11BAA"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Krause, S., 2000. The spirit of separate powers in Montesquieu. </w:t>
              </w:r>
              <w:r w:rsidRPr="00315CF4">
                <w:rPr>
                  <w:rFonts w:ascii="Times New Roman" w:hAnsi="Times New Roman" w:cs="Times New Roman"/>
                  <w:i/>
                  <w:iCs/>
                  <w:noProof/>
                  <w:sz w:val="24"/>
                  <w:szCs w:val="24"/>
                </w:rPr>
                <w:t xml:space="preserve">The Review of Politics, </w:t>
              </w:r>
              <w:r w:rsidRPr="00315CF4">
                <w:rPr>
                  <w:rFonts w:ascii="Times New Roman" w:hAnsi="Times New Roman" w:cs="Times New Roman"/>
                  <w:noProof/>
                  <w:sz w:val="24"/>
                  <w:szCs w:val="24"/>
                </w:rPr>
                <w:t>pp. 231-265.</w:t>
              </w:r>
            </w:p>
            <w:p w14:paraId="38AF182F"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Krotoszynski, R. J., 2011. The separation of legislative and executive powers. </w:t>
              </w:r>
              <w:r w:rsidRPr="00315CF4">
                <w:rPr>
                  <w:rFonts w:ascii="Times New Roman" w:hAnsi="Times New Roman" w:cs="Times New Roman"/>
                  <w:i/>
                  <w:iCs/>
                  <w:noProof/>
                  <w:sz w:val="24"/>
                  <w:szCs w:val="24"/>
                </w:rPr>
                <w:t>Rosalind Dixon (eds) Comprative Constitutional Law.</w:t>
              </w:r>
            </w:p>
            <w:p w14:paraId="303F8B3B"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Radin, M., 1937. Doctrine of the Separation of Powers in Seventeenth Century Controversies. </w:t>
              </w:r>
            </w:p>
            <w:p w14:paraId="10CD2D34"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Reinstein, R. J. &amp; Silvergate, H. A., 1973. Legislative Privilege and the Separation of Powers. </w:t>
              </w:r>
              <w:r w:rsidRPr="00315CF4">
                <w:rPr>
                  <w:rFonts w:ascii="Times New Roman" w:hAnsi="Times New Roman" w:cs="Times New Roman"/>
                  <w:i/>
                  <w:iCs/>
                  <w:noProof/>
                  <w:sz w:val="24"/>
                  <w:szCs w:val="24"/>
                </w:rPr>
                <w:t xml:space="preserve">havard law review, </w:t>
              </w:r>
              <w:r w:rsidRPr="00315CF4">
                <w:rPr>
                  <w:rFonts w:ascii="Times New Roman" w:hAnsi="Times New Roman" w:cs="Times New Roman"/>
                  <w:noProof/>
                  <w:sz w:val="24"/>
                  <w:szCs w:val="24"/>
                </w:rPr>
                <w:t>pp. 1113-1182.</w:t>
              </w:r>
            </w:p>
            <w:p w14:paraId="2A4BE468" w14:textId="77777777" w:rsidR="00D75B74" w:rsidRPr="00315CF4" w:rsidRDefault="00D75B74" w:rsidP="00D75B74">
              <w:pPr>
                <w:pStyle w:val="Bibliography"/>
                <w:spacing w:line="480" w:lineRule="auto"/>
                <w:jc w:val="both"/>
                <w:rPr>
                  <w:rFonts w:ascii="Times New Roman" w:hAnsi="Times New Roman" w:cs="Times New Roman"/>
                  <w:noProof/>
                  <w:sz w:val="24"/>
                  <w:szCs w:val="24"/>
                </w:rPr>
              </w:pPr>
              <w:r w:rsidRPr="00315CF4">
                <w:rPr>
                  <w:rFonts w:ascii="Times New Roman" w:hAnsi="Times New Roman" w:cs="Times New Roman"/>
                  <w:noProof/>
                  <w:sz w:val="24"/>
                  <w:szCs w:val="24"/>
                </w:rPr>
                <w:t xml:space="preserve">Saunders, C., 2006. Separation of Powers and teh Judicial Branch. </w:t>
              </w:r>
              <w:r w:rsidRPr="00315CF4">
                <w:rPr>
                  <w:rFonts w:ascii="Times New Roman" w:hAnsi="Times New Roman" w:cs="Times New Roman"/>
                  <w:i/>
                  <w:iCs/>
                  <w:noProof/>
                  <w:sz w:val="24"/>
                  <w:szCs w:val="24"/>
                </w:rPr>
                <w:t xml:space="preserve">Judicial Review, </w:t>
              </w:r>
              <w:r w:rsidRPr="00315CF4">
                <w:rPr>
                  <w:rFonts w:ascii="Times New Roman" w:hAnsi="Times New Roman" w:cs="Times New Roman"/>
                  <w:noProof/>
                  <w:sz w:val="24"/>
                  <w:szCs w:val="24"/>
                </w:rPr>
                <w:t>pp. 337-347.</w:t>
              </w:r>
            </w:p>
            <w:p w14:paraId="3C862C51" w14:textId="77777777" w:rsidR="00D75B74" w:rsidRPr="00315CF4" w:rsidRDefault="00D75B74" w:rsidP="00D75B74">
              <w:pPr>
                <w:spacing w:line="480" w:lineRule="auto"/>
                <w:jc w:val="both"/>
                <w:rPr>
                  <w:rFonts w:ascii="Times New Roman" w:hAnsi="Times New Roman" w:cs="Times New Roman"/>
                  <w:b/>
                  <w:bCs/>
                  <w:sz w:val="24"/>
                  <w:szCs w:val="24"/>
                  <w:lang w:val="en-US"/>
                </w:rPr>
              </w:pPr>
              <w:r w:rsidRPr="00315CF4">
                <w:rPr>
                  <w:rFonts w:ascii="Times New Roman" w:hAnsi="Times New Roman" w:cs="Times New Roman"/>
                  <w:b/>
                  <w:bCs/>
                  <w:sz w:val="24"/>
                  <w:szCs w:val="24"/>
                  <w:lang w:val="en-US"/>
                </w:rPr>
                <w:t>Website</w:t>
              </w:r>
            </w:p>
            <w:p w14:paraId="025F04A8" w14:textId="1ACFC552"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European Commission (2021), </w:t>
              </w:r>
              <w:r w:rsidRPr="00315CF4">
                <w:t>Main Executive and Legislative Bodies</w:t>
              </w:r>
              <w:r w:rsidRPr="00315CF4">
                <w:rPr>
                  <w:lang w:val="en-US"/>
                </w:rPr>
                <w:t xml:space="preserve">. </w:t>
              </w:r>
              <w:hyperlink r:id="rId5" w:history="1">
                <w:r w:rsidRPr="00315CF4">
                  <w:rPr>
                    <w:rStyle w:val="Hyperlink"/>
                    <w:lang w:val="en-US"/>
                  </w:rPr>
                  <w:t>https://eacea.ec.europa.eu/national-policies/eurydice/content/main-executive-and-legislative-bodies-93_en</w:t>
                </w:r>
              </w:hyperlink>
              <w:r w:rsidRPr="00315CF4">
                <w:rPr>
                  <w:lang w:val="en-US"/>
                </w:rPr>
                <w:t xml:space="preserve"> (</w:t>
              </w:r>
              <w:proofErr w:type="gramStart"/>
              <w:r w:rsidRPr="00315CF4">
                <w:rPr>
                  <w:lang w:val="en-US"/>
                </w:rPr>
                <w:t>accessed</w:t>
              </w:r>
              <w:proofErr w:type="gramEnd"/>
              <w:r w:rsidRPr="00315CF4">
                <w:rPr>
                  <w:lang w:val="en-US"/>
                </w:rPr>
                <w:t xml:space="preserve"> on 24th Ju</w:t>
              </w:r>
              <w:r w:rsidR="00991377">
                <w:rPr>
                  <w:lang w:val="en-US"/>
                </w:rPr>
                <w:t>ne</w:t>
              </w:r>
              <w:r w:rsidRPr="00315CF4">
                <w:rPr>
                  <w:lang w:val="en-US"/>
                </w:rPr>
                <w:t xml:space="preserve"> 2021).</w:t>
              </w:r>
            </w:p>
            <w:p w14:paraId="124263B8" w14:textId="77777777" w:rsidR="00D75B74" w:rsidRPr="00315CF4" w:rsidRDefault="00D75B74" w:rsidP="00D75B74">
              <w:pPr>
                <w:spacing w:line="480" w:lineRule="auto"/>
                <w:jc w:val="both"/>
                <w:rPr>
                  <w:rFonts w:ascii="Times New Roman" w:hAnsi="Times New Roman" w:cs="Times New Roman"/>
                  <w:sz w:val="24"/>
                  <w:szCs w:val="24"/>
                </w:rPr>
              </w:pPr>
              <w:r w:rsidRPr="00315CF4">
                <w:rPr>
                  <w:rFonts w:ascii="Times New Roman" w:hAnsi="Times New Roman" w:cs="Times New Roman"/>
                  <w:b/>
                  <w:bCs/>
                  <w:noProof/>
                  <w:sz w:val="24"/>
                  <w:szCs w:val="24"/>
                </w:rPr>
                <w:fldChar w:fldCharType="end"/>
              </w:r>
            </w:p>
          </w:sdtContent>
        </w:sdt>
      </w:sdtContent>
    </w:sdt>
    <w:p w14:paraId="17F856A6" w14:textId="77777777" w:rsidR="00D75B74" w:rsidRDefault="00D75B74" w:rsidP="00D75B74">
      <w:pPr>
        <w:pStyle w:val="paragraph"/>
        <w:spacing w:line="480" w:lineRule="auto"/>
        <w:jc w:val="both"/>
        <w:textAlignment w:val="baseline"/>
        <w:rPr>
          <w:rStyle w:val="eop"/>
          <w:lang w:val="en-US"/>
        </w:rPr>
      </w:pPr>
    </w:p>
    <w:p w14:paraId="2D20EFC1" w14:textId="77777777" w:rsidR="00D75B74" w:rsidRPr="00315CF4" w:rsidRDefault="00D75B74" w:rsidP="00D75B74">
      <w:pPr>
        <w:pStyle w:val="paragraph"/>
        <w:spacing w:line="480" w:lineRule="auto"/>
        <w:jc w:val="both"/>
        <w:textAlignment w:val="baseline"/>
        <w:rPr>
          <w:lang w:val="en-US"/>
        </w:rPr>
      </w:pPr>
      <w:r w:rsidRPr="00315CF4">
        <w:rPr>
          <w:rStyle w:val="eop"/>
          <w:lang w:val="en-US"/>
        </w:rPr>
        <w:t> </w:t>
      </w:r>
    </w:p>
    <w:p w14:paraId="639A8399" w14:textId="77777777" w:rsidR="00D75B74" w:rsidRPr="00315CF4" w:rsidRDefault="00D75B74" w:rsidP="00D75B74">
      <w:pPr>
        <w:pStyle w:val="paragraph"/>
        <w:spacing w:line="480" w:lineRule="auto"/>
        <w:jc w:val="both"/>
        <w:textAlignment w:val="baseline"/>
        <w:rPr>
          <w:b/>
          <w:bCs/>
          <w:lang w:val="en-US"/>
        </w:rPr>
      </w:pPr>
      <w:r w:rsidRPr="00315CF4">
        <w:rPr>
          <w:rStyle w:val="normaltextrun"/>
          <w:b/>
          <w:bCs/>
          <w:lang w:val="en-US"/>
        </w:rPr>
        <w:t>Question 2</w:t>
      </w:r>
      <w:r w:rsidRPr="00315CF4">
        <w:rPr>
          <w:rStyle w:val="eop"/>
          <w:b/>
          <w:bCs/>
          <w:lang w:val="en-US"/>
        </w:rPr>
        <w:t> </w:t>
      </w:r>
    </w:p>
    <w:p w14:paraId="39B75F2C" w14:textId="77777777" w:rsidR="00D75B74" w:rsidRPr="00315CF4" w:rsidRDefault="00D75B74" w:rsidP="00D75B74">
      <w:pPr>
        <w:pStyle w:val="paragraph"/>
        <w:numPr>
          <w:ilvl w:val="0"/>
          <w:numId w:val="1"/>
        </w:numPr>
        <w:spacing w:line="480" w:lineRule="auto"/>
        <w:jc w:val="both"/>
        <w:textAlignment w:val="baseline"/>
        <w:rPr>
          <w:lang w:val="en-US"/>
        </w:rPr>
      </w:pPr>
      <w:r w:rsidRPr="00315CF4">
        <w:rPr>
          <w:rStyle w:val="normaltextrun"/>
          <w:lang w:val="en-US"/>
        </w:rPr>
        <w:t> </w:t>
      </w:r>
      <w:r w:rsidRPr="00315CF4">
        <w:rPr>
          <w:rStyle w:val="eop"/>
          <w:lang w:val="en-US"/>
        </w:rPr>
        <w:t> </w:t>
      </w:r>
    </w:p>
    <w:p w14:paraId="4ACAE59D"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The right to protest peacefully is enshrined under the European Convention of Human rights. The right to freedom of assembly and expression are embedded in the Convention. The main objective of these rights and freedoms is to protect the right to hold a peaceful protest. These rights are not considered to be absolute hence the state has the power to put in place legislation for purposes of restricting the right to protest with the aim of maintaining public order. There are various legal provisions that provide a framework to be used for policing protests. The Public Order Act 1986 gives the police power to restrict protests and to prevent protests that are likely to disrupt public order. In addition, the Act provides two categories of protests such as public assembly and public procession. A public procession refers to a protects that aims to show opposition or support for a specific view, campaign publicity or event commemoration. On the other hand, a public assembly refers to the congregation of two or more people in an area that is either partially or wholly open. In this instance </w:t>
      </w:r>
      <w:proofErr w:type="spellStart"/>
      <w:r w:rsidRPr="00315CF4">
        <w:rPr>
          <w:rStyle w:val="normaltextrun"/>
          <w:lang w:val="en-US"/>
        </w:rPr>
        <w:t>Menna</w:t>
      </w:r>
      <w:proofErr w:type="spellEnd"/>
      <w:r w:rsidRPr="00315CF4">
        <w:rPr>
          <w:rStyle w:val="normaltextrun"/>
          <w:lang w:val="en-US"/>
        </w:rPr>
        <w:t xml:space="preserve"> together with forty other people are planning to hold a protest march against the construction of a new prison in North Wales. The site that has been proposed is Mold where she currently lives.</w:t>
      </w:r>
      <w:r w:rsidRPr="00315CF4">
        <w:rPr>
          <w:rStyle w:val="eop"/>
          <w:lang w:val="en-US"/>
        </w:rPr>
        <w:t> </w:t>
      </w:r>
    </w:p>
    <w:p w14:paraId="64D78E93"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The powers of the police on matters to do with protest marches and static protests are the same. The powers as stipulated by section 11 of the Public Order Act 1986 include: the requirement of the individuals to give a notification to the police on the date when they protest march will take place. </w:t>
      </w:r>
      <w:proofErr w:type="spellStart"/>
      <w:r w:rsidRPr="00315CF4">
        <w:rPr>
          <w:rStyle w:val="normaltextrun"/>
          <w:lang w:val="en-US"/>
        </w:rPr>
        <w:t>Menna</w:t>
      </w:r>
      <w:proofErr w:type="spellEnd"/>
      <w:r w:rsidRPr="00315CF4">
        <w:rPr>
          <w:rStyle w:val="normaltextrun"/>
          <w:lang w:val="en-US"/>
        </w:rPr>
        <w:t xml:space="preserve"> has issued a notice to the police concerning the planned protest march at </w:t>
      </w:r>
      <w:r w:rsidRPr="00315CF4">
        <w:rPr>
          <w:rStyle w:val="normaltextrun"/>
          <w:lang w:val="en-US"/>
        </w:rPr>
        <w:lastRenderedPageBreak/>
        <w:t xml:space="preserve">3:00 p.m. on Saturday. Therefore, </w:t>
      </w:r>
      <w:proofErr w:type="spellStart"/>
      <w:r w:rsidRPr="00315CF4">
        <w:rPr>
          <w:rStyle w:val="normaltextrun"/>
          <w:lang w:val="en-US"/>
        </w:rPr>
        <w:t>Menna</w:t>
      </w:r>
      <w:proofErr w:type="spellEnd"/>
      <w:r w:rsidRPr="00315CF4">
        <w:rPr>
          <w:rStyle w:val="normaltextrun"/>
          <w:lang w:val="en-US"/>
        </w:rPr>
        <w:t xml:space="preserve"> acted in compliance with the regulations of holding protest march in accordance with the Public Order Act. </w:t>
      </w:r>
      <w:r w:rsidRPr="00315CF4">
        <w:rPr>
          <w:rStyle w:val="eop"/>
          <w:lang w:val="en-US"/>
        </w:rPr>
        <w:t> </w:t>
      </w:r>
    </w:p>
    <w:p w14:paraId="3C8595BD" w14:textId="77777777" w:rsidR="00D75B74" w:rsidRPr="00315CF4" w:rsidRDefault="00D75B74" w:rsidP="00D75B74">
      <w:pPr>
        <w:pStyle w:val="paragraph"/>
        <w:spacing w:before="0" w:line="480" w:lineRule="auto"/>
        <w:jc w:val="both"/>
        <w:textAlignment w:val="baseline"/>
        <w:rPr>
          <w:lang w:val="en-US"/>
        </w:rPr>
      </w:pPr>
      <w:r w:rsidRPr="00315CF4">
        <w:rPr>
          <w:rStyle w:val="normaltextrun"/>
          <w:lang w:val="en-US"/>
        </w:rPr>
        <w:t xml:space="preserve">The police also have the power to request for the prohibition of the protest march if there is serious concern about public order as indicated on Section 13 of the Public Order Act 1986. In addition, the police have the power to impose any form condition of protests that they think will led to serious disruption, trigger illegal behavior and serious damage to property.  The police can lodge a request to a relevant local authority to ban a protest march if there is a concern about the ability of the police to manage the proposed march (Section 13 of the Public Order Act 1986). Organizing a protest march that has been prohibited </w:t>
      </w:r>
      <w:proofErr w:type="gramStart"/>
      <w:r w:rsidRPr="00315CF4">
        <w:rPr>
          <w:rStyle w:val="normaltextrun"/>
          <w:lang w:val="en-US"/>
        </w:rPr>
        <w:t>is considered to be</w:t>
      </w:r>
      <w:proofErr w:type="gramEnd"/>
      <w:r w:rsidRPr="00315CF4">
        <w:rPr>
          <w:rStyle w:val="normaltextrun"/>
          <w:lang w:val="en-US"/>
        </w:rPr>
        <w:t xml:space="preserve"> an offence.  Section 14 of the Public Order Act 1986 stipulates that the police have the authority to impose conditions on ongoing or planned protests for purposes of maintaining public order. When </w:t>
      </w:r>
      <w:proofErr w:type="spellStart"/>
      <w:r w:rsidRPr="00315CF4">
        <w:rPr>
          <w:rStyle w:val="normaltextrun"/>
          <w:lang w:val="en-US"/>
        </w:rPr>
        <w:t>Menna</w:t>
      </w:r>
      <w:proofErr w:type="spellEnd"/>
      <w:r w:rsidRPr="00315CF4">
        <w:rPr>
          <w:rStyle w:val="normaltextrun"/>
          <w:lang w:val="en-US"/>
        </w:rPr>
        <w:t xml:space="preserve"> was giving the notice to the public, she informed them it would take place at 3:00 p.m. on Saturday as the local market would not be in operations hence there would be no disruption of activities. However, the shop owners were concerned about the shutting down of the sale during that weekend and claimed that the March was likely to lead to a disruption hence should be prohibited. The Chief Constable had similar concerns. In this instance, the Chief Constable can impose a condition to the protests in order to prevent disruption of the activities within the community.</w:t>
      </w:r>
      <w:r w:rsidRPr="00315CF4">
        <w:rPr>
          <w:rStyle w:val="eop"/>
          <w:lang w:val="en-US"/>
        </w:rPr>
        <w:t> </w:t>
      </w:r>
    </w:p>
    <w:p w14:paraId="6BCE428F"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According to Public Order Act 1986, Section 12, the police officers in senior ranks are authorized to give impose directions to people who are engaging in a protest march. The directions entail imposition of conditions on the protest march which are deemed to be necessary for purposes of preventing damage, intimidation, disorder or disruption. This also includes dictating the route that the march will take place. </w:t>
      </w:r>
      <w:r w:rsidRPr="00315CF4">
        <w:rPr>
          <w:rStyle w:val="eop"/>
          <w:lang w:val="en-US"/>
        </w:rPr>
        <w:t> </w:t>
      </w:r>
    </w:p>
    <w:p w14:paraId="62DC4C0D"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lastRenderedPageBreak/>
        <w:t xml:space="preserve">The senior police officers can only give direction on a protest based on section 14A of the  Public Order Act 1986 in the event where they believe that the protest will lead to serious damage to property, serious public order or serious disruption of the community’s life. This applies in instances where the aim of the protest is to intimidate members of the public and to coerce them to engage in an act that they may either have the right to do or a right to not do. </w:t>
      </w:r>
      <w:r w:rsidRPr="00315CF4">
        <w:rPr>
          <w:rStyle w:val="eop"/>
          <w:lang w:val="en-US"/>
        </w:rPr>
        <w:t> </w:t>
      </w:r>
    </w:p>
    <w:p w14:paraId="385E8256"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Section 14B of the Public Order Act 1986, protestors who do not act in accordance with the police direction can be charged with committing of an offence. Prior to arresting a person for committing the offence, the police have the obligation of informing the protestors that that they have contravened a condition and to grant them an opportunity to comply with the condition. Protestors who are convicted for not complying with the condition issued by the police can be imprisoned or fined.</w:t>
      </w:r>
      <w:r w:rsidRPr="00315CF4">
        <w:rPr>
          <w:rStyle w:val="eop"/>
          <w:lang w:val="en-US"/>
        </w:rPr>
        <w:t> </w:t>
      </w:r>
    </w:p>
    <w:p w14:paraId="1CBB0180"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b) </w:t>
      </w:r>
    </w:p>
    <w:p w14:paraId="4D354053"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normaltextrun"/>
          <w:lang w:val="en-US"/>
        </w:rPr>
        <w:t xml:space="preserve">The police have the authority to arrest a person who is perceived to have committed a breach of peace during a protest. In the case of </w:t>
      </w:r>
      <w:r w:rsidRPr="00315CF4">
        <w:rPr>
          <w:rStyle w:val="normaltextrun"/>
          <w:i/>
          <w:iCs/>
          <w:lang w:val="en-US"/>
        </w:rPr>
        <w:t>Laporte v Commissioner of the Police of the Metropolis</w:t>
      </w:r>
      <w:r w:rsidRPr="00315CF4">
        <w:rPr>
          <w:rFonts w:eastAsiaTheme="minorHAnsi"/>
          <w:i/>
          <w:iCs/>
          <w:color w:val="4D5156"/>
          <w:shd w:val="clear" w:color="auto" w:fill="FFFFFF"/>
          <w:lang w:eastAsia="en-US"/>
        </w:rPr>
        <w:t xml:space="preserve"> </w:t>
      </w:r>
      <w:r w:rsidRPr="00315CF4">
        <w:rPr>
          <w:i/>
          <w:iCs/>
        </w:rPr>
        <w:t>[2014] EWHC 3574</w:t>
      </w:r>
      <w:r w:rsidRPr="00315CF4">
        <w:rPr>
          <w:rStyle w:val="normaltextrun"/>
          <w:lang w:val="en-US"/>
        </w:rPr>
        <w:t xml:space="preserve">, it was held that peaceful protesters can be charged with criminal offences like failing to comply with conductions, highway obstruction or breach of peace. Section 14B of the Public Order Act 1986 states a protestor can be arrested and charged on the grounds of their conduct entailing use of insulting, abusive or threatening words or whose actions or disorderly actions can lead to distress or harassment. </w:t>
      </w:r>
      <w:r w:rsidRPr="00315CF4">
        <w:rPr>
          <w:rStyle w:val="eop"/>
          <w:lang w:val="en-US"/>
        </w:rPr>
        <w:t xml:space="preserve">This is illustrated in the case of </w:t>
      </w:r>
      <w:r w:rsidRPr="00315CF4">
        <w:rPr>
          <w:rStyle w:val="eop"/>
          <w:i/>
          <w:iCs/>
          <w:lang w:val="en-US"/>
        </w:rPr>
        <w:t xml:space="preserve">Giuliani and </w:t>
      </w:r>
      <w:proofErr w:type="spellStart"/>
      <w:r w:rsidRPr="00315CF4">
        <w:rPr>
          <w:rStyle w:val="eop"/>
          <w:i/>
          <w:iCs/>
          <w:lang w:val="en-US"/>
        </w:rPr>
        <w:t>Gaggio</w:t>
      </w:r>
      <w:proofErr w:type="spellEnd"/>
      <w:r w:rsidRPr="00315CF4">
        <w:rPr>
          <w:rStyle w:val="eop"/>
          <w:i/>
          <w:iCs/>
          <w:lang w:val="en-US"/>
        </w:rPr>
        <w:t xml:space="preserve"> v Italy</w:t>
      </w:r>
      <w:r w:rsidRPr="00315CF4">
        <w:rPr>
          <w:rFonts w:eastAsiaTheme="minorHAnsi"/>
          <w:i/>
          <w:iCs/>
          <w:color w:val="4D5156"/>
          <w:shd w:val="clear" w:color="auto" w:fill="FFFFFF"/>
          <w:lang w:eastAsia="en-US"/>
        </w:rPr>
        <w:t xml:space="preserve"> </w:t>
      </w:r>
      <w:r w:rsidRPr="00315CF4">
        <w:rPr>
          <w:i/>
          <w:iCs/>
        </w:rPr>
        <w:t> [2011] ECHR 513</w:t>
      </w:r>
      <w:r w:rsidRPr="00315CF4">
        <w:rPr>
          <w:rStyle w:val="eop"/>
          <w:lang w:val="en-US"/>
        </w:rPr>
        <w:t xml:space="preserve">, the ECtHR held that a protester can be arrested if they have committed a reprehensible offence like infringement of other people’s freedoms and rights and taking part in acts of violence. </w:t>
      </w:r>
      <w:r w:rsidRPr="00315CF4">
        <w:rPr>
          <w:rStyle w:val="normaltextrun"/>
          <w:lang w:val="en-US"/>
        </w:rPr>
        <w:t xml:space="preserve">This also includes actions that target an individual or bystander who is engaging in public service duties, this may include the police officers who have displayed a degree of fortitude when carrying out their functions. There are instances </w:t>
      </w:r>
      <w:r w:rsidRPr="00315CF4">
        <w:rPr>
          <w:rStyle w:val="normaltextrun"/>
          <w:lang w:val="en-US"/>
        </w:rPr>
        <w:lastRenderedPageBreak/>
        <w:t xml:space="preserve">when the police can use force against protesters who are protesting peacefully as they perform their duties. This is mostly in order to prohibit breach of peace. The methods used in policing of protests that entail use of force include use of shields, batons and containment. </w:t>
      </w:r>
    </w:p>
    <w:p w14:paraId="0EF18C2B" w14:textId="77777777" w:rsidR="00D75B74" w:rsidRPr="00315CF4" w:rsidRDefault="00D75B74" w:rsidP="00D75B74">
      <w:pPr>
        <w:pStyle w:val="paragraph"/>
        <w:spacing w:line="480" w:lineRule="auto"/>
        <w:jc w:val="both"/>
        <w:textAlignment w:val="baseline"/>
        <w:rPr>
          <w:rStyle w:val="eop"/>
          <w:lang w:val="en-US"/>
        </w:rPr>
      </w:pPr>
      <w:r w:rsidRPr="00315CF4">
        <w:rPr>
          <w:rStyle w:val="normaltextrun"/>
          <w:lang w:val="en-US"/>
        </w:rPr>
        <w:t>Based on Police and Criminal Evidence Act, section 117 and common law, the use of force by the police as they carry out their functions should be reasonable. According to the Article 11 of the European Convention on Human Rights, reasonable force refers to force that is deemed to be necessary for a reason that is authorized by the law. When determining whether there is need to use force in policing protests, the following factors are considered: if the objective of using force is deemed to be legal and the magnitude of the threat necessitated the use of force. Other factors include whether there are other means of use of force that are likely to fulfil the lawful objective and if the force that has been proposed is deemed to be the low level of force that would be needed to attain the legal objective and is considered to be proportionate and not excessive force.</w:t>
      </w:r>
      <w:r w:rsidRPr="00315CF4">
        <w:rPr>
          <w:rStyle w:val="eop"/>
          <w:lang w:val="en-US"/>
        </w:rPr>
        <w:t> </w:t>
      </w:r>
    </w:p>
    <w:p w14:paraId="639B0331"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Containment is used as a means of controlling the crowd during protests. This measure is also perceived to be reasonable use of force in many instances as it was imperative to prohibit gross breach of peace. In the case of </w:t>
      </w:r>
      <w:r w:rsidRPr="00315CF4">
        <w:rPr>
          <w:rStyle w:val="normaltextrun"/>
          <w:i/>
          <w:iCs/>
          <w:lang w:val="en-US"/>
        </w:rPr>
        <w:t>Austin v UK 2012) 55 EHRR 14</w:t>
      </w:r>
      <w:r w:rsidRPr="00315CF4">
        <w:rPr>
          <w:rStyle w:val="normaltextrun"/>
          <w:lang w:val="en-US"/>
        </w:rPr>
        <w:t>, the European Court on Human Rights stated that containment should not be used for the purposes of discouraging protests. In the event where there was no need for containment to prevent damage to property or serious injury, this would be deemed to be a gross violation of right to liberty. In this instance, Tim was arrested by PC Hemp for using abusive language against him during the protests. Tim referred PC Hemp as a pig. According to Public Order Act, protesters can be arrested on the grounds on using abusive or insulting language. Such an action is deemed to be a breach of peace. Therefore, PC Hemp’s action was legal.</w:t>
      </w:r>
      <w:r w:rsidRPr="00315CF4">
        <w:rPr>
          <w:rStyle w:val="eop"/>
          <w:lang w:val="en-US"/>
        </w:rPr>
        <w:t> </w:t>
      </w:r>
    </w:p>
    <w:p w14:paraId="4CD66A22"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lastRenderedPageBreak/>
        <w:t xml:space="preserve">The use of containment as a crowd control tactic during protests has been held to be reasonable use of force in several cases since it was necessary to prevent imminent breaches of the peace. In </w:t>
      </w:r>
      <w:r w:rsidRPr="00315CF4">
        <w:rPr>
          <w:rStyle w:val="normaltextrun"/>
          <w:i/>
          <w:iCs/>
          <w:lang w:val="en-US"/>
        </w:rPr>
        <w:t>Austin v UK case</w:t>
      </w:r>
      <w:r w:rsidRPr="00315CF4">
        <w:rPr>
          <w:rStyle w:val="normaltextrun"/>
          <w:lang w:val="en-US"/>
        </w:rPr>
        <w:t>, the ECtHR held that containment must not be used to discourage protest and that if containment was not necessary to prevent serious injury and damage to property, there would have been a violation of the right to liberty.</w:t>
      </w:r>
      <w:r w:rsidRPr="00315CF4">
        <w:rPr>
          <w:rStyle w:val="eop"/>
          <w:lang w:val="en-US"/>
        </w:rPr>
        <w:t> </w:t>
      </w:r>
    </w:p>
    <w:p w14:paraId="58B27371" w14:textId="77777777" w:rsidR="00D75B74" w:rsidRPr="00315CF4" w:rsidRDefault="00D75B74" w:rsidP="00D75B74">
      <w:pPr>
        <w:pStyle w:val="paragraph"/>
        <w:spacing w:line="480" w:lineRule="auto"/>
        <w:jc w:val="both"/>
        <w:textAlignment w:val="baseline"/>
        <w:rPr>
          <w:lang w:val="en-US"/>
        </w:rPr>
      </w:pPr>
      <w:r w:rsidRPr="00315CF4">
        <w:rPr>
          <w:rStyle w:val="normaltextrun"/>
          <w:lang w:val="en-US"/>
        </w:rPr>
        <w:t xml:space="preserve">According to the College of Policing (2014), an action that the police deploy for the purposes of responding to a breach or a probable breach of peace should target people who are responsible for the breach and not against protesters if the protest did not incite other people to engage in violence and the conduct of the protesters is reasonable. It lays emphasis on the restriction on innocent third parties rights may be done only during circumstances that are extreme. </w:t>
      </w:r>
      <w:r w:rsidRPr="00315CF4">
        <w:rPr>
          <w:rStyle w:val="eop"/>
          <w:lang w:val="en-US"/>
        </w:rPr>
        <w:t> </w:t>
      </w:r>
    </w:p>
    <w:p w14:paraId="51038EC4" w14:textId="77777777" w:rsidR="00D75B74" w:rsidRPr="00315CF4" w:rsidRDefault="00D75B74" w:rsidP="00D75B74">
      <w:pPr>
        <w:pStyle w:val="paragraph"/>
        <w:spacing w:line="480" w:lineRule="auto"/>
        <w:jc w:val="both"/>
        <w:textAlignment w:val="baseline"/>
        <w:rPr>
          <w:rStyle w:val="eop"/>
          <w:lang w:val="en-US"/>
        </w:rPr>
      </w:pPr>
      <w:r w:rsidRPr="00315CF4">
        <w:rPr>
          <w:rStyle w:val="normaltextrun"/>
          <w:lang w:val="en-US"/>
        </w:rPr>
        <w:t xml:space="preserve">In addition, Article 14 of the ECHR and the Human Rights Act prohibits discrimination that is unjustifiable in the </w:t>
      </w:r>
      <w:proofErr w:type="gramStart"/>
      <w:r w:rsidRPr="00315CF4">
        <w:rPr>
          <w:rStyle w:val="normaltextrun"/>
          <w:lang w:val="en-US"/>
        </w:rPr>
        <w:t>manner in which</w:t>
      </w:r>
      <w:proofErr w:type="gramEnd"/>
      <w:r w:rsidRPr="00315CF4">
        <w:rPr>
          <w:rStyle w:val="normaltextrun"/>
          <w:lang w:val="en-US"/>
        </w:rPr>
        <w:t xml:space="preserve"> rights embedded in the Convention is enjoyed. According to section 149 of the Equality Act 2010, the police forces should conduct their function in a manner that they are mindful of elimination illegal discrimination, victimization, harassment or any act that is not allowed by the Act. The Equality Act prohibits police officers from discriminating, victimizing or harassing any individual of the basis of disability, religion, sexual orientation, age, race and sex when exercising their powers. PC Hemp told Tim that he acted like a Muppet which means a foolish person as he arrested him. This is deemed to be degrading language that is prohibited by the Equality Act and ECHR.</w:t>
      </w:r>
      <w:r w:rsidRPr="00315CF4">
        <w:rPr>
          <w:rStyle w:val="eop"/>
          <w:lang w:val="en-US"/>
        </w:rPr>
        <w:t> </w:t>
      </w:r>
    </w:p>
    <w:p w14:paraId="1088D171" w14:textId="77777777" w:rsidR="00D75B74" w:rsidRPr="00315CF4" w:rsidRDefault="00D75B74" w:rsidP="00D75B74">
      <w:pPr>
        <w:pStyle w:val="paragraph"/>
        <w:spacing w:line="480" w:lineRule="auto"/>
        <w:jc w:val="center"/>
        <w:textAlignment w:val="baseline"/>
        <w:rPr>
          <w:rStyle w:val="eop"/>
          <w:b/>
          <w:bCs/>
          <w:lang w:val="en-US"/>
        </w:rPr>
      </w:pPr>
      <w:r w:rsidRPr="00315CF4">
        <w:rPr>
          <w:rStyle w:val="eop"/>
          <w:b/>
          <w:bCs/>
          <w:lang w:val="en-US"/>
        </w:rPr>
        <w:t>REFERENCES</w:t>
      </w:r>
    </w:p>
    <w:p w14:paraId="6BD7A687" w14:textId="77777777" w:rsidR="00D75B74" w:rsidRPr="00315CF4" w:rsidRDefault="00D75B74" w:rsidP="00D75B74">
      <w:pPr>
        <w:pStyle w:val="paragraph"/>
        <w:spacing w:line="480" w:lineRule="auto"/>
        <w:jc w:val="both"/>
        <w:textAlignment w:val="baseline"/>
        <w:rPr>
          <w:rStyle w:val="eop"/>
          <w:b/>
          <w:bCs/>
          <w:lang w:val="en-US"/>
        </w:rPr>
      </w:pPr>
      <w:r w:rsidRPr="00315CF4">
        <w:rPr>
          <w:rStyle w:val="eop"/>
          <w:b/>
          <w:bCs/>
          <w:lang w:val="en-US"/>
        </w:rPr>
        <w:t>L</w:t>
      </w:r>
      <w:r>
        <w:rPr>
          <w:rStyle w:val="eop"/>
          <w:b/>
          <w:bCs/>
          <w:lang w:val="en-US"/>
        </w:rPr>
        <w:t>aws</w:t>
      </w:r>
    </w:p>
    <w:p w14:paraId="4B1C7803" w14:textId="77777777" w:rsidR="00D75B74" w:rsidRDefault="00D75B74" w:rsidP="00D75B74">
      <w:pPr>
        <w:pStyle w:val="paragraph"/>
        <w:spacing w:line="480" w:lineRule="auto"/>
        <w:jc w:val="both"/>
        <w:textAlignment w:val="baseline"/>
        <w:rPr>
          <w:rStyle w:val="normaltextrun"/>
          <w:lang w:val="en-US"/>
        </w:rPr>
      </w:pPr>
      <w:r w:rsidRPr="00315CF4">
        <w:rPr>
          <w:rStyle w:val="normaltextrun"/>
          <w:lang w:val="en-US"/>
        </w:rPr>
        <w:t>European Convention of Human rights</w:t>
      </w:r>
    </w:p>
    <w:p w14:paraId="1E34E561"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normaltextrun"/>
          <w:lang w:val="en-US"/>
        </w:rPr>
        <w:lastRenderedPageBreak/>
        <w:t>Equality Act 2010</w:t>
      </w:r>
    </w:p>
    <w:p w14:paraId="6E508F5B"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normaltextrun"/>
          <w:lang w:val="en-US"/>
        </w:rPr>
        <w:t>Police and Criminal Evidence Act</w:t>
      </w:r>
      <w:r>
        <w:rPr>
          <w:rStyle w:val="normaltextrun"/>
          <w:lang w:val="en-US"/>
        </w:rPr>
        <w:t xml:space="preserve"> 1984</w:t>
      </w:r>
    </w:p>
    <w:p w14:paraId="23987D16"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normaltextrun"/>
          <w:lang w:val="en-US"/>
        </w:rPr>
        <w:t>Public Order Act 1986</w:t>
      </w:r>
    </w:p>
    <w:p w14:paraId="2C03858B" w14:textId="77777777" w:rsidR="00D75B74" w:rsidRPr="00315CF4" w:rsidRDefault="00D75B74" w:rsidP="00D75B74">
      <w:pPr>
        <w:pStyle w:val="paragraph"/>
        <w:spacing w:line="480" w:lineRule="auto"/>
        <w:jc w:val="both"/>
        <w:textAlignment w:val="baseline"/>
        <w:rPr>
          <w:rStyle w:val="normaltextrun"/>
          <w:b/>
          <w:bCs/>
          <w:lang w:val="en-US"/>
        </w:rPr>
      </w:pPr>
      <w:r w:rsidRPr="00315CF4">
        <w:rPr>
          <w:rStyle w:val="normaltextrun"/>
          <w:b/>
          <w:bCs/>
          <w:lang w:val="en-US"/>
        </w:rPr>
        <w:t>Case Laws</w:t>
      </w:r>
    </w:p>
    <w:p w14:paraId="1E26E317"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normaltextrun"/>
          <w:lang w:val="en-US"/>
        </w:rPr>
        <w:t>Austin v UK 2012) 55 EHRR 14</w:t>
      </w:r>
    </w:p>
    <w:p w14:paraId="54E2A8AB"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eop"/>
          <w:lang w:val="en-US"/>
        </w:rPr>
        <w:t xml:space="preserve">Giuliani and </w:t>
      </w:r>
      <w:proofErr w:type="spellStart"/>
      <w:r w:rsidRPr="00315CF4">
        <w:rPr>
          <w:rStyle w:val="eop"/>
          <w:lang w:val="en-US"/>
        </w:rPr>
        <w:t>Gaggio</w:t>
      </w:r>
      <w:proofErr w:type="spellEnd"/>
      <w:r w:rsidRPr="00315CF4">
        <w:rPr>
          <w:rStyle w:val="eop"/>
          <w:lang w:val="en-US"/>
        </w:rPr>
        <w:t xml:space="preserve"> v Italy</w:t>
      </w:r>
      <w:r w:rsidRPr="00315CF4">
        <w:t> [2011] ECHR 513</w:t>
      </w:r>
    </w:p>
    <w:p w14:paraId="166D949F" w14:textId="77777777" w:rsidR="00D75B74" w:rsidRPr="00315CF4" w:rsidRDefault="00D75B74" w:rsidP="00D75B74">
      <w:pPr>
        <w:pStyle w:val="paragraph"/>
        <w:spacing w:line="480" w:lineRule="auto"/>
        <w:jc w:val="both"/>
        <w:textAlignment w:val="baseline"/>
        <w:rPr>
          <w:rStyle w:val="normaltextrun"/>
          <w:lang w:val="en-US"/>
        </w:rPr>
      </w:pPr>
      <w:r w:rsidRPr="00315CF4">
        <w:rPr>
          <w:rStyle w:val="normaltextrun"/>
          <w:lang w:val="en-US"/>
        </w:rPr>
        <w:t>Laporte v Commissioner of the Police of the Metropolis</w:t>
      </w:r>
      <w:r w:rsidRPr="00315CF4">
        <w:rPr>
          <w:rFonts w:eastAsiaTheme="minorHAnsi"/>
          <w:color w:val="4D5156"/>
          <w:shd w:val="clear" w:color="auto" w:fill="FFFFFF"/>
          <w:lang w:eastAsia="en-US"/>
        </w:rPr>
        <w:t xml:space="preserve"> </w:t>
      </w:r>
      <w:r w:rsidRPr="00315CF4">
        <w:t>[2014] EWHC 3574</w:t>
      </w:r>
    </w:p>
    <w:p w14:paraId="04EB4BD7" w14:textId="77777777" w:rsidR="00D75B74" w:rsidRPr="00315CF4" w:rsidRDefault="00D75B74" w:rsidP="00D75B74">
      <w:pPr>
        <w:pStyle w:val="paragraph"/>
        <w:spacing w:line="480" w:lineRule="auto"/>
        <w:jc w:val="both"/>
        <w:textAlignment w:val="baseline"/>
        <w:rPr>
          <w:rStyle w:val="eop"/>
          <w:b/>
          <w:bCs/>
          <w:lang w:val="en-US"/>
        </w:rPr>
      </w:pPr>
      <w:r w:rsidRPr="00315CF4">
        <w:rPr>
          <w:rStyle w:val="eop"/>
          <w:b/>
          <w:bCs/>
          <w:lang w:val="en-US"/>
        </w:rPr>
        <w:t>Journal</w:t>
      </w:r>
    </w:p>
    <w:p w14:paraId="51C933CC" w14:textId="77777777" w:rsidR="00D75B74" w:rsidRPr="00315CF4" w:rsidRDefault="00D75B74" w:rsidP="00D75B74">
      <w:pPr>
        <w:pStyle w:val="paragraph"/>
        <w:spacing w:line="480" w:lineRule="auto"/>
        <w:jc w:val="both"/>
        <w:textAlignment w:val="baseline"/>
        <w:rPr>
          <w:rStyle w:val="eop"/>
          <w:lang w:val="en-US"/>
        </w:rPr>
      </w:pPr>
      <w:r w:rsidRPr="00315CF4">
        <w:rPr>
          <w:rStyle w:val="normaltextrun"/>
          <w:lang w:val="en-US"/>
        </w:rPr>
        <w:t xml:space="preserve">College of Policing (2014). Code of Ethics: A Code of Practice for the Principles and Standards of Professional Behavior for the Policing Profession of England and Wales. </w:t>
      </w:r>
    </w:p>
    <w:p w14:paraId="2ED4F7E5" w14:textId="77777777" w:rsidR="00D75B74" w:rsidRPr="00315CF4" w:rsidRDefault="00D75B74" w:rsidP="00D75B74">
      <w:pPr>
        <w:pStyle w:val="paragraph"/>
        <w:spacing w:line="480" w:lineRule="auto"/>
        <w:jc w:val="both"/>
        <w:textAlignment w:val="baseline"/>
        <w:rPr>
          <w:rStyle w:val="eop"/>
          <w:lang w:val="en-US"/>
        </w:rPr>
      </w:pPr>
    </w:p>
    <w:p w14:paraId="3B36DD6A" w14:textId="77777777" w:rsidR="00D75B74" w:rsidRPr="00315CF4" w:rsidRDefault="00D75B74" w:rsidP="00D75B74">
      <w:pPr>
        <w:pStyle w:val="paragraph"/>
        <w:spacing w:line="480" w:lineRule="auto"/>
        <w:jc w:val="both"/>
        <w:textAlignment w:val="baseline"/>
        <w:rPr>
          <w:rStyle w:val="eop"/>
          <w:lang w:val="en-US"/>
        </w:rPr>
      </w:pPr>
    </w:p>
    <w:p w14:paraId="42D90173" w14:textId="77777777" w:rsidR="00D75B74" w:rsidRPr="00315CF4" w:rsidRDefault="00D75B74" w:rsidP="00D75B74">
      <w:pPr>
        <w:pStyle w:val="paragraph"/>
        <w:spacing w:line="480" w:lineRule="auto"/>
        <w:jc w:val="both"/>
        <w:textAlignment w:val="baseline"/>
        <w:rPr>
          <w:lang w:val="en-US"/>
        </w:rPr>
      </w:pPr>
    </w:p>
    <w:p w14:paraId="1A197FBB" w14:textId="77777777" w:rsidR="00D75B74" w:rsidRPr="00315CF4" w:rsidRDefault="00D75B74" w:rsidP="00D75B74">
      <w:pPr>
        <w:spacing w:line="480" w:lineRule="auto"/>
        <w:jc w:val="both"/>
        <w:rPr>
          <w:rFonts w:ascii="Times New Roman" w:hAnsi="Times New Roman" w:cs="Times New Roman"/>
          <w:sz w:val="24"/>
          <w:szCs w:val="24"/>
        </w:rPr>
      </w:pPr>
    </w:p>
    <w:p w14:paraId="33954894" w14:textId="77777777" w:rsidR="003E0E57" w:rsidRDefault="003E0E57"/>
    <w:sectPr w:rsidR="003E0E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B96028"/>
    <w:multiLevelType w:val="hybridMultilevel"/>
    <w:tmpl w:val="1AAC7AAE"/>
    <w:lvl w:ilvl="0" w:tplc="20000017">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B74"/>
    <w:rsid w:val="003E0E57"/>
    <w:rsid w:val="00991377"/>
    <w:rsid w:val="00D75B74"/>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A2C6F"/>
  <w15:chartTrackingRefBased/>
  <w15:docId w15:val="{746879DC-0086-4E53-AED8-7ACE613B8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B74"/>
  </w:style>
  <w:style w:type="paragraph" w:styleId="Heading1">
    <w:name w:val="heading 1"/>
    <w:basedOn w:val="Normal"/>
    <w:link w:val="Heading1Char"/>
    <w:uiPriority w:val="9"/>
    <w:qFormat/>
    <w:rsid w:val="00D75B74"/>
    <w:pPr>
      <w:spacing w:before="100" w:beforeAutospacing="1" w:after="100" w:afterAutospacing="1" w:line="240" w:lineRule="auto"/>
      <w:outlineLvl w:val="0"/>
    </w:pPr>
    <w:rPr>
      <w:rFonts w:ascii="Times New Roman" w:eastAsia="Times New Roman" w:hAnsi="Times New Roman" w:cs="Times New Roman"/>
      <w:b/>
      <w:bCs/>
      <w:kern w:val="36"/>
      <w:sz w:val="48"/>
      <w:szCs w:val="48"/>
      <w:lan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B74"/>
    <w:rPr>
      <w:rFonts w:ascii="Times New Roman" w:eastAsia="Times New Roman" w:hAnsi="Times New Roman" w:cs="Times New Roman"/>
      <w:b/>
      <w:bCs/>
      <w:kern w:val="36"/>
      <w:sz w:val="48"/>
      <w:szCs w:val="48"/>
      <w:lang/>
    </w:rPr>
  </w:style>
  <w:style w:type="character" w:styleId="Hyperlink">
    <w:name w:val="Hyperlink"/>
    <w:basedOn w:val="DefaultParagraphFont"/>
    <w:uiPriority w:val="99"/>
    <w:unhideWhenUsed/>
    <w:rsid w:val="00D75B74"/>
    <w:rPr>
      <w:color w:val="0000FF"/>
      <w:u w:val="single"/>
    </w:rPr>
  </w:style>
  <w:style w:type="paragraph" w:styleId="Bibliography">
    <w:name w:val="Bibliography"/>
    <w:basedOn w:val="Normal"/>
    <w:next w:val="Normal"/>
    <w:uiPriority w:val="37"/>
    <w:unhideWhenUsed/>
    <w:rsid w:val="00D75B74"/>
  </w:style>
  <w:style w:type="paragraph" w:customStyle="1" w:styleId="paragraph">
    <w:name w:val="paragraph"/>
    <w:basedOn w:val="Normal"/>
    <w:rsid w:val="00D75B74"/>
    <w:pPr>
      <w:spacing w:before="100" w:beforeAutospacing="1" w:after="100" w:afterAutospacing="1" w:line="240" w:lineRule="auto"/>
    </w:pPr>
    <w:rPr>
      <w:rFonts w:ascii="Times New Roman" w:eastAsia="Times New Roman" w:hAnsi="Times New Roman" w:cs="Times New Roman"/>
      <w:sz w:val="24"/>
      <w:szCs w:val="24"/>
      <w:lang/>
    </w:rPr>
  </w:style>
  <w:style w:type="character" w:customStyle="1" w:styleId="normaltextrun">
    <w:name w:val="normaltextrun"/>
    <w:basedOn w:val="DefaultParagraphFont"/>
    <w:rsid w:val="00D75B74"/>
  </w:style>
  <w:style w:type="character" w:customStyle="1" w:styleId="eop">
    <w:name w:val="eop"/>
    <w:basedOn w:val="DefaultParagraphFont"/>
    <w:rsid w:val="00D75B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acea.ec.europa.eu/national-policies/eurydice/content/main-executive-and-legislative-bodies-93_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3082</Words>
  <Characters>17573</Characters>
  <Application>Microsoft Office Word</Application>
  <DocSecurity>4</DocSecurity>
  <Lines>146</Lines>
  <Paragraphs>41</Paragraphs>
  <ScaleCrop>false</ScaleCrop>
  <Company/>
  <LinksUpToDate>false</LinksUpToDate>
  <CharactersWithSpaces>20614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dc:creator>
  <cp:keywords/>
  <dc:description/>
  <cp:lastModifiedBy>Faisal Shamsdin</cp:lastModifiedBy>
  <cp:revision>2</cp:revision>
  <dcterms:created xsi:type="dcterms:W3CDTF">2021-06-25T22:34:00Z</dcterms:created>
  <dcterms:modified xsi:type="dcterms:W3CDTF">2021-06-25T22:34:00Z</dcterms:modified>
</cp:coreProperties>
</file>