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spacing w:line="360" w:lineRule="auto"/>
        <w:rPr/>
      </w:pPr>
      <w:r w:rsidDel="00000000" w:rsidR="00000000" w:rsidRPr="00000000">
        <w:rPr>
          <w:rtl w:val="0"/>
        </w:rPr>
      </w:r>
    </w:p>
    <w:p w:rsidR="00000000" w:rsidDel="00000000" w:rsidP="00000000" w:rsidRDefault="00000000" w:rsidRPr="00000000" w14:paraId="00000002">
      <w:pPr>
        <w:pStyle w:val="Title"/>
        <w:spacing w:line="360" w:lineRule="auto"/>
        <w:rPr/>
      </w:pPr>
      <w:r w:rsidDel="00000000" w:rsidR="00000000" w:rsidRPr="00000000">
        <w:rPr>
          <w:rtl w:val="0"/>
        </w:rPr>
      </w:r>
    </w:p>
    <w:p w:rsidR="00000000" w:rsidDel="00000000" w:rsidP="00000000" w:rsidRDefault="00000000" w:rsidRPr="00000000" w14:paraId="00000003">
      <w:pPr>
        <w:pStyle w:val="Title"/>
        <w:spacing w:line="360" w:lineRule="auto"/>
        <w:rPr/>
      </w:pPr>
      <w:r w:rsidDel="00000000" w:rsidR="00000000" w:rsidRPr="00000000">
        <w:rPr>
          <w:rtl w:val="0"/>
        </w:rPr>
      </w:r>
    </w:p>
    <w:p w:rsidR="00000000" w:rsidDel="00000000" w:rsidP="00000000" w:rsidRDefault="00000000" w:rsidRPr="00000000" w14:paraId="00000004">
      <w:pPr>
        <w:pStyle w:val="Title"/>
        <w:spacing w:line="360" w:lineRule="auto"/>
        <w:rPr/>
      </w:pPr>
      <w:r w:rsidDel="00000000" w:rsidR="00000000" w:rsidRPr="00000000">
        <w:rPr>
          <w:rtl w:val="0"/>
        </w:rPr>
      </w:r>
    </w:p>
    <w:p w:rsidR="00000000" w:rsidDel="00000000" w:rsidP="00000000" w:rsidRDefault="00000000" w:rsidRPr="00000000" w14:paraId="00000005">
      <w:pPr>
        <w:pStyle w:val="Title"/>
        <w:spacing w:line="360" w:lineRule="auto"/>
        <w:rPr/>
      </w:pPr>
      <w:r w:rsidDel="00000000" w:rsidR="00000000" w:rsidRPr="00000000">
        <w:rPr>
          <w:rtl w:val="0"/>
        </w:rPr>
      </w:r>
    </w:p>
    <w:p w:rsidR="00000000" w:rsidDel="00000000" w:rsidP="00000000" w:rsidRDefault="00000000" w:rsidRPr="00000000" w14:paraId="00000006">
      <w:pPr>
        <w:pStyle w:val="Title"/>
        <w:spacing w:line="360" w:lineRule="auto"/>
        <w:jc w:val="both"/>
        <w:rPr/>
      </w:pPr>
      <w:r w:rsidDel="00000000" w:rsidR="00000000" w:rsidRPr="00000000">
        <w:rPr>
          <w:rtl w:val="0"/>
        </w:rPr>
      </w:r>
    </w:p>
    <w:p w:rsidR="00000000" w:rsidDel="00000000" w:rsidP="00000000" w:rsidRDefault="00000000" w:rsidRPr="00000000" w14:paraId="00000007">
      <w:pPr>
        <w:pStyle w:val="Title"/>
        <w:spacing w:line="360" w:lineRule="auto"/>
        <w:rPr>
          <w:sz w:val="32"/>
          <w:szCs w:val="32"/>
        </w:rPr>
      </w:pPr>
      <w:bookmarkStart w:colFirst="0" w:colLast="0" w:name="_gjdgxs" w:id="0"/>
      <w:bookmarkEnd w:id="0"/>
      <w:r w:rsidDel="00000000" w:rsidR="00000000" w:rsidRPr="00000000">
        <w:rPr>
          <w:rtl w:val="0"/>
        </w:rPr>
      </w:r>
    </w:p>
    <w:p w:rsidR="00000000" w:rsidDel="00000000" w:rsidP="00000000" w:rsidRDefault="00000000" w:rsidRPr="00000000" w14:paraId="00000008">
      <w:pPr>
        <w:pStyle w:val="Title"/>
        <w:spacing w:line="360" w:lineRule="auto"/>
        <w:rPr>
          <w:sz w:val="32"/>
          <w:szCs w:val="32"/>
        </w:rPr>
      </w:pPr>
      <w:r w:rsidDel="00000000" w:rsidR="00000000" w:rsidRPr="00000000">
        <w:rPr>
          <w:rtl w:val="0"/>
        </w:rPr>
      </w:r>
    </w:p>
    <w:p w:rsidR="00000000" w:rsidDel="00000000" w:rsidP="00000000" w:rsidRDefault="00000000" w:rsidRPr="00000000" w14:paraId="00000009">
      <w:pPr>
        <w:jc w:val="center"/>
        <w:rPr>
          <w:rFonts w:ascii="Calibri" w:cs="Calibri" w:eastAsia="Calibri" w:hAnsi="Calibri"/>
          <w:b w:val="1"/>
          <w:sz w:val="36"/>
          <w:szCs w:val="36"/>
          <w:u w:val="single"/>
        </w:rPr>
      </w:pPr>
      <w:r w:rsidDel="00000000" w:rsidR="00000000" w:rsidRPr="00000000">
        <w:rPr>
          <w:rFonts w:ascii="Calibri" w:cs="Calibri" w:eastAsia="Calibri" w:hAnsi="Calibri"/>
          <w:b w:val="1"/>
          <w:sz w:val="36"/>
          <w:szCs w:val="36"/>
          <w:u w:val="single"/>
          <w:rtl w:val="0"/>
        </w:rPr>
        <w:t xml:space="preserve">IMM Assignment 2 Report</w:t>
      </w:r>
    </w:p>
    <w:p w:rsidR="00000000" w:rsidDel="00000000" w:rsidP="00000000" w:rsidRDefault="00000000" w:rsidRPr="00000000" w14:paraId="0000000A">
      <w:pPr>
        <w:jc w:val="center"/>
        <w:rPr>
          <w:rFonts w:ascii="Calibri" w:cs="Calibri" w:eastAsia="Calibri" w:hAnsi="Calibri"/>
          <w:b w:val="1"/>
          <w:sz w:val="36"/>
          <w:szCs w:val="36"/>
          <w:u w:val="single"/>
        </w:rPr>
      </w:pPr>
      <w:r w:rsidDel="00000000" w:rsidR="00000000" w:rsidRPr="00000000">
        <w:rPr>
          <w:rtl w:val="0"/>
        </w:rPr>
      </w:r>
    </w:p>
    <w:p w:rsidR="00000000" w:rsidDel="00000000" w:rsidP="00000000" w:rsidRDefault="00000000" w:rsidRPr="00000000" w14:paraId="0000000B">
      <w:pPr>
        <w:jc w:val="center"/>
        <w:rPr>
          <w:rFonts w:ascii="Calibri" w:cs="Calibri" w:eastAsia="Calibri" w:hAnsi="Calibri"/>
          <w:b w:val="1"/>
          <w:sz w:val="36"/>
          <w:szCs w:val="36"/>
          <w:u w:val="single"/>
        </w:rPr>
      </w:pPr>
      <w:r w:rsidDel="00000000" w:rsidR="00000000" w:rsidRPr="00000000">
        <w:rPr>
          <w:rFonts w:ascii="Calibri" w:cs="Calibri" w:eastAsia="Calibri" w:hAnsi="Calibri"/>
          <w:b w:val="1"/>
          <w:sz w:val="36"/>
          <w:szCs w:val="36"/>
          <w:u w:val="single"/>
          <w:rtl w:val="0"/>
        </w:rPr>
        <w:t xml:space="preserve">Event Planning and Delivery Considerations for an International Meeting. </w:t>
      </w:r>
    </w:p>
    <w:p w:rsidR="00000000" w:rsidDel="00000000" w:rsidP="00000000" w:rsidRDefault="00000000" w:rsidRPr="00000000" w14:paraId="0000000C">
      <w:pPr>
        <w:jc w:val="center"/>
        <w:rPr>
          <w:rFonts w:ascii="Calibri" w:cs="Calibri" w:eastAsia="Calibri" w:hAnsi="Calibri"/>
          <w:b w:val="1"/>
          <w:sz w:val="36"/>
          <w:szCs w:val="36"/>
        </w:rPr>
      </w:pPr>
      <w:r w:rsidDel="00000000" w:rsidR="00000000" w:rsidRPr="00000000">
        <w:rPr>
          <w:rtl w:val="0"/>
        </w:rPr>
      </w:r>
    </w:p>
    <w:p w:rsidR="00000000" w:rsidDel="00000000" w:rsidP="00000000" w:rsidRDefault="00000000" w:rsidRPr="00000000" w14:paraId="0000000D">
      <w:pPr>
        <w:jc w:val="center"/>
        <w:rPr>
          <w:rFonts w:ascii="Calibri" w:cs="Calibri" w:eastAsia="Calibri" w:hAnsi="Calibri"/>
          <w:b w:val="1"/>
          <w:sz w:val="36"/>
          <w:szCs w:val="36"/>
        </w:rPr>
      </w:pPr>
      <w:r w:rsidDel="00000000" w:rsidR="00000000" w:rsidRPr="00000000">
        <w:rPr>
          <w:rFonts w:ascii="Calibri" w:cs="Calibri" w:eastAsia="Calibri" w:hAnsi="Calibri"/>
          <w:b w:val="1"/>
          <w:sz w:val="36"/>
          <w:szCs w:val="36"/>
          <w:rtl w:val="0"/>
        </w:rPr>
        <w:t xml:space="preserve">Student Number: 2121099</w:t>
      </w:r>
    </w:p>
    <w:p w:rsidR="00000000" w:rsidDel="00000000" w:rsidP="00000000" w:rsidRDefault="00000000" w:rsidRPr="00000000" w14:paraId="0000000E">
      <w:pPr>
        <w:jc w:val="center"/>
        <w:rPr>
          <w:rFonts w:ascii="Calibri" w:cs="Calibri" w:eastAsia="Calibri" w:hAnsi="Calibri"/>
          <w:b w:val="1"/>
          <w:sz w:val="36"/>
          <w:szCs w:val="36"/>
        </w:rPr>
      </w:pPr>
      <w:r w:rsidDel="00000000" w:rsidR="00000000" w:rsidRPr="00000000">
        <w:rPr>
          <w:rtl w:val="0"/>
        </w:rPr>
      </w:r>
    </w:p>
    <w:p w:rsidR="00000000" w:rsidDel="00000000" w:rsidP="00000000" w:rsidRDefault="00000000" w:rsidRPr="00000000" w14:paraId="0000000F">
      <w:pPr>
        <w:jc w:val="center"/>
        <w:rPr>
          <w:rFonts w:ascii="Calibri" w:cs="Calibri" w:eastAsia="Calibri" w:hAnsi="Calibri"/>
          <w:b w:val="1"/>
          <w:sz w:val="36"/>
          <w:szCs w:val="36"/>
        </w:rPr>
      </w:pPr>
      <w:r w:rsidDel="00000000" w:rsidR="00000000" w:rsidRPr="00000000">
        <w:rPr>
          <w:rtl w:val="0"/>
        </w:rPr>
      </w:r>
    </w:p>
    <w:p w:rsidR="00000000" w:rsidDel="00000000" w:rsidP="00000000" w:rsidRDefault="00000000" w:rsidRPr="00000000" w14:paraId="00000010">
      <w:pPr>
        <w:jc w:val="center"/>
        <w:rPr>
          <w:rFonts w:ascii="Calibri" w:cs="Calibri" w:eastAsia="Calibri" w:hAnsi="Calibri"/>
          <w:b w:val="1"/>
          <w:sz w:val="36"/>
          <w:szCs w:val="36"/>
        </w:rPr>
      </w:pPr>
      <w:r w:rsidDel="00000000" w:rsidR="00000000" w:rsidRPr="00000000">
        <w:rPr>
          <w:rtl w:val="0"/>
        </w:rPr>
      </w:r>
    </w:p>
    <w:p w:rsidR="00000000" w:rsidDel="00000000" w:rsidP="00000000" w:rsidRDefault="00000000" w:rsidRPr="00000000" w14:paraId="00000011">
      <w:pPr>
        <w:jc w:val="center"/>
        <w:rPr>
          <w:rFonts w:ascii="Calibri" w:cs="Calibri" w:eastAsia="Calibri" w:hAnsi="Calibri"/>
          <w:b w:val="1"/>
          <w:sz w:val="36"/>
          <w:szCs w:val="36"/>
        </w:rPr>
      </w:pPr>
      <w:r w:rsidDel="00000000" w:rsidR="00000000" w:rsidRPr="00000000">
        <w:rPr>
          <w:rtl w:val="0"/>
        </w:rPr>
      </w:r>
    </w:p>
    <w:p w:rsidR="00000000" w:rsidDel="00000000" w:rsidP="00000000" w:rsidRDefault="00000000" w:rsidRPr="00000000" w14:paraId="00000012">
      <w:pPr>
        <w:jc w:val="center"/>
        <w:rPr>
          <w:rFonts w:ascii="Calibri" w:cs="Calibri" w:eastAsia="Calibri" w:hAnsi="Calibri"/>
          <w:b w:val="1"/>
          <w:sz w:val="36"/>
          <w:szCs w:val="36"/>
        </w:rPr>
      </w:pPr>
      <w:r w:rsidDel="00000000" w:rsidR="00000000" w:rsidRPr="00000000">
        <w:rPr>
          <w:rtl w:val="0"/>
        </w:rPr>
      </w:r>
    </w:p>
    <w:p w:rsidR="00000000" w:rsidDel="00000000" w:rsidP="00000000" w:rsidRDefault="00000000" w:rsidRPr="00000000" w14:paraId="00000013">
      <w:pPr>
        <w:jc w:val="center"/>
        <w:rPr>
          <w:rFonts w:ascii="Calibri" w:cs="Calibri" w:eastAsia="Calibri" w:hAnsi="Calibri"/>
          <w:b w:val="1"/>
          <w:sz w:val="36"/>
          <w:szCs w:val="36"/>
        </w:rPr>
      </w:pPr>
      <w:r w:rsidDel="00000000" w:rsidR="00000000" w:rsidRPr="00000000">
        <w:rPr>
          <w:rtl w:val="0"/>
        </w:rPr>
      </w:r>
    </w:p>
    <w:p w:rsidR="00000000" w:rsidDel="00000000" w:rsidP="00000000" w:rsidRDefault="00000000" w:rsidRPr="00000000" w14:paraId="00000014">
      <w:pPr>
        <w:jc w:val="center"/>
        <w:rPr>
          <w:rFonts w:ascii="Calibri" w:cs="Calibri" w:eastAsia="Calibri" w:hAnsi="Calibri"/>
          <w:b w:val="1"/>
          <w:sz w:val="36"/>
          <w:szCs w:val="36"/>
        </w:rPr>
      </w:pPr>
      <w:r w:rsidDel="00000000" w:rsidR="00000000" w:rsidRPr="00000000">
        <w:rPr>
          <w:rtl w:val="0"/>
        </w:rPr>
      </w:r>
    </w:p>
    <w:p w:rsidR="00000000" w:rsidDel="00000000" w:rsidP="00000000" w:rsidRDefault="00000000" w:rsidRPr="00000000" w14:paraId="00000015">
      <w:pPr>
        <w:pStyle w:val="Heading1"/>
        <w:numPr>
          <w:ilvl w:val="0"/>
          <w:numId w:val="8"/>
        </w:numPr>
        <w:spacing w:line="360" w:lineRule="auto"/>
        <w:ind w:left="720" w:hanging="720"/>
        <w:rPr/>
      </w:pPr>
      <w:r w:rsidDel="00000000" w:rsidR="00000000" w:rsidRPr="00000000">
        <w:rPr>
          <w:rtl w:val="0"/>
        </w:rPr>
        <w:t xml:space="preserve">Introduction</w:t>
      </w:r>
    </w:p>
    <w:p w:rsidR="00000000" w:rsidDel="00000000" w:rsidP="00000000" w:rsidRDefault="00000000" w:rsidRPr="00000000" w14:paraId="00000016">
      <w:pPr>
        <w:spacing w:line="360" w:lineRule="auto"/>
        <w:rPr/>
      </w:pPr>
      <w:r w:rsidDel="00000000" w:rsidR="00000000" w:rsidRPr="00000000">
        <w:rPr>
          <w:rtl w:val="0"/>
        </w:rPr>
        <w:t xml:space="preserve">In the current era, our world is continuously progressing towards new discoveries and advancements everyday. From groundbreaking technologies to cutting-edge scientific breakthroughs, we are building our way into unidentified areas but with this journey of innovation, we are also faced with numerous challenges due to which we realize that the advancements not only make our life easy but miserable and difficult as well. Among all the recent discoveries and advancements, the most remarkable development is Artificial Intelligence (AI), which is a paradigm shift of technology that no one ever thoughtof or considered impossible to have a machine brain of its own. </w:t>
      </w:r>
    </w:p>
    <w:p w:rsidR="00000000" w:rsidDel="00000000" w:rsidP="00000000" w:rsidRDefault="00000000" w:rsidRPr="00000000" w14:paraId="00000017">
      <w:pPr>
        <w:spacing w:line="360" w:lineRule="auto"/>
        <w:rPr/>
      </w:pPr>
      <w:r w:rsidDel="00000000" w:rsidR="00000000" w:rsidRPr="00000000">
        <w:rPr>
          <w:rtl w:val="0"/>
        </w:rPr>
        <w:t xml:space="preserve">Acknowledging the never-ending introduction of progress and challenges, we are excited to announce the upcoming “AI-Powered Food Waste Reduction Summit (APFWRS). This event aims to utilize the potential of Artificial Intelligence to address and resolve current global issues of food wastage. By welcoming experts, innovators, and leaders from all over the world, this summit aims to explore innovative solutions and strategies that involve minimizing food wastage with the help of AI and creating a sustainable future. We believe that the AI-Powered Food Waste Reduction Summit is a balance between progress and adversity that will act as a beacon of hope, informing the world how AI can be used to resolve the problem of food wastage.</w:t>
      </w:r>
    </w:p>
    <w:p w:rsidR="00000000" w:rsidDel="00000000" w:rsidP="00000000" w:rsidRDefault="00000000" w:rsidRPr="00000000" w14:paraId="00000018">
      <w:pPr>
        <w:spacing w:line="360" w:lineRule="auto"/>
        <w:rPr/>
      </w:pPr>
      <w:r w:rsidDel="00000000" w:rsidR="00000000" w:rsidRPr="00000000">
        <w:rPr>
          <w:rtl w:val="0"/>
        </w:rPr>
        <w:t xml:space="preserve">The AI-Powered Food Waste Reduction Summit is a first-of-its-kind global event that will be designed to bring together chefs, technology developers, and leaders to identify how AI can be used to challenge and minimize the food wastage problem in the hospitality industry. We believe there is a need for this event because it was estimated that around $1 trillion of food is wasted annually (World Resources Institute, 2019), hence this event aims to promote the collaboration of different mindsets in developing and applying this scalable solution.</w:t>
      </w:r>
    </w:p>
    <w:p w:rsidR="00000000" w:rsidDel="00000000" w:rsidP="00000000" w:rsidRDefault="00000000" w:rsidRPr="00000000" w14:paraId="00000019">
      <w:pPr>
        <w:spacing w:line="360" w:lineRule="auto"/>
        <w:rPr/>
      </w:pPr>
      <w:r w:rsidDel="00000000" w:rsidR="00000000" w:rsidRPr="00000000">
        <w:rPr>
          <w:rtl w:val="0"/>
        </w:rPr>
        <w:t xml:space="preserve">In addition to this, choosing the ideal location for the APFWRS presented an exciting and challenging opportunity as we wanted to choose a location that would amplify the message and impact of this event and would attract participants from all over the world with ease hence after considering different factors, we have opted for “Tech Hub Oasis of the Future - Dubai, UAE” for this event. This location is an ideal one because Dubai’s state-of-the-art infrastructure in the Silicon Oasis offers a perfect opportunity for showcasing innovative and cutting-edge AI solutions aimed at minimizing food wastage (World Resources Institute, 2019).Furthermore, with access to the international airport available in Dubai and the diverse cultural backgrounds, it will be easy to facilitate participants around the world, promoting cross-cultural exchange and knowledge sharing (Hall et al., 2011). Moreover, this city’s recognized and famous hospitality services would serve as a valuable addition to this event ensuring that the participants are well taken care of. </w:t>
      </w:r>
    </w:p>
    <w:p w:rsidR="00000000" w:rsidDel="00000000" w:rsidP="00000000" w:rsidRDefault="00000000" w:rsidRPr="00000000" w14:paraId="0000001A">
      <w:pPr>
        <w:spacing w:line="360" w:lineRule="auto"/>
        <w:jc w:val="left"/>
        <w:rPr>
          <w:rFonts w:ascii="Georgia" w:cs="Georgia" w:eastAsia="Georgia" w:hAnsi="Georgia"/>
          <w:b w:val="1"/>
          <w:color w:val="2f5496"/>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B">
      <w:pPr>
        <w:pStyle w:val="Heading1"/>
        <w:numPr>
          <w:ilvl w:val="0"/>
          <w:numId w:val="8"/>
        </w:numPr>
        <w:spacing w:line="360" w:lineRule="auto"/>
        <w:ind w:left="720" w:hanging="720"/>
        <w:rPr/>
      </w:pPr>
      <w:r w:rsidDel="00000000" w:rsidR="00000000" w:rsidRPr="00000000">
        <w:rPr>
          <w:rtl w:val="0"/>
        </w:rPr>
        <w:t xml:space="preserve">The Event Cycle</w:t>
      </w:r>
    </w:p>
    <w:p w:rsidR="00000000" w:rsidDel="00000000" w:rsidP="00000000" w:rsidRDefault="00000000" w:rsidRPr="00000000" w14:paraId="0000001C">
      <w:pPr>
        <w:spacing w:line="360" w:lineRule="auto"/>
        <w:rPr/>
      </w:pPr>
      <w:r w:rsidDel="00000000" w:rsidR="00000000" w:rsidRPr="00000000">
        <w:rPr>
          <w:rtl w:val="0"/>
        </w:rPr>
        <w:t xml:space="preserve">As mentioned by Getz (2007), an event cycle consists of a variety of essential and crucial stages including: </w:t>
      </w:r>
    </w:p>
    <w:p w:rsidR="00000000" w:rsidDel="00000000" w:rsidP="00000000" w:rsidRDefault="00000000" w:rsidRPr="00000000" w14:paraId="0000001D">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Pre-event: </w:t>
      </w:r>
    </w:p>
    <w:p w:rsidR="00000000" w:rsidDel="00000000" w:rsidP="00000000" w:rsidRDefault="00000000" w:rsidRPr="00000000" w14:paraId="0000001E">
      <w:pPr>
        <w:spacing w:line="360" w:lineRule="auto"/>
        <w:rPr/>
      </w:pPr>
      <w:r w:rsidDel="00000000" w:rsidR="00000000" w:rsidRPr="00000000">
        <w:rPr>
          <w:rtl w:val="0"/>
        </w:rPr>
        <w:t xml:space="preserve">The first stage is of utmost importance for the summit’s success as it consists of all the groundwork including concept development, target audience identification, venue selection, budget allocation, guest selection, marketing and promotion, and detailed logistical preparations. For the APFRWS, during the pre-event, it was highlighted that the venue selection should be chosen on the basis of its ability to balance technological infrastructure to showcase AI solutions with sustainability considerations, aligning with the event’s core values (Jago &amp; Riemer, 2010).</w:t>
      </w:r>
    </w:p>
    <w:p w:rsidR="00000000" w:rsidDel="00000000" w:rsidP="00000000" w:rsidRDefault="00000000" w:rsidRPr="00000000" w14:paraId="0000001F">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Event: </w:t>
      </w:r>
    </w:p>
    <w:p w:rsidR="00000000" w:rsidDel="00000000" w:rsidP="00000000" w:rsidRDefault="00000000" w:rsidRPr="00000000" w14:paraId="00000020">
      <w:pPr>
        <w:spacing w:line="360" w:lineRule="auto"/>
        <w:rPr/>
      </w:pPr>
      <w:r w:rsidDel="00000000" w:rsidR="00000000" w:rsidRPr="00000000">
        <w:rPr>
          <w:rtl w:val="0"/>
        </w:rPr>
        <w:t xml:space="preserve">The second stage is the event itself hence this stage focuses on the immaculate and flawless execution of the decisions made during the pre-event. For the APFRWS, the focus of this stage was centered around catering with minimal food waste as that was the issue that this summit was aiming to resolve, hurdle-less presentations by the researchers and leaders (Cohen, 2012), and interactive workshops demonstrating cutting-edge AI-driven food waste tracking and management systems (Getz &amp; Page, 2007). </w:t>
      </w:r>
    </w:p>
    <w:p w:rsidR="00000000" w:rsidDel="00000000" w:rsidP="00000000" w:rsidRDefault="00000000" w:rsidRPr="00000000" w14:paraId="00000021">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Post-event: </w:t>
      </w:r>
    </w:p>
    <w:p w:rsidR="00000000" w:rsidDel="00000000" w:rsidP="00000000" w:rsidRDefault="00000000" w:rsidRPr="00000000" w14:paraId="00000022">
      <w:pPr>
        <w:spacing w:line="360" w:lineRule="auto"/>
        <w:rPr/>
      </w:pPr>
      <w:r w:rsidDel="00000000" w:rsidR="00000000" w:rsidRPr="00000000">
        <w:rPr>
          <w:rtl w:val="0"/>
        </w:rPr>
        <w:t xml:space="preserve">This third stage deals with evaluating whether the planned event went according to the plan or not by analyzing attendee feedback, comparing outcomes with benchmarks, and planning for improvements for upcoming events. In the case of APFRWS, the post-event would include measuring the summit’s success against SMART objectives set by management, such as whether an increased awareness of AI solutions has been achieved or not (Hall et al., 2011).</w:t>
      </w:r>
    </w:p>
    <w:p w:rsidR="00000000" w:rsidDel="00000000" w:rsidP="00000000" w:rsidRDefault="00000000" w:rsidRPr="00000000" w14:paraId="00000023">
      <w:pPr>
        <w:spacing w:line="360" w:lineRule="auto"/>
        <w:rPr/>
      </w:pPr>
      <w:r w:rsidDel="00000000" w:rsidR="00000000" w:rsidRPr="00000000">
        <w:rPr>
          <w:rtl w:val="0"/>
        </w:rPr>
        <w:t xml:space="preserve">This event cycle is very important to follow as it ensures that the event is well-organized, impactful, and leaves a long-lasting impact on the audience. By following the cycle we hope to effectively bring together diverse participants, and innovators and ensure a meaningful change in the hospitality industry and beyond. </w:t>
      </w:r>
    </w:p>
    <w:p w:rsidR="00000000" w:rsidDel="00000000" w:rsidP="00000000" w:rsidRDefault="00000000" w:rsidRPr="00000000" w14:paraId="00000024">
      <w:pPr>
        <w:spacing w:line="360"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25">
      <w:pPr>
        <w:pStyle w:val="Heading1"/>
        <w:numPr>
          <w:ilvl w:val="0"/>
          <w:numId w:val="8"/>
        </w:numPr>
        <w:spacing w:line="360" w:lineRule="auto"/>
        <w:ind w:left="720" w:hanging="720"/>
        <w:rPr/>
      </w:pPr>
      <w:r w:rsidDel="00000000" w:rsidR="00000000" w:rsidRPr="00000000">
        <w:rPr>
          <w:rtl w:val="0"/>
        </w:rPr>
        <w:t xml:space="preserve">Event Concept</w:t>
      </w:r>
    </w:p>
    <w:p w:rsidR="00000000" w:rsidDel="00000000" w:rsidP="00000000" w:rsidRDefault="00000000" w:rsidRPr="00000000" w14:paraId="00000026">
      <w:pPr>
        <w:spacing w:line="360" w:lineRule="auto"/>
        <w:rPr/>
      </w:pPr>
      <w:r w:rsidDel="00000000" w:rsidR="00000000" w:rsidRPr="00000000">
        <w:rPr>
          <w:rtl w:val="0"/>
        </w:rPr>
        <w:t xml:space="preserve">The core concept of the summit revolves around harnessing the potential of AI technology to address food waste challenges in the hospitality industry. Delegates can expect:</w:t>
      </w:r>
    </w:p>
    <w:p w:rsidR="00000000" w:rsidDel="00000000" w:rsidP="00000000" w:rsidRDefault="00000000" w:rsidRPr="00000000" w14:paraId="00000027">
      <w:pPr>
        <w:numPr>
          <w:ilvl w:val="0"/>
          <w:numId w:val="3"/>
        </w:numPr>
        <w:spacing w:line="360" w:lineRule="auto"/>
        <w:ind w:left="720" w:hanging="360"/>
        <w:rPr/>
      </w:pPr>
      <w:r w:rsidDel="00000000" w:rsidR="00000000" w:rsidRPr="00000000">
        <w:rPr>
          <w:rtl w:val="0"/>
        </w:rPr>
        <w:t xml:space="preserve">Interactive demonstrations of cutting-edge AI solutions: </w:t>
      </w:r>
    </w:p>
    <w:p w:rsidR="00000000" w:rsidDel="00000000" w:rsidP="00000000" w:rsidRDefault="00000000" w:rsidRPr="00000000" w14:paraId="00000028">
      <w:pPr>
        <w:spacing w:line="360" w:lineRule="auto"/>
        <w:rPr/>
      </w:pPr>
      <w:r w:rsidDel="00000000" w:rsidR="00000000" w:rsidRPr="00000000">
        <w:rPr>
          <w:rtl w:val="0"/>
        </w:rPr>
        <w:t xml:space="preserve">Observe the remarkable potential of AI-driven inventory management systems, which effortlessly adjust purchasing and ordering based on up-to-the-minute data (Hall et al., 2011). These advanced platforms for dynamic menu optimization leveraged cutting-edge predictive analytics to forecast customer preferences, thereby minimizing the incidence of food waste (Cohen, 2012). Furthermore, witness the invaluable functionality of real-time food spoilage prediction systems, which prevent the avoidable losses that plague the hospitality industry (Getz &amp; Page, 2007). These demonstrations will vividly illustrate the transformative capabilities of AI in addressing the complex challenges of food waste within the hospitality sector.</w:t>
      </w:r>
    </w:p>
    <w:p w:rsidR="00000000" w:rsidDel="00000000" w:rsidP="00000000" w:rsidRDefault="00000000" w:rsidRPr="00000000" w14:paraId="00000029">
      <w:pPr>
        <w:numPr>
          <w:ilvl w:val="0"/>
          <w:numId w:val="3"/>
        </w:numPr>
        <w:spacing w:line="360" w:lineRule="auto"/>
        <w:ind w:left="720" w:hanging="360"/>
        <w:rPr/>
      </w:pPr>
      <w:r w:rsidDel="00000000" w:rsidR="00000000" w:rsidRPr="00000000">
        <w:rPr>
          <w:rtl w:val="0"/>
        </w:rPr>
        <w:t xml:space="preserve">Invaluable insights from expert talks and panel discussions: </w:t>
      </w:r>
    </w:p>
    <w:p w:rsidR="00000000" w:rsidDel="00000000" w:rsidP="00000000" w:rsidRDefault="00000000" w:rsidRPr="00000000" w14:paraId="0000002A">
      <w:pPr>
        <w:spacing w:line="360" w:lineRule="auto"/>
        <w:rPr/>
      </w:pPr>
      <w:r w:rsidDel="00000000" w:rsidR="00000000" w:rsidRPr="00000000">
        <w:rPr>
          <w:rtl w:val="0"/>
        </w:rPr>
        <w:t xml:space="preserve">At this esteemed conference, distinguished experts from academia, industry, and government will converge to share their insights and expertise on various aspects of food system inefficiencies. Through captivating presentations and engaging discussions, participants will delve into the potential of AI for reducing food waste (Jago &amp; Riemer, 2010), addressing logistical challenges in the supply chain (Gibson &amp; Connell, 2004), and shaping policy frameworks that promote sustainable food practices (World Resources Institute, 2019). These thought-provoking discussions will foster dialogue, inspire innovative solutions, and pave the way for meaningful progress in the field.</w:t>
      </w:r>
    </w:p>
    <w:p w:rsidR="00000000" w:rsidDel="00000000" w:rsidP="00000000" w:rsidRDefault="00000000" w:rsidRPr="00000000" w14:paraId="0000002B">
      <w:pPr>
        <w:numPr>
          <w:ilvl w:val="0"/>
          <w:numId w:val="3"/>
        </w:numPr>
        <w:spacing w:line="360" w:lineRule="auto"/>
        <w:ind w:left="720" w:hanging="360"/>
        <w:rPr/>
      </w:pPr>
      <w:r w:rsidDel="00000000" w:rsidR="00000000" w:rsidRPr="00000000">
        <w:rPr>
          <w:rtl w:val="0"/>
        </w:rPr>
        <w:t xml:space="preserve">Interactive workshops and networking opportunities: </w:t>
      </w:r>
    </w:p>
    <w:p w:rsidR="00000000" w:rsidDel="00000000" w:rsidP="00000000" w:rsidRDefault="00000000" w:rsidRPr="00000000" w14:paraId="0000002C">
      <w:pPr>
        <w:spacing w:line="360" w:lineRule="auto"/>
        <w:rPr/>
      </w:pPr>
      <w:r w:rsidDel="00000000" w:rsidR="00000000" w:rsidRPr="00000000">
        <w:rPr>
          <w:rtl w:val="0"/>
        </w:rPr>
        <w:t xml:space="preserve">At the core of the APFRWS lies the promotion of collaboration, with a focus on interactive workshops and dedicated networking spaces that facilitate the co-creation of solutions to food waste challenges. By bringing together chefs, AI developers, and sustainability consultants in a collaborative environment, the APFRWS fosters cross-disciplinary exchange and the development of innovative projects. Through these interactive elements, participants have the opportunity to form meaningful partnerships and brainstorm practical solutions, ultimately building a network of changemakers who are committed to addressing the complex issue of food waste(Getz, 2005). </w:t>
      </w:r>
    </w:p>
    <w:p w:rsidR="00000000" w:rsidDel="00000000" w:rsidP="00000000" w:rsidRDefault="00000000" w:rsidRPr="00000000" w14:paraId="0000002D">
      <w:pPr>
        <w:pStyle w:val="Heading1"/>
        <w:numPr>
          <w:ilvl w:val="0"/>
          <w:numId w:val="8"/>
        </w:numPr>
        <w:spacing w:line="360" w:lineRule="auto"/>
        <w:ind w:left="720" w:hanging="720"/>
        <w:rPr/>
      </w:pPr>
      <w:r w:rsidDel="00000000" w:rsidR="00000000" w:rsidRPr="00000000">
        <w:rPr>
          <w:rtl w:val="0"/>
        </w:rPr>
        <w:t xml:space="preserve">Aim and Objectives</w:t>
      </w:r>
    </w:p>
    <w:p w:rsidR="00000000" w:rsidDel="00000000" w:rsidP="00000000" w:rsidRDefault="00000000" w:rsidRPr="00000000" w14:paraId="0000002E">
      <w:pPr>
        <w:spacing w:line="360" w:lineRule="auto"/>
        <w:rPr/>
      </w:pPr>
      <w:r w:rsidDel="00000000" w:rsidR="00000000" w:rsidRPr="00000000">
        <w:rPr>
          <w:rtl w:val="0"/>
        </w:rPr>
        <w:t xml:space="preserve">The primary objective of the summit, as explained by Smith and Jones (2023), is to promote the development and implementation of AI-driven solutions to significantly reduce food waste within the hospitality industry. This objective is linked with the growing acknowledgment of AI's potential to address pressing global sustainability concerns, as highlighted by the International Telecommunication Union (ITU, 2022). To achieve this determined aim, the summit could concentrate on two specific, measurable, achievable, relevant, and time-bound (SMART) objectives:</w:t>
      </w:r>
    </w:p>
    <w:p w:rsidR="00000000" w:rsidDel="00000000" w:rsidP="00000000" w:rsidRDefault="00000000" w:rsidRPr="00000000" w14:paraId="0000002F">
      <w:pPr>
        <w:numPr>
          <w:ilvl w:val="0"/>
          <w:numId w:val="5"/>
        </w:numPr>
        <w:spacing w:line="360" w:lineRule="auto"/>
        <w:ind w:left="720" w:hanging="360"/>
        <w:rPr/>
      </w:pPr>
      <w:r w:rsidDel="00000000" w:rsidR="00000000" w:rsidRPr="00000000">
        <w:rPr>
          <w:rtl w:val="0"/>
        </w:rPr>
        <w:t xml:space="preserve">To effectively address the pressing issue of food waste in the hospitality industry, it is crucial to raise awareness among professionals in this field regarding the potential of artificial intelligence (AI) to reduce waste by a substantial 50% by the end of the event. This objective aligns with existing calls from prominent organizations such as the (FAO, in 2020), which emphasize the importance of awareness-raising campaigns among key stakeholders in the food supply chain. By fostering greater understanding and knowledge of AI's potential in this area, we can significantly contribute to the reduction of food waste and promote more sustainable practices within the hospitality industry.</w:t>
      </w:r>
    </w:p>
    <w:p w:rsidR="00000000" w:rsidDel="00000000" w:rsidP="00000000" w:rsidRDefault="00000000" w:rsidRPr="00000000" w14:paraId="00000030">
      <w:pPr>
        <w:numPr>
          <w:ilvl w:val="0"/>
          <w:numId w:val="5"/>
        </w:numPr>
        <w:spacing w:line="360" w:lineRule="auto"/>
        <w:ind w:left="720" w:hanging="360"/>
        <w:rPr/>
      </w:pPr>
      <w:r w:rsidDel="00000000" w:rsidR="00000000" w:rsidRPr="00000000">
        <w:rPr>
          <w:rtl w:val="0"/>
        </w:rPr>
        <w:t xml:space="preserve">To expedite the practical implementation of AI-driven food waste reduction solutions in the hospitality industry, we aim to secure at least three concrete partnership agreements between AI developers and hospitality businesses within the next six months. These commitments, documented through signed agreements, will leverage the potential of collaboration and knowledge transfer to accelerate the real-world deployment of AI technologies (OECD, 2021). </w:t>
      </w:r>
    </w:p>
    <w:p w:rsidR="00000000" w:rsidDel="00000000" w:rsidP="00000000" w:rsidRDefault="00000000" w:rsidRPr="00000000" w14:paraId="00000031">
      <w:pPr>
        <w:spacing w:line="360" w:lineRule="auto"/>
        <w:rPr/>
      </w:pPr>
      <w:r w:rsidDel="00000000" w:rsidR="00000000" w:rsidRPr="00000000">
        <w:rPr>
          <w:rtl w:val="0"/>
        </w:rPr>
        <w:t xml:space="preserve">We believe by working on and accomplishing these objectives, The AI-Powered Food Waste Reduction Summit can make a significant contribution to the hospitality industry regarding the issue of food wastage. </w:t>
      </w:r>
    </w:p>
    <w:p w:rsidR="00000000" w:rsidDel="00000000" w:rsidP="00000000" w:rsidRDefault="00000000" w:rsidRPr="00000000" w14:paraId="00000032">
      <w:pPr>
        <w:spacing w:line="360"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33">
      <w:pPr>
        <w:pStyle w:val="Heading1"/>
        <w:numPr>
          <w:ilvl w:val="0"/>
          <w:numId w:val="8"/>
        </w:numPr>
        <w:spacing w:line="360" w:lineRule="auto"/>
        <w:ind w:left="720" w:hanging="720"/>
        <w:rPr/>
      </w:pPr>
      <w:r w:rsidDel="00000000" w:rsidR="00000000" w:rsidRPr="00000000">
        <w:rPr>
          <w:rtl w:val="0"/>
        </w:rPr>
        <w:t xml:space="preserve">Event Operations</w:t>
      </w:r>
    </w:p>
    <w:p w:rsidR="00000000" w:rsidDel="00000000" w:rsidP="00000000" w:rsidRDefault="00000000" w:rsidRPr="00000000" w14:paraId="00000034">
      <w:pPr>
        <w:spacing w:line="360" w:lineRule="auto"/>
        <w:rPr/>
      </w:pPr>
      <w:r w:rsidDel="00000000" w:rsidR="00000000" w:rsidRPr="00000000">
        <w:rPr>
          <w:rtl w:val="0"/>
        </w:rPr>
        <w:t xml:space="preserve">A successful summit of this nature will require a diverse team with expertise in:</w:t>
      </w:r>
    </w:p>
    <w:p w:rsidR="00000000" w:rsidDel="00000000" w:rsidP="00000000" w:rsidRDefault="00000000" w:rsidRPr="00000000" w14:paraId="00000035">
      <w:pPr>
        <w:numPr>
          <w:ilvl w:val="0"/>
          <w:numId w:val="1"/>
        </w:numPr>
        <w:spacing w:line="360" w:lineRule="auto"/>
        <w:ind w:left="720" w:hanging="360"/>
        <w:rPr/>
      </w:pPr>
      <w:r w:rsidDel="00000000" w:rsidR="00000000" w:rsidRPr="00000000">
        <w:rPr>
          <w:rtl w:val="0"/>
        </w:rPr>
        <w:t xml:space="preserve">Event planning and logistics: managing venue coordination, speaker travel, catering, audiovisual equipment, and attendee registration.</w:t>
      </w:r>
    </w:p>
    <w:p w:rsidR="00000000" w:rsidDel="00000000" w:rsidP="00000000" w:rsidRDefault="00000000" w:rsidRPr="00000000" w14:paraId="00000036">
      <w:pPr>
        <w:numPr>
          <w:ilvl w:val="0"/>
          <w:numId w:val="1"/>
        </w:numPr>
        <w:spacing w:line="360" w:lineRule="auto"/>
        <w:ind w:left="720" w:hanging="360"/>
        <w:rPr/>
      </w:pPr>
      <w:r w:rsidDel="00000000" w:rsidR="00000000" w:rsidRPr="00000000">
        <w:rPr>
          <w:rtl w:val="0"/>
        </w:rPr>
        <w:t xml:space="preserve">Marketing and communications: developing a compelling brand message, utilizing social media and targeted outreach to attract registrants and sponsors.</w:t>
      </w:r>
    </w:p>
    <w:p w:rsidR="00000000" w:rsidDel="00000000" w:rsidP="00000000" w:rsidRDefault="00000000" w:rsidRPr="00000000" w14:paraId="00000037">
      <w:pPr>
        <w:numPr>
          <w:ilvl w:val="0"/>
          <w:numId w:val="1"/>
        </w:numPr>
        <w:spacing w:line="360" w:lineRule="auto"/>
        <w:ind w:left="720" w:hanging="360"/>
        <w:rPr/>
      </w:pPr>
      <w:r w:rsidDel="00000000" w:rsidR="00000000" w:rsidRPr="00000000">
        <w:rPr>
          <w:rtl w:val="0"/>
        </w:rPr>
        <w:t xml:space="preserve">Tech expertise: understanding and showcasing AI-powered solutions, ensuring smooth technology integration during the event.</w:t>
      </w:r>
    </w:p>
    <w:p w:rsidR="00000000" w:rsidDel="00000000" w:rsidP="00000000" w:rsidRDefault="00000000" w:rsidRPr="00000000" w14:paraId="00000038">
      <w:pPr>
        <w:numPr>
          <w:ilvl w:val="0"/>
          <w:numId w:val="1"/>
        </w:numPr>
        <w:spacing w:line="360" w:lineRule="auto"/>
        <w:ind w:left="720" w:hanging="360"/>
        <w:rPr/>
      </w:pPr>
      <w:r w:rsidDel="00000000" w:rsidR="00000000" w:rsidRPr="00000000">
        <w:rPr>
          <w:rtl w:val="0"/>
        </w:rPr>
        <w:t xml:space="preserve">Sustainability knowledge: incorporating green practices throughout the event (e.g., local sourcing, minimal waste catering, energy-efficient lighting).</w:t>
      </w:r>
    </w:p>
    <w:p w:rsidR="00000000" w:rsidDel="00000000" w:rsidP="00000000" w:rsidRDefault="00000000" w:rsidRPr="00000000" w14:paraId="00000039">
      <w:pPr>
        <w:spacing w:line="360" w:lineRule="auto"/>
        <w:rPr/>
      </w:pPr>
      <w:r w:rsidDel="00000000" w:rsidR="00000000" w:rsidRPr="00000000">
        <w:rPr>
          <w:rtl w:val="0"/>
        </w:rPr>
        <w:br w:type="textWrapping"/>
      </w:r>
    </w:p>
    <w:p w:rsidR="00000000" w:rsidDel="00000000" w:rsidP="00000000" w:rsidRDefault="00000000" w:rsidRPr="00000000" w14:paraId="0000003A">
      <w:pPr>
        <w:spacing w:line="360"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3B">
      <w:pPr>
        <w:pStyle w:val="Heading1"/>
        <w:numPr>
          <w:ilvl w:val="0"/>
          <w:numId w:val="8"/>
        </w:numPr>
        <w:spacing w:line="360" w:lineRule="auto"/>
        <w:ind w:left="720" w:hanging="720"/>
        <w:rPr/>
      </w:pPr>
      <w:r w:rsidDel="00000000" w:rsidR="00000000" w:rsidRPr="00000000">
        <w:rPr>
          <w:rtl w:val="0"/>
        </w:rPr>
        <w:t xml:space="preserve">Event Budget</w:t>
      </w:r>
    </w:p>
    <w:p w:rsidR="00000000" w:rsidDel="00000000" w:rsidP="00000000" w:rsidRDefault="00000000" w:rsidRPr="00000000" w14:paraId="0000003C">
      <w:pPr>
        <w:spacing w:line="360" w:lineRule="auto"/>
        <w:rPr/>
      </w:pPr>
      <w:r w:rsidDel="00000000" w:rsidR="00000000" w:rsidRPr="00000000">
        <w:rPr>
          <w:rtl w:val="0"/>
        </w:rPr>
        <w:t xml:space="preserve">The provided budget breakdown offers a comprehensive overview of anticipated costs and revenue streams. Key highlights include:</w:t>
      </w:r>
    </w:p>
    <w:p w:rsidR="00000000" w:rsidDel="00000000" w:rsidP="00000000" w:rsidRDefault="00000000" w:rsidRPr="00000000" w14:paraId="0000003D">
      <w:pPr>
        <w:numPr>
          <w:ilvl w:val="0"/>
          <w:numId w:val="2"/>
        </w:numPr>
        <w:spacing w:line="360" w:lineRule="auto"/>
        <w:ind w:left="720" w:hanging="360"/>
        <w:rPr/>
      </w:pPr>
      <w:r w:rsidDel="00000000" w:rsidR="00000000" w:rsidRPr="00000000">
        <w:rPr>
          <w:rtl w:val="0"/>
        </w:rPr>
        <w:t xml:space="preserve">Revenue potential exceeding costs, projecting a $40,000 profit.</w:t>
      </w:r>
    </w:p>
    <w:p w:rsidR="00000000" w:rsidDel="00000000" w:rsidP="00000000" w:rsidRDefault="00000000" w:rsidRPr="00000000" w14:paraId="0000003E">
      <w:pPr>
        <w:numPr>
          <w:ilvl w:val="0"/>
          <w:numId w:val="2"/>
        </w:numPr>
        <w:spacing w:line="360" w:lineRule="auto"/>
        <w:ind w:left="720" w:hanging="360"/>
        <w:rPr/>
      </w:pPr>
      <w:r w:rsidDel="00000000" w:rsidR="00000000" w:rsidRPr="00000000">
        <w:rPr>
          <w:rtl w:val="0"/>
        </w:rPr>
        <w:t xml:space="preserve">Focus on registration fees, sponsorships, and merchandise sales.</w:t>
      </w:r>
    </w:p>
    <w:p w:rsidR="00000000" w:rsidDel="00000000" w:rsidP="00000000" w:rsidRDefault="00000000" w:rsidRPr="00000000" w14:paraId="0000003F">
      <w:pPr>
        <w:numPr>
          <w:ilvl w:val="0"/>
          <w:numId w:val="2"/>
        </w:numPr>
        <w:spacing w:line="360" w:lineRule="auto"/>
        <w:ind w:left="720" w:hanging="360"/>
        <w:rPr/>
      </w:pPr>
      <w:r w:rsidDel="00000000" w:rsidR="00000000" w:rsidRPr="00000000">
        <w:rPr>
          <w:rtl w:val="0"/>
        </w:rPr>
        <w:t xml:space="preserve">Strategic cost control measures, including negotiated venue discounts, partnerships with local vendors, and volunteer support.</w:t>
      </w:r>
    </w:p>
    <w:p w:rsidR="00000000" w:rsidDel="00000000" w:rsidP="00000000" w:rsidRDefault="00000000" w:rsidRPr="00000000" w14:paraId="00000040">
      <w:pPr>
        <w:spacing w:line="360" w:lineRule="auto"/>
        <w:rPr/>
      </w:pPr>
      <w:r w:rsidDel="00000000" w:rsidR="00000000" w:rsidRPr="00000000">
        <w:rPr>
          <w:rtl w:val="0"/>
        </w:rPr>
      </w:r>
    </w:p>
    <w:tbl>
      <w:tblPr>
        <w:tblStyle w:val="Table1"/>
        <w:tblW w:w="9350.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A0"/>
      </w:tblPr>
      <w:tblGrid>
        <w:gridCol w:w="3116"/>
        <w:gridCol w:w="3117"/>
        <w:gridCol w:w="3117"/>
        <w:tblGridChange w:id="0">
          <w:tblGrid>
            <w:gridCol w:w="3116"/>
            <w:gridCol w:w="3117"/>
            <w:gridCol w:w="3117"/>
          </w:tblGrid>
        </w:tblGridChange>
      </w:tblGrid>
      <w:tr>
        <w:trPr>
          <w:cantSplit w:val="0"/>
          <w:tblHeader w:val="0"/>
        </w:trPr>
        <w:tc>
          <w:tcPr/>
          <w:p w:rsidR="00000000" w:rsidDel="00000000" w:rsidP="00000000" w:rsidRDefault="00000000" w:rsidRPr="00000000" w14:paraId="00000041">
            <w:pPr>
              <w:spacing w:line="360" w:lineRule="auto"/>
              <w:jc w:val="center"/>
              <w:rPr>
                <w:b w:val="0"/>
                <w:sz w:val="28"/>
                <w:szCs w:val="28"/>
              </w:rPr>
            </w:pPr>
            <w:r w:rsidDel="00000000" w:rsidR="00000000" w:rsidRPr="00000000">
              <w:rPr>
                <w:rFonts w:ascii="Google Sans" w:cs="Google Sans" w:eastAsia="Google Sans" w:hAnsi="Google Sans"/>
                <w:b w:val="1"/>
                <w:color w:val="1f1f1f"/>
                <w:sz w:val="28"/>
                <w:szCs w:val="28"/>
                <w:rtl w:val="0"/>
              </w:rPr>
              <w:t xml:space="preserve">Cost Category</w:t>
            </w:r>
            <w:r w:rsidDel="00000000" w:rsidR="00000000" w:rsidRPr="00000000">
              <w:rPr>
                <w:rtl w:val="0"/>
              </w:rPr>
            </w:r>
          </w:p>
        </w:tc>
        <w:tc>
          <w:tcPr/>
          <w:p w:rsidR="00000000" w:rsidDel="00000000" w:rsidP="00000000" w:rsidRDefault="00000000" w:rsidRPr="00000000" w14:paraId="00000042">
            <w:pPr>
              <w:spacing w:line="360" w:lineRule="auto"/>
              <w:jc w:val="center"/>
              <w:rPr>
                <w:b w:val="0"/>
                <w:sz w:val="28"/>
                <w:szCs w:val="28"/>
              </w:rPr>
            </w:pPr>
            <w:r w:rsidDel="00000000" w:rsidR="00000000" w:rsidRPr="00000000">
              <w:rPr>
                <w:rFonts w:ascii="Google Sans" w:cs="Google Sans" w:eastAsia="Google Sans" w:hAnsi="Google Sans"/>
                <w:b w:val="1"/>
                <w:color w:val="1f1f1f"/>
                <w:sz w:val="28"/>
                <w:szCs w:val="28"/>
                <w:rtl w:val="0"/>
              </w:rPr>
              <w:t xml:space="preserve">Estimated Range</w:t>
            </w:r>
            <w:r w:rsidDel="00000000" w:rsidR="00000000" w:rsidRPr="00000000">
              <w:rPr>
                <w:rtl w:val="0"/>
              </w:rPr>
            </w:r>
          </w:p>
        </w:tc>
        <w:tc>
          <w:tcPr/>
          <w:p w:rsidR="00000000" w:rsidDel="00000000" w:rsidP="00000000" w:rsidRDefault="00000000" w:rsidRPr="00000000" w14:paraId="00000043">
            <w:pPr>
              <w:spacing w:line="360" w:lineRule="auto"/>
              <w:jc w:val="center"/>
              <w:rPr>
                <w:b w:val="0"/>
                <w:sz w:val="28"/>
                <w:szCs w:val="28"/>
              </w:rPr>
            </w:pPr>
            <w:r w:rsidDel="00000000" w:rsidR="00000000" w:rsidRPr="00000000">
              <w:rPr>
                <w:rFonts w:ascii="Google Sans" w:cs="Google Sans" w:eastAsia="Google Sans" w:hAnsi="Google Sans"/>
                <w:b w:val="1"/>
                <w:color w:val="1f1f1f"/>
                <w:sz w:val="28"/>
                <w:szCs w:val="28"/>
                <w:rtl w:val="0"/>
              </w:rPr>
              <w:t xml:space="preserve">Notes</w:t>
            </w:r>
            <w:r w:rsidDel="00000000" w:rsidR="00000000" w:rsidRPr="00000000">
              <w:rPr>
                <w:rtl w:val="0"/>
              </w:rPr>
            </w:r>
          </w:p>
        </w:tc>
      </w:tr>
      <w:tr>
        <w:trPr>
          <w:cantSplit w:val="0"/>
          <w:tblHeader w:val="0"/>
        </w:trPr>
        <w:tc>
          <w:tcPr/>
          <w:p w:rsidR="00000000" w:rsidDel="00000000" w:rsidP="00000000" w:rsidRDefault="00000000" w:rsidRPr="00000000" w14:paraId="00000044">
            <w:pPr>
              <w:spacing w:line="360" w:lineRule="auto"/>
              <w:jc w:val="center"/>
              <w:rPr/>
            </w:pPr>
            <w:r w:rsidDel="00000000" w:rsidR="00000000" w:rsidRPr="00000000">
              <w:rPr>
                <w:rFonts w:ascii="Google Sans" w:cs="Google Sans" w:eastAsia="Google Sans" w:hAnsi="Google Sans"/>
                <w:b w:val="1"/>
                <w:color w:val="1f1f1f"/>
                <w:rtl w:val="0"/>
              </w:rPr>
              <w:t xml:space="preserve">Venue Rental</w:t>
            </w:r>
            <w:r w:rsidDel="00000000" w:rsidR="00000000" w:rsidRPr="00000000">
              <w:rPr>
                <w:rtl w:val="0"/>
              </w:rPr>
            </w:r>
          </w:p>
        </w:tc>
        <w:tc>
          <w:tcPr/>
          <w:p w:rsidR="00000000" w:rsidDel="00000000" w:rsidP="00000000" w:rsidRDefault="00000000" w:rsidRPr="00000000" w14:paraId="00000045">
            <w:pPr>
              <w:spacing w:line="360" w:lineRule="auto"/>
              <w:jc w:val="center"/>
              <w:rPr/>
            </w:pPr>
            <w:r w:rsidDel="00000000" w:rsidR="00000000" w:rsidRPr="00000000">
              <w:rPr>
                <w:rFonts w:ascii="Google Sans" w:cs="Google Sans" w:eastAsia="Google Sans" w:hAnsi="Google Sans"/>
                <w:color w:val="1f1f1f"/>
                <w:rtl w:val="0"/>
              </w:rPr>
              <w:t xml:space="preserve">$50,000 - $100,000</w:t>
            </w:r>
            <w:r w:rsidDel="00000000" w:rsidR="00000000" w:rsidRPr="00000000">
              <w:rPr>
                <w:rtl w:val="0"/>
              </w:rPr>
            </w:r>
          </w:p>
        </w:tc>
        <w:tc>
          <w:tcPr/>
          <w:p w:rsidR="00000000" w:rsidDel="00000000" w:rsidP="00000000" w:rsidRDefault="00000000" w:rsidRPr="00000000" w14:paraId="00000046">
            <w:pPr>
              <w:spacing w:line="360" w:lineRule="auto"/>
              <w:rPr/>
            </w:pPr>
            <w:r w:rsidDel="00000000" w:rsidR="00000000" w:rsidRPr="00000000">
              <w:rPr>
                <w:rFonts w:ascii="Google Sans" w:cs="Google Sans" w:eastAsia="Google Sans" w:hAnsi="Google Sans"/>
                <w:color w:val="1f1f1f"/>
                <w:rtl w:val="0"/>
              </w:rPr>
              <w:t xml:space="preserve">Size and amenities will affect the cost</w:t>
            </w:r>
            <w:r w:rsidDel="00000000" w:rsidR="00000000" w:rsidRPr="00000000">
              <w:rPr>
                <w:rtl w:val="0"/>
              </w:rPr>
            </w:r>
          </w:p>
        </w:tc>
      </w:tr>
      <w:tr>
        <w:trPr>
          <w:cantSplit w:val="0"/>
          <w:tblHeader w:val="0"/>
        </w:trPr>
        <w:tc>
          <w:tcPr/>
          <w:p w:rsidR="00000000" w:rsidDel="00000000" w:rsidP="00000000" w:rsidRDefault="00000000" w:rsidRPr="00000000" w14:paraId="00000047">
            <w:pPr>
              <w:spacing w:line="360" w:lineRule="auto"/>
              <w:jc w:val="center"/>
              <w:rPr/>
            </w:pPr>
            <w:r w:rsidDel="00000000" w:rsidR="00000000" w:rsidRPr="00000000">
              <w:rPr>
                <w:rFonts w:ascii="Google Sans" w:cs="Google Sans" w:eastAsia="Google Sans" w:hAnsi="Google Sans"/>
                <w:b w:val="1"/>
                <w:color w:val="1f1f1f"/>
                <w:rtl w:val="0"/>
              </w:rPr>
              <w:t xml:space="preserve">Catering</w:t>
            </w:r>
            <w:r w:rsidDel="00000000" w:rsidR="00000000" w:rsidRPr="00000000">
              <w:rPr>
                <w:rtl w:val="0"/>
              </w:rPr>
            </w:r>
          </w:p>
        </w:tc>
        <w:tc>
          <w:tcPr/>
          <w:p w:rsidR="00000000" w:rsidDel="00000000" w:rsidP="00000000" w:rsidRDefault="00000000" w:rsidRPr="00000000" w14:paraId="00000048">
            <w:pPr>
              <w:spacing w:line="360" w:lineRule="auto"/>
              <w:jc w:val="center"/>
              <w:rPr/>
            </w:pPr>
            <w:r w:rsidDel="00000000" w:rsidR="00000000" w:rsidRPr="00000000">
              <w:rPr>
                <w:rFonts w:ascii="Google Sans" w:cs="Google Sans" w:eastAsia="Google Sans" w:hAnsi="Google Sans"/>
                <w:color w:val="1f1f1f"/>
                <w:rtl w:val="0"/>
              </w:rPr>
              <w:t xml:space="preserve">$30,000 - $50,000</w:t>
            </w:r>
            <w:r w:rsidDel="00000000" w:rsidR="00000000" w:rsidRPr="00000000">
              <w:rPr>
                <w:rtl w:val="0"/>
              </w:rPr>
            </w:r>
          </w:p>
        </w:tc>
        <w:tc>
          <w:tcPr/>
          <w:p w:rsidR="00000000" w:rsidDel="00000000" w:rsidP="00000000" w:rsidRDefault="00000000" w:rsidRPr="00000000" w14:paraId="00000049">
            <w:pPr>
              <w:spacing w:line="360" w:lineRule="auto"/>
              <w:rPr/>
            </w:pPr>
            <w:r w:rsidDel="00000000" w:rsidR="00000000" w:rsidRPr="00000000">
              <w:rPr>
                <w:rFonts w:ascii="Google Sans" w:cs="Google Sans" w:eastAsia="Google Sans" w:hAnsi="Google Sans"/>
                <w:color w:val="1f1f1f"/>
                <w:rtl w:val="0"/>
              </w:rPr>
              <w:t xml:space="preserve">Focus on sustainability and local ingredients</w:t>
            </w:r>
            <w:r w:rsidDel="00000000" w:rsidR="00000000" w:rsidRPr="00000000">
              <w:rPr>
                <w:rtl w:val="0"/>
              </w:rPr>
            </w:r>
          </w:p>
        </w:tc>
      </w:tr>
      <w:tr>
        <w:trPr>
          <w:cantSplit w:val="0"/>
          <w:tblHeader w:val="0"/>
        </w:trPr>
        <w:tc>
          <w:tcPr/>
          <w:p w:rsidR="00000000" w:rsidDel="00000000" w:rsidP="00000000" w:rsidRDefault="00000000" w:rsidRPr="00000000" w14:paraId="0000004A">
            <w:pPr>
              <w:spacing w:line="360" w:lineRule="auto"/>
              <w:jc w:val="center"/>
              <w:rPr/>
            </w:pPr>
            <w:r w:rsidDel="00000000" w:rsidR="00000000" w:rsidRPr="00000000">
              <w:rPr>
                <w:rFonts w:ascii="Google Sans" w:cs="Google Sans" w:eastAsia="Google Sans" w:hAnsi="Google Sans"/>
                <w:b w:val="1"/>
                <w:color w:val="1f1f1f"/>
                <w:rtl w:val="0"/>
              </w:rPr>
              <w:t xml:space="preserve">Event Staff</w:t>
            </w:r>
            <w:r w:rsidDel="00000000" w:rsidR="00000000" w:rsidRPr="00000000">
              <w:rPr>
                <w:rtl w:val="0"/>
              </w:rPr>
            </w:r>
          </w:p>
        </w:tc>
        <w:tc>
          <w:tcPr/>
          <w:p w:rsidR="00000000" w:rsidDel="00000000" w:rsidP="00000000" w:rsidRDefault="00000000" w:rsidRPr="00000000" w14:paraId="0000004B">
            <w:pPr>
              <w:spacing w:line="360" w:lineRule="auto"/>
              <w:jc w:val="center"/>
              <w:rPr/>
            </w:pPr>
            <w:r w:rsidDel="00000000" w:rsidR="00000000" w:rsidRPr="00000000">
              <w:rPr>
                <w:rFonts w:ascii="Google Sans" w:cs="Google Sans" w:eastAsia="Google Sans" w:hAnsi="Google Sans"/>
                <w:color w:val="1f1f1f"/>
                <w:rtl w:val="0"/>
              </w:rPr>
              <w:t xml:space="preserve">$20,000 - $30,000</w:t>
            </w:r>
            <w:r w:rsidDel="00000000" w:rsidR="00000000" w:rsidRPr="00000000">
              <w:rPr>
                <w:rtl w:val="0"/>
              </w:rPr>
            </w:r>
          </w:p>
        </w:tc>
        <w:tc>
          <w:tcPr/>
          <w:p w:rsidR="00000000" w:rsidDel="00000000" w:rsidP="00000000" w:rsidRDefault="00000000" w:rsidRPr="00000000" w14:paraId="0000004C">
            <w:pPr>
              <w:spacing w:line="360" w:lineRule="auto"/>
              <w:rPr/>
            </w:pPr>
            <w:r w:rsidDel="00000000" w:rsidR="00000000" w:rsidRPr="00000000">
              <w:rPr>
                <w:rFonts w:ascii="Google Sans" w:cs="Google Sans" w:eastAsia="Google Sans" w:hAnsi="Google Sans"/>
                <w:color w:val="1f1f1f"/>
                <w:rtl w:val="0"/>
              </w:rPr>
              <w:t xml:space="preserve">Mix of professionals and volunteers</w:t>
            </w:r>
            <w:r w:rsidDel="00000000" w:rsidR="00000000" w:rsidRPr="00000000">
              <w:rPr>
                <w:rtl w:val="0"/>
              </w:rPr>
            </w:r>
          </w:p>
        </w:tc>
      </w:tr>
      <w:tr>
        <w:trPr>
          <w:cantSplit w:val="0"/>
          <w:tblHeader w:val="0"/>
        </w:trPr>
        <w:tc>
          <w:tcPr/>
          <w:p w:rsidR="00000000" w:rsidDel="00000000" w:rsidP="00000000" w:rsidRDefault="00000000" w:rsidRPr="00000000" w14:paraId="0000004D">
            <w:pPr>
              <w:spacing w:line="360" w:lineRule="auto"/>
              <w:jc w:val="center"/>
              <w:rPr/>
            </w:pPr>
            <w:r w:rsidDel="00000000" w:rsidR="00000000" w:rsidRPr="00000000">
              <w:rPr>
                <w:rFonts w:ascii="Google Sans" w:cs="Google Sans" w:eastAsia="Google Sans" w:hAnsi="Google Sans"/>
                <w:b w:val="1"/>
                <w:color w:val="1f1f1f"/>
                <w:rtl w:val="0"/>
              </w:rPr>
              <w:t xml:space="preserve">Marketing &amp; Promotion</w:t>
            </w:r>
            <w:r w:rsidDel="00000000" w:rsidR="00000000" w:rsidRPr="00000000">
              <w:rPr>
                <w:rtl w:val="0"/>
              </w:rPr>
            </w:r>
          </w:p>
        </w:tc>
        <w:tc>
          <w:tcPr/>
          <w:p w:rsidR="00000000" w:rsidDel="00000000" w:rsidP="00000000" w:rsidRDefault="00000000" w:rsidRPr="00000000" w14:paraId="0000004E">
            <w:pPr>
              <w:spacing w:line="360" w:lineRule="auto"/>
              <w:jc w:val="center"/>
              <w:rPr/>
            </w:pPr>
            <w:r w:rsidDel="00000000" w:rsidR="00000000" w:rsidRPr="00000000">
              <w:rPr>
                <w:rFonts w:ascii="Google Sans" w:cs="Google Sans" w:eastAsia="Google Sans" w:hAnsi="Google Sans"/>
                <w:color w:val="1f1f1f"/>
                <w:rtl w:val="0"/>
              </w:rPr>
              <w:t xml:space="preserve">$10,000 - $20,000</w:t>
            </w:r>
            <w:r w:rsidDel="00000000" w:rsidR="00000000" w:rsidRPr="00000000">
              <w:rPr>
                <w:rtl w:val="0"/>
              </w:rPr>
            </w:r>
          </w:p>
        </w:tc>
        <w:tc>
          <w:tcPr/>
          <w:p w:rsidR="00000000" w:rsidDel="00000000" w:rsidP="00000000" w:rsidRDefault="00000000" w:rsidRPr="00000000" w14:paraId="0000004F">
            <w:pPr>
              <w:spacing w:line="360" w:lineRule="auto"/>
              <w:rPr/>
            </w:pPr>
            <w:r w:rsidDel="00000000" w:rsidR="00000000" w:rsidRPr="00000000">
              <w:rPr>
                <w:rFonts w:ascii="Google Sans" w:cs="Google Sans" w:eastAsia="Google Sans" w:hAnsi="Google Sans"/>
                <w:color w:val="1f1f1f"/>
                <w:rtl w:val="0"/>
              </w:rPr>
              <w:t xml:space="preserve">Online and offline campaigns</w:t>
            </w:r>
            <w:r w:rsidDel="00000000" w:rsidR="00000000" w:rsidRPr="00000000">
              <w:rPr>
                <w:rtl w:val="0"/>
              </w:rPr>
            </w:r>
          </w:p>
        </w:tc>
      </w:tr>
      <w:tr>
        <w:trPr>
          <w:cantSplit w:val="0"/>
          <w:tblHeader w:val="0"/>
        </w:trPr>
        <w:tc>
          <w:tcPr/>
          <w:p w:rsidR="00000000" w:rsidDel="00000000" w:rsidP="00000000" w:rsidRDefault="00000000" w:rsidRPr="00000000" w14:paraId="00000050">
            <w:pPr>
              <w:spacing w:line="360" w:lineRule="auto"/>
              <w:jc w:val="center"/>
              <w:rPr/>
            </w:pPr>
            <w:r w:rsidDel="00000000" w:rsidR="00000000" w:rsidRPr="00000000">
              <w:rPr>
                <w:rFonts w:ascii="Google Sans" w:cs="Google Sans" w:eastAsia="Google Sans" w:hAnsi="Google Sans"/>
                <w:b w:val="1"/>
                <w:color w:val="1f1f1f"/>
                <w:rtl w:val="0"/>
              </w:rPr>
              <w:t xml:space="preserve">Technology &amp; Equipment</w:t>
            </w:r>
            <w:r w:rsidDel="00000000" w:rsidR="00000000" w:rsidRPr="00000000">
              <w:rPr>
                <w:rtl w:val="0"/>
              </w:rPr>
            </w:r>
          </w:p>
        </w:tc>
        <w:tc>
          <w:tcPr/>
          <w:p w:rsidR="00000000" w:rsidDel="00000000" w:rsidP="00000000" w:rsidRDefault="00000000" w:rsidRPr="00000000" w14:paraId="00000051">
            <w:pPr>
              <w:spacing w:line="360" w:lineRule="auto"/>
              <w:jc w:val="center"/>
              <w:rPr/>
            </w:pPr>
            <w:r w:rsidDel="00000000" w:rsidR="00000000" w:rsidRPr="00000000">
              <w:rPr>
                <w:rFonts w:ascii="Google Sans" w:cs="Google Sans" w:eastAsia="Google Sans" w:hAnsi="Google Sans"/>
                <w:color w:val="1f1f1f"/>
                <w:rtl w:val="0"/>
              </w:rPr>
              <w:t xml:space="preserve">$10,000 - $20,000</w:t>
            </w:r>
            <w:r w:rsidDel="00000000" w:rsidR="00000000" w:rsidRPr="00000000">
              <w:rPr>
                <w:rtl w:val="0"/>
              </w:rPr>
            </w:r>
          </w:p>
        </w:tc>
        <w:tc>
          <w:tcPr/>
          <w:p w:rsidR="00000000" w:rsidDel="00000000" w:rsidP="00000000" w:rsidRDefault="00000000" w:rsidRPr="00000000" w14:paraId="00000052">
            <w:pPr>
              <w:spacing w:line="360" w:lineRule="auto"/>
              <w:rPr/>
            </w:pPr>
            <w:r w:rsidDel="00000000" w:rsidR="00000000" w:rsidRPr="00000000">
              <w:rPr>
                <w:rFonts w:ascii="Google Sans" w:cs="Google Sans" w:eastAsia="Google Sans" w:hAnsi="Google Sans"/>
                <w:color w:val="1f1f1f"/>
                <w:rtl w:val="0"/>
              </w:rPr>
              <w:t xml:space="preserve">AV equipment, internet, translation services</w:t>
            </w:r>
            <w:r w:rsidDel="00000000" w:rsidR="00000000" w:rsidRPr="00000000">
              <w:rPr>
                <w:rtl w:val="0"/>
              </w:rPr>
            </w:r>
          </w:p>
        </w:tc>
      </w:tr>
      <w:tr>
        <w:trPr>
          <w:cantSplit w:val="0"/>
          <w:tblHeader w:val="0"/>
        </w:trPr>
        <w:tc>
          <w:tcPr/>
          <w:p w:rsidR="00000000" w:rsidDel="00000000" w:rsidP="00000000" w:rsidRDefault="00000000" w:rsidRPr="00000000" w14:paraId="00000053">
            <w:pPr>
              <w:spacing w:line="360" w:lineRule="auto"/>
              <w:jc w:val="center"/>
              <w:rPr/>
            </w:pPr>
            <w:r w:rsidDel="00000000" w:rsidR="00000000" w:rsidRPr="00000000">
              <w:rPr>
                <w:rFonts w:ascii="Google Sans" w:cs="Google Sans" w:eastAsia="Google Sans" w:hAnsi="Google Sans"/>
                <w:b w:val="1"/>
                <w:color w:val="1f1f1f"/>
                <w:rtl w:val="0"/>
              </w:rPr>
              <w:t xml:space="preserve">Travel &amp; Accommodation (Speakers)</w:t>
            </w:r>
            <w:r w:rsidDel="00000000" w:rsidR="00000000" w:rsidRPr="00000000">
              <w:rPr>
                <w:rtl w:val="0"/>
              </w:rPr>
            </w:r>
          </w:p>
        </w:tc>
        <w:tc>
          <w:tcPr/>
          <w:p w:rsidR="00000000" w:rsidDel="00000000" w:rsidP="00000000" w:rsidRDefault="00000000" w:rsidRPr="00000000" w14:paraId="00000054">
            <w:pPr>
              <w:spacing w:line="360" w:lineRule="auto"/>
              <w:jc w:val="center"/>
              <w:rPr/>
            </w:pPr>
            <w:r w:rsidDel="00000000" w:rsidR="00000000" w:rsidRPr="00000000">
              <w:rPr>
                <w:rFonts w:ascii="Google Sans" w:cs="Google Sans" w:eastAsia="Google Sans" w:hAnsi="Google Sans"/>
                <w:color w:val="1f1f1f"/>
                <w:rtl w:val="0"/>
              </w:rPr>
              <w:t xml:space="preserve">$20,000 - $30,000</w:t>
            </w:r>
            <w:r w:rsidDel="00000000" w:rsidR="00000000" w:rsidRPr="00000000">
              <w:rPr>
                <w:rtl w:val="0"/>
              </w:rPr>
            </w:r>
          </w:p>
        </w:tc>
        <w:tc>
          <w:tcPr/>
          <w:p w:rsidR="00000000" w:rsidDel="00000000" w:rsidP="00000000" w:rsidRDefault="00000000" w:rsidRPr="00000000" w14:paraId="00000055">
            <w:pPr>
              <w:spacing w:line="360" w:lineRule="auto"/>
              <w:rPr/>
            </w:pPr>
            <w:r w:rsidDel="00000000" w:rsidR="00000000" w:rsidRPr="00000000">
              <w:rPr>
                <w:rFonts w:ascii="Google Sans" w:cs="Google Sans" w:eastAsia="Google Sans" w:hAnsi="Google Sans"/>
                <w:color w:val="1f1f1f"/>
                <w:rtl w:val="0"/>
              </w:rPr>
              <w:t xml:space="preserve">Depends on the guest list</w:t>
            </w:r>
            <w:r w:rsidDel="00000000" w:rsidR="00000000" w:rsidRPr="00000000">
              <w:rPr>
                <w:rtl w:val="0"/>
              </w:rPr>
            </w:r>
          </w:p>
        </w:tc>
      </w:tr>
      <w:tr>
        <w:trPr>
          <w:cantSplit w:val="0"/>
          <w:tblHeader w:val="0"/>
        </w:trPr>
        <w:tc>
          <w:tcPr/>
          <w:p w:rsidR="00000000" w:rsidDel="00000000" w:rsidP="00000000" w:rsidRDefault="00000000" w:rsidRPr="00000000" w14:paraId="00000056">
            <w:pPr>
              <w:spacing w:line="360" w:lineRule="auto"/>
              <w:jc w:val="center"/>
              <w:rPr/>
            </w:pPr>
            <w:r w:rsidDel="00000000" w:rsidR="00000000" w:rsidRPr="00000000">
              <w:rPr>
                <w:rFonts w:ascii="Google Sans" w:cs="Google Sans" w:eastAsia="Google Sans" w:hAnsi="Google Sans"/>
                <w:b w:val="1"/>
                <w:color w:val="1f1f1f"/>
                <w:rtl w:val="0"/>
              </w:rPr>
              <w:t xml:space="preserve">Miscellaneous Expenses</w:t>
            </w:r>
            <w:r w:rsidDel="00000000" w:rsidR="00000000" w:rsidRPr="00000000">
              <w:rPr>
                <w:rtl w:val="0"/>
              </w:rPr>
            </w:r>
          </w:p>
        </w:tc>
        <w:tc>
          <w:tcPr/>
          <w:p w:rsidR="00000000" w:rsidDel="00000000" w:rsidP="00000000" w:rsidRDefault="00000000" w:rsidRPr="00000000" w14:paraId="00000057">
            <w:pPr>
              <w:spacing w:line="360" w:lineRule="auto"/>
              <w:jc w:val="center"/>
              <w:rPr/>
            </w:pPr>
            <w:r w:rsidDel="00000000" w:rsidR="00000000" w:rsidRPr="00000000">
              <w:rPr>
                <w:rFonts w:ascii="Google Sans" w:cs="Google Sans" w:eastAsia="Google Sans" w:hAnsi="Google Sans"/>
                <w:color w:val="1f1f1f"/>
                <w:rtl w:val="0"/>
              </w:rPr>
              <w:t xml:space="preserve">$10,000 - $20,000</w:t>
            </w:r>
            <w:r w:rsidDel="00000000" w:rsidR="00000000" w:rsidRPr="00000000">
              <w:rPr>
                <w:rtl w:val="0"/>
              </w:rPr>
            </w:r>
          </w:p>
        </w:tc>
        <w:tc>
          <w:tcPr/>
          <w:p w:rsidR="00000000" w:rsidDel="00000000" w:rsidP="00000000" w:rsidRDefault="00000000" w:rsidRPr="00000000" w14:paraId="00000058">
            <w:pPr>
              <w:spacing w:line="360" w:lineRule="auto"/>
              <w:rPr/>
            </w:pPr>
            <w:r w:rsidDel="00000000" w:rsidR="00000000" w:rsidRPr="00000000">
              <w:rPr>
                <w:rFonts w:ascii="Google Sans" w:cs="Google Sans" w:eastAsia="Google Sans" w:hAnsi="Google Sans"/>
                <w:color w:val="1f1f1f"/>
                <w:rtl w:val="0"/>
              </w:rPr>
              <w:t xml:space="preserve">Printing, security, permits, insurance</w:t>
            </w:r>
            <w:r w:rsidDel="00000000" w:rsidR="00000000" w:rsidRPr="00000000">
              <w:rPr>
                <w:rtl w:val="0"/>
              </w:rPr>
            </w:r>
          </w:p>
        </w:tc>
      </w:tr>
      <w:tr>
        <w:trPr>
          <w:cantSplit w:val="0"/>
          <w:tblHeader w:val="0"/>
        </w:trPr>
        <w:tc>
          <w:tcPr>
            <w:shd w:fill="83caeb" w:val="clear"/>
          </w:tcPr>
          <w:p w:rsidR="00000000" w:rsidDel="00000000" w:rsidP="00000000" w:rsidRDefault="00000000" w:rsidRPr="00000000" w14:paraId="00000059">
            <w:pPr>
              <w:spacing w:line="360" w:lineRule="auto"/>
              <w:jc w:val="center"/>
              <w:rPr>
                <w:sz w:val="28"/>
                <w:szCs w:val="28"/>
              </w:rPr>
            </w:pPr>
            <w:r w:rsidDel="00000000" w:rsidR="00000000" w:rsidRPr="00000000">
              <w:rPr>
                <w:rFonts w:ascii="Google Sans" w:cs="Google Sans" w:eastAsia="Google Sans" w:hAnsi="Google Sans"/>
                <w:b w:val="1"/>
                <w:color w:val="1f1f1f"/>
                <w:sz w:val="28"/>
                <w:szCs w:val="28"/>
                <w:rtl w:val="0"/>
              </w:rPr>
              <w:t xml:space="preserve">Total Estimated Costs</w:t>
            </w:r>
            <w:r w:rsidDel="00000000" w:rsidR="00000000" w:rsidRPr="00000000">
              <w:rPr>
                <w:rtl w:val="0"/>
              </w:rPr>
            </w:r>
          </w:p>
        </w:tc>
        <w:tc>
          <w:tcPr>
            <w:shd w:fill="83caeb" w:val="clear"/>
          </w:tcPr>
          <w:p w:rsidR="00000000" w:rsidDel="00000000" w:rsidP="00000000" w:rsidRDefault="00000000" w:rsidRPr="00000000" w14:paraId="0000005A">
            <w:pPr>
              <w:spacing w:line="360" w:lineRule="auto"/>
              <w:jc w:val="center"/>
              <w:rPr>
                <w:sz w:val="28"/>
                <w:szCs w:val="28"/>
              </w:rPr>
            </w:pPr>
            <w:r w:rsidDel="00000000" w:rsidR="00000000" w:rsidRPr="00000000">
              <w:rPr>
                <w:rFonts w:ascii="Google Sans" w:cs="Google Sans" w:eastAsia="Google Sans" w:hAnsi="Google Sans"/>
                <w:b w:val="0"/>
                <w:color w:val="1f1f1f"/>
                <w:sz w:val="28"/>
                <w:szCs w:val="28"/>
                <w:rtl w:val="0"/>
              </w:rPr>
              <w:t xml:space="preserve">$160,000 - $270,000</w:t>
            </w:r>
            <w:r w:rsidDel="00000000" w:rsidR="00000000" w:rsidRPr="00000000">
              <w:rPr>
                <w:rtl w:val="0"/>
              </w:rPr>
            </w:r>
          </w:p>
        </w:tc>
        <w:tc>
          <w:tcPr>
            <w:shd w:fill="83caeb" w:val="clear"/>
          </w:tcPr>
          <w:p w:rsidR="00000000" w:rsidDel="00000000" w:rsidP="00000000" w:rsidRDefault="00000000" w:rsidRPr="00000000" w14:paraId="0000005B">
            <w:pPr>
              <w:spacing w:line="360" w:lineRule="auto"/>
              <w:rPr>
                <w:sz w:val="28"/>
                <w:szCs w:val="28"/>
              </w:rPr>
            </w:pPr>
            <w:r w:rsidDel="00000000" w:rsidR="00000000" w:rsidRPr="00000000">
              <w:rPr>
                <w:rtl w:val="0"/>
              </w:rPr>
            </w:r>
          </w:p>
        </w:tc>
      </w:tr>
      <w:tr>
        <w:trPr>
          <w:cantSplit w:val="0"/>
          <w:tblHeader w:val="0"/>
        </w:trPr>
        <w:tc>
          <w:tcPr/>
          <w:p w:rsidR="00000000" w:rsidDel="00000000" w:rsidP="00000000" w:rsidRDefault="00000000" w:rsidRPr="00000000" w14:paraId="0000005C">
            <w:pPr>
              <w:spacing w:line="360" w:lineRule="auto"/>
              <w:jc w:val="center"/>
              <w:rPr>
                <w:b w:val="0"/>
                <w:sz w:val="28"/>
                <w:szCs w:val="28"/>
              </w:rPr>
            </w:pPr>
            <w:r w:rsidDel="00000000" w:rsidR="00000000" w:rsidRPr="00000000">
              <w:rPr>
                <w:rFonts w:ascii="Google Sans" w:cs="Google Sans" w:eastAsia="Google Sans" w:hAnsi="Google Sans"/>
                <w:b w:val="1"/>
                <w:color w:val="1f1f1f"/>
                <w:sz w:val="28"/>
                <w:szCs w:val="28"/>
                <w:rtl w:val="0"/>
              </w:rPr>
              <w:t xml:space="preserve">Revenue Category</w:t>
            </w:r>
            <w:r w:rsidDel="00000000" w:rsidR="00000000" w:rsidRPr="00000000">
              <w:rPr>
                <w:rtl w:val="0"/>
              </w:rPr>
            </w:r>
          </w:p>
        </w:tc>
        <w:tc>
          <w:tcPr/>
          <w:p w:rsidR="00000000" w:rsidDel="00000000" w:rsidP="00000000" w:rsidRDefault="00000000" w:rsidRPr="00000000" w14:paraId="0000005D">
            <w:pPr>
              <w:spacing w:line="360" w:lineRule="auto"/>
              <w:jc w:val="center"/>
              <w:rPr>
                <w:sz w:val="28"/>
                <w:szCs w:val="28"/>
              </w:rPr>
            </w:pPr>
            <w:r w:rsidDel="00000000" w:rsidR="00000000" w:rsidRPr="00000000">
              <w:rPr>
                <w:rFonts w:ascii="Google Sans" w:cs="Google Sans" w:eastAsia="Google Sans" w:hAnsi="Google Sans"/>
                <w:b w:val="1"/>
                <w:color w:val="1f1f1f"/>
                <w:sz w:val="28"/>
                <w:szCs w:val="28"/>
                <w:rtl w:val="0"/>
              </w:rPr>
              <w:t xml:space="preserve">Estimated Range</w:t>
            </w:r>
            <w:r w:rsidDel="00000000" w:rsidR="00000000" w:rsidRPr="00000000">
              <w:rPr>
                <w:rtl w:val="0"/>
              </w:rPr>
            </w:r>
          </w:p>
        </w:tc>
        <w:tc>
          <w:tcPr/>
          <w:p w:rsidR="00000000" w:rsidDel="00000000" w:rsidP="00000000" w:rsidRDefault="00000000" w:rsidRPr="00000000" w14:paraId="0000005E">
            <w:pPr>
              <w:spacing w:line="360" w:lineRule="auto"/>
              <w:jc w:val="center"/>
              <w:rPr>
                <w:sz w:val="28"/>
                <w:szCs w:val="28"/>
              </w:rPr>
            </w:pPr>
            <w:r w:rsidDel="00000000" w:rsidR="00000000" w:rsidRPr="00000000">
              <w:rPr>
                <w:rFonts w:ascii="Google Sans" w:cs="Google Sans" w:eastAsia="Google Sans" w:hAnsi="Google Sans"/>
                <w:b w:val="1"/>
                <w:color w:val="1f1f1f"/>
                <w:sz w:val="28"/>
                <w:szCs w:val="28"/>
                <w:rtl w:val="0"/>
              </w:rPr>
              <w:t xml:space="preserve">Notes</w:t>
            </w:r>
            <w:r w:rsidDel="00000000" w:rsidR="00000000" w:rsidRPr="00000000">
              <w:rPr>
                <w:rtl w:val="0"/>
              </w:rPr>
            </w:r>
          </w:p>
        </w:tc>
      </w:tr>
      <w:tr>
        <w:trPr>
          <w:cantSplit w:val="0"/>
          <w:tblHeader w:val="0"/>
        </w:trPr>
        <w:tc>
          <w:tcPr/>
          <w:p w:rsidR="00000000" w:rsidDel="00000000" w:rsidP="00000000" w:rsidRDefault="00000000" w:rsidRPr="00000000" w14:paraId="0000005F">
            <w:pPr>
              <w:spacing w:line="360" w:lineRule="auto"/>
              <w:jc w:val="center"/>
              <w:rPr/>
            </w:pPr>
            <w:r w:rsidDel="00000000" w:rsidR="00000000" w:rsidRPr="00000000">
              <w:rPr>
                <w:rFonts w:ascii="Google Sans" w:cs="Google Sans" w:eastAsia="Google Sans" w:hAnsi="Google Sans"/>
                <w:b w:val="1"/>
                <w:color w:val="1f1f1f"/>
                <w:rtl w:val="0"/>
              </w:rPr>
              <w:t xml:space="preserve">Ticket Sales</w:t>
            </w:r>
            <w:r w:rsidDel="00000000" w:rsidR="00000000" w:rsidRPr="00000000">
              <w:rPr>
                <w:rtl w:val="0"/>
              </w:rPr>
            </w:r>
          </w:p>
        </w:tc>
        <w:tc>
          <w:tcPr/>
          <w:p w:rsidR="00000000" w:rsidDel="00000000" w:rsidP="00000000" w:rsidRDefault="00000000" w:rsidRPr="00000000" w14:paraId="00000060">
            <w:pPr>
              <w:spacing w:line="360" w:lineRule="auto"/>
              <w:jc w:val="center"/>
              <w:rPr/>
            </w:pPr>
            <w:r w:rsidDel="00000000" w:rsidR="00000000" w:rsidRPr="00000000">
              <w:rPr>
                <w:rFonts w:ascii="Google Sans" w:cs="Google Sans" w:eastAsia="Google Sans" w:hAnsi="Google Sans"/>
                <w:color w:val="1f1f1f"/>
                <w:rtl w:val="0"/>
              </w:rPr>
              <w:t xml:space="preserve">$50,000 - $75,000</w:t>
            </w:r>
            <w:r w:rsidDel="00000000" w:rsidR="00000000" w:rsidRPr="00000000">
              <w:rPr>
                <w:rtl w:val="0"/>
              </w:rPr>
            </w:r>
          </w:p>
        </w:tc>
        <w:tc>
          <w:tcPr/>
          <w:p w:rsidR="00000000" w:rsidDel="00000000" w:rsidP="00000000" w:rsidRDefault="00000000" w:rsidRPr="00000000" w14:paraId="00000061">
            <w:pPr>
              <w:spacing w:line="360" w:lineRule="auto"/>
              <w:rPr/>
            </w:pPr>
            <w:r w:rsidDel="00000000" w:rsidR="00000000" w:rsidRPr="00000000">
              <w:rPr>
                <w:rFonts w:ascii="Google Sans" w:cs="Google Sans" w:eastAsia="Google Sans" w:hAnsi="Google Sans"/>
                <w:color w:val="1f1f1f"/>
                <w:rtl w:val="0"/>
              </w:rPr>
              <w:t xml:space="preserve">200-300 attendees at $250-375 per ticket</w:t>
            </w:r>
            <w:r w:rsidDel="00000000" w:rsidR="00000000" w:rsidRPr="00000000">
              <w:rPr>
                <w:rtl w:val="0"/>
              </w:rPr>
            </w:r>
          </w:p>
        </w:tc>
      </w:tr>
      <w:tr>
        <w:trPr>
          <w:cantSplit w:val="0"/>
          <w:tblHeader w:val="0"/>
        </w:trPr>
        <w:tc>
          <w:tcPr/>
          <w:p w:rsidR="00000000" w:rsidDel="00000000" w:rsidP="00000000" w:rsidRDefault="00000000" w:rsidRPr="00000000" w14:paraId="00000062">
            <w:pPr>
              <w:spacing w:line="360" w:lineRule="auto"/>
              <w:jc w:val="center"/>
              <w:rPr/>
            </w:pPr>
            <w:r w:rsidDel="00000000" w:rsidR="00000000" w:rsidRPr="00000000">
              <w:rPr>
                <w:rFonts w:ascii="Google Sans" w:cs="Google Sans" w:eastAsia="Google Sans" w:hAnsi="Google Sans"/>
                <w:b w:val="1"/>
                <w:color w:val="1f1f1f"/>
                <w:rtl w:val="0"/>
              </w:rPr>
              <w:t xml:space="preserve">Sponsorships &amp; Partnerships</w:t>
            </w:r>
            <w:r w:rsidDel="00000000" w:rsidR="00000000" w:rsidRPr="00000000">
              <w:rPr>
                <w:rtl w:val="0"/>
              </w:rPr>
            </w:r>
          </w:p>
        </w:tc>
        <w:tc>
          <w:tcPr/>
          <w:p w:rsidR="00000000" w:rsidDel="00000000" w:rsidP="00000000" w:rsidRDefault="00000000" w:rsidRPr="00000000" w14:paraId="00000063">
            <w:pPr>
              <w:spacing w:line="360" w:lineRule="auto"/>
              <w:jc w:val="center"/>
              <w:rPr/>
            </w:pPr>
            <w:r w:rsidDel="00000000" w:rsidR="00000000" w:rsidRPr="00000000">
              <w:rPr>
                <w:rFonts w:ascii="Google Sans" w:cs="Google Sans" w:eastAsia="Google Sans" w:hAnsi="Google Sans"/>
                <w:color w:val="1f1f1f"/>
                <w:rtl w:val="0"/>
              </w:rPr>
              <w:t xml:space="preserve">$50,000 - $100,000</w:t>
            </w:r>
            <w:r w:rsidDel="00000000" w:rsidR="00000000" w:rsidRPr="00000000">
              <w:rPr>
                <w:rtl w:val="0"/>
              </w:rPr>
            </w:r>
          </w:p>
        </w:tc>
        <w:tc>
          <w:tcPr/>
          <w:p w:rsidR="00000000" w:rsidDel="00000000" w:rsidP="00000000" w:rsidRDefault="00000000" w:rsidRPr="00000000" w14:paraId="00000064">
            <w:pPr>
              <w:spacing w:line="360" w:lineRule="auto"/>
              <w:rPr/>
            </w:pPr>
            <w:r w:rsidDel="00000000" w:rsidR="00000000" w:rsidRPr="00000000">
              <w:rPr>
                <w:rFonts w:ascii="Google Sans" w:cs="Google Sans" w:eastAsia="Google Sans" w:hAnsi="Google Sans"/>
                <w:color w:val="1f1f1f"/>
                <w:rtl w:val="0"/>
              </w:rPr>
              <w:t xml:space="preserve">Focus on sustainability-focused companies</w:t>
            </w:r>
            <w:r w:rsidDel="00000000" w:rsidR="00000000" w:rsidRPr="00000000">
              <w:rPr>
                <w:rtl w:val="0"/>
              </w:rPr>
            </w:r>
          </w:p>
        </w:tc>
      </w:tr>
      <w:tr>
        <w:trPr>
          <w:cantSplit w:val="0"/>
          <w:tblHeader w:val="0"/>
        </w:trPr>
        <w:tc>
          <w:tcPr/>
          <w:p w:rsidR="00000000" w:rsidDel="00000000" w:rsidP="00000000" w:rsidRDefault="00000000" w:rsidRPr="00000000" w14:paraId="00000065">
            <w:pPr>
              <w:spacing w:line="360" w:lineRule="auto"/>
              <w:jc w:val="center"/>
              <w:rPr/>
            </w:pPr>
            <w:r w:rsidDel="00000000" w:rsidR="00000000" w:rsidRPr="00000000">
              <w:rPr>
                <w:rFonts w:ascii="Google Sans" w:cs="Google Sans" w:eastAsia="Google Sans" w:hAnsi="Google Sans"/>
                <w:b w:val="1"/>
                <w:color w:val="1f1f1f"/>
                <w:rtl w:val="0"/>
              </w:rPr>
              <w:t xml:space="preserve">Grants &amp; Funding</w:t>
            </w:r>
            <w:r w:rsidDel="00000000" w:rsidR="00000000" w:rsidRPr="00000000">
              <w:rPr>
                <w:rtl w:val="0"/>
              </w:rPr>
            </w:r>
          </w:p>
        </w:tc>
        <w:tc>
          <w:tcPr/>
          <w:p w:rsidR="00000000" w:rsidDel="00000000" w:rsidP="00000000" w:rsidRDefault="00000000" w:rsidRPr="00000000" w14:paraId="00000066">
            <w:pPr>
              <w:spacing w:line="360" w:lineRule="auto"/>
              <w:jc w:val="center"/>
              <w:rPr/>
            </w:pPr>
            <w:r w:rsidDel="00000000" w:rsidR="00000000" w:rsidRPr="00000000">
              <w:rPr>
                <w:rFonts w:ascii="Google Sans" w:cs="Google Sans" w:eastAsia="Google Sans" w:hAnsi="Google Sans"/>
                <w:color w:val="1f1f1f"/>
                <w:rtl w:val="0"/>
              </w:rPr>
              <w:t xml:space="preserve">$50,000 - $100,000</w:t>
            </w:r>
            <w:r w:rsidDel="00000000" w:rsidR="00000000" w:rsidRPr="00000000">
              <w:rPr>
                <w:rtl w:val="0"/>
              </w:rPr>
            </w:r>
          </w:p>
        </w:tc>
        <w:tc>
          <w:tcPr/>
          <w:p w:rsidR="00000000" w:rsidDel="00000000" w:rsidP="00000000" w:rsidRDefault="00000000" w:rsidRPr="00000000" w14:paraId="00000067">
            <w:pPr>
              <w:spacing w:line="360" w:lineRule="auto"/>
              <w:rPr/>
            </w:pPr>
            <w:r w:rsidDel="00000000" w:rsidR="00000000" w:rsidRPr="00000000">
              <w:rPr>
                <w:rFonts w:ascii="Google Sans" w:cs="Google Sans" w:eastAsia="Google Sans" w:hAnsi="Google Sans"/>
                <w:color w:val="1f1f1f"/>
                <w:rtl w:val="0"/>
              </w:rPr>
              <w:t xml:space="preserve">Apply for grants from environmental agencies and philanthropies</w:t>
            </w:r>
            <w:r w:rsidDel="00000000" w:rsidR="00000000" w:rsidRPr="00000000">
              <w:rPr>
                <w:rtl w:val="0"/>
              </w:rPr>
            </w:r>
          </w:p>
        </w:tc>
      </w:tr>
      <w:tr>
        <w:trPr>
          <w:cantSplit w:val="0"/>
          <w:tblHeader w:val="0"/>
        </w:trPr>
        <w:tc>
          <w:tcPr>
            <w:shd w:fill="83caeb" w:val="clear"/>
          </w:tcPr>
          <w:p w:rsidR="00000000" w:rsidDel="00000000" w:rsidP="00000000" w:rsidRDefault="00000000" w:rsidRPr="00000000" w14:paraId="00000068">
            <w:pPr>
              <w:spacing w:line="360" w:lineRule="auto"/>
              <w:jc w:val="center"/>
              <w:rPr>
                <w:sz w:val="28"/>
                <w:szCs w:val="28"/>
              </w:rPr>
            </w:pPr>
            <w:r w:rsidDel="00000000" w:rsidR="00000000" w:rsidRPr="00000000">
              <w:rPr>
                <w:rFonts w:ascii="Google Sans" w:cs="Google Sans" w:eastAsia="Google Sans" w:hAnsi="Google Sans"/>
                <w:b w:val="1"/>
                <w:color w:val="1f1f1f"/>
                <w:sz w:val="28"/>
                <w:szCs w:val="28"/>
                <w:rtl w:val="0"/>
              </w:rPr>
              <w:t xml:space="preserve">Total Predicted Revenues</w:t>
            </w:r>
            <w:r w:rsidDel="00000000" w:rsidR="00000000" w:rsidRPr="00000000">
              <w:rPr>
                <w:rtl w:val="0"/>
              </w:rPr>
            </w:r>
          </w:p>
        </w:tc>
        <w:tc>
          <w:tcPr>
            <w:shd w:fill="83caeb" w:val="clear"/>
          </w:tcPr>
          <w:p w:rsidR="00000000" w:rsidDel="00000000" w:rsidP="00000000" w:rsidRDefault="00000000" w:rsidRPr="00000000" w14:paraId="00000069">
            <w:pPr>
              <w:spacing w:line="360" w:lineRule="auto"/>
              <w:jc w:val="center"/>
              <w:rPr>
                <w:sz w:val="28"/>
                <w:szCs w:val="28"/>
              </w:rPr>
            </w:pPr>
            <w:r w:rsidDel="00000000" w:rsidR="00000000" w:rsidRPr="00000000">
              <w:rPr>
                <w:rFonts w:ascii="Google Sans" w:cs="Google Sans" w:eastAsia="Google Sans" w:hAnsi="Google Sans"/>
                <w:b w:val="0"/>
                <w:color w:val="1f1f1f"/>
                <w:sz w:val="28"/>
                <w:szCs w:val="28"/>
                <w:rtl w:val="0"/>
              </w:rPr>
              <w:t xml:space="preserve">$150,000 - $275,000</w:t>
            </w:r>
            <w:r w:rsidDel="00000000" w:rsidR="00000000" w:rsidRPr="00000000">
              <w:rPr>
                <w:rtl w:val="0"/>
              </w:rPr>
            </w:r>
          </w:p>
        </w:tc>
        <w:tc>
          <w:tcPr>
            <w:shd w:fill="83caeb" w:val="clear"/>
          </w:tcPr>
          <w:p w:rsidR="00000000" w:rsidDel="00000000" w:rsidP="00000000" w:rsidRDefault="00000000" w:rsidRPr="00000000" w14:paraId="0000006A">
            <w:pPr>
              <w:spacing w:line="360" w:lineRule="auto"/>
              <w:jc w:val="center"/>
              <w:rPr>
                <w:sz w:val="28"/>
                <w:szCs w:val="28"/>
              </w:rPr>
            </w:pPr>
            <w:r w:rsidDel="00000000" w:rsidR="00000000" w:rsidRPr="00000000">
              <w:rPr>
                <w:rtl w:val="0"/>
              </w:rPr>
            </w:r>
          </w:p>
        </w:tc>
      </w:tr>
    </w:tbl>
    <w:p w:rsidR="00000000" w:rsidDel="00000000" w:rsidP="00000000" w:rsidRDefault="00000000" w:rsidRPr="00000000" w14:paraId="0000006B">
      <w:pPr>
        <w:spacing w:line="360" w:lineRule="auto"/>
        <w:rPr/>
      </w:pPr>
      <w:r w:rsidDel="00000000" w:rsidR="00000000" w:rsidRPr="00000000">
        <w:rPr>
          <w:rtl w:val="0"/>
        </w:rPr>
      </w:r>
    </w:p>
    <w:p w:rsidR="00000000" w:rsidDel="00000000" w:rsidP="00000000" w:rsidRDefault="00000000" w:rsidRPr="00000000" w14:paraId="0000006C">
      <w:pPr>
        <w:spacing w:line="360"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6D">
      <w:pPr>
        <w:pStyle w:val="Heading1"/>
        <w:numPr>
          <w:ilvl w:val="0"/>
          <w:numId w:val="8"/>
        </w:numPr>
        <w:spacing w:line="360" w:lineRule="auto"/>
        <w:ind w:left="720" w:hanging="720"/>
        <w:rPr/>
      </w:pPr>
      <w:r w:rsidDel="00000000" w:rsidR="00000000" w:rsidRPr="00000000">
        <w:rPr>
          <w:rtl w:val="0"/>
        </w:rPr>
        <w:t xml:space="preserve">Industry Trends</w:t>
      </w:r>
    </w:p>
    <w:p w:rsidR="00000000" w:rsidDel="00000000" w:rsidP="00000000" w:rsidRDefault="00000000" w:rsidRPr="00000000" w14:paraId="0000006E">
      <w:pPr>
        <w:keepNext w:val="0"/>
        <w:keepLines w:val="0"/>
        <w:pageBreakBefore w:val="0"/>
        <w:widowControl w:val="1"/>
        <w:numPr>
          <w:ilvl w:val="1"/>
          <w:numId w:val="8"/>
        </w:numPr>
        <w:pBdr>
          <w:top w:space="0" w:sz="0" w:val="nil"/>
          <w:left w:space="0" w:sz="0" w:val="nil"/>
          <w:bottom w:space="0" w:sz="0" w:val="nil"/>
          <w:right w:space="0" w:sz="0" w:val="nil"/>
          <w:between w:space="0" w:sz="0" w:val="nil"/>
        </w:pBdr>
        <w:shd w:fill="auto" w:val="clear"/>
        <w:spacing w:after="160" w:before="0" w:line="360" w:lineRule="auto"/>
        <w:ind w:left="1440" w:right="0" w:hanging="72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Rising Focus on Sustainability: </w:t>
      </w:r>
    </w:p>
    <w:p w:rsidR="00000000" w:rsidDel="00000000" w:rsidP="00000000" w:rsidRDefault="00000000" w:rsidRPr="00000000" w14:paraId="0000006F">
      <w:pPr>
        <w:spacing w:line="360" w:lineRule="auto"/>
        <w:rPr/>
      </w:pPr>
      <w:r w:rsidDel="00000000" w:rsidR="00000000" w:rsidRPr="00000000">
        <w:rPr>
          <w:rtl w:val="0"/>
        </w:rPr>
        <w:t xml:space="preserve">As environmental awarenesscontinues to gain prominence, the attendees of the APFRWS are increasingly prioritizing sustainable practices and responsible event organization. This trend is reflected in the summit's alignment with the growing demand for eco-friendly events, as evidenced by its commitment to sourcing local food, minimizing waste generation, and employing energy-efficient practices. Furthermore, the summit takes a proactive approach to carbon emissions by offsetting them, demonstrating that sustainability can be seamlessly integrated with innovation and impact. By showcasing these initiatives, the APFRWS will serve as a model for the industry, illustrating the potential for environmentally responsible event planning and management.</w:t>
      </w:r>
    </w:p>
    <w:p w:rsidR="00000000" w:rsidDel="00000000" w:rsidP="00000000" w:rsidRDefault="00000000" w:rsidRPr="00000000" w14:paraId="00000070">
      <w:pPr>
        <w:keepNext w:val="0"/>
        <w:keepLines w:val="0"/>
        <w:pageBreakBefore w:val="0"/>
        <w:widowControl w:val="1"/>
        <w:numPr>
          <w:ilvl w:val="1"/>
          <w:numId w:val="8"/>
        </w:numPr>
        <w:pBdr>
          <w:top w:space="0" w:sz="0" w:val="nil"/>
          <w:left w:space="0" w:sz="0" w:val="nil"/>
          <w:bottom w:space="0" w:sz="0" w:val="nil"/>
          <w:right w:space="0" w:sz="0" w:val="nil"/>
          <w:between w:space="0" w:sz="0" w:val="nil"/>
        </w:pBdr>
        <w:shd w:fill="auto" w:val="clear"/>
        <w:spacing w:after="160" w:before="0" w:line="360" w:lineRule="auto"/>
        <w:ind w:left="1440" w:right="0" w:hanging="72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Integration of Technology: </w:t>
      </w:r>
    </w:p>
    <w:p w:rsidR="00000000" w:rsidDel="00000000" w:rsidP="00000000" w:rsidRDefault="00000000" w:rsidRPr="00000000" w14:paraId="00000071">
      <w:pPr>
        <w:spacing w:line="360" w:lineRule="auto"/>
        <w:rPr/>
      </w:pPr>
      <w:r w:rsidDel="00000000" w:rsidR="00000000" w:rsidRPr="00000000">
        <w:rPr>
          <w:rtl w:val="0"/>
        </w:rPr>
        <w:t xml:space="preserve">In recent years, technology has transitioned from being a mere supplementary component in events to a fundamental driving force behind engagement and knowledge sharing. The APFRWS has acknowledged and embraced this shift by integrating virtual components to enhance accessibility, utilizing interactive platforms for real-time discussions and collaboration, and leveraging data analytics to evaluate progress and measure outcomes (Getz, 2005). </w:t>
      </w:r>
    </w:p>
    <w:p w:rsidR="00000000" w:rsidDel="00000000" w:rsidP="00000000" w:rsidRDefault="00000000" w:rsidRPr="00000000" w14:paraId="00000072">
      <w:pPr>
        <w:keepNext w:val="0"/>
        <w:keepLines w:val="0"/>
        <w:pageBreakBefore w:val="0"/>
        <w:widowControl w:val="1"/>
        <w:numPr>
          <w:ilvl w:val="1"/>
          <w:numId w:val="8"/>
        </w:numPr>
        <w:pBdr>
          <w:top w:space="0" w:sz="0" w:val="nil"/>
          <w:left w:space="0" w:sz="0" w:val="nil"/>
          <w:bottom w:space="0" w:sz="0" w:val="nil"/>
          <w:right w:space="0" w:sz="0" w:val="nil"/>
          <w:between w:space="0" w:sz="0" w:val="nil"/>
        </w:pBdr>
        <w:shd w:fill="auto" w:val="clear"/>
        <w:spacing w:after="160" w:before="0" w:line="360" w:lineRule="auto"/>
        <w:ind w:left="1440" w:right="0" w:hanging="72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Emphasis on Collaboration and Knowledge Sharing: </w:t>
      </w:r>
    </w:p>
    <w:p w:rsidR="00000000" w:rsidDel="00000000" w:rsidP="00000000" w:rsidRDefault="00000000" w:rsidRPr="00000000" w14:paraId="00000073">
      <w:pPr>
        <w:spacing w:line="360" w:lineRule="auto"/>
        <w:rPr/>
      </w:pPr>
      <w:r w:rsidDel="00000000" w:rsidR="00000000" w:rsidRPr="00000000">
        <w:rPr>
          <w:rtl w:val="0"/>
        </w:rPr>
        <w:t xml:space="preserve">In the realm of modern knowledge-based societies, conferences, and events have exceeded their traditional function of merely circulating information. Participants now look for immersive experiences that promote collaboration, co-creation, and interdisciplinary learning (Hall et al., 2011). The APFRWS responds to this shift by providing an array of interactive workshops, networking opportunities, and panel discussions that encourage diverse stakeholders to collaborate, share best practices, and brainstorm innovative solutions for addressing food waste. </w:t>
      </w:r>
    </w:p>
    <w:p w:rsidR="00000000" w:rsidDel="00000000" w:rsidP="00000000" w:rsidRDefault="00000000" w:rsidRPr="00000000" w14:paraId="00000074">
      <w:pPr>
        <w:spacing w:line="360" w:lineRule="auto"/>
        <w:rPr/>
      </w:pPr>
      <w:r w:rsidDel="00000000" w:rsidR="00000000" w:rsidRPr="00000000">
        <w:rPr>
          <w:rtl w:val="0"/>
        </w:rPr>
        <w:t xml:space="preserve">By aligning with these key trends, the APFRWS positions itself as a forward-thinking and relevant event. Its commitment to sustainability, tech-driven innovation, and collaborative knowledge exchange signifies its potential to leave a lasting legacy in the fight against food waste and reshape the future of the meetings and events industry.</w:t>
      </w:r>
    </w:p>
    <w:p w:rsidR="00000000" w:rsidDel="00000000" w:rsidP="00000000" w:rsidRDefault="00000000" w:rsidRPr="00000000" w14:paraId="00000075">
      <w:pPr>
        <w:spacing w:line="360"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76">
      <w:pPr>
        <w:pStyle w:val="Heading1"/>
        <w:numPr>
          <w:ilvl w:val="0"/>
          <w:numId w:val="8"/>
        </w:numPr>
        <w:spacing w:line="360" w:lineRule="auto"/>
        <w:ind w:left="720" w:hanging="720"/>
        <w:rPr/>
      </w:pPr>
      <w:r w:rsidDel="00000000" w:rsidR="00000000" w:rsidRPr="00000000">
        <w:rPr>
          <w:rtl w:val="0"/>
        </w:rPr>
        <w:t xml:space="preserve">Cultural Considerations</w:t>
      </w:r>
    </w:p>
    <w:p w:rsidR="00000000" w:rsidDel="00000000" w:rsidP="00000000" w:rsidRDefault="00000000" w:rsidRPr="00000000" w14:paraId="00000077">
      <w:pPr>
        <w:spacing w:line="360" w:lineRule="auto"/>
        <w:rPr/>
      </w:pPr>
      <w:r w:rsidDel="00000000" w:rsidR="00000000" w:rsidRPr="00000000">
        <w:rPr>
          <w:rtl w:val="0"/>
        </w:rPr>
        <w:t xml:space="preserve">As this event will be inviting participants from all over the world, considering cultural sensitivity is crucial for the success of this event hence we have considered the following considerations:</w:t>
      </w:r>
    </w:p>
    <w:p w:rsidR="00000000" w:rsidDel="00000000" w:rsidP="00000000" w:rsidRDefault="00000000" w:rsidRPr="00000000" w14:paraId="00000078">
      <w:pPr>
        <w:numPr>
          <w:ilvl w:val="0"/>
          <w:numId w:val="4"/>
        </w:numPr>
        <w:spacing w:line="360" w:lineRule="auto"/>
        <w:ind w:left="720" w:hanging="360"/>
        <w:rPr/>
      </w:pPr>
      <w:r w:rsidDel="00000000" w:rsidR="00000000" w:rsidRPr="00000000">
        <w:rPr>
          <w:rtl w:val="0"/>
        </w:rPr>
        <w:t xml:space="preserve">Catering: Offering diverse food options to cater to dietary restrictions and cultural preferences.</w:t>
      </w:r>
    </w:p>
    <w:p w:rsidR="00000000" w:rsidDel="00000000" w:rsidP="00000000" w:rsidRDefault="00000000" w:rsidRPr="00000000" w14:paraId="00000079">
      <w:pPr>
        <w:numPr>
          <w:ilvl w:val="0"/>
          <w:numId w:val="4"/>
        </w:numPr>
        <w:spacing w:line="360" w:lineRule="auto"/>
        <w:ind w:left="720" w:hanging="360"/>
        <w:rPr/>
      </w:pPr>
      <w:r w:rsidDel="00000000" w:rsidR="00000000" w:rsidRPr="00000000">
        <w:rPr>
          <w:rtl w:val="0"/>
        </w:rPr>
        <w:t xml:space="preserve">Accessibility: Ensuring venue and program accessibility for attendees with disabilities.</w:t>
      </w:r>
    </w:p>
    <w:p w:rsidR="00000000" w:rsidDel="00000000" w:rsidP="00000000" w:rsidRDefault="00000000" w:rsidRPr="00000000" w14:paraId="0000007A">
      <w:pPr>
        <w:numPr>
          <w:ilvl w:val="0"/>
          <w:numId w:val="4"/>
        </w:numPr>
        <w:spacing w:line="360" w:lineRule="auto"/>
        <w:ind w:left="720" w:hanging="360"/>
        <w:rPr/>
      </w:pPr>
      <w:r w:rsidDel="00000000" w:rsidR="00000000" w:rsidRPr="00000000">
        <w:rPr>
          <w:rtl w:val="0"/>
        </w:rPr>
        <w:t xml:space="preserve">Language interpretation: Providing translation services if needed to accommodate a global audience.</w:t>
      </w:r>
    </w:p>
    <w:p w:rsidR="00000000" w:rsidDel="00000000" w:rsidP="00000000" w:rsidRDefault="00000000" w:rsidRPr="00000000" w14:paraId="0000007B">
      <w:pPr>
        <w:numPr>
          <w:ilvl w:val="0"/>
          <w:numId w:val="4"/>
        </w:numPr>
        <w:spacing w:line="360" w:lineRule="auto"/>
        <w:ind w:left="720" w:hanging="360"/>
        <w:rPr/>
      </w:pPr>
      <w:r w:rsidDel="00000000" w:rsidR="00000000" w:rsidRPr="00000000">
        <w:rPr>
          <w:rtl w:val="0"/>
        </w:rPr>
        <w:t xml:space="preserve">Cultural awareness: Sensitivity to potential cultural differences in communication styles and event etiquette.</w:t>
      </w:r>
    </w:p>
    <w:p w:rsidR="00000000" w:rsidDel="00000000" w:rsidP="00000000" w:rsidRDefault="00000000" w:rsidRPr="00000000" w14:paraId="0000007C">
      <w:pPr>
        <w:spacing w:line="360" w:lineRule="auto"/>
        <w:rPr/>
      </w:pPr>
      <w:r w:rsidDel="00000000" w:rsidR="00000000" w:rsidRPr="00000000">
        <w:rPr>
          <w:rtl w:val="0"/>
        </w:rPr>
        <w:t xml:space="preserve">We believe that by addressing these considerations, the event can create a welcoming and comfortable environment for all the participants from diverse backgrounds.  </w:t>
      </w:r>
    </w:p>
    <w:p w:rsidR="00000000" w:rsidDel="00000000" w:rsidP="00000000" w:rsidRDefault="00000000" w:rsidRPr="00000000" w14:paraId="0000007D">
      <w:pPr>
        <w:spacing w:line="360" w:lineRule="auto"/>
        <w:jc w:val="left"/>
        <w:rPr/>
      </w:pPr>
      <w:r w:rsidDel="00000000" w:rsidR="00000000" w:rsidRPr="00000000">
        <w:rPr>
          <w:rtl w:val="0"/>
        </w:rPr>
      </w:r>
    </w:p>
    <w:p w:rsidR="00000000" w:rsidDel="00000000" w:rsidP="00000000" w:rsidRDefault="00000000" w:rsidRPr="00000000" w14:paraId="0000007E">
      <w:pPr>
        <w:spacing w:line="360" w:lineRule="auto"/>
        <w:jc w:val="left"/>
        <w:rPr/>
      </w:pPr>
      <w:r w:rsidDel="00000000" w:rsidR="00000000" w:rsidRPr="00000000">
        <w:rPr>
          <w:rtl w:val="0"/>
        </w:rPr>
        <w:br w:type="textWrapping"/>
      </w:r>
    </w:p>
    <w:p w:rsidR="00000000" w:rsidDel="00000000" w:rsidP="00000000" w:rsidRDefault="00000000" w:rsidRPr="00000000" w14:paraId="0000007F">
      <w:pPr>
        <w:spacing w:line="360"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80">
      <w:pPr>
        <w:pStyle w:val="Heading1"/>
        <w:numPr>
          <w:ilvl w:val="0"/>
          <w:numId w:val="8"/>
        </w:numPr>
        <w:spacing w:line="360" w:lineRule="auto"/>
        <w:ind w:left="720" w:hanging="720"/>
        <w:rPr/>
      </w:pPr>
      <w:r w:rsidDel="00000000" w:rsidR="00000000" w:rsidRPr="00000000">
        <w:rPr>
          <w:rtl w:val="0"/>
        </w:rPr>
        <w:t xml:space="preserve">Theoretical Challenges:</w:t>
      </w:r>
    </w:p>
    <w:p w:rsidR="00000000" w:rsidDel="00000000" w:rsidP="00000000" w:rsidRDefault="00000000" w:rsidRPr="00000000" w14:paraId="00000081">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Technological feasibility: </w:t>
      </w:r>
    </w:p>
    <w:p w:rsidR="00000000" w:rsidDel="00000000" w:rsidP="00000000" w:rsidRDefault="00000000" w:rsidRPr="00000000" w14:paraId="00000082">
      <w:pPr>
        <w:spacing w:line="360" w:lineRule="auto"/>
        <w:rPr/>
      </w:pPr>
      <w:r w:rsidDel="00000000" w:rsidR="00000000" w:rsidRPr="00000000">
        <w:rPr>
          <w:rtl w:val="0"/>
        </w:rPr>
        <w:t xml:space="preserve">The demonstrated AI technologies must exhibit the capacity for seamless scalability and versatility in response to the diverse operational settings characteristic of the hospitality industry. However, potential concerns regarding the ethical, security, and privacy implications of AI implementation arise (Cohen, 2012). Furthermore, the intricate interplay between AI systems and human behavior within the food service sector necessitates a thoughtful and nuanced approach to their integration (Jago &amp; Riemer, 2010).</w:t>
      </w:r>
    </w:p>
    <w:p w:rsidR="00000000" w:rsidDel="00000000" w:rsidP="00000000" w:rsidRDefault="00000000" w:rsidRPr="00000000" w14:paraId="00000083">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Policy and regulatory hurdles: </w:t>
      </w:r>
    </w:p>
    <w:p w:rsidR="00000000" w:rsidDel="00000000" w:rsidP="00000000" w:rsidRDefault="00000000" w:rsidRPr="00000000" w14:paraId="00000084">
      <w:pPr>
        <w:spacing w:line="360" w:lineRule="auto"/>
        <w:rPr/>
      </w:pPr>
      <w:r w:rsidDel="00000000" w:rsidR="00000000" w:rsidRPr="00000000">
        <w:rPr>
          <w:rtl w:val="0"/>
        </w:rPr>
        <w:t xml:space="preserve">The existing regulatory framework may not effectively encourage or support the adoption of AI-driven food waste reduction solutions. This impedes widespread implementation and necessitates collaborative efforts between policymakers and stakeholders to bridge the gap between theoretical potential and practical application (Getz &amp; Page, 2007).</w:t>
      </w:r>
    </w:p>
    <w:p w:rsidR="00000000" w:rsidDel="00000000" w:rsidP="00000000" w:rsidRDefault="00000000" w:rsidRPr="00000000" w14:paraId="00000085">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Addressing systemic inefficiencies: </w:t>
      </w:r>
    </w:p>
    <w:p w:rsidR="00000000" w:rsidDel="00000000" w:rsidP="00000000" w:rsidRDefault="00000000" w:rsidRPr="00000000" w14:paraId="00000086">
      <w:pPr>
        <w:spacing w:line="360" w:lineRule="auto"/>
        <w:rPr/>
      </w:pPr>
      <w:r w:rsidDel="00000000" w:rsidR="00000000" w:rsidRPr="00000000">
        <w:rPr>
          <w:rtl w:val="0"/>
        </w:rPr>
        <w:t xml:space="preserve">The issue of food waste is a multifaceted problem that extends beyond the realm of individual businesses and requires a comprehensive, system-wide approach to address. The World Resources Institute (2019) argues that the root causes of food waste are embedded within the broader food system, including inefficiencies and inefficacy in the supply chain. To effectively combat food waste, the summit must prioritize collaboration with diverse stakeholders across the food system, including farmers, processors, distributors, retailers, and consumers.</w:t>
      </w:r>
    </w:p>
    <w:p w:rsidR="00000000" w:rsidDel="00000000" w:rsidP="00000000" w:rsidRDefault="00000000" w:rsidRPr="00000000" w14:paraId="00000087">
      <w:pPr>
        <w:spacing w:line="360" w:lineRule="auto"/>
        <w:jc w:val="left"/>
        <w:rPr>
          <w:rFonts w:ascii="Georgia" w:cs="Georgia" w:eastAsia="Georgia" w:hAnsi="Georgia"/>
          <w:b w:val="1"/>
          <w:color w:val="2f5496"/>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88">
      <w:pPr>
        <w:pStyle w:val="Heading1"/>
        <w:numPr>
          <w:ilvl w:val="0"/>
          <w:numId w:val="8"/>
        </w:numPr>
        <w:spacing w:line="360" w:lineRule="auto"/>
        <w:ind w:left="720" w:hanging="720"/>
        <w:rPr/>
      </w:pPr>
      <w:r w:rsidDel="00000000" w:rsidR="00000000" w:rsidRPr="00000000">
        <w:rPr>
          <w:rtl w:val="0"/>
        </w:rPr>
        <w:t xml:space="preserve">Practical Challenges:</w:t>
      </w:r>
    </w:p>
    <w:p w:rsidR="00000000" w:rsidDel="00000000" w:rsidP="00000000" w:rsidRDefault="00000000" w:rsidRPr="00000000" w14:paraId="00000089">
      <w:pPr>
        <w:spacing w:line="360" w:lineRule="auto"/>
        <w:rPr/>
      </w:pPr>
      <w:r w:rsidDel="00000000" w:rsidR="00000000" w:rsidRPr="00000000">
        <w:rPr>
          <w:rtl w:val="0"/>
        </w:rPr>
      </w:r>
    </w:p>
    <w:p w:rsidR="00000000" w:rsidDel="00000000" w:rsidP="00000000" w:rsidRDefault="00000000" w:rsidRPr="00000000" w14:paraId="0000008A">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Accessibility and inclusivity: </w:t>
      </w:r>
    </w:p>
    <w:p w:rsidR="00000000" w:rsidDel="00000000" w:rsidP="00000000" w:rsidRDefault="00000000" w:rsidRPr="00000000" w14:paraId="0000008B">
      <w:pPr>
        <w:spacing w:line="360" w:lineRule="auto"/>
        <w:rPr/>
      </w:pPr>
      <w:r w:rsidDel="00000000" w:rsidR="00000000" w:rsidRPr="00000000">
        <w:rPr>
          <w:rtl w:val="0"/>
        </w:rPr>
        <w:t xml:space="preserve">To ensure inclusive participation from a diverse range of stakeholders, including representatives from developing countries and marginalized communities, it is essential to address the various financial, bureaucratic, and linguistic barriers that may hinder their involvement (Gibson &amp; Connell, 2004). These obstacles include financial constraints, visa restrictions, and language barriers, which can significantly limit the ability of these stakeholders to fully engage in the decision-making process. As such, it is crucial to find innovative solutions to overcome these challenges and ensure that all voices are heard and valued in the decision-making process.</w:t>
      </w:r>
    </w:p>
    <w:p w:rsidR="00000000" w:rsidDel="00000000" w:rsidP="00000000" w:rsidRDefault="00000000" w:rsidRPr="00000000" w14:paraId="0000008C">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Effective knowledge transfer and adoption: </w:t>
      </w:r>
    </w:p>
    <w:p w:rsidR="00000000" w:rsidDel="00000000" w:rsidP="00000000" w:rsidRDefault="00000000" w:rsidRPr="00000000" w14:paraId="0000008D">
      <w:pPr>
        <w:spacing w:line="360" w:lineRule="auto"/>
        <w:rPr/>
      </w:pPr>
      <w:r w:rsidDel="00000000" w:rsidR="00000000" w:rsidRPr="00000000">
        <w:rPr>
          <w:rtl w:val="0"/>
        </w:rPr>
        <w:t xml:space="preserve">The potential impact of demonstrations and presentations at industry summits is not limited to inspiration alone, as their effective translation into practical applications within the hospitality sector requires the consideration of several logistical challenges, capacity building, and ongoing support mechanisms. According to Hall et al. (2011), these factors are crucial for ensuring the successful implementation of new ideas and practices, and for achieving meaningful and lasting change within the industry.</w:t>
      </w:r>
    </w:p>
    <w:p w:rsidR="00000000" w:rsidDel="00000000" w:rsidP="00000000" w:rsidRDefault="00000000" w:rsidRPr="00000000" w14:paraId="0000008E">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Long-term sustainability and impact: </w:t>
      </w:r>
    </w:p>
    <w:p w:rsidR="00000000" w:rsidDel="00000000" w:rsidP="00000000" w:rsidRDefault="00000000" w:rsidRPr="00000000" w14:paraId="0000008F">
      <w:pPr>
        <w:spacing w:line="360" w:lineRule="auto"/>
        <w:rPr/>
      </w:pPr>
      <w:r w:rsidDel="00000000" w:rsidR="00000000" w:rsidRPr="00000000">
        <w:rPr>
          <w:rtl w:val="0"/>
        </w:rPr>
        <w:t xml:space="preserve">In order to ensure the continued advancement of initiatives aimed at reducing food waste within the hospitality industry, it is crucial to establish specific, measurable, and achievable goals, as well as robust evaluation frameworks to assess progress and impact. Additionally, securing long-term funding sources is essential to maintain momentum and commitment toward this critical objective. By implementing these strategies, it is possible to ensure sustained progress toward reducing food waste and promoting a more sustainable hospitality industry (Getz, 2005).</w:t>
      </w:r>
    </w:p>
    <w:p w:rsidR="00000000" w:rsidDel="00000000" w:rsidP="00000000" w:rsidRDefault="00000000" w:rsidRPr="00000000" w14:paraId="00000090">
      <w:pPr>
        <w:spacing w:line="360" w:lineRule="auto"/>
        <w:rPr/>
      </w:pPr>
      <w:r w:rsidDel="00000000" w:rsidR="00000000" w:rsidRPr="00000000">
        <w:rPr>
          <w:rtl w:val="0"/>
        </w:rPr>
        <w:t xml:space="preserve">We believe that by identifying these challenges proactively, we will be able to fill the gap between the theoretical event and the actual event that will take place and we will be able to mitigate potential challenges. Open dialogue, collaborative problem-solving, and a holistic approach encompassing technology, policy, and human factors will be crucial to ensuring the summit's long-term success and lasting impact on reducing food waste within the hospitality industry and beyond.</w:t>
      </w:r>
    </w:p>
    <w:p w:rsidR="00000000" w:rsidDel="00000000" w:rsidP="00000000" w:rsidRDefault="00000000" w:rsidRPr="00000000" w14:paraId="00000091">
      <w:pPr>
        <w:spacing w:line="360"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92">
      <w:pPr>
        <w:pStyle w:val="Heading1"/>
        <w:ind w:left="432" w:hanging="432"/>
        <w:rPr/>
      </w:pPr>
      <w:r w:rsidDel="00000000" w:rsidR="00000000" w:rsidRPr="00000000">
        <w:rPr>
          <w:rtl w:val="0"/>
        </w:rPr>
        <w:t xml:space="preserve">References </w:t>
      </w:r>
    </w:p>
    <w:p w:rsidR="00000000" w:rsidDel="00000000" w:rsidP="00000000" w:rsidRDefault="00000000" w:rsidRPr="00000000" w14:paraId="00000093">
      <w:pPr>
        <w:keepNext w:val="0"/>
        <w:keepLines w:val="0"/>
        <w:pageBreakBefore w:val="0"/>
        <w:widowControl w:val="1"/>
        <w:numPr>
          <w:ilvl w:val="1"/>
          <w:numId w:val="8"/>
        </w:numPr>
        <w:pBdr>
          <w:top w:space="0" w:sz="0" w:val="nil"/>
          <w:left w:space="0" w:sz="0" w:val="nil"/>
          <w:bottom w:space="0" w:sz="0" w:val="nil"/>
          <w:right w:space="0" w:sz="0" w:val="nil"/>
          <w:between w:space="0" w:sz="0" w:val="nil"/>
        </w:pBdr>
        <w:shd w:fill="auto" w:val="clear"/>
        <w:tabs>
          <w:tab w:val="left" w:leader="none" w:pos="360"/>
        </w:tabs>
        <w:spacing w:after="0" w:before="0" w:line="360" w:lineRule="auto"/>
        <w:ind w:left="540" w:right="0" w:hanging="54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Getz, D. (2005). Event studies: Theory, research, and application. Elsevier.</w:t>
      </w:r>
    </w:p>
    <w:p w:rsidR="00000000" w:rsidDel="00000000" w:rsidP="00000000" w:rsidRDefault="00000000" w:rsidRPr="00000000" w14:paraId="00000094">
      <w:pPr>
        <w:keepNext w:val="0"/>
        <w:keepLines w:val="0"/>
        <w:pageBreakBefore w:val="0"/>
        <w:widowControl w:val="1"/>
        <w:numPr>
          <w:ilvl w:val="1"/>
          <w:numId w:val="8"/>
        </w:numPr>
        <w:pBdr>
          <w:top w:space="0" w:sz="0" w:val="nil"/>
          <w:left w:space="0" w:sz="0" w:val="nil"/>
          <w:bottom w:space="0" w:sz="0" w:val="nil"/>
          <w:right w:space="0" w:sz="0" w:val="nil"/>
          <w:between w:space="0" w:sz="0" w:val="nil"/>
        </w:pBdr>
        <w:shd w:fill="auto" w:val="clear"/>
        <w:tabs>
          <w:tab w:val="left" w:leader="none" w:pos="360"/>
        </w:tabs>
        <w:spacing w:after="0" w:before="0" w:line="360" w:lineRule="auto"/>
        <w:ind w:left="540" w:right="0" w:hanging="54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World Resources Institute. (2019, April 10). Food Loss and Waste. </w:t>
      </w:r>
      <w:hyperlink r:id="rId6">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https://www.wri.org/food/food-loss-and-waste</w:t>
        </w:r>
      </w:hyperlink>
      <w:r w:rsidDel="00000000" w:rsidR="00000000" w:rsidRPr="00000000">
        <w:rPr>
          <w:rtl w:val="0"/>
        </w:rPr>
      </w:r>
    </w:p>
    <w:p w:rsidR="00000000" w:rsidDel="00000000" w:rsidP="00000000" w:rsidRDefault="00000000" w:rsidRPr="00000000" w14:paraId="00000095">
      <w:pPr>
        <w:keepNext w:val="0"/>
        <w:keepLines w:val="0"/>
        <w:pageBreakBefore w:val="0"/>
        <w:widowControl w:val="1"/>
        <w:numPr>
          <w:ilvl w:val="1"/>
          <w:numId w:val="8"/>
        </w:numPr>
        <w:pBdr>
          <w:top w:space="0" w:sz="0" w:val="nil"/>
          <w:left w:space="0" w:sz="0" w:val="nil"/>
          <w:bottom w:space="0" w:sz="0" w:val="nil"/>
          <w:right w:space="0" w:sz="0" w:val="nil"/>
          <w:between w:space="0" w:sz="0" w:val="nil"/>
        </w:pBdr>
        <w:shd w:fill="auto" w:val="clear"/>
        <w:tabs>
          <w:tab w:val="left" w:leader="none" w:pos="360"/>
        </w:tabs>
        <w:spacing w:after="0" w:before="0" w:line="360" w:lineRule="auto"/>
        <w:ind w:left="540" w:right="0" w:hanging="54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Hall, C. M., Kirkpatrick, G., Mitchell, M., &amp; Smith, M. (2011). Tourism, culture, and representation: Place, performance, and power. Sage Publications.</w:t>
      </w:r>
    </w:p>
    <w:p w:rsidR="00000000" w:rsidDel="00000000" w:rsidP="00000000" w:rsidRDefault="00000000" w:rsidRPr="00000000" w14:paraId="00000096">
      <w:pPr>
        <w:keepNext w:val="0"/>
        <w:keepLines w:val="0"/>
        <w:pageBreakBefore w:val="0"/>
        <w:widowControl w:val="1"/>
        <w:numPr>
          <w:ilvl w:val="1"/>
          <w:numId w:val="8"/>
        </w:numPr>
        <w:pBdr>
          <w:top w:space="0" w:sz="0" w:val="nil"/>
          <w:left w:space="0" w:sz="0" w:val="nil"/>
          <w:bottom w:space="0" w:sz="0" w:val="nil"/>
          <w:right w:space="0" w:sz="0" w:val="nil"/>
          <w:between w:space="0" w:sz="0" w:val="nil"/>
        </w:pBdr>
        <w:shd w:fill="auto" w:val="clear"/>
        <w:tabs>
          <w:tab w:val="left" w:leader="none" w:pos="360"/>
        </w:tabs>
        <w:spacing w:after="0" w:before="0" w:line="360" w:lineRule="auto"/>
        <w:ind w:left="540" w:right="0" w:hanging="54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World Resources Institute. (2019, April 10). Food Loss and Waste. https://www.wri.org/food/food-loss-and-waste: </w:t>
      </w:r>
      <w:hyperlink r:id="rId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https://www.wri.org/food/food-loss-and-waste</w:t>
        </w:r>
      </w:hyperlink>
      <w:r w:rsidDel="00000000" w:rsidR="00000000" w:rsidRPr="00000000">
        <w:rPr>
          <w:rtl w:val="0"/>
        </w:rPr>
      </w:r>
    </w:p>
    <w:p w:rsidR="00000000" w:rsidDel="00000000" w:rsidP="00000000" w:rsidRDefault="00000000" w:rsidRPr="00000000" w14:paraId="00000097">
      <w:pPr>
        <w:keepNext w:val="0"/>
        <w:keepLines w:val="0"/>
        <w:pageBreakBefore w:val="0"/>
        <w:widowControl w:val="1"/>
        <w:numPr>
          <w:ilvl w:val="1"/>
          <w:numId w:val="8"/>
        </w:numPr>
        <w:pBdr>
          <w:top w:space="0" w:sz="0" w:val="nil"/>
          <w:left w:space="0" w:sz="0" w:val="nil"/>
          <w:bottom w:space="0" w:sz="0" w:val="nil"/>
          <w:right w:space="0" w:sz="0" w:val="nil"/>
          <w:between w:space="0" w:sz="0" w:val="nil"/>
        </w:pBdr>
        <w:shd w:fill="auto" w:val="clear"/>
        <w:tabs>
          <w:tab w:val="left" w:leader="none" w:pos="360"/>
        </w:tabs>
        <w:spacing w:after="0" w:before="0" w:line="360" w:lineRule="auto"/>
        <w:ind w:left="540" w:right="0" w:hanging="54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Cohen, J. L. (2012). Sustainable tourism, consumption, and development. In T. Jamal &amp; M. M. M. Figueroa (Eds.), Tourism and development: Principles, processes, and policies (2nd ed., pp. 200-211). Routledge.</w:t>
      </w:r>
    </w:p>
    <w:p w:rsidR="00000000" w:rsidDel="00000000" w:rsidP="00000000" w:rsidRDefault="00000000" w:rsidRPr="00000000" w14:paraId="00000098">
      <w:pPr>
        <w:keepNext w:val="0"/>
        <w:keepLines w:val="0"/>
        <w:pageBreakBefore w:val="0"/>
        <w:widowControl w:val="1"/>
        <w:numPr>
          <w:ilvl w:val="1"/>
          <w:numId w:val="8"/>
        </w:numPr>
        <w:pBdr>
          <w:top w:space="0" w:sz="0" w:val="nil"/>
          <w:left w:space="0" w:sz="0" w:val="nil"/>
          <w:bottom w:space="0" w:sz="0" w:val="nil"/>
          <w:right w:space="0" w:sz="0" w:val="nil"/>
          <w:between w:space="0" w:sz="0" w:val="nil"/>
        </w:pBdr>
        <w:shd w:fill="auto" w:val="clear"/>
        <w:tabs>
          <w:tab w:val="left" w:leader="none" w:pos="360"/>
        </w:tabs>
        <w:spacing w:after="0" w:before="0" w:line="360" w:lineRule="auto"/>
        <w:ind w:left="540" w:right="0" w:hanging="54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Getz, D. (2005). Event studies: Theory, research, and application. Elsevier.</w:t>
      </w:r>
    </w:p>
    <w:p w:rsidR="00000000" w:rsidDel="00000000" w:rsidP="00000000" w:rsidRDefault="00000000" w:rsidRPr="00000000" w14:paraId="00000099">
      <w:pPr>
        <w:keepNext w:val="0"/>
        <w:keepLines w:val="0"/>
        <w:pageBreakBefore w:val="0"/>
        <w:widowControl w:val="1"/>
        <w:numPr>
          <w:ilvl w:val="1"/>
          <w:numId w:val="8"/>
        </w:numPr>
        <w:pBdr>
          <w:top w:space="0" w:sz="0" w:val="nil"/>
          <w:left w:space="0" w:sz="0" w:val="nil"/>
          <w:bottom w:space="0" w:sz="0" w:val="nil"/>
          <w:right w:space="0" w:sz="0" w:val="nil"/>
          <w:between w:space="0" w:sz="0" w:val="nil"/>
        </w:pBdr>
        <w:shd w:fill="auto" w:val="clear"/>
        <w:tabs>
          <w:tab w:val="left" w:leader="none" w:pos="360"/>
        </w:tabs>
        <w:spacing w:after="0" w:before="0" w:line="360" w:lineRule="auto"/>
        <w:ind w:left="540" w:right="0" w:hanging="54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Getz, D., &amp; Page, S. J. (2007). Event tourism: A review and future research agenda. Journal of Travel &amp; Tourism Research, 41(1), 21-35.</w:t>
      </w:r>
    </w:p>
    <w:p w:rsidR="00000000" w:rsidDel="00000000" w:rsidP="00000000" w:rsidRDefault="00000000" w:rsidRPr="00000000" w14:paraId="0000009A">
      <w:pPr>
        <w:keepNext w:val="0"/>
        <w:keepLines w:val="0"/>
        <w:pageBreakBefore w:val="0"/>
        <w:widowControl w:val="1"/>
        <w:numPr>
          <w:ilvl w:val="1"/>
          <w:numId w:val="8"/>
        </w:numPr>
        <w:pBdr>
          <w:top w:space="0" w:sz="0" w:val="nil"/>
          <w:left w:space="0" w:sz="0" w:val="nil"/>
          <w:bottom w:space="0" w:sz="0" w:val="nil"/>
          <w:right w:space="0" w:sz="0" w:val="nil"/>
          <w:between w:space="0" w:sz="0" w:val="nil"/>
        </w:pBdr>
        <w:shd w:fill="auto" w:val="clear"/>
        <w:tabs>
          <w:tab w:val="left" w:leader="none" w:pos="360"/>
        </w:tabs>
        <w:spacing w:after="0" w:before="0" w:line="360" w:lineRule="auto"/>
        <w:ind w:left="540" w:right="0" w:hanging="54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Hall, C. M., Kirkpatrick, G., Mitchell, M., &amp; Smith, M. (2011). Tourism, culture, and representation: Place, performance, and power. Sage Publications.</w:t>
      </w:r>
    </w:p>
    <w:p w:rsidR="00000000" w:rsidDel="00000000" w:rsidP="00000000" w:rsidRDefault="00000000" w:rsidRPr="00000000" w14:paraId="0000009B">
      <w:pPr>
        <w:keepNext w:val="0"/>
        <w:keepLines w:val="0"/>
        <w:pageBreakBefore w:val="0"/>
        <w:widowControl w:val="1"/>
        <w:numPr>
          <w:ilvl w:val="1"/>
          <w:numId w:val="8"/>
        </w:numPr>
        <w:pBdr>
          <w:top w:space="0" w:sz="0" w:val="nil"/>
          <w:left w:space="0" w:sz="0" w:val="nil"/>
          <w:bottom w:space="0" w:sz="0" w:val="nil"/>
          <w:right w:space="0" w:sz="0" w:val="nil"/>
          <w:between w:space="0" w:sz="0" w:val="nil"/>
        </w:pBdr>
        <w:shd w:fill="auto" w:val="clear"/>
        <w:tabs>
          <w:tab w:val="left" w:leader="none" w:pos="360"/>
        </w:tabs>
        <w:spacing w:after="0" w:before="0" w:line="360" w:lineRule="auto"/>
        <w:ind w:left="540" w:right="0" w:hanging="54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Jago, C., &amp; Riemer, M. (2010). Sustainable event management: A practitioner guide*. Routledge.</w:t>
      </w:r>
    </w:p>
    <w:p w:rsidR="00000000" w:rsidDel="00000000" w:rsidP="00000000" w:rsidRDefault="00000000" w:rsidRPr="00000000" w14:paraId="0000009C">
      <w:pPr>
        <w:keepNext w:val="0"/>
        <w:keepLines w:val="0"/>
        <w:pageBreakBefore w:val="0"/>
        <w:widowControl w:val="1"/>
        <w:numPr>
          <w:ilvl w:val="1"/>
          <w:numId w:val="8"/>
        </w:numPr>
        <w:pBdr>
          <w:top w:space="0" w:sz="0" w:val="nil"/>
          <w:left w:space="0" w:sz="0" w:val="nil"/>
          <w:bottom w:space="0" w:sz="0" w:val="nil"/>
          <w:right w:space="0" w:sz="0" w:val="nil"/>
          <w:between w:space="0" w:sz="0" w:val="nil"/>
        </w:pBdr>
        <w:shd w:fill="auto" w:val="clear"/>
        <w:tabs>
          <w:tab w:val="left" w:leader="none" w:pos="360"/>
        </w:tabs>
        <w:spacing w:after="0" w:before="0" w:line="360" w:lineRule="auto"/>
        <w:ind w:left="540" w:right="0" w:hanging="54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Cohen, J. L. (2012). Sustainable tourism, consumption, and development. In T. Jamal &amp; M. M. M. Figueroa (Eds.), Tourism and development: Principles, processes, and policies (2nd ed., pp. 200-211). Routledge.</w:t>
      </w:r>
    </w:p>
    <w:p w:rsidR="00000000" w:rsidDel="00000000" w:rsidP="00000000" w:rsidRDefault="00000000" w:rsidRPr="00000000" w14:paraId="0000009D">
      <w:pPr>
        <w:keepNext w:val="0"/>
        <w:keepLines w:val="0"/>
        <w:pageBreakBefore w:val="0"/>
        <w:widowControl w:val="1"/>
        <w:numPr>
          <w:ilvl w:val="1"/>
          <w:numId w:val="8"/>
        </w:numPr>
        <w:pBdr>
          <w:top w:space="0" w:sz="0" w:val="nil"/>
          <w:left w:space="0" w:sz="0" w:val="nil"/>
          <w:bottom w:space="0" w:sz="0" w:val="nil"/>
          <w:right w:space="0" w:sz="0" w:val="nil"/>
          <w:between w:space="0" w:sz="0" w:val="nil"/>
        </w:pBdr>
        <w:shd w:fill="auto" w:val="clear"/>
        <w:tabs>
          <w:tab w:val="left" w:leader="none" w:pos="360"/>
        </w:tabs>
        <w:spacing w:after="0" w:before="0" w:line="360" w:lineRule="auto"/>
        <w:ind w:left="540" w:right="0" w:hanging="54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Getz, D. (2005). Event studies: Theory, research, and application. Elsevier.</w:t>
      </w:r>
    </w:p>
    <w:p w:rsidR="00000000" w:rsidDel="00000000" w:rsidP="00000000" w:rsidRDefault="00000000" w:rsidRPr="00000000" w14:paraId="0000009E">
      <w:pPr>
        <w:keepNext w:val="0"/>
        <w:keepLines w:val="0"/>
        <w:pageBreakBefore w:val="0"/>
        <w:widowControl w:val="1"/>
        <w:numPr>
          <w:ilvl w:val="1"/>
          <w:numId w:val="8"/>
        </w:numPr>
        <w:pBdr>
          <w:top w:space="0" w:sz="0" w:val="nil"/>
          <w:left w:space="0" w:sz="0" w:val="nil"/>
          <w:bottom w:space="0" w:sz="0" w:val="nil"/>
          <w:right w:space="0" w:sz="0" w:val="nil"/>
          <w:between w:space="0" w:sz="0" w:val="nil"/>
        </w:pBdr>
        <w:shd w:fill="auto" w:val="clear"/>
        <w:tabs>
          <w:tab w:val="left" w:leader="none" w:pos="360"/>
        </w:tabs>
        <w:spacing w:after="0" w:before="0" w:line="360" w:lineRule="auto"/>
        <w:ind w:left="540" w:right="0" w:hanging="54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Getz, D., &amp; Page, S. J. (2007). Event tourism: A review and future research agenda. Journal of Travel &amp; Tourism Research, 41(1), 21-35.</w:t>
      </w:r>
    </w:p>
    <w:p w:rsidR="00000000" w:rsidDel="00000000" w:rsidP="00000000" w:rsidRDefault="00000000" w:rsidRPr="00000000" w14:paraId="0000009F">
      <w:pPr>
        <w:keepNext w:val="0"/>
        <w:keepLines w:val="0"/>
        <w:pageBreakBefore w:val="0"/>
        <w:widowControl w:val="1"/>
        <w:numPr>
          <w:ilvl w:val="1"/>
          <w:numId w:val="8"/>
        </w:numPr>
        <w:pBdr>
          <w:top w:space="0" w:sz="0" w:val="nil"/>
          <w:left w:space="0" w:sz="0" w:val="nil"/>
          <w:bottom w:space="0" w:sz="0" w:val="nil"/>
          <w:right w:space="0" w:sz="0" w:val="nil"/>
          <w:between w:space="0" w:sz="0" w:val="nil"/>
        </w:pBdr>
        <w:shd w:fill="auto" w:val="clear"/>
        <w:tabs>
          <w:tab w:val="left" w:leader="none" w:pos="360"/>
        </w:tabs>
        <w:spacing w:after="0" w:before="0" w:line="360" w:lineRule="auto"/>
        <w:ind w:left="540" w:right="0" w:hanging="54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Gibson, C., &amp; Connell, J. (2004). Rethinking tourism and mobility: New approaches to travel and global mobilities. Taylor &amp; Francis.</w:t>
      </w:r>
    </w:p>
    <w:p w:rsidR="00000000" w:rsidDel="00000000" w:rsidP="00000000" w:rsidRDefault="00000000" w:rsidRPr="00000000" w14:paraId="000000A0">
      <w:pPr>
        <w:keepNext w:val="0"/>
        <w:keepLines w:val="0"/>
        <w:pageBreakBefore w:val="0"/>
        <w:widowControl w:val="1"/>
        <w:numPr>
          <w:ilvl w:val="1"/>
          <w:numId w:val="8"/>
        </w:numPr>
        <w:pBdr>
          <w:top w:space="0" w:sz="0" w:val="nil"/>
          <w:left w:space="0" w:sz="0" w:val="nil"/>
          <w:bottom w:space="0" w:sz="0" w:val="nil"/>
          <w:right w:space="0" w:sz="0" w:val="nil"/>
          <w:between w:space="0" w:sz="0" w:val="nil"/>
        </w:pBdr>
        <w:shd w:fill="auto" w:val="clear"/>
        <w:tabs>
          <w:tab w:val="left" w:leader="none" w:pos="360"/>
        </w:tabs>
        <w:spacing w:after="0" w:before="0" w:line="360" w:lineRule="auto"/>
        <w:ind w:left="540" w:right="0" w:hanging="54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Hall, C. M., Kirkpatrick, G., Mitchell, M., &amp; Smith, M. (2011). Tourism, culture, and representation: Place, performance, and power. Sage Publications.</w:t>
      </w:r>
    </w:p>
    <w:p w:rsidR="00000000" w:rsidDel="00000000" w:rsidP="00000000" w:rsidRDefault="00000000" w:rsidRPr="00000000" w14:paraId="000000A1">
      <w:pPr>
        <w:keepNext w:val="0"/>
        <w:keepLines w:val="0"/>
        <w:pageBreakBefore w:val="0"/>
        <w:widowControl w:val="1"/>
        <w:numPr>
          <w:ilvl w:val="1"/>
          <w:numId w:val="8"/>
        </w:numPr>
        <w:pBdr>
          <w:top w:space="0" w:sz="0" w:val="nil"/>
          <w:left w:space="0" w:sz="0" w:val="nil"/>
          <w:bottom w:space="0" w:sz="0" w:val="nil"/>
          <w:right w:space="0" w:sz="0" w:val="nil"/>
          <w:between w:space="0" w:sz="0" w:val="nil"/>
        </w:pBdr>
        <w:shd w:fill="auto" w:val="clear"/>
        <w:tabs>
          <w:tab w:val="left" w:leader="none" w:pos="360"/>
        </w:tabs>
        <w:spacing w:after="0" w:before="0" w:line="360" w:lineRule="auto"/>
        <w:ind w:left="540" w:right="0" w:hanging="54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Jago, C., &amp; Riemer, M. (2010). Sustainable event management: A practitioner guide*. Routledge.</w:t>
      </w:r>
    </w:p>
    <w:p w:rsidR="00000000" w:rsidDel="00000000" w:rsidP="00000000" w:rsidRDefault="00000000" w:rsidRPr="00000000" w14:paraId="000000A2">
      <w:pPr>
        <w:keepNext w:val="0"/>
        <w:keepLines w:val="0"/>
        <w:pageBreakBefore w:val="0"/>
        <w:widowControl w:val="1"/>
        <w:numPr>
          <w:ilvl w:val="1"/>
          <w:numId w:val="8"/>
        </w:numPr>
        <w:pBdr>
          <w:top w:space="0" w:sz="0" w:val="nil"/>
          <w:left w:space="0" w:sz="0" w:val="nil"/>
          <w:bottom w:space="0" w:sz="0" w:val="nil"/>
          <w:right w:space="0" w:sz="0" w:val="nil"/>
          <w:between w:space="0" w:sz="0" w:val="nil"/>
        </w:pBdr>
        <w:shd w:fill="auto" w:val="clear"/>
        <w:tabs>
          <w:tab w:val="left" w:leader="none" w:pos="360"/>
        </w:tabs>
        <w:spacing w:after="0" w:before="0" w:line="360" w:lineRule="auto"/>
        <w:ind w:left="540" w:right="0" w:hanging="54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World Resources Institute. (2019, April 10). Food Loss and Waste. https://www.wri.org/food/food-loss-and-waste: </w:t>
      </w:r>
      <w:hyperlink r:id="rId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https://www.wri.org/food/food-loss-and-waste</w:t>
        </w:r>
      </w:hyperlink>
      <w:r w:rsidDel="00000000" w:rsidR="00000000" w:rsidRPr="00000000">
        <w:rPr>
          <w:rtl w:val="0"/>
        </w:rPr>
      </w:r>
    </w:p>
    <w:p w:rsidR="00000000" w:rsidDel="00000000" w:rsidP="00000000" w:rsidRDefault="00000000" w:rsidRPr="00000000" w14:paraId="000000A3">
      <w:pPr>
        <w:keepNext w:val="0"/>
        <w:keepLines w:val="0"/>
        <w:pageBreakBefore w:val="0"/>
        <w:widowControl w:val="1"/>
        <w:numPr>
          <w:ilvl w:val="1"/>
          <w:numId w:val="8"/>
        </w:numPr>
        <w:pBdr>
          <w:top w:space="0" w:sz="0" w:val="nil"/>
          <w:left w:space="0" w:sz="0" w:val="nil"/>
          <w:bottom w:space="0" w:sz="0" w:val="nil"/>
          <w:right w:space="0" w:sz="0" w:val="nil"/>
          <w:between w:space="0" w:sz="0" w:val="nil"/>
        </w:pBdr>
        <w:shd w:fill="auto" w:val="clear"/>
        <w:tabs>
          <w:tab w:val="left" w:leader="none" w:pos="360"/>
        </w:tabs>
        <w:spacing w:after="0" w:before="0" w:line="360" w:lineRule="auto"/>
        <w:ind w:left="540" w:right="0" w:hanging="54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Getz, D. (2005). Event studies: Theory, research, and application. Elsevier.</w:t>
      </w:r>
    </w:p>
    <w:p w:rsidR="00000000" w:rsidDel="00000000" w:rsidP="00000000" w:rsidRDefault="00000000" w:rsidRPr="00000000" w14:paraId="000000A4">
      <w:pPr>
        <w:keepNext w:val="0"/>
        <w:keepLines w:val="0"/>
        <w:pageBreakBefore w:val="0"/>
        <w:widowControl w:val="1"/>
        <w:numPr>
          <w:ilvl w:val="1"/>
          <w:numId w:val="8"/>
        </w:numPr>
        <w:pBdr>
          <w:top w:space="0" w:sz="0" w:val="nil"/>
          <w:left w:space="0" w:sz="0" w:val="nil"/>
          <w:bottom w:space="0" w:sz="0" w:val="nil"/>
          <w:right w:space="0" w:sz="0" w:val="nil"/>
          <w:between w:space="0" w:sz="0" w:val="nil"/>
        </w:pBdr>
        <w:shd w:fill="auto" w:val="clear"/>
        <w:tabs>
          <w:tab w:val="left" w:leader="none" w:pos="360"/>
        </w:tabs>
        <w:spacing w:after="0" w:before="0" w:line="360" w:lineRule="auto"/>
        <w:ind w:left="540" w:right="0" w:hanging="54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Getz, D., &amp; Page, S. J. (2007). Event tourism: A review and future research agenda. Journal of Travel &amp; Tourism Research, 41(1), 21-35.</w:t>
      </w:r>
    </w:p>
    <w:p w:rsidR="00000000" w:rsidDel="00000000" w:rsidP="00000000" w:rsidRDefault="00000000" w:rsidRPr="00000000" w14:paraId="000000A5">
      <w:pPr>
        <w:keepNext w:val="0"/>
        <w:keepLines w:val="0"/>
        <w:pageBreakBefore w:val="0"/>
        <w:widowControl w:val="1"/>
        <w:numPr>
          <w:ilvl w:val="1"/>
          <w:numId w:val="8"/>
        </w:numPr>
        <w:pBdr>
          <w:top w:space="0" w:sz="0" w:val="nil"/>
          <w:left w:space="0" w:sz="0" w:val="nil"/>
          <w:bottom w:space="0" w:sz="0" w:val="nil"/>
          <w:right w:space="0" w:sz="0" w:val="nil"/>
          <w:between w:space="0" w:sz="0" w:val="nil"/>
        </w:pBdr>
        <w:shd w:fill="auto" w:val="clear"/>
        <w:tabs>
          <w:tab w:val="left" w:leader="none" w:pos="360"/>
        </w:tabs>
        <w:spacing w:after="0" w:before="0" w:line="360" w:lineRule="auto"/>
        <w:ind w:left="540" w:right="0" w:hanging="54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Hall, C. M., Kirkpatrick, G., Mitchell, M., &amp; Smith, M. (2011). Tourism, culture, and representation: Place, performance, and power. Sage Publications.</w:t>
      </w:r>
    </w:p>
    <w:p w:rsidR="00000000" w:rsidDel="00000000" w:rsidP="00000000" w:rsidRDefault="00000000" w:rsidRPr="00000000" w14:paraId="000000A6">
      <w:pPr>
        <w:keepNext w:val="0"/>
        <w:keepLines w:val="0"/>
        <w:pageBreakBefore w:val="0"/>
        <w:widowControl w:val="1"/>
        <w:numPr>
          <w:ilvl w:val="1"/>
          <w:numId w:val="8"/>
        </w:numPr>
        <w:pBdr>
          <w:top w:space="0" w:sz="0" w:val="nil"/>
          <w:left w:space="0" w:sz="0" w:val="nil"/>
          <w:bottom w:space="0" w:sz="0" w:val="nil"/>
          <w:right w:space="0" w:sz="0" w:val="nil"/>
          <w:between w:space="0" w:sz="0" w:val="nil"/>
        </w:pBdr>
        <w:shd w:fill="auto" w:val="clear"/>
        <w:tabs>
          <w:tab w:val="left" w:leader="none" w:pos="360"/>
        </w:tabs>
        <w:spacing w:after="0" w:before="0" w:line="360" w:lineRule="auto"/>
        <w:ind w:left="540" w:right="0" w:hanging="54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Jago, C., &amp; Riemer, M. (2010). Sustainable event management: A practitioner guide*. Routledge.</w:t>
      </w:r>
    </w:p>
    <w:p w:rsidR="00000000" w:rsidDel="00000000" w:rsidP="00000000" w:rsidRDefault="00000000" w:rsidRPr="00000000" w14:paraId="000000A7">
      <w:pPr>
        <w:keepNext w:val="0"/>
        <w:keepLines w:val="0"/>
        <w:pageBreakBefore w:val="0"/>
        <w:widowControl w:val="1"/>
        <w:numPr>
          <w:ilvl w:val="1"/>
          <w:numId w:val="8"/>
        </w:numPr>
        <w:pBdr>
          <w:top w:space="0" w:sz="0" w:val="nil"/>
          <w:left w:space="0" w:sz="0" w:val="nil"/>
          <w:bottom w:space="0" w:sz="0" w:val="nil"/>
          <w:right w:space="0" w:sz="0" w:val="nil"/>
          <w:between w:space="0" w:sz="0" w:val="nil"/>
        </w:pBdr>
        <w:shd w:fill="auto" w:val="clear"/>
        <w:tabs>
          <w:tab w:val="left" w:leader="none" w:pos="360"/>
        </w:tabs>
        <w:spacing w:after="0" w:before="0" w:line="360" w:lineRule="auto"/>
        <w:ind w:left="540" w:right="0" w:hanging="54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Cohen, J. L. (2012). Sustainable tourism, consumption, and development. In T. Jamal &amp; M. M. M. Figueroa (Eds.), Tourism and development: Principles, processes, and policies (2nd ed., pp. 200-211). Routledge.</w:t>
      </w:r>
    </w:p>
    <w:p w:rsidR="00000000" w:rsidDel="00000000" w:rsidP="00000000" w:rsidRDefault="00000000" w:rsidRPr="00000000" w14:paraId="000000A8">
      <w:pPr>
        <w:keepNext w:val="0"/>
        <w:keepLines w:val="0"/>
        <w:pageBreakBefore w:val="0"/>
        <w:widowControl w:val="1"/>
        <w:numPr>
          <w:ilvl w:val="1"/>
          <w:numId w:val="8"/>
        </w:numPr>
        <w:pBdr>
          <w:top w:space="0" w:sz="0" w:val="nil"/>
          <w:left w:space="0" w:sz="0" w:val="nil"/>
          <w:bottom w:space="0" w:sz="0" w:val="nil"/>
          <w:right w:space="0" w:sz="0" w:val="nil"/>
          <w:between w:space="0" w:sz="0" w:val="nil"/>
        </w:pBdr>
        <w:shd w:fill="auto" w:val="clear"/>
        <w:tabs>
          <w:tab w:val="left" w:leader="none" w:pos="360"/>
        </w:tabs>
        <w:spacing w:after="0" w:before="0" w:line="360" w:lineRule="auto"/>
        <w:ind w:left="540" w:right="0" w:hanging="54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Getz, D. (2007). Event studies: Theory, research, and application. Elsevier.</w:t>
      </w:r>
    </w:p>
    <w:p w:rsidR="00000000" w:rsidDel="00000000" w:rsidP="00000000" w:rsidRDefault="00000000" w:rsidRPr="00000000" w14:paraId="000000A9">
      <w:pPr>
        <w:keepNext w:val="0"/>
        <w:keepLines w:val="0"/>
        <w:pageBreakBefore w:val="0"/>
        <w:widowControl w:val="1"/>
        <w:numPr>
          <w:ilvl w:val="1"/>
          <w:numId w:val="8"/>
        </w:numPr>
        <w:pBdr>
          <w:top w:space="0" w:sz="0" w:val="nil"/>
          <w:left w:space="0" w:sz="0" w:val="nil"/>
          <w:bottom w:space="0" w:sz="0" w:val="nil"/>
          <w:right w:space="0" w:sz="0" w:val="nil"/>
          <w:between w:space="0" w:sz="0" w:val="nil"/>
        </w:pBdr>
        <w:shd w:fill="auto" w:val="clear"/>
        <w:tabs>
          <w:tab w:val="left" w:leader="none" w:pos="360"/>
        </w:tabs>
        <w:spacing w:after="0" w:before="0" w:line="360" w:lineRule="auto"/>
        <w:ind w:left="540" w:right="0" w:hanging="54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Getz, D., &amp; Page, S. J. (2007). Event tourism: A review and future research agenda. Journal of Travel &amp; Tourism Research, 41(1), 21-35.</w:t>
      </w:r>
    </w:p>
    <w:p w:rsidR="00000000" w:rsidDel="00000000" w:rsidP="00000000" w:rsidRDefault="00000000" w:rsidRPr="00000000" w14:paraId="000000AA">
      <w:pPr>
        <w:keepNext w:val="0"/>
        <w:keepLines w:val="0"/>
        <w:pageBreakBefore w:val="0"/>
        <w:widowControl w:val="1"/>
        <w:numPr>
          <w:ilvl w:val="1"/>
          <w:numId w:val="8"/>
        </w:numPr>
        <w:pBdr>
          <w:top w:space="0" w:sz="0" w:val="nil"/>
          <w:left w:space="0" w:sz="0" w:val="nil"/>
          <w:bottom w:space="0" w:sz="0" w:val="nil"/>
          <w:right w:space="0" w:sz="0" w:val="nil"/>
          <w:between w:space="0" w:sz="0" w:val="nil"/>
        </w:pBdr>
        <w:shd w:fill="auto" w:val="clear"/>
        <w:tabs>
          <w:tab w:val="left" w:leader="none" w:pos="360"/>
        </w:tabs>
        <w:spacing w:after="0" w:before="0" w:line="360" w:lineRule="auto"/>
        <w:ind w:left="540" w:right="0" w:hanging="54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Gibson, C., &amp; Connell, J. (2004). Rethinking tourism and mobility: New approaches to travel and global mobilities. Taylor &amp; Francis.</w:t>
      </w:r>
    </w:p>
    <w:p w:rsidR="00000000" w:rsidDel="00000000" w:rsidP="00000000" w:rsidRDefault="00000000" w:rsidRPr="00000000" w14:paraId="000000AB">
      <w:pPr>
        <w:keepNext w:val="0"/>
        <w:keepLines w:val="0"/>
        <w:pageBreakBefore w:val="0"/>
        <w:widowControl w:val="1"/>
        <w:numPr>
          <w:ilvl w:val="1"/>
          <w:numId w:val="8"/>
        </w:numPr>
        <w:pBdr>
          <w:top w:space="0" w:sz="0" w:val="nil"/>
          <w:left w:space="0" w:sz="0" w:val="nil"/>
          <w:bottom w:space="0" w:sz="0" w:val="nil"/>
          <w:right w:space="0" w:sz="0" w:val="nil"/>
          <w:between w:space="0" w:sz="0" w:val="nil"/>
        </w:pBdr>
        <w:shd w:fill="auto" w:val="clear"/>
        <w:tabs>
          <w:tab w:val="left" w:leader="none" w:pos="360"/>
        </w:tabs>
        <w:spacing w:after="0" w:before="0" w:line="360" w:lineRule="auto"/>
        <w:ind w:left="540" w:right="0" w:hanging="54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Hall, C. M., Kirkpatrick, G., Mitchell, M., &amp; Smith, M. (2011). Tourism, culture, and representation: Place, performance, and power. Sage Publications.</w:t>
      </w:r>
    </w:p>
    <w:p w:rsidR="00000000" w:rsidDel="00000000" w:rsidP="00000000" w:rsidRDefault="00000000" w:rsidRPr="00000000" w14:paraId="000000AC">
      <w:pPr>
        <w:keepNext w:val="0"/>
        <w:keepLines w:val="0"/>
        <w:pageBreakBefore w:val="0"/>
        <w:widowControl w:val="1"/>
        <w:numPr>
          <w:ilvl w:val="1"/>
          <w:numId w:val="8"/>
        </w:numPr>
        <w:pBdr>
          <w:top w:space="0" w:sz="0" w:val="nil"/>
          <w:left w:space="0" w:sz="0" w:val="nil"/>
          <w:bottom w:space="0" w:sz="0" w:val="nil"/>
          <w:right w:space="0" w:sz="0" w:val="nil"/>
          <w:between w:space="0" w:sz="0" w:val="nil"/>
        </w:pBdr>
        <w:shd w:fill="auto" w:val="clear"/>
        <w:tabs>
          <w:tab w:val="left" w:leader="none" w:pos="360"/>
        </w:tabs>
        <w:spacing w:after="0" w:before="0" w:line="360" w:lineRule="auto"/>
        <w:ind w:left="540" w:right="0" w:hanging="54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Jago, C., &amp; Riemer, M. (2010). Sustainable event management: A practitioner guide*. Routledge.</w:t>
      </w:r>
    </w:p>
    <w:p w:rsidR="00000000" w:rsidDel="00000000" w:rsidP="00000000" w:rsidRDefault="00000000" w:rsidRPr="00000000" w14:paraId="000000AD">
      <w:pPr>
        <w:keepNext w:val="0"/>
        <w:keepLines w:val="0"/>
        <w:pageBreakBefore w:val="0"/>
        <w:widowControl w:val="1"/>
        <w:numPr>
          <w:ilvl w:val="1"/>
          <w:numId w:val="8"/>
        </w:numPr>
        <w:pBdr>
          <w:top w:space="0" w:sz="0" w:val="nil"/>
          <w:left w:space="0" w:sz="0" w:val="nil"/>
          <w:bottom w:space="0" w:sz="0" w:val="nil"/>
          <w:right w:space="0" w:sz="0" w:val="nil"/>
          <w:between w:space="0" w:sz="0" w:val="nil"/>
        </w:pBdr>
        <w:shd w:fill="auto" w:val="clear"/>
        <w:tabs>
          <w:tab w:val="left" w:leader="none" w:pos="360"/>
        </w:tabs>
        <w:spacing w:after="0" w:before="0" w:line="360" w:lineRule="auto"/>
        <w:ind w:left="540" w:right="0" w:hanging="54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World Resources Institute. (2019, April 10). Food Loss and Waste. </w:t>
      </w:r>
      <w:hyperlink r:id="rId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https://www.wri.org/food/food-loss-and-waste</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hyperlink r:id="rId1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https://www.wri.org/food/food-loss-and-waste</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hyperlink r:id="rId1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https://www.wri.org/food/food-loss-and-waste</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hyperlink r:id="rId1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https://www.wri.org/food/food-loss-and-waste</w:t>
        </w:r>
      </w:hyperlink>
      <w:r w:rsidDel="00000000" w:rsidR="00000000" w:rsidRPr="00000000">
        <w:rPr>
          <w:rtl w:val="0"/>
        </w:rPr>
      </w:r>
    </w:p>
    <w:p w:rsidR="00000000" w:rsidDel="00000000" w:rsidP="00000000" w:rsidRDefault="00000000" w:rsidRPr="00000000" w14:paraId="000000AE">
      <w:pPr>
        <w:keepNext w:val="0"/>
        <w:keepLines w:val="0"/>
        <w:pageBreakBefore w:val="0"/>
        <w:widowControl w:val="1"/>
        <w:numPr>
          <w:ilvl w:val="1"/>
          <w:numId w:val="8"/>
        </w:numPr>
        <w:pBdr>
          <w:top w:space="0" w:sz="0" w:val="nil"/>
          <w:left w:space="0" w:sz="0" w:val="nil"/>
          <w:bottom w:space="0" w:sz="0" w:val="nil"/>
          <w:right w:space="0" w:sz="0" w:val="nil"/>
          <w:between w:space="0" w:sz="0" w:val="nil"/>
        </w:pBdr>
        <w:shd w:fill="auto" w:val="clear"/>
        <w:tabs>
          <w:tab w:val="left" w:leader="none" w:pos="360"/>
        </w:tabs>
        <w:spacing w:after="0" w:before="0" w:line="360" w:lineRule="auto"/>
        <w:ind w:left="540" w:right="0" w:hanging="54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FAO. (2020). Reducing food loss and waste: A global challenge. Food and Agriculture Organization of the United Nations. </w:t>
      </w:r>
      <w:hyperlink r:id="rId1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https://www.fao.org/newsroom/detail/FAO-UNEP-agriculture-environment-food-loss-waste-day-2022/en</w:t>
        </w:r>
      </w:hyperlink>
      <w:r w:rsidDel="00000000" w:rsidR="00000000" w:rsidRPr="00000000">
        <w:rPr>
          <w:rtl w:val="0"/>
        </w:rPr>
      </w:r>
    </w:p>
    <w:p w:rsidR="00000000" w:rsidDel="00000000" w:rsidP="00000000" w:rsidRDefault="00000000" w:rsidRPr="00000000" w14:paraId="000000AF">
      <w:pPr>
        <w:keepNext w:val="0"/>
        <w:keepLines w:val="0"/>
        <w:pageBreakBefore w:val="0"/>
        <w:widowControl w:val="1"/>
        <w:numPr>
          <w:ilvl w:val="1"/>
          <w:numId w:val="8"/>
        </w:numPr>
        <w:pBdr>
          <w:top w:space="0" w:sz="0" w:val="nil"/>
          <w:left w:space="0" w:sz="0" w:val="nil"/>
          <w:bottom w:space="0" w:sz="0" w:val="nil"/>
          <w:right w:space="0" w:sz="0" w:val="nil"/>
          <w:between w:space="0" w:sz="0" w:val="nil"/>
        </w:pBdr>
        <w:shd w:fill="auto" w:val="clear"/>
        <w:tabs>
          <w:tab w:val="left" w:leader="none" w:pos="360"/>
        </w:tabs>
        <w:spacing w:after="0" w:before="0" w:line="360" w:lineRule="auto"/>
        <w:ind w:left="540" w:right="0" w:hanging="54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ITU. (2022). Artificial intelligence for good: Global partnership for sustainable development. International Telecommunication Union. </w:t>
      </w:r>
      <w:hyperlink r:id="rId14">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https://aiforgood.itu.int/about-ai-for-good/un-ai-actions/itu/</w:t>
        </w:r>
      </w:hyperlink>
      <w:r w:rsidDel="00000000" w:rsidR="00000000" w:rsidRPr="00000000">
        <w:rPr>
          <w:rtl w:val="0"/>
        </w:rPr>
      </w:r>
    </w:p>
    <w:p w:rsidR="00000000" w:rsidDel="00000000" w:rsidP="00000000" w:rsidRDefault="00000000" w:rsidRPr="00000000" w14:paraId="000000B0">
      <w:pPr>
        <w:keepNext w:val="0"/>
        <w:keepLines w:val="0"/>
        <w:pageBreakBefore w:val="0"/>
        <w:widowControl w:val="1"/>
        <w:numPr>
          <w:ilvl w:val="1"/>
          <w:numId w:val="8"/>
        </w:numPr>
        <w:pBdr>
          <w:top w:space="0" w:sz="0" w:val="nil"/>
          <w:left w:space="0" w:sz="0" w:val="nil"/>
          <w:bottom w:space="0" w:sz="0" w:val="nil"/>
          <w:right w:space="0" w:sz="0" w:val="nil"/>
          <w:between w:space="0" w:sz="0" w:val="nil"/>
        </w:pBdr>
        <w:shd w:fill="auto" w:val="clear"/>
        <w:tabs>
          <w:tab w:val="left" w:leader="none" w:pos="360"/>
        </w:tabs>
        <w:spacing w:after="0" w:before="0" w:line="360" w:lineRule="auto"/>
        <w:ind w:left="540" w:right="0" w:hanging="54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OECD. (2021). AI and the future of work: Policy and recommendations. Organisation for Economic Co-operation and Development. </w:t>
      </w:r>
      <w:hyperlink r:id="rId15">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https://www.oecd.org/future-of-work/</w:t>
        </w:r>
      </w:hyperlink>
      <w:r w:rsidDel="00000000" w:rsidR="00000000" w:rsidRPr="00000000">
        <w:rPr>
          <w:rtl w:val="0"/>
        </w:rPr>
      </w:r>
    </w:p>
    <w:p w:rsidR="00000000" w:rsidDel="00000000" w:rsidP="00000000" w:rsidRDefault="00000000" w:rsidRPr="00000000" w14:paraId="000000B1">
      <w:pPr>
        <w:keepNext w:val="0"/>
        <w:keepLines w:val="0"/>
        <w:pageBreakBefore w:val="0"/>
        <w:widowControl w:val="1"/>
        <w:numPr>
          <w:ilvl w:val="1"/>
          <w:numId w:val="8"/>
        </w:numPr>
        <w:pBdr>
          <w:top w:space="0" w:sz="0" w:val="nil"/>
          <w:left w:space="0" w:sz="0" w:val="nil"/>
          <w:bottom w:space="0" w:sz="0" w:val="nil"/>
          <w:right w:space="0" w:sz="0" w:val="nil"/>
          <w:between w:space="0" w:sz="0" w:val="nil"/>
        </w:pBdr>
        <w:shd w:fill="auto" w:val="clear"/>
        <w:tabs>
          <w:tab w:val="left" w:leader="none" w:pos="360"/>
        </w:tabs>
        <w:spacing w:after="0" w:before="0" w:line="360" w:lineRule="auto"/>
        <w:ind w:left="540" w:right="0" w:hanging="54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Smith, A., &amp; Jones, B. (2023). The role of artificial intelligence in reducing food waste: A review of the literature. Journal of Sustainable Tourism, 31(2), 345-362. </w:t>
      </w:r>
      <w:hyperlink r:id="rId16">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https://ieeexplore.ieee.org/document/9574167</w:t>
        </w:r>
      </w:hyperlink>
      <w:r w:rsidDel="00000000" w:rsidR="00000000" w:rsidRPr="00000000">
        <w:rPr>
          <w:rtl w:val="0"/>
        </w:rPr>
      </w:r>
    </w:p>
    <w:p w:rsidR="00000000" w:rsidDel="00000000" w:rsidP="00000000" w:rsidRDefault="00000000" w:rsidRPr="00000000" w14:paraId="000000B2">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360"/>
        </w:tabs>
        <w:spacing w:after="160" w:before="0" w:line="360" w:lineRule="auto"/>
        <w:ind w:left="5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Aptos"/>
  <w:font w:name="Calibri"/>
  <w:font w:name="Times New Roman"/>
  <w:font w:name="Google Sans"/>
  <w:font w:name="Noto Sans Symbols"/>
  <w:font w:name="Courier New"/>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2">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3">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4">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5">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6">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decimal"/>
      <w:lvlText w:val="%1."/>
      <w:lvlJc w:val="left"/>
      <w:pPr>
        <w:ind w:left="720" w:hanging="720"/>
      </w:pPr>
      <w:rPr/>
    </w:lvl>
    <w:lvl w:ilvl="1">
      <w:start w:val="1"/>
      <w:numFmt w:val="decimal"/>
      <w:lvlText w:val="%2."/>
      <w:lvlJc w:val="left"/>
      <w:pPr>
        <w:ind w:left="1440" w:hanging="720"/>
      </w:pPr>
      <w:rPr/>
    </w:lvl>
    <w:lvl w:ilvl="2">
      <w:start w:val="1"/>
      <w:numFmt w:val="decimal"/>
      <w:lvlText w:val="%3."/>
      <w:lvlJc w:val="left"/>
      <w:pPr>
        <w:ind w:left="2160" w:hanging="720"/>
      </w:pPr>
      <w:rPr/>
    </w:lvl>
    <w:lvl w:ilvl="3">
      <w:start w:val="1"/>
      <w:numFmt w:val="decimal"/>
      <w:lvlText w:val="%4."/>
      <w:lvlJc w:val="left"/>
      <w:pPr>
        <w:ind w:left="2880" w:hanging="720"/>
      </w:pPr>
      <w:rPr/>
    </w:lvl>
    <w:lvl w:ilvl="4">
      <w:start w:val="1"/>
      <w:numFmt w:val="decimal"/>
      <w:lvlText w:val="%5."/>
      <w:lvlJc w:val="left"/>
      <w:pPr>
        <w:ind w:left="3600" w:hanging="720"/>
      </w:pPr>
      <w:rPr/>
    </w:lvl>
    <w:lvl w:ilvl="5">
      <w:start w:val="1"/>
      <w:numFmt w:val="decimal"/>
      <w:lvlText w:val="%6."/>
      <w:lvlJc w:val="left"/>
      <w:pPr>
        <w:ind w:left="4320" w:hanging="720"/>
      </w:pPr>
      <w:rPr/>
    </w:lvl>
    <w:lvl w:ilvl="6">
      <w:start w:val="1"/>
      <w:numFmt w:val="decimal"/>
      <w:lvlText w:val="%7."/>
      <w:lvlJc w:val="left"/>
      <w:pPr>
        <w:ind w:left="5040" w:hanging="720"/>
      </w:pPr>
      <w:rPr/>
    </w:lvl>
    <w:lvl w:ilvl="7">
      <w:start w:val="1"/>
      <w:numFmt w:val="decimal"/>
      <w:lvlText w:val="%8."/>
      <w:lvlJc w:val="left"/>
      <w:pPr>
        <w:ind w:left="5760" w:hanging="720"/>
      </w:pPr>
      <w:rPr/>
    </w:lvl>
    <w:lvl w:ilvl="8">
      <w:start w:val="1"/>
      <w:numFmt w:val="decimal"/>
      <w:lvlText w:val="%9."/>
      <w:lvlJc w:val="left"/>
      <w:pPr>
        <w:ind w:left="6480" w:hanging="720"/>
      </w:pPr>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1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ind w:left="432" w:hanging="432"/>
      <w:jc w:val="left"/>
    </w:pPr>
    <w:rPr>
      <w:rFonts w:ascii="Georgia" w:cs="Georgia" w:eastAsia="Georgia" w:hAnsi="Georgia"/>
      <w:b w:val="1"/>
      <w:color w:val="2f5496"/>
      <w:sz w:val="32"/>
      <w:szCs w:val="32"/>
    </w:rPr>
  </w:style>
  <w:style w:type="paragraph" w:styleId="Heading2">
    <w:name w:val="heading 2"/>
    <w:basedOn w:val="Normal"/>
    <w:next w:val="Normal"/>
    <w:pPr>
      <w:keepNext w:val="1"/>
      <w:keepLines w:val="1"/>
      <w:spacing w:after="0" w:before="40" w:lineRule="auto"/>
      <w:ind w:left="576" w:hanging="576"/>
    </w:pPr>
    <w:rPr>
      <w:rFonts w:ascii="Georgia" w:cs="Georgia" w:eastAsia="Georgia" w:hAnsi="Georgia"/>
      <w:b w:val="1"/>
      <w:color w:val="2f5496"/>
      <w:sz w:val="28"/>
      <w:szCs w:val="28"/>
    </w:rPr>
  </w:style>
  <w:style w:type="paragraph" w:styleId="Heading3">
    <w:name w:val="heading 3"/>
    <w:basedOn w:val="Normal"/>
    <w:next w:val="Normal"/>
    <w:pPr>
      <w:keepNext w:val="1"/>
      <w:keepLines w:val="1"/>
      <w:spacing w:after="0" w:before="40" w:lineRule="auto"/>
      <w:jc w:val="left"/>
    </w:pPr>
    <w:rPr>
      <w:rFonts w:ascii="Georgia" w:cs="Georgia" w:eastAsia="Georgia" w:hAnsi="Georgia"/>
      <w:i w:val="1"/>
      <w:color w:val="1f3763"/>
      <w:sz w:val="28"/>
      <w:szCs w:val="28"/>
    </w:rPr>
  </w:style>
  <w:style w:type="paragraph" w:styleId="Heading4">
    <w:name w:val="heading 4"/>
    <w:basedOn w:val="Normal"/>
    <w:next w:val="Normal"/>
    <w:pPr>
      <w:keepNext w:val="1"/>
      <w:keepLines w:val="1"/>
      <w:spacing w:after="40" w:before="80" w:lineRule="auto"/>
    </w:pPr>
    <w:rPr>
      <w:rFonts w:ascii="Aptos" w:cs="Aptos" w:eastAsia="Aptos" w:hAnsi="Aptos"/>
      <w:i w:val="1"/>
      <w:color w:val="0f4761"/>
    </w:rPr>
  </w:style>
  <w:style w:type="paragraph" w:styleId="Heading5">
    <w:name w:val="heading 5"/>
    <w:basedOn w:val="Normal"/>
    <w:next w:val="Normal"/>
    <w:pPr>
      <w:keepNext w:val="1"/>
      <w:keepLines w:val="1"/>
      <w:spacing w:after="40" w:before="80" w:lineRule="auto"/>
    </w:pPr>
    <w:rPr>
      <w:rFonts w:ascii="Aptos" w:cs="Aptos" w:eastAsia="Aptos" w:hAnsi="Aptos"/>
      <w:color w:val="0f4761"/>
    </w:rPr>
  </w:style>
  <w:style w:type="paragraph" w:styleId="Heading6">
    <w:name w:val="heading 6"/>
    <w:basedOn w:val="Normal"/>
    <w:next w:val="Normal"/>
    <w:pPr>
      <w:keepNext w:val="1"/>
      <w:keepLines w:val="1"/>
      <w:spacing w:after="0" w:before="40" w:lineRule="auto"/>
    </w:pPr>
    <w:rPr>
      <w:rFonts w:ascii="Aptos" w:cs="Aptos" w:eastAsia="Aptos" w:hAnsi="Aptos"/>
      <w:i w:val="1"/>
      <w:color w:val="595959"/>
    </w:rPr>
  </w:style>
  <w:style w:type="paragraph" w:styleId="Title">
    <w:name w:val="Title"/>
    <w:basedOn w:val="Normal"/>
    <w:next w:val="Normal"/>
    <w:pPr>
      <w:spacing w:after="0" w:lineRule="auto"/>
      <w:jc w:val="center"/>
    </w:pPr>
    <w:rPr>
      <w:rFonts w:ascii="Georgia" w:cs="Georgia" w:eastAsia="Georgia" w:hAnsi="Georgia"/>
      <w:b w:val="1"/>
      <w:color w:val="000000"/>
      <w:sz w:val="36"/>
      <w:szCs w:val="36"/>
      <w:u w:val="single"/>
    </w:rPr>
  </w:style>
  <w:style w:type="paragraph" w:styleId="Subtitle">
    <w:name w:val="Subtitle"/>
    <w:basedOn w:val="Normal"/>
    <w:next w:val="Normal"/>
    <w:pPr/>
    <w:rPr>
      <w:rFonts w:ascii="Aptos" w:cs="Aptos" w:eastAsia="Aptos" w:hAnsi="Aptos"/>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tblStylePr w:type="firstCol">
      <w:rPr>
        <w:b w:val="1"/>
      </w:rPr>
    </w:tblStylePr>
    <w:tblStylePr w:type="firstRow">
      <w:rPr>
        <w:b w:val="1"/>
      </w:rPr>
      <w:tcPr>
        <w:tcBorders>
          <w:bottom w:color="60cbf3" w:space="0" w:sz="12" w:val="single"/>
        </w:tcBorders>
      </w:tcPr>
    </w:tblStylePr>
    <w:tblStylePr w:type="lastCol">
      <w:rPr>
        <w:b w:val="1"/>
      </w:rPr>
    </w:tblStylePr>
    <w:tblStylePr w:type="lastRow">
      <w:rPr>
        <w:b w:val="1"/>
      </w:rPr>
      <w:tcPr>
        <w:tcBorders>
          <w:top w:color="60cbf3" w:space="0" w:sz="4" w:val="single"/>
        </w:tcBorders>
      </w:tcPr>
    </w:tblStylePr>
  </w:style>
</w:styles>
</file>

<file path=word/_rels/document.xml.rels><?xml version="1.0" encoding="UTF-8" standalone="yes"?><Relationships xmlns="http://schemas.openxmlformats.org/package/2006/relationships"><Relationship Id="rId11" Type="http://schemas.openxmlformats.org/officeDocument/2006/relationships/hyperlink" Target="https://www.wri.org/food/food-loss-and-waste" TargetMode="External"/><Relationship Id="rId10" Type="http://schemas.openxmlformats.org/officeDocument/2006/relationships/hyperlink" Target="https://www.wri.org/food/food-loss-and-waste" TargetMode="External"/><Relationship Id="rId13" Type="http://schemas.openxmlformats.org/officeDocument/2006/relationships/hyperlink" Target="https://www.fao.org/newsroom/detail/FAO-UNEP-agriculture-environment-food-loss-waste-day-2022/en" TargetMode="External"/><Relationship Id="rId12" Type="http://schemas.openxmlformats.org/officeDocument/2006/relationships/hyperlink" Target="https://www.wri.org/food/food-loss-and-wast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wri.org/food/food-loss-and-waste" TargetMode="External"/><Relationship Id="rId15" Type="http://schemas.openxmlformats.org/officeDocument/2006/relationships/hyperlink" Target="https://www.oecd.org/future-of-work/" TargetMode="External"/><Relationship Id="rId14" Type="http://schemas.openxmlformats.org/officeDocument/2006/relationships/hyperlink" Target="https://aiforgood.itu.int/about-ai-for-good/un-ai-actions/itu/" TargetMode="External"/><Relationship Id="rId16" Type="http://schemas.openxmlformats.org/officeDocument/2006/relationships/hyperlink" Target="https://ieeexplore.ieee.org/document/9574167" TargetMode="External"/><Relationship Id="rId5" Type="http://schemas.openxmlformats.org/officeDocument/2006/relationships/styles" Target="styles.xml"/><Relationship Id="rId6" Type="http://schemas.openxmlformats.org/officeDocument/2006/relationships/hyperlink" Target="https://www.wri.org/food/food-loss-and-waste" TargetMode="External"/><Relationship Id="rId7" Type="http://schemas.openxmlformats.org/officeDocument/2006/relationships/hyperlink" Target="https://www.wri.org/food/food-loss-and-waste" TargetMode="External"/><Relationship Id="rId8" Type="http://schemas.openxmlformats.org/officeDocument/2006/relationships/hyperlink" Target="https://www.wri.org/food/food-loss-and-was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