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heading"/>
        <w:jc w:val="center"/>
        <w:rPr>
          <w:rFonts w:ascii="Lucida Grande" w:cs="Lucida Grande" w:hAnsi="Lucida Grande" w:eastAsia="Lucida Grande"/>
        </w:rPr>
      </w:pPr>
      <w:r>
        <w:rPr>
          <w:rFonts w:ascii="Lucida Grande" w:cs="Lucida Grande" w:hAnsi="Lucida Grande" w:eastAsia="Lucida Grande"/>
          <w:lang w:val="en-US"/>
        </w:rPr>
        <w:drawing>
          <wp:inline distT="0" distB="0" distL="0" distR="0">
            <wp:extent cx="2876550" cy="514350"/>
            <wp:effectExtent l="0" t="0" r="0" b="0"/>
            <wp:docPr id="1073741825" name="officeArt object" descr="P:\UWTSD\Admin\PR_Material\SwanseaCollegeOfArt_Logo\UWTSD SCA Small.jpg"/>
            <wp:cNvGraphicFramePr/>
            <a:graphic xmlns:a="http://schemas.openxmlformats.org/drawingml/2006/main">
              <a:graphicData uri="http://schemas.openxmlformats.org/drawingml/2006/picture">
                <pic:pic xmlns:pic="http://schemas.openxmlformats.org/drawingml/2006/picture">
                  <pic:nvPicPr>
                    <pic:cNvPr id="1073741825" name="image1.jpeg" descr="P:\UWTSD\Admin\PR_Material\SwanseaCollegeOfArt_Logo\UWTSD SCA Small.jpg"/>
                    <pic:cNvPicPr>
                      <a:picLocks noChangeAspect="1"/>
                    </pic:cNvPicPr>
                  </pic:nvPicPr>
                  <pic:blipFill>
                    <a:blip r:embed="rId4">
                      <a:extLst/>
                    </a:blip>
                    <a:stretch>
                      <a:fillRect/>
                    </a:stretch>
                  </pic:blipFill>
                  <pic:spPr>
                    <a:xfrm>
                      <a:off x="0" y="0"/>
                      <a:ext cx="2876550" cy="514350"/>
                    </a:xfrm>
                    <a:prstGeom prst="rect">
                      <a:avLst/>
                    </a:prstGeom>
                    <a:ln w="12700" cap="flat">
                      <a:noFill/>
                      <a:miter lim="400000"/>
                    </a:ln>
                    <a:effectLst/>
                  </pic:spPr>
                </pic:pic>
              </a:graphicData>
            </a:graphic>
          </wp:inline>
        </w:drawing>
      </w:r>
    </w:p>
    <w:p>
      <w:pPr>
        <w:pStyle w:val="heading"/>
        <w:jc w:val="center"/>
        <w:rPr>
          <w:rFonts w:ascii="Lucida Grande" w:cs="Lucida Grande" w:hAnsi="Lucida Grande" w:eastAsia="Lucida Grande"/>
        </w:rPr>
      </w:pPr>
      <w:r>
        <w:rPr>
          <w:rFonts w:ascii="Lucida Grande" w:hAnsi="Lucida Grande"/>
          <w:rtl w:val="0"/>
          <w:lang w:val="en-US"/>
        </w:rPr>
        <w:t>School of Fine &amp; Media Arts</w:t>
      </w:r>
    </w:p>
    <w:p>
      <w:pPr>
        <w:pStyle w:val="heading"/>
        <w:jc w:val="center"/>
        <w:rPr>
          <w:rFonts w:ascii="Lucida Grande" w:cs="Lucida Grande" w:hAnsi="Lucida Grande" w:eastAsia="Lucida Grande"/>
        </w:rPr>
      </w:pPr>
      <w:r>
        <w:rPr>
          <w:rFonts w:ascii="Lucida Grande" w:hAnsi="Lucida Grande"/>
          <w:rtl w:val="0"/>
          <w:lang w:val="en-US"/>
        </w:rPr>
        <w:t>BA Music (Performance and Production)</w:t>
      </w:r>
    </w:p>
    <w:p>
      <w:pPr>
        <w:pStyle w:val="heading"/>
        <w:rPr>
          <w:rFonts w:ascii="Lucida Grande" w:cs="Lucida Grande" w:hAnsi="Lucida Grande" w:eastAsia="Lucida Grande"/>
        </w:rPr>
      </w:pPr>
    </w:p>
    <w:p>
      <w:pPr>
        <w:pStyle w:val="heading"/>
        <w:rPr>
          <w:rFonts w:ascii="Lucida Grande" w:cs="Lucida Grande" w:hAnsi="Lucida Grande" w:eastAsia="Lucida Grande"/>
        </w:rPr>
      </w:pPr>
    </w:p>
    <w:p>
      <w:pPr>
        <w:pStyle w:val="heading"/>
        <w:jc w:val="center"/>
        <w:rPr>
          <w:rFonts w:ascii="Lucida Grande" w:cs="Lucida Grande" w:hAnsi="Lucida Grande" w:eastAsia="Lucida Grande"/>
          <w:sz w:val="80"/>
          <w:szCs w:val="80"/>
        </w:rPr>
      </w:pPr>
      <w:r>
        <w:rPr>
          <w:rFonts w:ascii="Lucida Grande" w:hAnsi="Lucida Grande"/>
          <w:sz w:val="80"/>
          <w:szCs w:val="80"/>
          <w:rtl w:val="0"/>
        </w:rPr>
        <w:t>Improv</w:t>
      </w:r>
    </w:p>
    <w:tbl>
      <w:tblPr>
        <w:tblW w:w="732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2"/>
        <w:gridCol w:w="7101"/>
      </w:tblGrid>
      <w:tr>
        <w:tblPrEx>
          <w:shd w:val="clear" w:color="auto" w:fill="ced7e7"/>
        </w:tblPrEx>
        <w:trPr>
          <w:trHeight w:val="4662" w:hRule="atLeast"/>
        </w:trPr>
        <w:tc>
          <w:tcPr>
            <w:tcW w:type="dxa" w:w="222"/>
            <w:tcBorders>
              <w:top w:val="nil"/>
              <w:left w:val="nil"/>
              <w:bottom w:val="nil"/>
              <w:right w:val="nil"/>
            </w:tcBorders>
            <w:shd w:val="clear" w:color="auto" w:fill="auto"/>
            <w:tcMar>
              <w:top w:type="dxa" w:w="80"/>
              <w:left w:type="dxa" w:w="80"/>
              <w:bottom w:type="dxa" w:w="80"/>
              <w:right w:type="dxa" w:w="80"/>
            </w:tcMar>
            <w:vAlign w:val="top"/>
          </w:tcPr>
          <w:p/>
        </w:tc>
        <w:tc>
          <w:tcPr>
            <w:tcW w:type="dxa" w:w="7101"/>
            <w:tcBorders>
              <w:top w:val="nil"/>
              <w:left w:val="nil"/>
              <w:bottom w:val="nil"/>
              <w:right w:val="nil"/>
            </w:tcBorders>
            <w:shd w:val="clear" w:color="auto" w:fill="auto"/>
            <w:tcMar>
              <w:top w:type="dxa" w:w="80"/>
              <w:left w:type="dxa" w:w="80"/>
              <w:bottom w:type="dxa" w:w="80"/>
              <w:right w:type="dxa" w:w="80"/>
            </w:tcMar>
            <w:vAlign w:val="top"/>
          </w:tcPr>
          <w:p>
            <w:pPr>
              <w:pStyle w:val="heading"/>
              <w:ind w:left="0" w:firstLine="0"/>
              <w:jc w:val="center"/>
            </w:pPr>
            <w:r>
              <w:rPr>
                <w:rFonts w:ascii="Times New Roman" w:cs="Times New Roman" w:hAnsi="Times New Roman" w:eastAsia="Times New Roman"/>
                <w:b w:val="0"/>
                <w:bCs w:val="0"/>
                <w:lang w:val="en-US"/>
              </w:rPr>
              <w:drawing>
                <wp:inline distT="0" distB="0" distL="0" distR="0">
                  <wp:extent cx="4371975" cy="2914650"/>
                  <wp:effectExtent l="0" t="0" r="0" b="0"/>
                  <wp:docPr id="1073741826" name="officeArt object" descr="C:\Users\art-jk.UNI\Downloads\NAWR_Ghost_mind.jpg"/>
                  <wp:cNvGraphicFramePr/>
                  <a:graphic xmlns:a="http://schemas.openxmlformats.org/drawingml/2006/main">
                    <a:graphicData uri="http://schemas.openxmlformats.org/drawingml/2006/picture">
                      <pic:pic xmlns:pic="http://schemas.openxmlformats.org/drawingml/2006/picture">
                        <pic:nvPicPr>
                          <pic:cNvPr id="1073741826" name="image2.jpeg" descr="C:\Users\art-jk.UNI\Downloads\NAWR_Ghost_mind.jpg"/>
                          <pic:cNvPicPr>
                            <a:picLocks noChangeAspect="1"/>
                          </pic:cNvPicPr>
                        </pic:nvPicPr>
                        <pic:blipFill>
                          <a:blip r:embed="rId5">
                            <a:extLst/>
                          </a:blip>
                          <a:stretch>
                            <a:fillRect/>
                          </a:stretch>
                        </pic:blipFill>
                        <pic:spPr>
                          <a:xfrm>
                            <a:off x="0" y="0"/>
                            <a:ext cx="4371975" cy="2914650"/>
                          </a:xfrm>
                          <a:prstGeom prst="rect">
                            <a:avLst/>
                          </a:prstGeom>
                          <a:ln w="12700" cap="flat">
                            <a:noFill/>
                            <a:miter lim="400000"/>
                          </a:ln>
                          <a:effectLst/>
                        </pic:spPr>
                      </pic:pic>
                    </a:graphicData>
                  </a:graphic>
                </wp:inline>
              </w:drawing>
            </w:r>
          </w:p>
        </w:tc>
      </w:tr>
      <w:tr>
        <w:tblPrEx>
          <w:shd w:val="clear" w:color="auto" w:fill="ced7e7"/>
        </w:tblPrEx>
        <w:trPr>
          <w:trHeight w:val="4100" w:hRule="atLeast"/>
        </w:trPr>
        <w:tc>
          <w:tcPr>
            <w:tcW w:type="dxa" w:w="222"/>
            <w:tcBorders>
              <w:top w:val="nil"/>
              <w:left w:val="nil"/>
              <w:bottom w:val="nil"/>
              <w:right w:val="nil"/>
            </w:tcBorders>
            <w:shd w:val="clear" w:color="auto" w:fill="auto"/>
            <w:tcMar>
              <w:top w:type="dxa" w:w="80"/>
              <w:left w:type="dxa" w:w="80"/>
              <w:bottom w:type="dxa" w:w="80"/>
              <w:right w:type="dxa" w:w="80"/>
            </w:tcMar>
            <w:vAlign w:val="top"/>
          </w:tcPr>
          <w:p/>
        </w:tc>
        <w:tc>
          <w:tcPr>
            <w:tcW w:type="dxa" w:w="7101"/>
            <w:tcBorders>
              <w:top w:val="nil"/>
              <w:left w:val="nil"/>
              <w:bottom w:val="nil"/>
              <w:right w:val="nil"/>
            </w:tcBorders>
            <w:shd w:val="clear" w:color="auto" w:fill="auto"/>
            <w:tcMar>
              <w:top w:type="dxa" w:w="80"/>
              <w:left w:type="dxa" w:w="80"/>
              <w:bottom w:type="dxa" w:w="80"/>
              <w:right w:type="dxa" w:w="80"/>
            </w:tcMar>
            <w:vAlign w:val="top"/>
          </w:tcPr>
          <w:p>
            <w:pPr>
              <w:pStyle w:val="heading"/>
              <w:ind w:left="0" w:firstLine="0"/>
              <w:jc w:val="center"/>
              <w:rPr>
                <w:rFonts w:ascii="Lucida Grande" w:cs="Lucida Grande" w:hAnsi="Lucida Grande" w:eastAsia="Lucida Grande"/>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bidi w:val="0"/>
              <w:ind w:left="0" w:right="0" w:firstLine="0"/>
              <w:jc w:val="left"/>
              <w:rPr>
                <w:b w:val="1"/>
                <w:bCs w:val="1"/>
                <w:rtl w:val="0"/>
              </w:rPr>
            </w:pPr>
            <w:r>
              <w:rPr>
                <w:b w:val="1"/>
                <w:bCs w:val="1"/>
                <w:rtl w:val="0"/>
                <w:lang w:val="es-ES_tradnl"/>
              </w:rPr>
              <w:t>LEVEL 6</w:t>
            </w:r>
          </w:p>
          <w:p>
            <w:pPr>
              <w:pStyle w:val="Body"/>
              <w:rPr>
                <w:b w:val="1"/>
                <w:bCs w:val="1"/>
              </w:rPr>
            </w:pPr>
          </w:p>
          <w:p>
            <w:pPr>
              <w:pStyle w:val="Body"/>
              <w:bidi w:val="0"/>
              <w:ind w:left="0" w:right="0" w:firstLine="0"/>
              <w:jc w:val="left"/>
              <w:rPr>
                <w:rFonts w:ascii="Lucida Grande" w:cs="Lucida Grande" w:hAnsi="Lucida Grande" w:eastAsia="Lucida Grande"/>
                <w:b w:val="1"/>
                <w:bCs w:val="1"/>
                <w:rtl w:val="0"/>
              </w:rPr>
            </w:pPr>
            <w:r>
              <w:rPr>
                <w:rFonts w:ascii="Lucida Grande" w:hAnsi="Lucida Grande"/>
                <w:b w:val="1"/>
                <w:bCs w:val="1"/>
                <w:rtl w:val="0"/>
              </w:rPr>
              <w:t>2018-19</w:t>
            </w:r>
          </w:p>
          <w:p>
            <w:pPr>
              <w:pStyle w:val="Body"/>
              <w:rPr>
                <w:rFonts w:ascii="Lucida Grande" w:cs="Lucida Grande" w:hAnsi="Lucida Grande" w:eastAsia="Lucida Grande"/>
                <w:b w:val="1"/>
                <w:bCs w:val="1"/>
              </w:rPr>
            </w:pPr>
          </w:p>
          <w:p>
            <w:pPr>
              <w:pStyle w:val="heading"/>
              <w:ind w:left="0" w:firstLine="0"/>
            </w:pPr>
            <w:r>
              <w:rPr>
                <w:rFonts w:ascii="Lucida Grande" w:cs="Lucida Grande" w:hAnsi="Lucida Grande" w:eastAsia="Lucida Grande"/>
              </w:rPr>
            </w:r>
          </w:p>
        </w:tc>
      </w:tr>
      <w:tr>
        <w:tblPrEx>
          <w:shd w:val="clear" w:color="auto" w:fill="ced7e7"/>
        </w:tblPrEx>
        <w:trPr>
          <w:trHeight w:val="2735" w:hRule="atLeast"/>
        </w:trPr>
        <w:tc>
          <w:tcPr>
            <w:tcW w:type="dxa" w:w="222"/>
            <w:tcBorders>
              <w:top w:val="nil"/>
              <w:left w:val="nil"/>
              <w:bottom w:val="nil"/>
              <w:right w:val="nil"/>
            </w:tcBorders>
            <w:shd w:val="clear" w:color="auto" w:fill="auto"/>
            <w:tcMar>
              <w:top w:type="dxa" w:w="80"/>
              <w:left w:type="dxa" w:w="80"/>
              <w:bottom w:type="dxa" w:w="80"/>
              <w:right w:type="dxa" w:w="80"/>
            </w:tcMar>
            <w:vAlign w:val="top"/>
          </w:tcPr>
          <w:p/>
        </w:tc>
        <w:tc>
          <w:tcPr>
            <w:tcW w:type="dxa" w:w="7101"/>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2735" w:hRule="atLeast"/>
        </w:trPr>
        <w:tc>
          <w:tcPr>
            <w:tcW w:type="dxa" w:w="222"/>
            <w:tcBorders>
              <w:top w:val="nil"/>
              <w:left w:val="nil"/>
              <w:bottom w:val="nil"/>
              <w:right w:val="nil"/>
            </w:tcBorders>
            <w:shd w:val="clear" w:color="auto" w:fill="auto"/>
            <w:tcMar>
              <w:top w:type="dxa" w:w="80"/>
              <w:left w:type="dxa" w:w="80"/>
              <w:bottom w:type="dxa" w:w="80"/>
              <w:right w:type="dxa" w:w="80"/>
            </w:tcMar>
            <w:vAlign w:val="top"/>
          </w:tcPr>
          <w:p/>
        </w:tc>
        <w:tc>
          <w:tcPr>
            <w:tcW w:type="dxa" w:w="7101"/>
            <w:tcBorders>
              <w:top w:val="nil"/>
              <w:left w:val="nil"/>
              <w:bottom w:val="nil"/>
              <w:right w:val="nil"/>
            </w:tcBorders>
            <w:shd w:val="clear" w:color="auto" w:fill="auto"/>
            <w:tcMar>
              <w:top w:type="dxa" w:w="80"/>
              <w:left w:type="dxa" w:w="80"/>
              <w:bottom w:type="dxa" w:w="80"/>
              <w:right w:type="dxa" w:w="80"/>
            </w:tcMar>
            <w:vAlign w:val="top"/>
          </w:tcPr>
          <w:p/>
        </w:tc>
      </w:tr>
    </w:tbl>
    <w:p>
      <w:pPr>
        <w:pStyle w:val="heading"/>
        <w:ind w:left="0" w:firstLine="0"/>
      </w:pPr>
      <w:r>
        <w:rPr>
          <w:rFonts w:ascii="Arial Unicode MS" w:cs="Arial Unicode MS" w:hAnsi="Arial Unicode MS" w:eastAsia="Arial Unicode MS"/>
          <w:b w:val="0"/>
          <w:bCs w:val="0"/>
          <w:i w:val="0"/>
          <w:iCs w:val="0"/>
        </w:rPr>
        <w:br w:type="page"/>
      </w:r>
    </w:p>
    <w:p>
      <w:pPr>
        <w:pStyle w:val="heading"/>
        <w:rPr>
          <w:rFonts w:ascii="Calibri" w:cs="Calibri" w:hAnsi="Calibri" w:eastAsia="Calibri"/>
        </w:rPr>
      </w:pPr>
      <w:r>
        <w:rPr>
          <w:rFonts w:ascii="Calibri" w:cs="Calibri" w:hAnsi="Calibri" w:eastAsia="Calibri"/>
          <w:rtl w:val="0"/>
          <w:lang w:val="fr-FR"/>
        </w:rPr>
        <w:t xml:space="preserve">Module Title: </w:t>
        <w:tab/>
        <w:t>Improvisation</w:t>
      </w:r>
    </w:p>
    <w:p>
      <w:pPr>
        <w:pStyle w:val="heading"/>
        <w:rPr>
          <w:rFonts w:ascii="Calibri" w:cs="Calibri" w:hAnsi="Calibri" w:eastAsia="Calibri"/>
        </w:rPr>
      </w:pPr>
      <w:r>
        <w:rPr>
          <w:rFonts w:ascii="Calibri" w:cs="Calibri" w:hAnsi="Calibri" w:eastAsia="Calibri"/>
          <w:rtl w:val="0"/>
          <w:lang w:val="en-US"/>
        </w:rPr>
        <w:t>Module Code:  Level 6</w:t>
      </w:r>
    </w:p>
    <w:p>
      <w:pPr>
        <w:pStyle w:val="heading"/>
        <w:rPr>
          <w:rFonts w:ascii="Calibri" w:cs="Calibri" w:hAnsi="Calibri" w:eastAsia="Calibri"/>
        </w:rPr>
      </w:pPr>
    </w:p>
    <w:p>
      <w:pPr>
        <w:pStyle w:val="heading"/>
        <w:rPr>
          <w:rFonts w:ascii="Calibri" w:cs="Calibri" w:hAnsi="Calibri" w:eastAsia="Calibri"/>
        </w:rPr>
      </w:pPr>
      <w:r>
        <w:rPr>
          <w:rFonts w:ascii="Calibri" w:cs="Calibri" w:hAnsi="Calibri" w:eastAsia="Calibri"/>
          <w:rtl w:val="0"/>
        </w:rPr>
        <w:t>20 Credit Module</w:t>
      </w:r>
    </w:p>
    <w:p>
      <w:pPr>
        <w:pStyle w:val="heading"/>
        <w:rPr>
          <w:rFonts w:ascii="Calibri" w:cs="Calibri" w:hAnsi="Calibri" w:eastAsia="Calibri"/>
        </w:rPr>
      </w:pPr>
    </w:p>
    <w:p>
      <w:pPr>
        <w:pStyle w:val="heading"/>
        <w:rPr>
          <w:rFonts w:ascii="Calibri" w:cs="Calibri" w:hAnsi="Calibri" w:eastAsia="Calibri"/>
        </w:rPr>
      </w:pPr>
      <w:r>
        <w:rPr>
          <w:rFonts w:ascii="Calibri" w:cs="Calibri" w:hAnsi="Calibri" w:eastAsia="Calibri"/>
          <w:rtl w:val="0"/>
          <w:lang w:val="en-US"/>
        </w:rPr>
        <w:t>Lecture Room: AB103A (BBC Hall)</w:t>
      </w:r>
    </w:p>
    <w:p>
      <w:pPr>
        <w:pStyle w:val="heading"/>
        <w:rPr>
          <w:rFonts w:ascii="Calibri" w:cs="Calibri" w:hAnsi="Calibri" w:eastAsia="Calibri"/>
        </w:rPr>
      </w:pPr>
    </w:p>
    <w:p>
      <w:pPr>
        <w:pStyle w:val="heading"/>
        <w:rPr>
          <w:rFonts w:ascii="Calibri" w:cs="Calibri" w:hAnsi="Calibri" w:eastAsia="Calibri"/>
        </w:rPr>
      </w:pPr>
      <w:r>
        <w:rPr>
          <w:rFonts w:ascii="Calibri" w:cs="Calibri" w:hAnsi="Calibri" w:eastAsia="Calibri"/>
          <w:rtl w:val="0"/>
          <w:lang w:val="en-US"/>
        </w:rPr>
        <w:t xml:space="preserve">Tuesday 2pm </w:t>
      </w:r>
      <w:r>
        <w:rPr>
          <w:rFonts w:ascii="Calibri" w:cs="Calibri" w:hAnsi="Calibri" w:eastAsia="Calibri"/>
          <w:rtl w:val="0"/>
        </w:rPr>
        <w:t xml:space="preserve">– </w:t>
      </w:r>
      <w:r>
        <w:rPr>
          <w:rFonts w:ascii="Calibri" w:cs="Calibri" w:hAnsi="Calibri" w:eastAsia="Calibri"/>
          <w:rtl w:val="0"/>
          <w:lang w:val="en-US"/>
        </w:rPr>
        <w:t>4pm (Semester 1 &amp; 2)</w:t>
      </w:r>
    </w:p>
    <w:p>
      <w:pPr>
        <w:pStyle w:val="heading"/>
        <w:rPr>
          <w:rFonts w:ascii="Calibri" w:cs="Calibri" w:hAnsi="Calibri" w:eastAsia="Calibri"/>
        </w:rPr>
      </w:pPr>
    </w:p>
    <w:p>
      <w:pPr>
        <w:pStyle w:val="heading"/>
        <w:rPr>
          <w:rFonts w:ascii="Calibri" w:cs="Calibri" w:hAnsi="Calibri" w:eastAsia="Calibri"/>
        </w:rPr>
      </w:pPr>
      <w:r>
        <w:rPr>
          <w:rFonts w:ascii="Calibri" w:cs="Calibri" w:hAnsi="Calibri" w:eastAsia="Calibri"/>
          <w:rtl w:val="0"/>
          <w:lang w:val="en-US"/>
        </w:rPr>
        <w:t>Module Coordinator: Peter Williams</w:t>
      </w:r>
    </w:p>
    <w:p>
      <w:pPr>
        <w:pStyle w:val="heading"/>
        <w:rPr>
          <w:b w:val="0"/>
          <w:bCs w:val="0"/>
        </w:rPr>
      </w:pPr>
      <w:r>
        <w:rPr>
          <w:rFonts w:ascii="Calibri" w:cs="Calibri" w:hAnsi="Calibri" w:eastAsia="Calibri"/>
          <w:b w:val="0"/>
          <w:bCs w:val="0"/>
          <w:rtl w:val="0"/>
        </w:rPr>
        <w:t xml:space="preserve">email: </w:t>
      </w:r>
      <w:r>
        <w:rPr>
          <w:rStyle w:val="Hyperlink.0"/>
        </w:rPr>
        <w:fldChar w:fldCharType="begin" w:fldLock="0"/>
      </w:r>
      <w:r>
        <w:rPr>
          <w:rStyle w:val="Hyperlink.0"/>
        </w:rPr>
        <w:instrText xml:space="preserve"> HYPERLINK "mailto:peter.d.williams@uwtsd.ac.uk"</w:instrText>
      </w:r>
      <w:r>
        <w:rPr>
          <w:rStyle w:val="Hyperlink.0"/>
        </w:rPr>
        <w:fldChar w:fldCharType="separate" w:fldLock="0"/>
      </w:r>
      <w:r>
        <w:rPr>
          <w:rStyle w:val="Hyperlink.0"/>
          <w:rtl w:val="0"/>
        </w:rPr>
        <w:t>peter.d.williams@uwtsd.ac.uk</w:t>
      </w:r>
      <w:r>
        <w:rPr/>
        <w:fldChar w:fldCharType="end" w:fldLock="0"/>
      </w:r>
    </w:p>
    <w:p>
      <w:pPr>
        <w:pStyle w:val="heading"/>
        <w:rPr>
          <w:rFonts w:ascii="Calibri" w:cs="Calibri" w:hAnsi="Calibri" w:eastAsia="Calibri"/>
        </w:rPr>
      </w:pPr>
    </w:p>
    <w:p>
      <w:pPr>
        <w:pStyle w:val="heading"/>
        <w:rPr>
          <w:rFonts w:ascii="Calibri" w:cs="Calibri" w:hAnsi="Calibri" w:eastAsia="Calibri"/>
        </w:rPr>
      </w:pPr>
      <w:r>
        <w:rPr>
          <w:rFonts w:ascii="Calibri" w:cs="Calibri" w:hAnsi="Calibri" w:eastAsia="Calibri"/>
          <w:rtl w:val="0"/>
        </w:rPr>
        <w:t>SYLLABUS</w:t>
      </w:r>
    </w:p>
    <w:p>
      <w:pPr>
        <w:pStyle w:val="Body"/>
        <w:rPr>
          <w:rFonts w:ascii="Calibri" w:cs="Calibri" w:hAnsi="Calibri" w:eastAsia="Calibri"/>
        </w:rPr>
      </w:pPr>
      <w:r>
        <w:rPr>
          <w:rFonts w:ascii="Calibri" w:cs="Calibri" w:hAnsi="Calibri" w:eastAsia="Calibri"/>
          <w:rtl w:val="0"/>
          <w:lang w:val="en-US"/>
        </w:rPr>
        <w:t xml:space="preserve">Material will be delivered via a mixture of rehearsal studio work, formal lectures, and occasional workshops. In their private study hours, students will be encouraged to visit gigs and concerts at local venues in order to experience improvisation in a real-world situation. The timetable provides opportunities for students to develop their improvisational skills, together and in a solo context. It is envisaged that much of the practice-based work will be carried out in small groups, and that these activities will as far as possible reflect real-world scenarios. Student will conduct independent study into an improvisation area of their choosing. </w:t>
      </w:r>
    </w:p>
    <w:p>
      <w:pPr>
        <w:pStyle w:val="Body"/>
        <w:rPr>
          <w:rFonts w:ascii="Calibri" w:cs="Calibri" w:hAnsi="Calibri" w:eastAsia="Calibri"/>
          <w:lang w:val="en-US"/>
        </w:rPr>
      </w:pPr>
    </w:p>
    <w:p>
      <w:pPr>
        <w:pStyle w:val="Body"/>
        <w:rPr>
          <w:rFonts w:ascii="Calibri" w:cs="Calibri" w:hAnsi="Calibri" w:eastAsia="Calibri"/>
        </w:rPr>
      </w:pPr>
      <w:r>
        <w:rPr>
          <w:rFonts w:ascii="Calibri" w:cs="Calibri" w:hAnsi="Calibri" w:eastAsia="Calibri"/>
          <w:rtl w:val="0"/>
          <w:lang w:val="en-US"/>
        </w:rPr>
        <w:t>Indicative content:</w:t>
      </w:r>
    </w:p>
    <w:p>
      <w:pPr>
        <w:pStyle w:val="List Paragraph"/>
        <w:numPr>
          <w:ilvl w:val="0"/>
          <w:numId w:val="2"/>
        </w:numPr>
        <w:bidi w:val="0"/>
        <w:ind w:right="0"/>
        <w:jc w:val="left"/>
        <w:rPr>
          <w:rFonts w:ascii="Calibri" w:cs="Calibri" w:hAnsi="Calibri" w:eastAsia="Calibri"/>
          <w:b w:val="1"/>
          <w:bCs w:val="1"/>
          <w:rtl w:val="0"/>
          <w:lang w:val="en-US"/>
        </w:rPr>
      </w:pPr>
      <w:r>
        <w:rPr>
          <w:rFonts w:ascii="Calibri" w:cs="Calibri" w:hAnsi="Calibri" w:eastAsia="Calibri"/>
          <w:b w:val="0"/>
          <w:bCs w:val="0"/>
          <w:rtl w:val="0"/>
          <w:lang w:val="en-US"/>
        </w:rPr>
        <w:t>Stylistic conventions in improvisation e.g. early blues and jazz, bebop and modal jazz, pop and rock.</w:t>
      </w:r>
    </w:p>
    <w:p>
      <w:pPr>
        <w:pStyle w:val="List Paragraph"/>
        <w:numPr>
          <w:ilvl w:val="0"/>
          <w:numId w:val="2"/>
        </w:numPr>
        <w:bidi w:val="0"/>
        <w:ind w:right="0"/>
        <w:jc w:val="left"/>
        <w:rPr>
          <w:rFonts w:ascii="Calibri" w:cs="Calibri" w:hAnsi="Calibri" w:eastAsia="Calibri"/>
          <w:rtl w:val="0"/>
          <w:lang w:val="en-US"/>
        </w:rPr>
      </w:pPr>
      <w:r>
        <w:rPr>
          <w:rFonts w:ascii="Calibri" w:cs="Calibri" w:hAnsi="Calibri" w:eastAsia="Calibri"/>
          <w:rtl w:val="0"/>
          <w:lang w:val="en-US"/>
        </w:rPr>
        <w:t>Differences between studio and live improvisation</w:t>
      </w:r>
    </w:p>
    <w:p>
      <w:pPr>
        <w:pStyle w:val="List Paragraph"/>
        <w:numPr>
          <w:ilvl w:val="0"/>
          <w:numId w:val="2"/>
        </w:numPr>
        <w:bidi w:val="0"/>
        <w:ind w:right="0"/>
        <w:jc w:val="left"/>
        <w:rPr>
          <w:rFonts w:ascii="Calibri" w:cs="Calibri" w:hAnsi="Calibri" w:eastAsia="Calibri"/>
          <w:rtl w:val="0"/>
          <w:lang w:val="en-US"/>
        </w:rPr>
      </w:pPr>
      <w:r>
        <w:rPr>
          <w:rFonts w:ascii="Calibri" w:cs="Calibri" w:hAnsi="Calibri" w:eastAsia="Calibri"/>
          <w:rtl w:val="0"/>
          <w:lang w:val="en-US"/>
        </w:rPr>
        <w:t xml:space="preserve">Types of blues formats e.g. basic 12-bar, extended (e.g. 16 bars), bebop, </w:t>
      </w:r>
      <w:r>
        <w:rPr>
          <w:rFonts w:ascii="Calibri" w:cs="Calibri" w:hAnsi="Calibri" w:eastAsia="Calibri"/>
          <w:rtl w:val="0"/>
        </w:rPr>
        <w:t>‘</w:t>
      </w:r>
      <w:r>
        <w:rPr>
          <w:rFonts w:ascii="Calibri" w:cs="Calibri" w:hAnsi="Calibri" w:eastAsia="Calibri"/>
          <w:rtl w:val="0"/>
          <w:lang w:val="en-US"/>
        </w:rPr>
        <w:t>round the clock</w:t>
      </w:r>
      <w:r>
        <w:rPr>
          <w:rFonts w:ascii="Calibri" w:cs="Calibri" w:hAnsi="Calibri" w:eastAsia="Calibri"/>
          <w:rtl w:val="0"/>
        </w:rPr>
        <w:t>’</w:t>
      </w:r>
      <w:r>
        <w:rPr>
          <w:rFonts w:ascii="Calibri" w:cs="Calibri" w:hAnsi="Calibri" w:eastAsia="Calibri"/>
          <w:rtl w:val="0"/>
          <w:lang w:val="en-US"/>
        </w:rPr>
        <w:t>, and minor.</w:t>
      </w:r>
    </w:p>
    <w:p>
      <w:pPr>
        <w:pStyle w:val="List Paragraph"/>
        <w:numPr>
          <w:ilvl w:val="0"/>
          <w:numId w:val="2"/>
        </w:numPr>
        <w:bidi w:val="0"/>
        <w:ind w:right="0"/>
        <w:jc w:val="left"/>
        <w:rPr>
          <w:rFonts w:ascii="Calibri" w:cs="Calibri" w:hAnsi="Calibri" w:eastAsia="Calibri"/>
          <w:rtl w:val="0"/>
          <w:lang w:val="fr-FR"/>
        </w:rPr>
      </w:pPr>
      <w:r>
        <w:rPr>
          <w:rFonts w:ascii="Calibri" w:cs="Calibri" w:hAnsi="Calibri" w:eastAsia="Calibri"/>
          <w:rtl w:val="0"/>
          <w:lang w:val="fr-FR"/>
        </w:rPr>
        <w:t xml:space="preserve">Standard jazz repertoire using II-V-I progressions e.g. </w:t>
      </w:r>
      <w:r>
        <w:rPr>
          <w:rFonts w:ascii="Calibri" w:cs="Calibri" w:hAnsi="Calibri" w:eastAsia="Calibri"/>
          <w:rtl w:val="0"/>
        </w:rPr>
        <w:t>‘</w:t>
      </w:r>
      <w:r>
        <w:rPr>
          <w:rFonts w:ascii="Calibri" w:cs="Calibri" w:hAnsi="Calibri" w:eastAsia="Calibri"/>
          <w:rtl w:val="0"/>
        </w:rPr>
        <w:t>Autumn Leaves</w:t>
      </w:r>
      <w:r>
        <w:rPr>
          <w:rFonts w:ascii="Calibri" w:cs="Calibri" w:hAnsi="Calibri" w:eastAsia="Calibri"/>
          <w:rtl w:val="0"/>
        </w:rPr>
        <w:t>’</w:t>
      </w:r>
    </w:p>
    <w:p>
      <w:pPr>
        <w:pStyle w:val="List Paragraph"/>
        <w:numPr>
          <w:ilvl w:val="0"/>
          <w:numId w:val="2"/>
        </w:numPr>
        <w:bidi w:val="0"/>
        <w:ind w:right="0"/>
        <w:jc w:val="left"/>
        <w:rPr>
          <w:rFonts w:ascii="Calibri" w:cs="Calibri" w:hAnsi="Calibri" w:eastAsia="Calibri"/>
          <w:rtl w:val="0"/>
          <w:lang w:val="de-DE"/>
        </w:rPr>
      </w:pPr>
      <w:r>
        <w:rPr>
          <w:rFonts w:ascii="Calibri" w:cs="Calibri" w:hAnsi="Calibri" w:eastAsia="Calibri"/>
          <w:rtl w:val="0"/>
          <w:lang w:val="de-DE"/>
        </w:rPr>
        <w:t xml:space="preserve">AABA Form </w:t>
      </w:r>
      <w:r>
        <w:rPr>
          <w:rFonts w:ascii="Calibri" w:cs="Calibri" w:hAnsi="Calibri" w:eastAsia="Calibri"/>
          <w:rtl w:val="0"/>
        </w:rPr>
        <w:t xml:space="preserve">– </w:t>
      </w:r>
      <w:r>
        <w:rPr>
          <w:rFonts w:ascii="Calibri" w:cs="Calibri" w:hAnsi="Calibri" w:eastAsia="Calibri"/>
          <w:rtl w:val="0"/>
          <w:lang w:val="en-US"/>
        </w:rPr>
        <w:t xml:space="preserve">Rhythm changes e.g. </w:t>
      </w:r>
      <w:r>
        <w:rPr>
          <w:rFonts w:ascii="Calibri" w:cs="Calibri" w:hAnsi="Calibri" w:eastAsia="Calibri"/>
          <w:rtl w:val="0"/>
        </w:rPr>
        <w:t>‘</w:t>
      </w:r>
      <w:r>
        <w:rPr>
          <w:rFonts w:ascii="Calibri" w:cs="Calibri" w:hAnsi="Calibri" w:eastAsia="Calibri"/>
          <w:rtl w:val="0"/>
          <w:lang w:val="en-US"/>
        </w:rPr>
        <w:t>I got rhythm</w:t>
      </w:r>
      <w:r>
        <w:rPr>
          <w:rFonts w:ascii="Calibri" w:cs="Calibri" w:hAnsi="Calibri" w:eastAsia="Calibri"/>
          <w:rtl w:val="0"/>
        </w:rPr>
        <w:t>’</w:t>
      </w:r>
    </w:p>
    <w:p>
      <w:pPr>
        <w:pStyle w:val="List Paragraph"/>
        <w:numPr>
          <w:ilvl w:val="0"/>
          <w:numId w:val="2"/>
        </w:numPr>
        <w:bidi w:val="0"/>
        <w:ind w:right="0"/>
        <w:jc w:val="left"/>
        <w:rPr>
          <w:rFonts w:ascii="Calibri" w:cs="Calibri" w:hAnsi="Calibri" w:eastAsia="Calibri"/>
          <w:rtl w:val="0"/>
          <w:lang w:val="en-US"/>
        </w:rPr>
      </w:pPr>
      <w:r>
        <w:rPr>
          <w:rFonts w:ascii="Calibri" w:cs="Calibri" w:hAnsi="Calibri" w:eastAsia="Calibri"/>
          <w:rtl w:val="0"/>
          <w:lang w:val="en-US"/>
        </w:rPr>
        <w:t>Metric displacement e.g. in lead, solo, and vocal lines</w:t>
      </w:r>
    </w:p>
    <w:p>
      <w:pPr>
        <w:pStyle w:val="List Paragraph"/>
        <w:numPr>
          <w:ilvl w:val="0"/>
          <w:numId w:val="2"/>
        </w:numPr>
        <w:bidi w:val="0"/>
        <w:ind w:right="0"/>
        <w:jc w:val="left"/>
        <w:rPr>
          <w:rFonts w:ascii="Calibri" w:cs="Calibri" w:hAnsi="Calibri" w:eastAsia="Calibri"/>
          <w:rtl w:val="0"/>
          <w:lang w:val="en-US"/>
        </w:rPr>
      </w:pPr>
      <w:r>
        <w:rPr>
          <w:rFonts w:ascii="Calibri" w:cs="Calibri" w:hAnsi="Calibri" w:eastAsia="Calibri"/>
          <w:rtl w:val="0"/>
          <w:lang w:val="en-US"/>
        </w:rPr>
        <w:t xml:space="preserve">Arranging in rehearsal e.g. </w:t>
      </w:r>
      <w:r>
        <w:rPr>
          <w:rFonts w:ascii="Calibri" w:cs="Calibri" w:hAnsi="Calibri" w:eastAsia="Calibri"/>
          <w:rtl w:val="0"/>
        </w:rPr>
        <w:t>‘</w:t>
      </w:r>
      <w:r>
        <w:rPr>
          <w:rFonts w:ascii="Calibri" w:cs="Calibri" w:hAnsi="Calibri" w:eastAsia="Calibri"/>
          <w:rtl w:val="0"/>
          <w:lang w:val="en-US"/>
        </w:rPr>
        <w:t>head</w:t>
      </w:r>
      <w:r>
        <w:rPr>
          <w:rFonts w:ascii="Calibri" w:cs="Calibri" w:hAnsi="Calibri" w:eastAsia="Calibri"/>
          <w:rtl w:val="0"/>
        </w:rPr>
        <w:t xml:space="preserve">’ </w:t>
      </w:r>
      <w:r>
        <w:rPr>
          <w:rFonts w:ascii="Calibri" w:cs="Calibri" w:hAnsi="Calibri" w:eastAsia="Calibri"/>
          <w:rtl w:val="0"/>
          <w:lang w:val="fr-FR"/>
        </w:rPr>
        <w:t>arrangements</w:t>
      </w:r>
    </w:p>
    <w:p>
      <w:pPr>
        <w:pStyle w:val="List Paragraph"/>
        <w:numPr>
          <w:ilvl w:val="0"/>
          <w:numId w:val="2"/>
        </w:numPr>
        <w:bidi w:val="0"/>
        <w:ind w:right="0"/>
        <w:jc w:val="left"/>
        <w:rPr>
          <w:rFonts w:ascii="Calibri" w:cs="Calibri" w:hAnsi="Calibri" w:eastAsia="Calibri"/>
          <w:rtl w:val="0"/>
          <w:lang w:val="en-US"/>
        </w:rPr>
      </w:pPr>
      <w:r>
        <w:rPr>
          <w:rFonts w:ascii="Calibri" w:cs="Calibri" w:hAnsi="Calibri" w:eastAsia="Calibri"/>
          <w:rtl w:val="0"/>
          <w:lang w:val="en-US"/>
        </w:rPr>
        <w:t xml:space="preserve">Interaction in solo exchanges e.g. 2, 4, and 8-bar breaks </w:t>
      </w:r>
    </w:p>
    <w:p>
      <w:pPr>
        <w:pStyle w:val="List Paragraph"/>
        <w:numPr>
          <w:ilvl w:val="0"/>
          <w:numId w:val="2"/>
        </w:numPr>
        <w:bidi w:val="0"/>
        <w:ind w:right="0"/>
        <w:jc w:val="left"/>
        <w:rPr>
          <w:rFonts w:ascii="Calibri" w:cs="Calibri" w:hAnsi="Calibri" w:eastAsia="Calibri"/>
          <w:rtl w:val="0"/>
          <w:lang w:val="en-US"/>
        </w:rPr>
      </w:pPr>
      <w:r>
        <w:rPr>
          <w:rFonts w:ascii="Calibri" w:cs="Calibri" w:hAnsi="Calibri" w:eastAsia="Calibri"/>
          <w:rtl w:val="0"/>
          <w:lang w:val="en-US"/>
        </w:rPr>
        <w:t>Evaluating group performances</w:t>
      </w:r>
    </w:p>
    <w:p>
      <w:pPr>
        <w:pStyle w:val="Body"/>
        <w:rPr>
          <w:rFonts w:ascii="Calibri" w:cs="Calibri" w:hAnsi="Calibri" w:eastAsia="Calibri"/>
          <w:b w:val="1"/>
          <w:bCs w:val="1"/>
        </w:rPr>
      </w:pPr>
    </w:p>
    <w:p>
      <w:pPr>
        <w:pStyle w:val="Body"/>
        <w:rPr>
          <w:rFonts w:ascii="Calibri" w:cs="Calibri" w:hAnsi="Calibri" w:eastAsia="Calibri"/>
          <w:b w:val="1"/>
          <w:bCs w:val="1"/>
        </w:rPr>
      </w:pPr>
      <w:r>
        <w:rPr>
          <w:rFonts w:ascii="Calibri" w:cs="Calibri" w:hAnsi="Calibri" w:eastAsia="Calibri"/>
          <w:b w:val="1"/>
          <w:bCs w:val="1"/>
          <w:rtl w:val="0"/>
        </w:rPr>
        <w:t>AIMS</w:t>
      </w:r>
    </w:p>
    <w:p>
      <w:pPr>
        <w:pStyle w:val="bullet"/>
        <w:numPr>
          <w:ilvl w:val="0"/>
          <w:numId w:val="4"/>
        </w:numPr>
        <w:bidi w:val="0"/>
        <w:spacing w:before="0"/>
        <w:ind w:right="0"/>
        <w:jc w:val="both"/>
        <w:rPr>
          <w:rFonts w:ascii="Calibri" w:cs="Calibri" w:hAnsi="Calibri" w:eastAsia="Calibri"/>
          <w:b w:val="1"/>
          <w:bCs w:val="1"/>
          <w:rtl w:val="0"/>
          <w:lang w:val="en-US"/>
        </w:rPr>
      </w:pPr>
      <w:r>
        <w:rPr>
          <w:rFonts w:ascii="Calibri" w:cs="Calibri" w:hAnsi="Calibri" w:eastAsia="Calibri"/>
          <w:b w:val="0"/>
          <w:bCs w:val="0"/>
          <w:color w:val="303030"/>
          <w:u w:color="303030"/>
          <w:rtl w:val="0"/>
          <w:lang w:val="en-US"/>
        </w:rPr>
        <w:t>This module will enable students to develop knowledge and skills in improvisation within a variety of musical contexts, which they will then be able to integrate with their existing skills, knowledge, and experience in ensemble and instrumental practice.</w:t>
      </w:r>
    </w:p>
    <w:p>
      <w:pPr>
        <w:pStyle w:val="heading"/>
        <w:rPr>
          <w:rFonts w:ascii="Calibri" w:cs="Calibri" w:hAnsi="Calibri" w:eastAsia="Calibri"/>
        </w:rPr>
      </w:pPr>
    </w:p>
    <w:p>
      <w:pPr>
        <w:pStyle w:val="heading"/>
        <w:rPr>
          <w:rFonts w:ascii="Calibri" w:cs="Calibri" w:hAnsi="Calibri" w:eastAsia="Calibri"/>
        </w:rPr>
      </w:pPr>
      <w:r>
        <w:rPr>
          <w:rFonts w:ascii="Calibri" w:cs="Calibri" w:hAnsi="Calibri" w:eastAsia="Calibri"/>
          <w:rtl w:val="0"/>
          <w:lang w:val="en-US"/>
        </w:rPr>
        <w:t>LEARNING OUTCOMES</w:t>
      </w:r>
    </w:p>
    <w:p>
      <w:pPr>
        <w:pStyle w:val="Body"/>
        <w:rPr>
          <w:rFonts w:ascii="Calibri" w:cs="Calibri" w:hAnsi="Calibri" w:eastAsia="Calibri"/>
        </w:rPr>
      </w:pPr>
      <w:r>
        <w:rPr>
          <w:rFonts w:ascii="Calibri" w:cs="Calibri" w:hAnsi="Calibri" w:eastAsia="Calibri"/>
          <w:rtl w:val="0"/>
          <w:lang w:val="en-US"/>
        </w:rPr>
        <w:t>Upon the successful completion of this module, the student should be able to demonstrate the ability to:</w:t>
      </w:r>
    </w:p>
    <w:p>
      <w:pPr>
        <w:pStyle w:val="List Paragraph"/>
        <w:rPr>
          <w:rFonts w:ascii="Calibri" w:cs="Calibri" w:hAnsi="Calibri" w:eastAsia="Calibri"/>
        </w:rPr>
      </w:pPr>
    </w:p>
    <w:p>
      <w:pPr>
        <w:pStyle w:val="List Paragraph"/>
        <w:numPr>
          <w:ilvl w:val="0"/>
          <w:numId w:val="6"/>
        </w:numPr>
        <w:bidi w:val="0"/>
        <w:ind w:right="0"/>
        <w:jc w:val="left"/>
        <w:rPr>
          <w:rFonts w:ascii="Calibri" w:cs="Calibri" w:hAnsi="Calibri" w:eastAsia="Calibri"/>
          <w:rtl w:val="0"/>
          <w:lang w:val="en-US"/>
        </w:rPr>
      </w:pPr>
      <w:r>
        <w:rPr>
          <w:rFonts w:ascii="Calibri" w:cs="Calibri" w:hAnsi="Calibri" w:eastAsia="Calibri"/>
          <w:rtl w:val="0"/>
          <w:lang w:val="en-US"/>
        </w:rPr>
        <w:t>Demonstrate and reflect upon an ability to react spontaneously, manage risk and the unexpected, and integrate expressive musical skills in the course of producing improvised music within a group context.</w:t>
      </w:r>
    </w:p>
    <w:p>
      <w:pPr>
        <w:pStyle w:val="List Paragraph"/>
        <w:numPr>
          <w:ilvl w:val="0"/>
          <w:numId w:val="6"/>
        </w:numPr>
        <w:bidi w:val="0"/>
        <w:ind w:right="0"/>
        <w:jc w:val="left"/>
        <w:rPr>
          <w:rFonts w:ascii="Calibri" w:cs="Calibri" w:hAnsi="Calibri" w:eastAsia="Calibri"/>
          <w:rtl w:val="0"/>
          <w:lang w:val="en-US"/>
        </w:rPr>
      </w:pPr>
      <w:r>
        <w:rPr>
          <w:rFonts w:ascii="Calibri" w:cs="Calibri" w:hAnsi="Calibri" w:eastAsia="Calibri"/>
          <w:rtl w:val="0"/>
          <w:lang w:val="en-US"/>
        </w:rPr>
        <w:t>Reflect upon improvisations performed by self, and peer evaluate improvisations performed by others, according to stylistic conventions.</w:t>
      </w:r>
    </w:p>
    <w:p>
      <w:pPr>
        <w:pStyle w:val="List Paragraph"/>
        <w:rPr>
          <w:rFonts w:ascii="Calibri" w:cs="Calibri" w:hAnsi="Calibri" w:eastAsia="Calibri"/>
        </w:rPr>
      </w:pPr>
    </w:p>
    <w:p>
      <w:pPr>
        <w:pStyle w:val="heading"/>
        <w:ind w:left="0" w:firstLine="0"/>
        <w:rPr>
          <w:rFonts w:ascii="Calibri" w:cs="Calibri" w:hAnsi="Calibri" w:eastAsia="Calibri"/>
        </w:rPr>
      </w:pPr>
    </w:p>
    <w:p>
      <w:pPr>
        <w:pStyle w:val="heading"/>
        <w:rPr>
          <w:rFonts w:ascii="Calibri" w:cs="Calibri" w:hAnsi="Calibri" w:eastAsia="Calibri"/>
        </w:rPr>
      </w:pPr>
      <w:r>
        <w:rPr>
          <w:rFonts w:ascii="Calibri" w:cs="Calibri" w:hAnsi="Calibri" w:eastAsia="Calibri"/>
          <w:rtl w:val="0"/>
          <w:lang w:val="en-US"/>
        </w:rPr>
        <w:t>MODULE EVALUATION</w:t>
      </w:r>
    </w:p>
    <w:p>
      <w:pPr>
        <w:pStyle w:val="heading"/>
        <w:tabs>
          <w:tab w:val="clear" w:pos="720"/>
          <w:tab w:val="clear" w:pos="1440"/>
        </w:tabs>
        <w:ind w:left="0" w:firstLine="0"/>
        <w:rPr>
          <w:rFonts w:ascii="Calibri" w:cs="Calibri" w:hAnsi="Calibri" w:eastAsia="Calibri"/>
          <w:b w:val="0"/>
          <w:bCs w:val="0"/>
        </w:rPr>
      </w:pPr>
      <w:r>
        <w:rPr>
          <w:rFonts w:ascii="Calibri" w:cs="Calibri" w:hAnsi="Calibri" w:eastAsia="Calibri"/>
          <w:b w:val="0"/>
          <w:bCs w:val="0"/>
          <w:rtl w:val="0"/>
          <w:lang w:val="en-US"/>
        </w:rPr>
        <w:t>At the end of the module you will be asked to complete a module evaluation form. Please refer to the learning outcomes when making your evaluation.</w:t>
      </w:r>
    </w:p>
    <w:p>
      <w:pPr>
        <w:pStyle w:val="heading"/>
        <w:tabs>
          <w:tab w:val="clear" w:pos="720"/>
          <w:tab w:val="clear" w:pos="1440"/>
        </w:tabs>
        <w:ind w:left="1843" w:hanging="1843"/>
        <w:jc w:val="both"/>
        <w:rPr>
          <w:rFonts w:ascii="Calibri" w:cs="Calibri" w:hAnsi="Calibri" w:eastAsia="Calibri"/>
        </w:rPr>
      </w:pPr>
      <w:r>
        <w:rPr>
          <w:rFonts w:ascii="Calibri" w:cs="Calibri" w:hAnsi="Calibri" w:eastAsia="Calibri"/>
          <w:rtl w:val="0"/>
          <w:lang w:val="da-DK"/>
        </w:rPr>
        <w:t>TIMETABLE</w:t>
      </w:r>
    </w:p>
    <w:p>
      <w:pPr>
        <w:pStyle w:val="heading"/>
        <w:tabs>
          <w:tab w:val="clear" w:pos="720"/>
          <w:tab w:val="clear" w:pos="1440"/>
        </w:tabs>
        <w:ind w:left="0" w:firstLine="0"/>
        <w:rPr>
          <w:rFonts w:ascii="Calibri" w:cs="Calibri" w:hAnsi="Calibri" w:eastAsia="Calibri"/>
        </w:rPr>
      </w:pPr>
      <w:r>
        <w:rPr>
          <w:rFonts w:ascii="Calibri" w:cs="Calibri" w:hAnsi="Calibri" w:eastAsia="Calibri"/>
          <w:b w:val="0"/>
          <w:bCs w:val="0"/>
          <w:rtl w:val="0"/>
          <w:lang w:val="en-US"/>
        </w:rPr>
        <w:t xml:space="preserve">The course runs throughout semester 1 and 2.  Although there are a set two hours in the week, this may change in order to accommodate special activities in the module. </w:t>
      </w:r>
    </w:p>
    <w:p>
      <w:pPr>
        <w:pStyle w:val="heading"/>
        <w:spacing w:before="0" w:after="0"/>
        <w:ind w:left="0" w:firstLine="0"/>
        <w:rPr>
          <w:rFonts w:ascii="Calibri" w:cs="Calibri" w:hAnsi="Calibri" w:eastAsia="Calibri"/>
        </w:rPr>
      </w:pPr>
    </w:p>
    <w:p>
      <w:pPr>
        <w:pStyle w:val="Body"/>
        <w:rPr>
          <w:rFonts w:ascii="Calibri" w:cs="Calibri" w:hAnsi="Calibri" w:eastAsia="Calibri"/>
          <w:b w:val="1"/>
          <w:bCs w:val="1"/>
        </w:rPr>
      </w:pPr>
      <w:r>
        <w:rPr>
          <w:rFonts w:ascii="Calibri" w:cs="Calibri" w:hAnsi="Calibri" w:eastAsia="Calibri"/>
          <w:b w:val="1"/>
          <w:bCs w:val="1"/>
          <w:rtl w:val="0"/>
          <w:lang w:val="en-US"/>
        </w:rPr>
        <w:t>KEY DATES</w:t>
      </w:r>
    </w:p>
    <w:p>
      <w:pPr>
        <w:pStyle w:val="Body"/>
        <w:rPr>
          <w:rFonts w:ascii="Calibri" w:cs="Calibri" w:hAnsi="Calibri" w:eastAsia="Calibri"/>
          <w:b w:val="1"/>
          <w:bCs w:val="1"/>
          <w:lang w:val="en-US"/>
        </w:rPr>
      </w:pPr>
    </w:p>
    <w:p>
      <w:pPr>
        <w:pStyle w:val="Body"/>
        <w:rPr>
          <w:rFonts w:ascii="Calibri" w:cs="Calibri" w:hAnsi="Calibri" w:eastAsia="Calibri"/>
          <w:b w:val="1"/>
          <w:bCs w:val="1"/>
          <w:lang w:val="en-US"/>
        </w:rPr>
      </w:pPr>
    </w:p>
    <w:tbl>
      <w:tblPr>
        <w:tblW w:w="104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
        <w:gridCol w:w="3524"/>
        <w:gridCol w:w="5944"/>
      </w:tblGrid>
      <w:tr>
        <w:tblPrEx>
          <w:shd w:val="clear" w:color="auto" w:fill="ced7e7"/>
        </w:tblPrEx>
        <w:trPr>
          <w:trHeight w:val="407"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b w:val="1"/>
                <w:bCs w:val="1"/>
                <w:rtl w:val="0"/>
              </w:rPr>
              <w:t>Week</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b w:val="1"/>
                <w:bCs w:val="1"/>
                <w:rtl w:val="0"/>
              </w:rPr>
              <w:t>Date</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b w:val="1"/>
                <w:bCs w:val="1"/>
                <w:rtl w:val="0"/>
              </w:rPr>
              <w:t>Improvisation</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2 October</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Analysis of form in music through listening sessions.</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2</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9 October</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Melodic development methods and rhythmic structures.</w:t>
            </w:r>
          </w:p>
        </w:tc>
      </w:tr>
      <w:tr>
        <w:tblPrEx>
          <w:shd w:val="clear" w:color="auto" w:fill="ced7e7"/>
        </w:tblPrEx>
        <w:trPr>
          <w:trHeight w:val="417"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3</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16 October</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Analysis of related scales and modality.</w:t>
            </w:r>
          </w:p>
        </w:tc>
      </w:tr>
      <w:tr>
        <w:tblPrEx>
          <w:shd w:val="clear" w:color="auto" w:fill="ced7e7"/>
        </w:tblPrEx>
        <w:trPr>
          <w:trHeight w:val="417"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4</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23 October</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Analysis of related scales and modality.</w:t>
            </w:r>
          </w:p>
        </w:tc>
      </w:tr>
      <w:tr>
        <w:tblPrEx>
          <w:shd w:val="clear" w:color="auto" w:fill="ced7e7"/>
        </w:tblPrEx>
        <w:trPr>
          <w:trHeight w:val="417"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5</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30 October</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Feedback / Tutorial Week</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6</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6 November</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Analysis of interplay between musicians through listening sessions.</w:t>
            </w:r>
          </w:p>
        </w:tc>
      </w:tr>
      <w:tr>
        <w:tblPrEx>
          <w:shd w:val="clear" w:color="auto" w:fill="ced7e7"/>
        </w:tblPrEx>
        <w:trPr>
          <w:trHeight w:val="417"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7</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13 November</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Further analysis of rhythmic structures.</w:t>
            </w:r>
          </w:p>
        </w:tc>
      </w:tr>
      <w:tr>
        <w:tblPrEx>
          <w:shd w:val="clear" w:color="auto" w:fill="ced7e7"/>
        </w:tblPrEx>
        <w:trPr>
          <w:trHeight w:val="417"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8</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20 November</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 xml:space="preserve">Theory of chord substitution. </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9</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27 November</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Application of harmonic, melodic and rhythmic aspects through live playing.</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10</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4 December</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Application of harmonic, melodic and rhythmic aspects through live playing.</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11</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11 December</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Application of harmonic, melodic and rhythmic aspects through live playing.</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12</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8 January</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Application of harmonic, melodic and rhythmic aspects through live playing.</w:t>
            </w:r>
          </w:p>
        </w:tc>
      </w:tr>
      <w:tr>
        <w:tblPrEx>
          <w:shd w:val="clear" w:color="auto" w:fill="ced7e7"/>
        </w:tblPrEx>
        <w:trPr>
          <w:trHeight w:val="417" w:hRule="atLeast"/>
        </w:trPr>
        <w:tc>
          <w:tcPr>
            <w:tcW w:type="dxa" w:w="1046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tl w:val="0"/>
              </w:rPr>
            </w:pPr>
            <w:r>
              <w:rPr>
                <w:rFonts w:ascii="Calibri" w:cs="Calibri" w:hAnsi="Calibri" w:eastAsia="Calibri"/>
                <w:b w:val="1"/>
                <w:bCs w:val="1"/>
                <w:rtl w:val="0"/>
              </w:rPr>
              <w:t>Semester 2</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29 January</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Performance/Presentation Assignment 1 of 2</w:t>
            </w:r>
          </w:p>
        </w:tc>
      </w:tr>
      <w:tr>
        <w:tblPrEx>
          <w:shd w:val="clear" w:color="auto" w:fill="ced7e7"/>
        </w:tblPrEx>
        <w:trPr>
          <w:trHeight w:val="417"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2</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5 February</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Analysis of irregular form.</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3</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12 February</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Repetition, inversion and sequencing methods based on complex harmony.</w:t>
            </w:r>
          </w:p>
        </w:tc>
      </w:tr>
      <w:tr>
        <w:tblPrEx>
          <w:shd w:val="clear" w:color="auto" w:fill="ced7e7"/>
        </w:tblPrEx>
        <w:trPr>
          <w:trHeight w:val="417"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4</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19 February</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Interplay between musicians.</w:t>
            </w:r>
          </w:p>
        </w:tc>
      </w:tr>
      <w:tr>
        <w:tblPrEx>
          <w:shd w:val="clear" w:color="auto" w:fill="ced7e7"/>
        </w:tblPrEx>
        <w:trPr>
          <w:trHeight w:val="417"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5</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26 February</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Feedback / Tutorial Week</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6</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5 March</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Discussion and demonstration of musical styles and genres,</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7</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12 March</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Performance/Presentation Assignment 2of 2</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8</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19 March</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Application of harmonic, melodic and rhythmic aspects through live playing.</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9</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26 March</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Application of harmonic, melodic and rhythmic aspects through live playing.</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10</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2 April</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Application of harmonic, melodic and rhythmic aspects through live playing.</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11</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9 April</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Application of harmonic, melodic and rhythmic aspects through live playing.</w:t>
            </w:r>
          </w:p>
        </w:tc>
      </w:tr>
      <w:tr>
        <w:tblPrEx>
          <w:shd w:val="clear" w:color="auto" w:fill="ced7e7"/>
        </w:tblPrEx>
        <w:trPr>
          <w:trHeight w:val="570" w:hRule="atLeast"/>
        </w:trPr>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12</w:t>
            </w:r>
          </w:p>
        </w:tc>
        <w:tc>
          <w:tcPr>
            <w:tcW w:type="dxa" w:w="3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Calibri" w:cs="Calibri" w:hAnsi="Calibri" w:eastAsia="Calibri"/>
                <w:rtl w:val="0"/>
              </w:rPr>
              <w:t>16 April</w:t>
            </w:r>
          </w:p>
        </w:tc>
        <w:tc>
          <w:tcPr>
            <w:tcW w:type="dxa" w:w="59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Application of harmonic, melodic and rhythmic aspects through live playing.</w:t>
            </w:r>
          </w:p>
        </w:tc>
      </w:tr>
    </w:tbl>
    <w:p>
      <w:pPr>
        <w:pStyle w:val="Body"/>
        <w:widowControl w:val="0"/>
        <w:rPr>
          <w:rFonts w:ascii="Calibri" w:cs="Calibri" w:hAnsi="Calibri" w:eastAsia="Calibri"/>
          <w:b w:val="1"/>
          <w:bCs w:val="1"/>
          <w:lang w:val="en-US"/>
        </w:rPr>
      </w:pPr>
    </w:p>
    <w:p>
      <w:pPr>
        <w:pStyle w:val="heading"/>
        <w:ind w:left="360" w:firstLine="0"/>
        <w:rPr>
          <w:rFonts w:ascii="Calibri" w:cs="Calibri" w:hAnsi="Calibri" w:eastAsia="Calibri"/>
          <w:b w:val="0"/>
          <w:bCs w:val="0"/>
        </w:rPr>
      </w:pPr>
    </w:p>
    <w:p>
      <w:pPr>
        <w:pStyle w:val="heading"/>
        <w:ind w:left="360" w:firstLine="0"/>
        <w:rPr>
          <w:rFonts w:ascii="Calibri" w:cs="Calibri" w:hAnsi="Calibri" w:eastAsia="Calibri"/>
          <w:b w:val="0"/>
          <w:bCs w:val="0"/>
        </w:rPr>
      </w:pPr>
    </w:p>
    <w:p>
      <w:pPr>
        <w:pStyle w:val="Body"/>
        <w:rPr>
          <w:rFonts w:ascii="Calibri" w:cs="Calibri" w:hAnsi="Calibri" w:eastAsia="Calibri"/>
        </w:rPr>
      </w:pPr>
    </w:p>
    <w:p>
      <w:pPr>
        <w:pStyle w:val="Body"/>
        <w:rPr>
          <w:rFonts w:ascii="Calibri" w:cs="Calibri" w:hAnsi="Calibri" w:eastAsia="Calibri"/>
          <w:b w:val="1"/>
          <w:bCs w:val="1"/>
        </w:rPr>
      </w:pPr>
    </w:p>
    <w:p>
      <w:pPr>
        <w:pStyle w:val="Body"/>
      </w:pPr>
      <w:r>
        <w:rPr>
          <w:rFonts w:ascii="Calibri" w:cs="Calibri" w:hAnsi="Calibri" w:eastAsia="Calibri"/>
        </w:rPr>
        <w:br w:type="page"/>
      </w:r>
    </w:p>
    <w:p>
      <w:pPr>
        <w:pStyle w:val="heading"/>
        <w:spacing w:before="0" w:after="0"/>
        <w:ind w:left="0" w:firstLine="0"/>
        <w:rPr>
          <w:rFonts w:ascii="Calibri" w:cs="Calibri" w:hAnsi="Calibri" w:eastAsia="Calibri"/>
        </w:rPr>
      </w:pPr>
      <w:r>
        <w:rPr>
          <w:rFonts w:ascii="Calibri" w:cs="Calibri" w:hAnsi="Calibri" w:eastAsia="Calibri"/>
          <w:rtl w:val="0"/>
        </w:rPr>
        <w:t>BIBLIOGRAPHY</w:t>
      </w:r>
    </w:p>
    <w:p>
      <w:pPr>
        <w:pStyle w:val="heading"/>
        <w:spacing w:before="0" w:after="0"/>
        <w:ind w:left="0" w:firstLine="0"/>
        <w:rPr>
          <w:rFonts w:ascii="Calibri" w:cs="Calibri" w:hAnsi="Calibri" w:eastAsia="Calibri"/>
        </w:rPr>
      </w:pPr>
    </w:p>
    <w:p>
      <w:pPr>
        <w:pStyle w:val="heading"/>
        <w:spacing w:before="0" w:after="0"/>
        <w:rPr>
          <w:rFonts w:ascii="Calibri" w:cs="Calibri" w:hAnsi="Calibri" w:eastAsia="Calibri"/>
        </w:rPr>
      </w:pPr>
      <w:r>
        <w:rPr>
          <w:rFonts w:ascii="Calibri" w:cs="Calibri" w:hAnsi="Calibri" w:eastAsia="Calibri"/>
          <w:rtl w:val="0"/>
          <w:lang w:val="en-US"/>
        </w:rPr>
        <w:t>Essential</w:t>
      </w:r>
    </w:p>
    <w:p>
      <w:pPr>
        <w:pStyle w:val="Body"/>
        <w:spacing w:after="240"/>
        <w:rPr>
          <w:rFonts w:ascii="Calibri" w:cs="Calibri" w:hAnsi="Calibri" w:eastAsia="Calibri"/>
        </w:rPr>
      </w:pPr>
      <w:r>
        <w:rPr>
          <w:rFonts w:ascii="Calibri" w:cs="Calibri" w:hAnsi="Calibri" w:eastAsia="Calibri"/>
          <w:rtl w:val="0"/>
          <w:lang w:val="en-US"/>
        </w:rPr>
        <w:t>Solis, G and Nettl, B (eds.) (2009) Musical improvisation: art, education, and society. Illinois</w:t>
      </w:r>
    </w:p>
    <w:p>
      <w:pPr>
        <w:pStyle w:val="Body"/>
        <w:spacing w:after="240"/>
        <w:rPr>
          <w:rFonts w:ascii="Calibri" w:cs="Calibri" w:hAnsi="Calibri" w:eastAsia="Calibri"/>
        </w:rPr>
      </w:pPr>
      <w:r>
        <w:rPr>
          <w:rFonts w:ascii="Calibri" w:cs="Calibri" w:hAnsi="Calibri" w:eastAsia="Calibri"/>
          <w:rtl w:val="0"/>
          <w:lang w:val="en-US"/>
        </w:rPr>
        <w:t>Nettl, B with Russell, M (eds.) (1998) In the course of performance: studies in the world of musical improvisation. Chicago</w:t>
      </w:r>
    </w:p>
    <w:p>
      <w:pPr>
        <w:pStyle w:val="heading"/>
        <w:spacing w:before="0" w:after="0"/>
        <w:rPr>
          <w:rFonts w:ascii="Calibri" w:cs="Calibri" w:hAnsi="Calibri" w:eastAsia="Calibri"/>
        </w:rPr>
      </w:pPr>
      <w:r>
        <w:rPr>
          <w:rFonts w:ascii="Calibri" w:cs="Calibri" w:hAnsi="Calibri" w:eastAsia="Calibri"/>
          <w:rtl w:val="0"/>
          <w:lang w:val="en-US"/>
        </w:rPr>
        <w:t>Recommended</w:t>
      </w:r>
    </w:p>
    <w:p>
      <w:pPr>
        <w:pStyle w:val="Body"/>
        <w:spacing w:after="240"/>
        <w:rPr>
          <w:rFonts w:ascii="Calibri" w:cs="Calibri" w:hAnsi="Calibri" w:eastAsia="Calibri"/>
        </w:rPr>
      </w:pPr>
      <w:r>
        <w:rPr>
          <w:rFonts w:ascii="Calibri" w:cs="Calibri" w:hAnsi="Calibri" w:eastAsia="Calibri"/>
          <w:rtl w:val="0"/>
          <w:lang w:val="en-US"/>
        </w:rPr>
        <w:t>Aebersold, J (1992) Maiden voyage: a new approach to jazz improvisation (Vol.54). Aebersold</w:t>
      </w:r>
    </w:p>
    <w:p>
      <w:pPr>
        <w:pStyle w:val="Body"/>
        <w:spacing w:after="240"/>
        <w:rPr>
          <w:rFonts w:ascii="Calibri" w:cs="Calibri" w:hAnsi="Calibri" w:eastAsia="Calibri"/>
        </w:rPr>
      </w:pPr>
      <w:r>
        <w:rPr>
          <w:rFonts w:ascii="Calibri" w:cs="Calibri" w:hAnsi="Calibri" w:eastAsia="Calibri"/>
          <w:rtl w:val="0"/>
          <w:lang w:val="en-US"/>
        </w:rPr>
        <w:t>Bailey, D (1993) Improvisation: Its nature and practice in music. Da Capo Press Benson, B (2003) The improvisation of musical dialogue: a phenomenology of music. Cambridge</w:t>
      </w:r>
    </w:p>
    <w:p>
      <w:pPr>
        <w:pStyle w:val="Body"/>
        <w:spacing w:after="240"/>
        <w:rPr>
          <w:rFonts w:ascii="Calibri" w:cs="Calibri" w:hAnsi="Calibri" w:eastAsia="Calibri"/>
        </w:rPr>
      </w:pPr>
      <w:r>
        <w:rPr>
          <w:rFonts w:ascii="Calibri" w:cs="Calibri" w:hAnsi="Calibri" w:eastAsia="Calibri"/>
          <w:rtl w:val="0"/>
          <w:lang w:val="en-US"/>
        </w:rPr>
        <w:t>Bergonzi, J (1992) Melodic Structures: Volume one of inside improvisation series. Advance Music</w:t>
      </w:r>
    </w:p>
    <w:p>
      <w:pPr>
        <w:pStyle w:val="Body"/>
        <w:spacing w:after="240"/>
        <w:rPr>
          <w:rFonts w:ascii="Calibri" w:cs="Calibri" w:hAnsi="Calibri" w:eastAsia="Calibri"/>
        </w:rPr>
      </w:pPr>
      <w:r>
        <w:rPr>
          <w:rFonts w:ascii="Calibri" w:cs="Calibri" w:hAnsi="Calibri" w:eastAsia="Calibri"/>
          <w:rtl w:val="0"/>
          <w:lang w:val="en-US"/>
        </w:rPr>
        <w:t>Berliner, P (1994) Thinking in jazz: the infinite art of improvisation. Chicago Coker, J (1964) Improvising Jazz. Simon &amp; Schuster</w:t>
      </w:r>
    </w:p>
    <w:p>
      <w:pPr>
        <w:pStyle w:val="Body"/>
        <w:spacing w:after="240"/>
        <w:rPr>
          <w:rFonts w:ascii="Calibri" w:cs="Calibri" w:hAnsi="Calibri" w:eastAsia="Calibri"/>
        </w:rPr>
      </w:pPr>
      <w:r>
        <w:rPr>
          <w:rFonts w:ascii="Calibri" w:cs="Calibri" w:hAnsi="Calibri" w:eastAsia="Calibri"/>
          <w:rtl w:val="0"/>
          <w:lang w:val="en-US"/>
        </w:rPr>
        <w:t>Green, B (1987) The inner game of music. Pan Books</w:t>
      </w:r>
    </w:p>
    <w:p>
      <w:pPr>
        <w:pStyle w:val="Body"/>
        <w:spacing w:after="240"/>
        <w:rPr>
          <w:rFonts w:ascii="Calibri" w:cs="Calibri" w:hAnsi="Calibri" w:eastAsia="Calibri"/>
        </w:rPr>
      </w:pPr>
      <w:r>
        <w:rPr>
          <w:rFonts w:ascii="Calibri" w:cs="Calibri" w:hAnsi="Calibri" w:eastAsia="Calibri"/>
          <w:rtl w:val="0"/>
          <w:lang w:val="en-US"/>
        </w:rPr>
        <w:t>Grigson, L (1988) Practical jazz: a step-by-step guide. Stainer &amp; Bell Levine, M (1995) The Jazz Theory Book. Sher Music</w:t>
      </w:r>
    </w:p>
    <w:p>
      <w:pPr>
        <w:pStyle w:val="Body"/>
        <w:spacing w:after="240"/>
        <w:rPr>
          <w:rFonts w:ascii="Calibri" w:cs="Calibri" w:hAnsi="Calibri" w:eastAsia="Calibri"/>
        </w:rPr>
      </w:pPr>
      <w:r>
        <w:rPr>
          <w:rFonts w:ascii="Calibri" w:cs="Calibri" w:hAnsi="Calibri" w:eastAsia="Calibri"/>
          <w:rtl w:val="0"/>
          <w:lang w:val="en-US"/>
        </w:rPr>
        <w:t>Monson, I (1996) Saying something: jazz improvisation and interaction. Chicago Sloboda, J (2000) Generative processes in music: the psychology of performance, improvisation and composition. Clarendon</w:t>
      </w:r>
    </w:p>
    <w:p>
      <w:pPr>
        <w:pStyle w:val="Body"/>
        <w:spacing w:after="240"/>
        <w:rPr>
          <w:rFonts w:ascii="Calibri" w:cs="Calibri" w:hAnsi="Calibri" w:eastAsia="Calibri"/>
        </w:rPr>
      </w:pPr>
      <w:r>
        <w:rPr>
          <w:rFonts w:ascii="Calibri" w:cs="Calibri" w:hAnsi="Calibri" w:eastAsia="Calibri"/>
          <w:rtl w:val="0"/>
          <w:lang w:val="en-US"/>
        </w:rPr>
        <w:t>Sloboda, J (1986) The Musical Mind: The cognitive Psychology of Music. Oxford Sudnow, D (1993) Ways of the hand: the organisation of improvised conduct. MIT Press</w:t>
      </w:r>
    </w:p>
    <w:p>
      <w:pPr>
        <w:pStyle w:val="heading"/>
        <w:spacing w:before="0" w:after="0"/>
        <w:rPr>
          <w:rFonts w:ascii="Calibri" w:cs="Calibri" w:hAnsi="Calibri" w:eastAsia="Calibri"/>
        </w:rPr>
      </w:pPr>
      <w:r>
        <w:rPr>
          <w:rFonts w:ascii="Calibri" w:cs="Calibri" w:hAnsi="Calibri" w:eastAsia="Calibri"/>
          <w:rtl w:val="0"/>
          <w:lang w:val="en-US"/>
        </w:rPr>
        <w:t xml:space="preserve">Journals </w:t>
      </w:r>
    </w:p>
    <w:p>
      <w:pPr>
        <w:pStyle w:val="Body"/>
        <w:rPr>
          <w:rFonts w:ascii="Calibri" w:cs="Calibri" w:hAnsi="Calibri" w:eastAsia="Calibri"/>
        </w:rPr>
      </w:pPr>
      <w:r>
        <w:rPr>
          <w:rFonts w:ascii="Calibri" w:cs="Calibri" w:hAnsi="Calibri" w:eastAsia="Calibri"/>
          <w:rtl w:val="0"/>
          <w:lang w:val="en-US"/>
        </w:rPr>
        <w:t>Popular Music</w:t>
      </w:r>
    </w:p>
    <w:p>
      <w:pPr>
        <w:pStyle w:val="Body"/>
        <w:rPr>
          <w:rFonts w:ascii="Calibri" w:cs="Calibri" w:hAnsi="Calibri" w:eastAsia="Calibri"/>
        </w:rPr>
      </w:pPr>
      <w:r>
        <w:rPr>
          <w:rFonts w:ascii="Calibri" w:cs="Calibri" w:hAnsi="Calibri" w:eastAsia="Calibri"/>
          <w:rtl w:val="0"/>
          <w:lang w:val="en-US"/>
        </w:rPr>
        <w:t>Journal of research in music education Jazz UK</w:t>
      </w:r>
    </w:p>
    <w:p>
      <w:pPr>
        <w:pStyle w:val="Body"/>
        <w:rPr>
          <w:rFonts w:ascii="Calibri" w:cs="Calibri" w:hAnsi="Calibri" w:eastAsia="Calibri"/>
        </w:rPr>
      </w:pPr>
      <w:r>
        <w:rPr>
          <w:rFonts w:ascii="Calibri" w:cs="Calibri" w:hAnsi="Calibri" w:eastAsia="Calibri"/>
          <w:rtl w:val="0"/>
        </w:rPr>
        <w:t>Jazzwise</w:t>
      </w:r>
    </w:p>
    <w:p>
      <w:pPr>
        <w:pStyle w:val="Body"/>
        <w:rPr>
          <w:rFonts w:ascii="Calibri" w:cs="Calibri" w:hAnsi="Calibri" w:eastAsia="Calibri"/>
        </w:rPr>
      </w:pPr>
      <w:r>
        <w:rPr>
          <w:rFonts w:ascii="Calibri" w:cs="Calibri" w:hAnsi="Calibri" w:eastAsia="Calibri"/>
          <w:rtl w:val="0"/>
          <w:lang w:val="fr-FR"/>
        </w:rPr>
        <w:t>Jazz journal International</w:t>
      </w:r>
    </w:p>
    <w:p>
      <w:pPr>
        <w:pStyle w:val="Body"/>
        <w:rPr>
          <w:rFonts w:ascii="Calibri" w:cs="Calibri" w:hAnsi="Calibri" w:eastAsia="Calibri"/>
        </w:rPr>
      </w:pPr>
    </w:p>
    <w:p>
      <w:pPr>
        <w:pStyle w:val="heading"/>
        <w:spacing w:before="0" w:after="0"/>
        <w:rPr>
          <w:rFonts w:ascii="Calibri" w:cs="Calibri" w:hAnsi="Calibri" w:eastAsia="Calibri"/>
        </w:rPr>
      </w:pPr>
      <w:r>
        <w:rPr>
          <w:rFonts w:ascii="Calibri" w:cs="Calibri" w:hAnsi="Calibri" w:eastAsia="Calibri"/>
          <w:rtl w:val="0"/>
          <w:lang w:val="en-US"/>
        </w:rPr>
        <w:t xml:space="preserve">Websites </w:t>
      </w:r>
    </w:p>
    <w:p>
      <w:pPr>
        <w:pStyle w:val="Body"/>
        <w:widowControl w:val="0"/>
        <w:rPr>
          <w:rFonts w:ascii="Calibri" w:cs="Calibri" w:hAnsi="Calibri" w:eastAsia="Calibri"/>
        </w:rPr>
      </w:pPr>
      <w:r>
        <w:rPr>
          <w:rStyle w:val="Hyperlink.1"/>
        </w:rPr>
        <w:fldChar w:fldCharType="begin" w:fldLock="0"/>
      </w:r>
      <w:r>
        <w:rPr>
          <w:rStyle w:val="Hyperlink.1"/>
        </w:rPr>
        <w:instrText xml:space="preserve"> HYPERLINK "http://www.jazzservices.org.uk"</w:instrText>
      </w:r>
      <w:r>
        <w:rPr>
          <w:rStyle w:val="Hyperlink.1"/>
        </w:rPr>
        <w:fldChar w:fldCharType="separate" w:fldLock="0"/>
      </w:r>
      <w:r>
        <w:rPr>
          <w:rStyle w:val="Hyperlink.1"/>
          <w:rtl w:val="0"/>
        </w:rPr>
        <w:t>www.jazzservices.org.uk</w:t>
      </w:r>
      <w:r>
        <w:rPr/>
        <w:fldChar w:fldCharType="end" w:fldLock="0"/>
      </w:r>
    </w:p>
    <w:p>
      <w:pPr>
        <w:pStyle w:val="Body"/>
        <w:widowControl w:val="0"/>
        <w:rPr>
          <w:rFonts w:ascii="Calibri" w:cs="Calibri" w:hAnsi="Calibri" w:eastAsia="Calibri"/>
        </w:rPr>
      </w:pPr>
      <w:r>
        <w:rPr>
          <w:rStyle w:val="Hyperlink.1"/>
        </w:rPr>
        <w:fldChar w:fldCharType="begin" w:fldLock="0"/>
      </w:r>
      <w:r>
        <w:rPr>
          <w:rStyle w:val="Hyperlink.1"/>
        </w:rPr>
        <w:instrText xml:space="preserve"> HYPERLINK "http://www.cadensa.bl.uk"</w:instrText>
      </w:r>
      <w:r>
        <w:rPr>
          <w:rStyle w:val="Hyperlink.1"/>
        </w:rPr>
        <w:fldChar w:fldCharType="separate" w:fldLock="0"/>
      </w:r>
      <w:r>
        <w:rPr>
          <w:rStyle w:val="Hyperlink.1"/>
          <w:rtl w:val="0"/>
        </w:rPr>
        <w:t>www.cadensa.bl.uk</w:t>
      </w:r>
      <w:r>
        <w:rPr/>
        <w:fldChar w:fldCharType="end" w:fldLock="0"/>
      </w:r>
    </w:p>
    <w:p>
      <w:pPr>
        <w:pStyle w:val="Body"/>
        <w:widowControl w:val="0"/>
        <w:rPr>
          <w:rFonts w:ascii="Calibri" w:cs="Calibri" w:hAnsi="Calibri" w:eastAsia="Calibri"/>
        </w:rPr>
      </w:pPr>
      <w:r>
        <w:rPr>
          <w:rStyle w:val="Hyperlink.1"/>
        </w:rPr>
        <w:fldChar w:fldCharType="begin" w:fldLock="0"/>
      </w:r>
      <w:r>
        <w:rPr>
          <w:rStyle w:val="Hyperlink.1"/>
        </w:rPr>
        <w:instrText xml:space="preserve"> HYPERLINK "http://www.legacyweb.rcm.ac.uk/cache/fl0026838.pdf"</w:instrText>
      </w:r>
      <w:r>
        <w:rPr>
          <w:rStyle w:val="Hyperlink.1"/>
        </w:rPr>
        <w:fldChar w:fldCharType="separate" w:fldLock="0"/>
      </w:r>
      <w:r>
        <w:rPr>
          <w:rStyle w:val="Hyperlink.1"/>
          <w:rtl w:val="0"/>
        </w:rPr>
        <w:t>http://www.legacyweb.rcm.ac.uk/cache/fl0026838.pdf</w:t>
      </w:r>
      <w:r>
        <w:rPr/>
        <w:fldChar w:fldCharType="end" w:fldLock="0"/>
      </w:r>
    </w:p>
    <w:p>
      <w:pPr>
        <w:pStyle w:val="Body"/>
        <w:rPr>
          <w:rFonts w:ascii="Calibri" w:cs="Calibri" w:hAnsi="Calibri" w:eastAsia="Calibri"/>
          <w:b w:val="1"/>
          <w:bCs w:val="1"/>
          <w:lang w:val="en-US"/>
        </w:rPr>
      </w:pPr>
    </w:p>
    <w:p>
      <w:pPr>
        <w:pStyle w:val="Body"/>
        <w:rPr>
          <w:rFonts w:ascii="Calibri" w:cs="Calibri" w:hAnsi="Calibri" w:eastAsia="Calibri"/>
          <w:b w:val="1"/>
          <w:bCs w:val="1"/>
          <w:lang w:val="en-US"/>
        </w:rPr>
      </w:pPr>
    </w:p>
    <w:p>
      <w:pPr>
        <w:pStyle w:val="Body"/>
        <w:rPr>
          <w:rFonts w:ascii="Calibri" w:cs="Calibri" w:hAnsi="Calibri" w:eastAsia="Calibri"/>
          <w:b w:val="1"/>
          <w:bCs w:val="1"/>
          <w:lang w:val="en-US"/>
        </w:rPr>
      </w:pPr>
    </w:p>
    <w:p>
      <w:pPr>
        <w:pStyle w:val="Body"/>
      </w:pPr>
      <w:r>
        <w:rPr>
          <w:rFonts w:ascii="Calibri" w:cs="Calibri" w:hAnsi="Calibri" w:eastAsia="Calibri"/>
          <w:b w:val="1"/>
          <w:bCs w:val="1"/>
          <w:lang w:val="en-US"/>
        </w:rPr>
      </w:r>
    </w:p>
    <w:sectPr>
      <w:headerReference w:type="default" r:id="rId6"/>
      <w:footerReference w:type="default" r:id="rId7"/>
      <w:pgSz w:w="11900" w:h="16840" w:orient="portrait"/>
      <w:pgMar w:top="720" w:right="720" w:bottom="720" w:left="720" w:header="706"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mbria">
    <w:charset w:val="00"/>
    <w:family w:val="roman"/>
    <w:pitch w:val="default"/>
  </w:font>
  <w:font w:name="Lucida Grand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footer"/>
      <w:jc w:val="center"/>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t>2</w:t>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t>6</w:t>
    </w:r>
    <w:r>
      <w:rPr>
        <w:b w:val="1"/>
        <w:bCs w:val="1"/>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ing">
    <w:name w:val="heading"/>
    <w:next w:val="heading"/>
    <w:pPr>
      <w:keepNext w:val="0"/>
      <w:keepLines w:val="0"/>
      <w:pageBreakBefore w:val="0"/>
      <w:widowControl w:val="1"/>
      <w:shd w:val="clear" w:color="auto" w:fill="auto"/>
      <w:tabs>
        <w:tab w:val="left" w:pos="720"/>
        <w:tab w:val="left" w:pos="1440"/>
        <w:tab w:val="left" w:pos="2160"/>
        <w:tab w:val="left" w:pos="2880"/>
      </w:tabs>
      <w:suppressAutoHyphens w:val="0"/>
      <w:bidi w:val="0"/>
      <w:spacing w:before="240" w:after="120" w:line="240" w:lineRule="auto"/>
      <w:ind w:left="3600" w:right="0" w:hanging="3600"/>
      <w:jc w:val="left"/>
      <w:outlineLvl w:val="9"/>
    </w:pPr>
    <w:rPr>
      <w:rFonts w:ascii="Cambria" w:cs="Cambria" w:hAnsi="Cambria" w:eastAsia="Cambria"/>
      <w:b w:val="1"/>
      <w:bCs w:val="1"/>
      <w:i w:val="0"/>
      <w:iCs w:val="0"/>
      <w:caps w:val="0"/>
      <w:smallCaps w:val="0"/>
      <w:strike w:val="0"/>
      <w:dstrike w:val="0"/>
      <w:outline w:val="0"/>
      <w:color w:val="000000"/>
      <w:spacing w:val="0"/>
      <w:kern w:val="0"/>
      <w:position w:val="0"/>
      <w:sz w:val="24"/>
      <w:szCs w:val="24"/>
      <w:u w:val="none" w:color="000000"/>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Pr>
  </w:style>
  <w:style w:type="character" w:styleId="Link">
    <w:name w:val="Link"/>
    <w:rPr>
      <w:rFonts w:ascii="Times New Roman" w:cs="Times New Roman" w:hAnsi="Times New Roman" w:eastAsia="Times New Roman"/>
      <w:b w:val="0"/>
      <w:bCs w:val="0"/>
      <w:i w:val="0"/>
      <w:iCs w:val="0"/>
      <w:color w:val="0000ff"/>
      <w:u w:val="single" w:color="0000ff"/>
    </w:rPr>
  </w:style>
  <w:style w:type="character" w:styleId="Hyperlink.0">
    <w:name w:val="Hyperlink.0"/>
    <w:basedOn w:val="Link"/>
    <w:next w:val="Hyperlink.0"/>
    <w:rPr>
      <w:rFonts w:ascii="Cambria" w:cs="Cambria" w:hAnsi="Cambria" w:eastAsia="Cambria"/>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numbering" w:styleId="Imported Style 1">
    <w:name w:val="Imported Style 1"/>
    <w:pPr>
      <w:numPr>
        <w:numId w:val="1"/>
      </w:numPr>
    </w:pPr>
  </w:style>
  <w:style w:type="paragraph" w:styleId="bullet">
    <w:name w:val="bullet"/>
    <w:next w:val="bullet"/>
    <w:pPr>
      <w:keepNext w:val="0"/>
      <w:keepLines w:val="0"/>
      <w:pageBreakBefore w:val="0"/>
      <w:widowControl w:val="1"/>
      <w:shd w:val="clear" w:color="auto" w:fill="auto"/>
      <w:suppressAutoHyphens w:val="0"/>
      <w:bidi w:val="0"/>
      <w:spacing w:before="120" w:after="0" w:line="240" w:lineRule="auto"/>
      <w:ind w:left="1004" w:right="0" w:hanging="284"/>
      <w:jc w:val="both"/>
      <w:outlineLvl w:val="9"/>
    </w:pPr>
    <w:rPr>
      <w:rFonts w:ascii="Cambria" w:cs="Cambria" w:hAnsi="Cambria" w:eastAsia="Cambria"/>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numbering" w:styleId="Imported Style 2">
    <w:name w:val="Imported Style 2"/>
    <w:pPr>
      <w:numPr>
        <w:numId w:val="3"/>
      </w:numPr>
    </w:pPr>
  </w:style>
  <w:style w:type="numbering" w:styleId="Imported Style 3">
    <w:name w:val="Imported Style 3"/>
    <w:pPr>
      <w:numPr>
        <w:numId w:val="5"/>
      </w:numPr>
    </w:pPr>
  </w:style>
  <w:style w:type="character" w:styleId="Hyperlink.1">
    <w:name w:val="Hyperlink.1"/>
    <w:basedOn w:val="Link"/>
    <w:next w:val="Hyperlink.1"/>
    <w:rPr>
      <w:rFonts w:ascii="Calibri" w:cs="Calibri" w:hAnsi="Calibri" w:eastAsia="Calibri"/>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