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6D7" w:rsidRDefault="00C106D7" w:rsidP="00C106D7">
      <w:r>
        <w:t xml:space="preserve">Dating </w:t>
      </w:r>
      <w:r w:rsidR="005F692A">
        <w:t xml:space="preserve">assignment - </w:t>
      </w:r>
      <w:r>
        <w:t>November 2020</w:t>
      </w:r>
    </w:p>
    <w:p w:rsidR="00C106D7" w:rsidRPr="00C106D7" w:rsidRDefault="00C106D7" w:rsidP="00C106D7">
      <w:pPr>
        <w:pStyle w:val="ListParagraph"/>
        <w:numPr>
          <w:ilvl w:val="0"/>
          <w:numId w:val="1"/>
        </w:numPr>
        <w:rPr>
          <w:i/>
        </w:rPr>
      </w:pPr>
      <w:r w:rsidRPr="00C106D7">
        <w:rPr>
          <w:i/>
        </w:rPr>
        <w:t>Memorandum that the Thursday after the Assumption of the Blessed Virgin Mary in the 8th year of King Richard II the abbot of Byland was accused in the wapentake court held at Pickering.</w:t>
      </w:r>
    </w:p>
    <w:p w:rsidR="00C106D7" w:rsidRDefault="00C106D7" w:rsidP="00C106D7">
      <w:pPr>
        <w:pStyle w:val="ListParagraph"/>
        <w:ind w:left="1100"/>
      </w:pPr>
    </w:p>
    <w:p w:rsidR="00C106D7" w:rsidRPr="007665B5" w:rsidRDefault="00C106D7" w:rsidP="00C106D7">
      <w:pPr>
        <w:pStyle w:val="ListParagraph"/>
        <w:ind w:left="1100"/>
        <w:rPr>
          <w:i/>
          <w:u w:val="single"/>
        </w:rPr>
      </w:pPr>
      <w:r w:rsidRPr="007665B5">
        <w:rPr>
          <w:i/>
          <w:u w:val="single"/>
        </w:rPr>
        <w:t>8th year of King Richard II</w:t>
      </w:r>
    </w:p>
    <w:p w:rsidR="007665B5" w:rsidRDefault="007665B5" w:rsidP="00C106D7">
      <w:pPr>
        <w:pStyle w:val="ListParagraph"/>
        <w:ind w:left="1100"/>
      </w:pPr>
    </w:p>
    <w:p w:rsidR="007665B5" w:rsidRDefault="007665B5" w:rsidP="00C106D7">
      <w:pPr>
        <w:pStyle w:val="ListParagraph"/>
        <w:ind w:left="1100"/>
      </w:pPr>
      <w:r>
        <w:t>Richard II acceded to the throne 22 June 1377</w:t>
      </w:r>
      <w:r w:rsidR="001375D9">
        <w:t xml:space="preserve"> and so the eighth</w:t>
      </w:r>
      <w:r w:rsidR="00E30FD1">
        <w:t xml:space="preserve"> regnal</w:t>
      </w:r>
      <w:r w:rsidR="001375D9">
        <w:t xml:space="preserve"> year would be the year commencing 22 June 1384</w:t>
      </w:r>
    </w:p>
    <w:p w:rsidR="00B95AA1" w:rsidRDefault="00B95AA1" w:rsidP="00C106D7">
      <w:pPr>
        <w:pStyle w:val="ListParagraph"/>
        <w:ind w:left="1100"/>
      </w:pPr>
    </w:p>
    <w:p w:rsidR="00B95AA1" w:rsidRDefault="00F64251" w:rsidP="001375D9">
      <w:pPr>
        <w:pStyle w:val="ListParagraph"/>
        <w:ind w:left="1440"/>
      </w:pPr>
      <w:r>
        <w:rPr>
          <w:u w:val="single"/>
        </w:rPr>
        <w:t xml:space="preserve">E. B Fryde; F. M Powicke, Handbook of British Chronology </w:t>
      </w:r>
      <w:r w:rsidR="00B95AA1" w:rsidRPr="001375D9">
        <w:rPr>
          <w:u w:val="single"/>
        </w:rPr>
        <w:t>3rd ed.</w:t>
      </w:r>
      <w:r>
        <w:rPr>
          <w:u w:val="single"/>
        </w:rPr>
        <w:t xml:space="preserve">                                     </w:t>
      </w:r>
      <w:r w:rsidR="00B95AA1" w:rsidRPr="001375D9">
        <w:rPr>
          <w:u w:val="single"/>
        </w:rPr>
        <w:t xml:space="preserve"> edited by E. B. Fryde  [et al.]. London : Royal Historical Society 1986</w:t>
      </w:r>
      <w:r>
        <w:rPr>
          <w:u w:val="single"/>
        </w:rPr>
        <w:t xml:space="preserve"> </w:t>
      </w:r>
      <w:r w:rsidR="00B95AA1" w:rsidRPr="001375D9">
        <w:rPr>
          <w:u w:val="single"/>
        </w:rPr>
        <w:t>pp. 36 -37</w:t>
      </w:r>
    </w:p>
    <w:p w:rsidR="007665B5" w:rsidRDefault="007665B5" w:rsidP="00C106D7">
      <w:pPr>
        <w:pStyle w:val="ListParagraph"/>
        <w:ind w:left="1100"/>
      </w:pPr>
    </w:p>
    <w:p w:rsidR="00C106D7" w:rsidRPr="0071233F" w:rsidRDefault="00C106D7" w:rsidP="00C106D7">
      <w:pPr>
        <w:ind w:left="1100"/>
        <w:rPr>
          <w:i/>
          <w:u w:val="single"/>
        </w:rPr>
      </w:pPr>
      <w:r w:rsidRPr="0071233F">
        <w:rPr>
          <w:i/>
          <w:u w:val="single"/>
        </w:rPr>
        <w:t>Assumption of the Blessed Virgin Mary</w:t>
      </w:r>
    </w:p>
    <w:p w:rsidR="00B95AA1" w:rsidRDefault="001375D9" w:rsidP="00C106D7">
      <w:pPr>
        <w:ind w:left="1100"/>
      </w:pPr>
      <w:r w:rsidRPr="001375D9">
        <w:t>The feast day of the Assumption of the Blessed Virgin Mary celebrates the belief that God assumed the Virgin Mary into Heaven following her death.</w:t>
      </w:r>
      <w:r>
        <w:t xml:space="preserve"> The date of this feast day is 15 August.</w:t>
      </w:r>
    </w:p>
    <w:p w:rsidR="00B95AA1" w:rsidRDefault="00E35F3E" w:rsidP="001375D9">
      <w:pPr>
        <w:ind w:left="1440"/>
        <w:rPr>
          <w:u w:val="single"/>
        </w:rPr>
      </w:pPr>
      <w:hyperlink r:id="rId5" w:history="1">
        <w:r w:rsidR="001375D9" w:rsidRPr="001375D9">
          <w:rPr>
            <w:rStyle w:val="Hyperlink"/>
          </w:rPr>
          <w:t>http://www.themcs.org/calendar.htm</w:t>
        </w:r>
      </w:hyperlink>
      <w:r w:rsidR="001375D9" w:rsidRPr="001375D9">
        <w:rPr>
          <w:u w:val="single"/>
        </w:rPr>
        <w:t xml:space="preserve"> (The Medieval Combat Society) [accessed 7 November 2020]</w:t>
      </w:r>
    </w:p>
    <w:p w:rsidR="00C106D7" w:rsidRDefault="00C106D7" w:rsidP="00C106D7">
      <w:pPr>
        <w:ind w:left="1100"/>
        <w:rPr>
          <w:u w:val="single"/>
        </w:rPr>
      </w:pPr>
      <w:r w:rsidRPr="0071233F">
        <w:rPr>
          <w:i/>
          <w:u w:val="single"/>
        </w:rPr>
        <w:t>Thursday after</w:t>
      </w:r>
      <w:r w:rsidR="001375D9" w:rsidRPr="001375D9">
        <w:rPr>
          <w:u w:val="single"/>
        </w:rPr>
        <w:t>…</w:t>
      </w:r>
    </w:p>
    <w:p w:rsidR="00F94F9A" w:rsidRPr="005F692A" w:rsidRDefault="00307E87" w:rsidP="00C106D7">
      <w:pPr>
        <w:ind w:left="1100"/>
        <w:rPr>
          <w:b/>
        </w:rPr>
      </w:pPr>
      <w:r w:rsidRPr="00307E87">
        <w:t>The sought date is the Thursday following 15 August 1384.</w:t>
      </w:r>
      <w:r>
        <w:t xml:space="preserve"> The moveable feast of Easter (Sunday) in the year 1384 was 10 April. </w:t>
      </w:r>
      <w:r w:rsidR="005F692A">
        <w:t xml:space="preserve">The projecting dates to August 1384, 15 August 1384 was a Monday and so the following Thursday, the </w:t>
      </w:r>
      <w:r w:rsidR="005F692A" w:rsidRPr="005F692A">
        <w:t>date given in the document</w:t>
      </w:r>
      <w:r w:rsidR="005F692A">
        <w:t>,</w:t>
      </w:r>
      <w:r w:rsidR="005F692A" w:rsidRPr="005F692A">
        <w:t xml:space="preserve"> is </w:t>
      </w:r>
      <w:r w:rsidR="005F692A" w:rsidRPr="000511AE">
        <w:rPr>
          <w:b/>
          <w:u w:val="single"/>
        </w:rPr>
        <w:t>18 August 1384</w:t>
      </w:r>
      <w:r w:rsidR="005F692A" w:rsidRPr="005F692A">
        <w:rPr>
          <w:b/>
        </w:rPr>
        <w:t>.</w:t>
      </w:r>
    </w:p>
    <w:p w:rsidR="00F94F9A" w:rsidRPr="00F64251" w:rsidRDefault="00F64251" w:rsidP="00F64251">
      <w:pPr>
        <w:ind w:left="1440"/>
        <w:rPr>
          <w:u w:val="single"/>
        </w:rPr>
      </w:pPr>
      <w:r w:rsidRPr="00F64251">
        <w:rPr>
          <w:u w:val="single"/>
        </w:rPr>
        <w:t>A Handbook of Dates for Students of British History; Revised ed.                                                         edited by C.R. Cheney</w:t>
      </w:r>
      <w:r w:rsidR="005F692A">
        <w:rPr>
          <w:u w:val="single"/>
        </w:rPr>
        <w:t>, revised by Michael Jones</w:t>
      </w:r>
      <w:r w:rsidRPr="00F64251">
        <w:rPr>
          <w:u w:val="single"/>
        </w:rPr>
        <w:t>. (Cambridge University Press 2000), p</w:t>
      </w:r>
      <w:r w:rsidR="005F692A">
        <w:rPr>
          <w:u w:val="single"/>
        </w:rPr>
        <w:t>p. 194-195</w:t>
      </w:r>
      <w:r w:rsidRPr="00F64251">
        <w:rPr>
          <w:u w:val="single"/>
        </w:rPr>
        <w:t xml:space="preserve"> </w:t>
      </w:r>
    </w:p>
    <w:p w:rsidR="00C106D7" w:rsidRDefault="00C106D7" w:rsidP="00C106D7"/>
    <w:p w:rsidR="00C106D7" w:rsidRPr="00F94F9A" w:rsidRDefault="00F94F9A" w:rsidP="00F94F9A">
      <w:pPr>
        <w:ind w:left="1134" w:hanging="1134"/>
        <w:rPr>
          <w:i/>
        </w:rPr>
      </w:pPr>
      <w:r>
        <w:t xml:space="preserve">       </w:t>
      </w:r>
      <w:r w:rsidR="00C106D7">
        <w:t xml:space="preserve">(b)  </w:t>
      </w:r>
      <w:r>
        <w:t xml:space="preserve">         </w:t>
      </w:r>
      <w:r w:rsidR="00C106D7" w:rsidRPr="00F94F9A">
        <w:rPr>
          <w:i/>
        </w:rPr>
        <w:t>Confirmation by Bishop Anian of St Asaph of the charters for Shrewsbury Abbey issued by his predecessors Bishops Reiner, Abraham, and Hugh. Given at Shrewsbury the day after St Mary Magdalene in the first year of his pontificate.</w:t>
      </w:r>
    </w:p>
    <w:p w:rsidR="00C106D7" w:rsidRDefault="005F692A" w:rsidP="00382B6A">
      <w:pPr>
        <w:ind w:left="1134"/>
        <w:rPr>
          <w:i/>
          <w:u w:val="single"/>
        </w:rPr>
      </w:pPr>
      <w:r w:rsidRPr="005F692A">
        <w:rPr>
          <w:i/>
          <w:u w:val="single"/>
        </w:rPr>
        <w:t>Bishop Anian of St Asaph</w:t>
      </w:r>
      <w:r>
        <w:rPr>
          <w:i/>
          <w:u w:val="single"/>
        </w:rPr>
        <w:t xml:space="preserve"> (</w:t>
      </w:r>
      <w:r w:rsidRPr="005F692A">
        <w:rPr>
          <w:i/>
          <w:u w:val="single"/>
        </w:rPr>
        <w:t>predecessors Bishops Reiner, Abraham, and Hugh</w:t>
      </w:r>
      <w:r>
        <w:rPr>
          <w:i/>
          <w:u w:val="single"/>
        </w:rPr>
        <w:t>)</w:t>
      </w:r>
    </w:p>
    <w:p w:rsidR="003C5BDD" w:rsidRPr="003C5BDD" w:rsidRDefault="003C5BDD" w:rsidP="00382B6A">
      <w:pPr>
        <w:ind w:left="1134"/>
      </w:pPr>
      <w:r>
        <w:t>Online research shows that there were two Bishops of St Asaph named Anian (</w:t>
      </w:r>
      <w:r w:rsidRPr="003C5BDD">
        <w:rPr>
          <w:i/>
        </w:rPr>
        <w:t>Einion</w:t>
      </w:r>
      <w:r>
        <w:t>) in the thirteenth century. However, the listed predecessors to Bishop Anian indicate that the document relates</w:t>
      </w:r>
      <w:r w:rsidR="00E432D6">
        <w:t xml:space="preserve"> to the first Anian</w:t>
      </w:r>
      <w:r w:rsidR="00DB27CA">
        <w:t xml:space="preserve"> (of course</w:t>
      </w:r>
      <w:r w:rsidR="00E432D6">
        <w:t xml:space="preserve">, </w:t>
      </w:r>
      <w:r w:rsidR="00DB27CA" w:rsidRPr="00DB27CA">
        <w:t>Reiner, Abraham, and Hugh</w:t>
      </w:r>
      <w:r w:rsidR="00DB27CA">
        <w:t xml:space="preserve"> would also have been Anian II’s ‘predecessors’, but the omission of the first Anian and John II from the list, indicates that the document refers to Anian I)</w:t>
      </w:r>
    </w:p>
    <w:p w:rsidR="00BB201B" w:rsidRPr="00BB201B" w:rsidRDefault="00BB201B" w:rsidP="00E432D6">
      <w:pPr>
        <w:ind w:left="1440"/>
        <w:rPr>
          <w:i/>
          <w:u w:val="single"/>
        </w:rPr>
      </w:pPr>
      <w:r w:rsidRPr="00BB201B">
        <w:rPr>
          <w:i/>
          <w:u w:val="single"/>
        </w:rPr>
        <w:t>1186</w:t>
      </w:r>
      <w:r w:rsidRPr="00BB201B">
        <w:rPr>
          <w:i/>
          <w:u w:val="single"/>
        </w:rPr>
        <w:tab/>
        <w:t>c. 1224</w:t>
      </w:r>
      <w:r w:rsidRPr="00BB201B">
        <w:rPr>
          <w:i/>
          <w:u w:val="single"/>
        </w:rPr>
        <w:tab/>
        <w:t>Reiner</w:t>
      </w:r>
    </w:p>
    <w:p w:rsidR="00BB201B" w:rsidRPr="00BB201B" w:rsidRDefault="00BB201B" w:rsidP="00E432D6">
      <w:pPr>
        <w:ind w:left="1440"/>
        <w:rPr>
          <w:i/>
          <w:u w:val="single"/>
        </w:rPr>
      </w:pPr>
      <w:r w:rsidRPr="00BB201B">
        <w:rPr>
          <w:i/>
          <w:u w:val="single"/>
        </w:rPr>
        <w:t>1225</w:t>
      </w:r>
      <w:r w:rsidRPr="00BB201B">
        <w:rPr>
          <w:i/>
          <w:u w:val="single"/>
        </w:rPr>
        <w:tab/>
        <w:t>c. 1233</w:t>
      </w:r>
      <w:r w:rsidRPr="00BB201B">
        <w:rPr>
          <w:i/>
          <w:u w:val="single"/>
        </w:rPr>
        <w:tab/>
        <w:t>Abraham</w:t>
      </w:r>
    </w:p>
    <w:p w:rsidR="00E432D6" w:rsidRDefault="00BB201B" w:rsidP="00E432D6">
      <w:pPr>
        <w:ind w:left="1440"/>
        <w:rPr>
          <w:i/>
          <w:u w:val="single"/>
        </w:rPr>
      </w:pPr>
      <w:r w:rsidRPr="00BB201B">
        <w:rPr>
          <w:i/>
          <w:u w:val="single"/>
        </w:rPr>
        <w:t>1235</w:t>
      </w:r>
      <w:r w:rsidRPr="00BB201B">
        <w:rPr>
          <w:i/>
          <w:u w:val="single"/>
        </w:rPr>
        <w:tab/>
        <w:t>c. 1241</w:t>
      </w:r>
      <w:r w:rsidRPr="00BB201B">
        <w:rPr>
          <w:i/>
          <w:u w:val="single"/>
        </w:rPr>
        <w:tab/>
        <w:t>Hugh</w:t>
      </w:r>
    </w:p>
    <w:p w:rsidR="00BB201B" w:rsidRPr="00BB201B" w:rsidRDefault="00BB201B" w:rsidP="00E432D6">
      <w:pPr>
        <w:ind w:left="1440"/>
        <w:rPr>
          <w:i/>
          <w:u w:val="single"/>
        </w:rPr>
      </w:pPr>
      <w:r w:rsidRPr="00BB201B">
        <w:rPr>
          <w:i/>
          <w:u w:val="single"/>
        </w:rPr>
        <w:lastRenderedPageBreak/>
        <w:t>1242</w:t>
      </w:r>
      <w:r w:rsidRPr="00BB201B">
        <w:rPr>
          <w:i/>
          <w:u w:val="single"/>
        </w:rPr>
        <w:tab/>
        <w:t>1247</w:t>
      </w:r>
      <w:r w:rsidRPr="00BB201B">
        <w:rPr>
          <w:i/>
          <w:u w:val="single"/>
        </w:rPr>
        <w:tab/>
        <w:t>Hywel ab Ednyfed</w:t>
      </w:r>
      <w:r w:rsidR="00E432D6">
        <w:rPr>
          <w:i/>
          <w:u w:val="single"/>
        </w:rPr>
        <w:t xml:space="preserve"> (</w:t>
      </w:r>
      <w:r w:rsidRPr="00BB201B">
        <w:rPr>
          <w:i/>
          <w:u w:val="single"/>
        </w:rPr>
        <w:t>Howel ap Ednevet</w:t>
      </w:r>
      <w:r w:rsidR="00E432D6">
        <w:rPr>
          <w:i/>
          <w:u w:val="single"/>
        </w:rPr>
        <w:t>)</w:t>
      </w:r>
    </w:p>
    <w:p w:rsidR="00BB201B" w:rsidRPr="00BB201B" w:rsidRDefault="00BB201B" w:rsidP="00E432D6">
      <w:pPr>
        <w:ind w:left="1440"/>
        <w:rPr>
          <w:i/>
          <w:u w:val="single"/>
        </w:rPr>
      </w:pPr>
      <w:r w:rsidRPr="00BB201B">
        <w:rPr>
          <w:i/>
          <w:u w:val="single"/>
        </w:rPr>
        <w:t>1247</w:t>
      </w:r>
      <w:r w:rsidRPr="00BB201B">
        <w:rPr>
          <w:i/>
          <w:u w:val="single"/>
        </w:rPr>
        <w:tab/>
        <w:t>1249</w:t>
      </w:r>
      <w:r w:rsidRPr="00BB201B">
        <w:rPr>
          <w:i/>
          <w:u w:val="single"/>
        </w:rPr>
        <w:tab/>
        <w:t>vacant</w:t>
      </w:r>
      <w:r w:rsidRPr="00BB201B">
        <w:rPr>
          <w:i/>
          <w:u w:val="single"/>
        </w:rPr>
        <w:tab/>
      </w:r>
    </w:p>
    <w:p w:rsidR="00BB201B" w:rsidRPr="00BB201B" w:rsidRDefault="00BB201B" w:rsidP="00E432D6">
      <w:pPr>
        <w:ind w:left="1440"/>
        <w:rPr>
          <w:i/>
          <w:u w:val="single"/>
        </w:rPr>
      </w:pPr>
      <w:r w:rsidRPr="00BB201B">
        <w:rPr>
          <w:i/>
          <w:u w:val="single"/>
        </w:rPr>
        <w:t>1249</w:t>
      </w:r>
      <w:r w:rsidRPr="00BB201B">
        <w:rPr>
          <w:i/>
          <w:u w:val="single"/>
        </w:rPr>
        <w:tab/>
        <w:t>1266</w:t>
      </w:r>
      <w:r w:rsidRPr="00BB201B">
        <w:rPr>
          <w:i/>
          <w:u w:val="single"/>
        </w:rPr>
        <w:tab/>
      </w:r>
      <w:r w:rsidR="00E432D6">
        <w:rPr>
          <w:i/>
          <w:u w:val="single"/>
        </w:rPr>
        <w:t>Anian (</w:t>
      </w:r>
      <w:r w:rsidRPr="00BB201B">
        <w:rPr>
          <w:i/>
          <w:u w:val="single"/>
        </w:rPr>
        <w:t>Einion</w:t>
      </w:r>
      <w:r w:rsidR="00E432D6">
        <w:rPr>
          <w:i/>
          <w:u w:val="single"/>
        </w:rPr>
        <w:t>)</w:t>
      </w:r>
    </w:p>
    <w:p w:rsidR="00BB201B" w:rsidRPr="00BB201B" w:rsidRDefault="00BB201B" w:rsidP="00E432D6">
      <w:pPr>
        <w:ind w:left="1440"/>
        <w:rPr>
          <w:i/>
          <w:u w:val="single"/>
        </w:rPr>
      </w:pPr>
      <w:r w:rsidRPr="00BB201B">
        <w:rPr>
          <w:i/>
          <w:u w:val="single"/>
        </w:rPr>
        <w:t>1267</w:t>
      </w:r>
      <w:r w:rsidRPr="00BB201B">
        <w:rPr>
          <w:i/>
          <w:u w:val="single"/>
        </w:rPr>
        <w:tab/>
        <w:t>1268</w:t>
      </w:r>
      <w:r w:rsidRPr="00BB201B">
        <w:rPr>
          <w:i/>
          <w:u w:val="single"/>
        </w:rPr>
        <w:tab/>
        <w:t>John II</w:t>
      </w:r>
      <w:r w:rsidRPr="00BB201B">
        <w:rPr>
          <w:i/>
          <w:u w:val="single"/>
        </w:rPr>
        <w:tab/>
      </w:r>
    </w:p>
    <w:p w:rsidR="005A0F8D" w:rsidRDefault="00BB201B" w:rsidP="00E432D6">
      <w:pPr>
        <w:ind w:left="1440"/>
        <w:rPr>
          <w:i/>
          <w:u w:val="single"/>
        </w:rPr>
      </w:pPr>
      <w:r w:rsidRPr="00BB201B">
        <w:rPr>
          <w:i/>
          <w:u w:val="single"/>
        </w:rPr>
        <w:t>1268</w:t>
      </w:r>
      <w:r w:rsidRPr="00BB201B">
        <w:rPr>
          <w:i/>
          <w:u w:val="single"/>
        </w:rPr>
        <w:tab/>
        <w:t>1293</w:t>
      </w:r>
      <w:r w:rsidRPr="00BB201B">
        <w:rPr>
          <w:i/>
          <w:u w:val="single"/>
        </w:rPr>
        <w:tab/>
      </w:r>
      <w:r w:rsidR="00E432D6">
        <w:rPr>
          <w:i/>
          <w:u w:val="single"/>
        </w:rPr>
        <w:t>Anian II (</w:t>
      </w:r>
      <w:r w:rsidRPr="00BB201B">
        <w:rPr>
          <w:i/>
          <w:u w:val="single"/>
        </w:rPr>
        <w:t>Einion II</w:t>
      </w:r>
      <w:r w:rsidR="00E432D6">
        <w:rPr>
          <w:i/>
          <w:u w:val="single"/>
        </w:rPr>
        <w:t xml:space="preserve"> or </w:t>
      </w:r>
      <w:r w:rsidRPr="00BB201B">
        <w:rPr>
          <w:i/>
          <w:u w:val="single"/>
        </w:rPr>
        <w:t>Anian de Schonau, prior of Rhudland</w:t>
      </w:r>
      <w:r w:rsidR="00E432D6">
        <w:rPr>
          <w:i/>
          <w:u w:val="single"/>
        </w:rPr>
        <w:t>)</w:t>
      </w:r>
    </w:p>
    <w:p w:rsidR="00E432D6" w:rsidRDefault="00E432D6" w:rsidP="00BB201B">
      <w:pPr>
        <w:ind w:left="720"/>
        <w:rPr>
          <w:i/>
          <w:u w:val="single"/>
        </w:rPr>
      </w:pPr>
    </w:p>
    <w:p w:rsidR="003C5BDD" w:rsidRDefault="003C5BDD" w:rsidP="003C5BDD">
      <w:pPr>
        <w:ind w:left="720" w:firstLine="698"/>
        <w:rPr>
          <w:u w:val="single"/>
        </w:rPr>
      </w:pPr>
      <w:r>
        <w:rPr>
          <w:u w:val="single"/>
        </w:rPr>
        <w:t xml:space="preserve">J. Haydn; The Book of Dignities. London; Longman, Brown, Green &amp; Longmans 1851. </w:t>
      </w:r>
    </w:p>
    <w:p w:rsidR="003C5BDD" w:rsidRPr="003C5BDD" w:rsidRDefault="003C5BDD" w:rsidP="003C5BDD">
      <w:pPr>
        <w:ind w:left="720" w:firstLine="698"/>
        <w:rPr>
          <w:u w:val="single"/>
        </w:rPr>
      </w:pPr>
      <w:r>
        <w:rPr>
          <w:u w:val="single"/>
        </w:rPr>
        <w:t>pp. 365 -366</w:t>
      </w:r>
    </w:p>
    <w:p w:rsidR="00382B6A" w:rsidRDefault="00382B6A" w:rsidP="00382B6A">
      <w:pPr>
        <w:ind w:left="1134"/>
        <w:rPr>
          <w:i/>
          <w:u w:val="single"/>
        </w:rPr>
      </w:pPr>
    </w:p>
    <w:p w:rsidR="005F692A" w:rsidRDefault="005F692A" w:rsidP="00382B6A">
      <w:pPr>
        <w:ind w:left="1134"/>
        <w:rPr>
          <w:i/>
          <w:u w:val="single"/>
        </w:rPr>
      </w:pPr>
      <w:r>
        <w:rPr>
          <w:i/>
          <w:u w:val="single"/>
        </w:rPr>
        <w:t>I</w:t>
      </w:r>
      <w:r w:rsidRPr="005F692A">
        <w:rPr>
          <w:i/>
          <w:u w:val="single"/>
        </w:rPr>
        <w:t>n the first year of his pontificate</w:t>
      </w:r>
    </w:p>
    <w:p w:rsidR="00E432D6" w:rsidRPr="00382B6A" w:rsidRDefault="00E432D6" w:rsidP="00382B6A">
      <w:pPr>
        <w:ind w:left="1134"/>
      </w:pPr>
      <w:r w:rsidRPr="00382B6A">
        <w:t xml:space="preserve">The commencement date of Anian’s pontificate needs to be established in relation to the </w:t>
      </w:r>
      <w:r w:rsidR="00382B6A" w:rsidRPr="00382B6A">
        <w:t>feast day of St Mary Magdalene (i.e. which occurs first in the calendar year). Online research of Bishop Anian provided the following information:</w:t>
      </w:r>
    </w:p>
    <w:p w:rsidR="00382B6A" w:rsidRPr="00382B6A" w:rsidRDefault="00382B6A" w:rsidP="00382B6A">
      <w:pPr>
        <w:pStyle w:val="ListParagraph"/>
        <w:numPr>
          <w:ilvl w:val="0"/>
          <w:numId w:val="2"/>
        </w:numPr>
      </w:pPr>
      <w:proofErr w:type="spellStart"/>
      <w:r w:rsidRPr="00382B6A">
        <w:t>Anian</w:t>
      </w:r>
      <w:proofErr w:type="spellEnd"/>
      <w:r w:rsidR="00E432D6" w:rsidRPr="00382B6A">
        <w:t xml:space="preserve"> </w:t>
      </w:r>
      <w:r w:rsidR="00BB5766">
        <w:t>became bishop following</w:t>
      </w:r>
      <w:r w:rsidR="00E432D6" w:rsidRPr="00382B6A">
        <w:t xml:space="preserve"> the death of Hywel ab </w:t>
      </w:r>
      <w:proofErr w:type="spellStart"/>
      <w:r w:rsidR="00E432D6" w:rsidRPr="00382B6A">
        <w:t>Ednyfed</w:t>
      </w:r>
      <w:proofErr w:type="spellEnd"/>
      <w:r w:rsidR="00E432D6" w:rsidRPr="00382B6A">
        <w:t xml:space="preserve"> </w:t>
      </w:r>
      <w:r w:rsidR="00BB5766">
        <w:t>in</w:t>
      </w:r>
      <w:r w:rsidR="00E432D6" w:rsidRPr="00382B6A">
        <w:t xml:space="preserve"> 1247. </w:t>
      </w:r>
    </w:p>
    <w:p w:rsidR="00382B6A" w:rsidRPr="00382B6A" w:rsidRDefault="00382B6A" w:rsidP="00382B6A">
      <w:pPr>
        <w:pStyle w:val="ListParagraph"/>
        <w:numPr>
          <w:ilvl w:val="0"/>
          <w:numId w:val="2"/>
        </w:numPr>
      </w:pPr>
      <w:r w:rsidRPr="00382B6A">
        <w:t>Anian</w:t>
      </w:r>
      <w:r w:rsidR="00E432D6" w:rsidRPr="00382B6A">
        <w:t xml:space="preserve"> conceded, on 15 September 1249, the right of the king to author</w:t>
      </w:r>
      <w:r w:rsidR="00BB5766">
        <w:t>is</w:t>
      </w:r>
      <w:r w:rsidR="00E432D6" w:rsidRPr="00382B6A">
        <w:t>e an election and to approve the choice, as in the case of an English bishopric.</w:t>
      </w:r>
    </w:p>
    <w:p w:rsidR="00382B6A" w:rsidRPr="00382B6A" w:rsidRDefault="00E35F3E" w:rsidP="00382B6A">
      <w:pPr>
        <w:pStyle w:val="ListParagraph"/>
        <w:numPr>
          <w:ilvl w:val="0"/>
          <w:numId w:val="2"/>
        </w:numPr>
      </w:pPr>
      <w:r>
        <w:t>Prior to</w:t>
      </w:r>
      <w:bookmarkStart w:id="0" w:name="_GoBack"/>
      <w:bookmarkEnd w:id="0"/>
      <w:r w:rsidR="00E432D6" w:rsidRPr="00382B6A">
        <w:t xml:space="preserve"> 27 September the bishop elect had done homage and had by royal mandate been put into possession of the lands of the see. </w:t>
      </w:r>
    </w:p>
    <w:p w:rsidR="00382B6A" w:rsidRDefault="00E432D6" w:rsidP="00382B6A">
      <w:pPr>
        <w:pStyle w:val="ListParagraph"/>
        <w:numPr>
          <w:ilvl w:val="0"/>
          <w:numId w:val="2"/>
        </w:numPr>
      </w:pPr>
      <w:r w:rsidRPr="00382B6A">
        <w:t xml:space="preserve">Within two months he had been consecrated by Walter of Worcester, Richard of Bangor, and Richard of Meath. </w:t>
      </w:r>
    </w:p>
    <w:p w:rsidR="003C5BDD" w:rsidRDefault="00E35F3E" w:rsidP="00382B6A">
      <w:pPr>
        <w:ind w:left="1134"/>
        <w:rPr>
          <w:u w:val="single"/>
        </w:rPr>
      </w:pPr>
      <w:hyperlink r:id="rId6" w:history="1">
        <w:r w:rsidR="00DB27CA" w:rsidRPr="00141098">
          <w:rPr>
            <w:rStyle w:val="Hyperlink"/>
          </w:rPr>
          <w:t>https://biography.wales/article/s-ANIA-NI0-1266</w:t>
        </w:r>
      </w:hyperlink>
      <w:r w:rsidR="00382F6E">
        <w:rPr>
          <w:u w:val="single"/>
        </w:rPr>
        <w:t xml:space="preserve"> (Dictionary of Welsh Biography) </w:t>
      </w:r>
      <w:r w:rsidR="00382F6E" w:rsidRPr="00382F6E">
        <w:rPr>
          <w:u w:val="single"/>
        </w:rPr>
        <w:t>[accessed 7 November 2020]</w:t>
      </w:r>
    </w:p>
    <w:p w:rsidR="00DB27CA" w:rsidRPr="00DB27CA" w:rsidRDefault="00DB27CA" w:rsidP="00382B6A">
      <w:pPr>
        <w:ind w:left="1134"/>
      </w:pPr>
      <w:r w:rsidRPr="00DB27CA">
        <w:t xml:space="preserve">Based on this, the date of Anian’s consecration was likely sometime between 27 September and 27 November 1249 </w:t>
      </w:r>
    </w:p>
    <w:p w:rsidR="003C5BDD" w:rsidRDefault="003C5BDD" w:rsidP="00F94F9A">
      <w:pPr>
        <w:ind w:left="720"/>
        <w:rPr>
          <w:i/>
          <w:u w:val="single"/>
        </w:rPr>
      </w:pPr>
    </w:p>
    <w:p w:rsidR="005F692A" w:rsidRDefault="005F692A" w:rsidP="000F5DAE">
      <w:pPr>
        <w:ind w:left="1134"/>
        <w:rPr>
          <w:i/>
          <w:u w:val="single"/>
        </w:rPr>
      </w:pPr>
      <w:r>
        <w:rPr>
          <w:i/>
          <w:u w:val="single"/>
        </w:rPr>
        <w:t>T</w:t>
      </w:r>
      <w:r w:rsidRPr="005F692A">
        <w:rPr>
          <w:i/>
          <w:u w:val="single"/>
        </w:rPr>
        <w:t>he day after St Mary Magdalene</w:t>
      </w:r>
    </w:p>
    <w:p w:rsidR="00DB27CA" w:rsidRDefault="00DB27CA" w:rsidP="000F5DAE">
      <w:pPr>
        <w:ind w:left="1134"/>
      </w:pPr>
      <w:r>
        <w:t>T</w:t>
      </w:r>
      <w:r w:rsidR="000511AE">
        <w:t>he feast day for St Mary Magdalene (</w:t>
      </w:r>
      <w:r w:rsidR="000511AE" w:rsidRPr="000511AE">
        <w:rPr>
          <w:i/>
        </w:rPr>
        <w:t>Maria Magdalena</w:t>
      </w:r>
      <w:r w:rsidR="000511AE">
        <w:t>) is 22 July</w:t>
      </w:r>
      <w:r>
        <w:t>. Therefore</w:t>
      </w:r>
      <w:r w:rsidR="000511AE">
        <w:t>,</w:t>
      </w:r>
      <w:r>
        <w:t xml:space="preserve"> the first </w:t>
      </w:r>
      <w:r w:rsidRPr="00DB27CA">
        <w:t>feast day for St Mary Magdalene</w:t>
      </w:r>
      <w:r>
        <w:t xml:space="preserve"> falling within Anian’s </w:t>
      </w:r>
      <w:r w:rsidRPr="00DB27CA">
        <w:t>pontificate</w:t>
      </w:r>
      <w:r>
        <w:t xml:space="preserve"> was </w:t>
      </w:r>
      <w:r w:rsidRPr="00D056DB">
        <w:t>22 July 1250</w:t>
      </w:r>
      <w:r w:rsidR="00D056DB">
        <w:t xml:space="preserve"> and so the date referred to in the document is </w:t>
      </w:r>
      <w:r w:rsidR="00D056DB" w:rsidRPr="00D056DB">
        <w:rPr>
          <w:b/>
          <w:u w:val="single"/>
        </w:rPr>
        <w:t>23 July 1250</w:t>
      </w:r>
      <w:r w:rsidRPr="00D056DB">
        <w:t>.</w:t>
      </w:r>
    </w:p>
    <w:p w:rsidR="00DB27CA" w:rsidRDefault="00DB27CA" w:rsidP="000F5DAE">
      <w:pPr>
        <w:ind w:left="1134"/>
      </w:pPr>
    </w:p>
    <w:p w:rsidR="00C106D7" w:rsidRDefault="000511AE" w:rsidP="000511AE">
      <w:pPr>
        <w:ind w:left="1440"/>
        <w:rPr>
          <w:u w:val="single"/>
        </w:rPr>
      </w:pPr>
      <w:r w:rsidRPr="000511AE">
        <w:rPr>
          <w:u w:val="single"/>
        </w:rPr>
        <w:t>A Handbook of Dates for Students of British History; Revised ed.                                                         edited by C.R. Cheney, revised by Michael Jones. (Cambridge University Press 2000), p. 78</w:t>
      </w:r>
    </w:p>
    <w:p w:rsidR="000511AE" w:rsidRPr="000511AE" w:rsidRDefault="000511AE" w:rsidP="000511AE">
      <w:pPr>
        <w:ind w:left="1440"/>
        <w:rPr>
          <w:u w:val="single"/>
        </w:rPr>
      </w:pPr>
    </w:p>
    <w:p w:rsidR="00C106D7" w:rsidRDefault="00C106D7" w:rsidP="000F5DAE">
      <w:pPr>
        <w:ind w:left="1134" w:hanging="708"/>
      </w:pPr>
      <w:r>
        <w:t xml:space="preserve">(c)          </w:t>
      </w:r>
      <w:r w:rsidRPr="00B447EA">
        <w:rPr>
          <w:i/>
        </w:rPr>
        <w:t>Downham: court held on Thursday the day after Ash Wednesday in the fourth year of the reign of King Edward and the first year of the episcopate of John de Ketene [Ketton]</w:t>
      </w:r>
    </w:p>
    <w:p w:rsidR="00C106D7" w:rsidRPr="0071233F" w:rsidRDefault="000F5DAE" w:rsidP="000F5DAE">
      <w:pPr>
        <w:ind w:left="1134"/>
        <w:rPr>
          <w:i/>
          <w:u w:val="single"/>
        </w:rPr>
      </w:pPr>
      <w:r w:rsidRPr="0071233F">
        <w:rPr>
          <w:i/>
          <w:u w:val="single"/>
        </w:rPr>
        <w:lastRenderedPageBreak/>
        <w:t>Fourth year of the reign of King Edward</w:t>
      </w:r>
    </w:p>
    <w:p w:rsidR="000F5DAE" w:rsidRDefault="000F5DAE" w:rsidP="0087376A">
      <w:pPr>
        <w:ind w:left="1134"/>
        <w:jc w:val="both"/>
      </w:pPr>
      <w:r w:rsidRPr="000F5DAE">
        <w:t>The absence of a regnal number</w:t>
      </w:r>
      <w:r w:rsidR="00F1071A">
        <w:t xml:space="preserve"> may</w:t>
      </w:r>
      <w:r>
        <w:rPr>
          <w:u w:val="single"/>
        </w:rPr>
        <w:t xml:space="preserve"> </w:t>
      </w:r>
      <w:r w:rsidR="0087376A">
        <w:rPr>
          <w:u w:val="single"/>
        </w:rPr>
        <w:t xml:space="preserve">initially </w:t>
      </w:r>
      <w:r w:rsidRPr="00E30FD1">
        <w:t xml:space="preserve">indicate that the document </w:t>
      </w:r>
      <w:r w:rsidR="00E30FD1" w:rsidRPr="00E30FD1">
        <w:t>falls within the reign of Edward I (1272 – 1372)</w:t>
      </w:r>
      <w:r w:rsidR="00E30FD1">
        <w:t>. The fourth regnal year of Edward I was 20 November 1275 – 19 November 1276.</w:t>
      </w:r>
      <w:r w:rsidR="00F1071A">
        <w:t xml:space="preserve"> However, the document also provides information about the </w:t>
      </w:r>
      <w:r w:rsidR="0087376A">
        <w:t>b</w:t>
      </w:r>
      <w:r w:rsidR="00F1071A">
        <w:t xml:space="preserve">ishop </w:t>
      </w:r>
      <w:r w:rsidR="00F1071A" w:rsidRPr="00F1071A">
        <w:t>John de Ketene [Ketton]</w:t>
      </w:r>
      <w:r w:rsidR="0087376A">
        <w:t>. Therefore, a cross-reference may be possible with Ketton to confirm the relevant monarch.</w:t>
      </w:r>
    </w:p>
    <w:p w:rsidR="00E30FD1" w:rsidRPr="00B447EA" w:rsidRDefault="00E30FD1" w:rsidP="00B447EA">
      <w:pPr>
        <w:ind w:left="1418"/>
        <w:rPr>
          <w:u w:val="single"/>
        </w:rPr>
      </w:pPr>
      <w:r w:rsidRPr="00B447EA">
        <w:rPr>
          <w:u w:val="single"/>
        </w:rPr>
        <w:t xml:space="preserve">A Handbook of Dates for Students of British History; Revised ed.                                                         edited by C.R. Cheney, revised by Michael Jones. (Cambridge University Press 2000), p. </w:t>
      </w:r>
      <w:r w:rsidR="00B447EA" w:rsidRPr="00B447EA">
        <w:rPr>
          <w:u w:val="single"/>
        </w:rPr>
        <w:t>33</w:t>
      </w:r>
    </w:p>
    <w:p w:rsidR="000F5DAE" w:rsidRPr="0071233F" w:rsidRDefault="000F5DAE" w:rsidP="000F5DAE">
      <w:pPr>
        <w:ind w:left="1134"/>
        <w:rPr>
          <w:i/>
          <w:u w:val="single"/>
        </w:rPr>
      </w:pPr>
      <w:r w:rsidRPr="0071233F">
        <w:rPr>
          <w:i/>
          <w:u w:val="single"/>
        </w:rPr>
        <w:t>First year of the episcopate of John de Ketene [Ketton]</w:t>
      </w:r>
    </w:p>
    <w:p w:rsidR="00F1071A" w:rsidRDefault="00F1071A" w:rsidP="00F1071A">
      <w:pPr>
        <w:ind w:left="1134"/>
      </w:pPr>
      <w:r>
        <w:t xml:space="preserve">Online research of Bishop John Ketton produces just one result. Little is known of the background of John Ketton </w:t>
      </w:r>
      <w:r w:rsidR="00382F6E" w:rsidRPr="00382F6E">
        <w:t>before his election as bishop</w:t>
      </w:r>
      <w:r>
        <w:t xml:space="preserve"> of Ely </w:t>
      </w:r>
      <w:r w:rsidR="00382F6E" w:rsidRPr="00382F6E">
        <w:t>in 1310</w:t>
      </w:r>
      <w:r>
        <w:t>.</w:t>
      </w:r>
    </w:p>
    <w:p w:rsidR="00453D6A" w:rsidRDefault="00E35F3E" w:rsidP="005E1C69">
      <w:pPr>
        <w:ind w:left="1440"/>
        <w:rPr>
          <w:u w:val="single"/>
        </w:rPr>
      </w:pPr>
      <w:hyperlink r:id="rId7" w:history="1">
        <w:r w:rsidR="00382F6E" w:rsidRPr="00141098">
          <w:rPr>
            <w:rStyle w:val="Hyperlink"/>
          </w:rPr>
          <w:t>https://www.oxforddnb.com/view/10.1093/ref:odnb/9780198614128.001.0001/odnb-9780198614128-e-95141/version/0</w:t>
        </w:r>
      </w:hyperlink>
      <w:r w:rsidR="00382F6E">
        <w:rPr>
          <w:u w:val="single"/>
        </w:rPr>
        <w:t xml:space="preserve"> (Oxford Dictionary of National Biography)</w:t>
      </w:r>
      <w:r w:rsidR="00382F6E" w:rsidRPr="00382F6E">
        <w:t xml:space="preserve"> </w:t>
      </w:r>
      <w:r w:rsidR="00382F6E" w:rsidRPr="00382F6E">
        <w:rPr>
          <w:u w:val="single"/>
        </w:rPr>
        <w:t>[accessed 7 November 2020]</w:t>
      </w:r>
    </w:p>
    <w:p w:rsidR="00382F6E" w:rsidRDefault="00623B85" w:rsidP="00F1071A">
      <w:pPr>
        <w:ind w:left="1134"/>
        <w:jc w:val="both"/>
      </w:pPr>
      <w:r w:rsidRPr="00F1071A">
        <w:t xml:space="preserve">John Ketton was elected to Bishop </w:t>
      </w:r>
      <w:r w:rsidR="00D056DB">
        <w:t xml:space="preserve">of </w:t>
      </w:r>
      <w:r w:rsidRPr="00F1071A">
        <w:t>Ely on 2 March 1310 and consecrated on 6 September 1310. The first year of his episcopate</w:t>
      </w:r>
      <w:r w:rsidR="00F1071A" w:rsidRPr="00F1071A">
        <w:t>, therefore, would have been in the twelve months following 6 September 1310</w:t>
      </w:r>
      <w:r w:rsidR="00F1071A">
        <w:t>.</w:t>
      </w:r>
    </w:p>
    <w:p w:rsidR="00623B85" w:rsidRDefault="00623B85" w:rsidP="00382F6E">
      <w:pPr>
        <w:ind w:left="1440"/>
        <w:rPr>
          <w:u w:val="single"/>
        </w:rPr>
      </w:pPr>
      <w:r w:rsidRPr="00623B85">
        <w:rPr>
          <w:u w:val="single"/>
        </w:rPr>
        <w:t xml:space="preserve">E. B Fryde; F. M Powicke, Handbook of British Chronology 3rd ed.                                      edited by E. B. Fryde  [et al.]. London : Royal Historical Society 1986 </w:t>
      </w:r>
      <w:r>
        <w:rPr>
          <w:u w:val="single"/>
        </w:rPr>
        <w:t>p244</w:t>
      </w:r>
    </w:p>
    <w:p w:rsidR="0087376A" w:rsidRPr="0087376A" w:rsidRDefault="0087376A" w:rsidP="00011C49">
      <w:pPr>
        <w:ind w:left="1134"/>
        <w:jc w:val="both"/>
      </w:pPr>
      <w:r w:rsidRPr="0087376A">
        <w:t>1310 falls within the reign of Edward II</w:t>
      </w:r>
      <w:r w:rsidR="006E5AEF">
        <w:t xml:space="preserve"> (and not Edward I)</w:t>
      </w:r>
      <w:r w:rsidRPr="0087376A">
        <w:t xml:space="preserve">. The fourth regnal year of Edward </w:t>
      </w:r>
      <w:r w:rsidR="006E5AEF">
        <w:t>I</w:t>
      </w:r>
      <w:r w:rsidRPr="0087376A">
        <w:t xml:space="preserve">I was </w:t>
      </w:r>
      <w:r>
        <w:t>8</w:t>
      </w:r>
      <w:r w:rsidRPr="0087376A">
        <w:t xml:space="preserve"> </w:t>
      </w:r>
      <w:r>
        <w:t>July 1310</w:t>
      </w:r>
      <w:r w:rsidRPr="0087376A">
        <w:t xml:space="preserve"> – </w:t>
      </w:r>
      <w:r>
        <w:t xml:space="preserve">7 July 1311, which correlates with the first </w:t>
      </w:r>
      <w:r w:rsidR="00011C49" w:rsidRPr="00011C49">
        <w:t xml:space="preserve">year of the episcopate of </w:t>
      </w:r>
      <w:r w:rsidR="00011C49">
        <w:t>Ketton.</w:t>
      </w:r>
    </w:p>
    <w:p w:rsidR="00C106D7" w:rsidRPr="0071233F" w:rsidRDefault="000F5DAE" w:rsidP="000F5DAE">
      <w:pPr>
        <w:ind w:left="1134"/>
        <w:rPr>
          <w:i/>
          <w:u w:val="single"/>
        </w:rPr>
      </w:pPr>
      <w:r w:rsidRPr="0071233F">
        <w:rPr>
          <w:i/>
          <w:u w:val="single"/>
        </w:rPr>
        <w:t>Thursday</w:t>
      </w:r>
      <w:r w:rsidR="00453D6A" w:rsidRPr="0071233F">
        <w:rPr>
          <w:i/>
          <w:u w:val="single"/>
        </w:rPr>
        <w:t>,</w:t>
      </w:r>
      <w:r w:rsidRPr="0071233F">
        <w:rPr>
          <w:i/>
          <w:u w:val="single"/>
        </w:rPr>
        <w:t xml:space="preserve"> the day after Ash Wednesday</w:t>
      </w:r>
      <w:r w:rsidR="00C106D7" w:rsidRPr="0071233F">
        <w:rPr>
          <w:i/>
          <w:u w:val="single"/>
        </w:rPr>
        <w:t xml:space="preserve"> </w:t>
      </w:r>
    </w:p>
    <w:p w:rsidR="00C106D7" w:rsidRDefault="00B447EA" w:rsidP="00453D6A">
      <w:pPr>
        <w:ind w:left="1134"/>
      </w:pPr>
      <w:r>
        <w:t>Ash Wednesday is the first day of Lent, being the six weeks of penitence before Easter.</w:t>
      </w:r>
      <w:r w:rsidRPr="00B447EA">
        <w:t xml:space="preserve"> Ash Wednesday</w:t>
      </w:r>
      <w:r>
        <w:t xml:space="preserve"> in the fourth regnal year of </w:t>
      </w:r>
      <w:r w:rsidRPr="00011C49">
        <w:t xml:space="preserve">Edward </w:t>
      </w:r>
      <w:r w:rsidR="00011C49" w:rsidRPr="00011C49">
        <w:t>I</w:t>
      </w:r>
      <w:r w:rsidRPr="00011C49">
        <w:t>I</w:t>
      </w:r>
      <w:r>
        <w:t xml:space="preserve"> would have been in February </w:t>
      </w:r>
      <w:r w:rsidR="00011C49">
        <w:t>1311</w:t>
      </w:r>
      <w:r w:rsidRPr="00011C49">
        <w:t>.</w:t>
      </w:r>
    </w:p>
    <w:p w:rsidR="00B447EA" w:rsidRDefault="00B447EA" w:rsidP="00453D6A">
      <w:pPr>
        <w:ind w:left="1134"/>
      </w:pPr>
      <w:r w:rsidRPr="00011C49">
        <w:t xml:space="preserve">In the year </w:t>
      </w:r>
      <w:r w:rsidR="00011C49" w:rsidRPr="00011C49">
        <w:t>1311</w:t>
      </w:r>
      <w:r w:rsidRPr="00011C49">
        <w:t xml:space="preserve"> Easter was on </w:t>
      </w:r>
      <w:r w:rsidR="00011C49" w:rsidRPr="00011C49">
        <w:t>11</w:t>
      </w:r>
      <w:r w:rsidRPr="00011C49">
        <w:t xml:space="preserve"> April</w:t>
      </w:r>
      <w:r w:rsidR="00453D6A" w:rsidRPr="00011C49">
        <w:t xml:space="preserve">, and Ash Wednesday was on </w:t>
      </w:r>
      <w:r w:rsidR="00011C49" w:rsidRPr="00011C49">
        <w:t>24</w:t>
      </w:r>
      <w:r w:rsidR="00453D6A" w:rsidRPr="00011C49">
        <w:t xml:space="preserve"> February. Therefore, the date recorded in the document is Thursday </w:t>
      </w:r>
      <w:r w:rsidR="00011C49" w:rsidRPr="00011C49">
        <w:rPr>
          <w:b/>
          <w:u w:val="single"/>
        </w:rPr>
        <w:t>25</w:t>
      </w:r>
      <w:r w:rsidR="00453D6A" w:rsidRPr="00011C49">
        <w:rPr>
          <w:b/>
          <w:u w:val="single"/>
        </w:rPr>
        <w:t xml:space="preserve"> February </w:t>
      </w:r>
      <w:r w:rsidR="00011C49" w:rsidRPr="00011C49">
        <w:rPr>
          <w:b/>
          <w:u w:val="single"/>
        </w:rPr>
        <w:t>1311</w:t>
      </w:r>
    </w:p>
    <w:p w:rsidR="00B447EA" w:rsidRDefault="00453D6A" w:rsidP="00453D6A">
      <w:pPr>
        <w:ind w:left="1440"/>
        <w:rPr>
          <w:u w:val="single"/>
        </w:rPr>
      </w:pPr>
      <w:r w:rsidRPr="00453D6A">
        <w:rPr>
          <w:u w:val="single"/>
        </w:rPr>
        <w:t>A Handbook of Dates for Students of British History; Revised ed.                                                         edited by C.R. Cheney, revised by Michael Jones. (Cambridge University Press 2000), p</w:t>
      </w:r>
      <w:r w:rsidR="00011C49">
        <w:rPr>
          <w:u w:val="single"/>
        </w:rPr>
        <w:t>p</w:t>
      </w:r>
      <w:r w:rsidRPr="00453D6A">
        <w:rPr>
          <w:u w:val="single"/>
        </w:rPr>
        <w:t>. 1</w:t>
      </w:r>
      <w:r w:rsidR="00011C49">
        <w:rPr>
          <w:u w:val="single"/>
        </w:rPr>
        <w:t>96 - 197</w:t>
      </w:r>
      <w:r w:rsidRPr="00453D6A">
        <w:rPr>
          <w:u w:val="single"/>
        </w:rPr>
        <w:t>, p. 229</w:t>
      </w:r>
    </w:p>
    <w:p w:rsidR="00453D6A" w:rsidRDefault="00453D6A" w:rsidP="00453D6A">
      <w:pPr>
        <w:ind w:left="1440"/>
        <w:rPr>
          <w:u w:val="single"/>
        </w:rPr>
      </w:pPr>
    </w:p>
    <w:p w:rsidR="00EF3253" w:rsidRDefault="00EF3253" w:rsidP="00453D6A">
      <w:pPr>
        <w:ind w:left="1440"/>
        <w:rPr>
          <w:u w:val="single"/>
        </w:rPr>
      </w:pPr>
    </w:p>
    <w:p w:rsidR="00EF3253" w:rsidRDefault="00EF3253" w:rsidP="00453D6A">
      <w:pPr>
        <w:ind w:left="1440"/>
        <w:rPr>
          <w:u w:val="single"/>
        </w:rPr>
      </w:pPr>
    </w:p>
    <w:p w:rsidR="00EF3253" w:rsidRPr="00453D6A" w:rsidRDefault="00EF3253" w:rsidP="00453D6A">
      <w:pPr>
        <w:ind w:left="1440"/>
        <w:rPr>
          <w:u w:val="single"/>
        </w:rPr>
      </w:pPr>
    </w:p>
    <w:p w:rsidR="006A68CB" w:rsidRDefault="00D056DB" w:rsidP="00D056DB">
      <w:pPr>
        <w:ind w:left="1134" w:hanging="708"/>
        <w:jc w:val="both"/>
        <w:rPr>
          <w:i/>
        </w:rPr>
      </w:pPr>
      <w:r>
        <w:t xml:space="preserve">(d)      </w:t>
      </w:r>
      <w:r w:rsidR="00C106D7" w:rsidRPr="00D056DB">
        <w:rPr>
          <w:i/>
        </w:rPr>
        <w:t xml:space="preserve">Henry, king of the English, greets the bishop of Lincoln and Earl David and the earl of Leicester, and Earl Rannulf of Chester, and all the barons and lords of whom Geoffrey Ridel </w:t>
      </w:r>
      <w:r w:rsidR="00C106D7" w:rsidRPr="00D056DB">
        <w:rPr>
          <w:i/>
        </w:rPr>
        <w:lastRenderedPageBreak/>
        <w:t>held lands, and all the sheriffs within whose jurisdiction he held them. Know that I have given to Richard Basset the daughter of Geoffrey Ridel to wife, and the custody of Geoffrey Ridel’s land until Robert Ridel can be made a knight and marry the granddaughter of Ralph Basset, namely the daughter of one of his daughters. … And this gift and compact have been made at the request and with the advice of Rannulf, earl of Chester, and William his brother, and Nigel d’Aubigny and Robert Ridel’s other kin and Geva his mother, and Geoffrey the earl’s chancellor, and Simon, dean of Lincoln, and William, son of Rannulf, and Thomas of St John and Geoffrey de Clinton, and Payn son of John, and William d’Aubigny and Humphrey de Bohun and Robert Musard and Robert Basset and Osmund Basset and Thurstan Basset and William, constable of Earl Rannulf of Chester, and Ralph, son of Norman, and Hugh Maubanc. At Woodstock.</w:t>
      </w:r>
    </w:p>
    <w:p w:rsidR="00D056DB" w:rsidRDefault="00D056DB" w:rsidP="00D056DB">
      <w:pPr>
        <w:ind w:left="1134" w:hanging="708"/>
        <w:jc w:val="both"/>
        <w:rPr>
          <w:i/>
        </w:rPr>
      </w:pPr>
    </w:p>
    <w:p w:rsidR="00D056DB" w:rsidRDefault="00D056DB" w:rsidP="00ED0283">
      <w:pPr>
        <w:ind w:left="1134"/>
        <w:jc w:val="both"/>
      </w:pPr>
      <w:r>
        <w:t>There is no date indicator in this record in reference to a Saint’s Day or festival etc</w:t>
      </w:r>
      <w:r w:rsidR="00500E76">
        <w:t>.</w:t>
      </w:r>
      <w:r>
        <w:t>, so the dating is reliant upon</w:t>
      </w:r>
      <w:r w:rsidR="00ED0283">
        <w:t xml:space="preserve"> information that may be gathered about the named protagonists, their relationships and the events in their lives (and possibly deaths).</w:t>
      </w:r>
    </w:p>
    <w:p w:rsidR="00ED0283" w:rsidRPr="0071233F" w:rsidRDefault="00ED0283" w:rsidP="00ED0283">
      <w:pPr>
        <w:ind w:left="1134"/>
        <w:jc w:val="both"/>
        <w:rPr>
          <w:i/>
          <w:u w:val="single"/>
        </w:rPr>
      </w:pPr>
      <w:r w:rsidRPr="0071233F">
        <w:rPr>
          <w:i/>
          <w:u w:val="single"/>
        </w:rPr>
        <w:t>Henry, king of the English…..</w:t>
      </w:r>
    </w:p>
    <w:p w:rsidR="00ED0283" w:rsidRDefault="00ED0283" w:rsidP="00ED0283">
      <w:pPr>
        <w:ind w:left="1134"/>
        <w:jc w:val="both"/>
      </w:pPr>
      <w:r>
        <w:t xml:space="preserve">As above at (c), although the absence of </w:t>
      </w:r>
      <w:r w:rsidRPr="00ED0283">
        <w:t xml:space="preserve">a regnal number </w:t>
      </w:r>
      <w:r>
        <w:t xml:space="preserve">leads to the temptation of deducing that he record relates to </w:t>
      </w:r>
      <w:r w:rsidR="0071233F">
        <w:t xml:space="preserve">events in the </w:t>
      </w:r>
      <w:r>
        <w:t>reign of Henry I, such a conclusion cannot be relied upon</w:t>
      </w:r>
      <w:r w:rsidR="0071233F">
        <w:t xml:space="preserve"> without reference to other evidential elements of the passage.</w:t>
      </w:r>
    </w:p>
    <w:p w:rsidR="0071233F" w:rsidRDefault="0071233F" w:rsidP="00ED0283">
      <w:pPr>
        <w:ind w:left="1134"/>
        <w:jc w:val="both"/>
        <w:rPr>
          <w:i/>
          <w:u w:val="single"/>
        </w:rPr>
      </w:pPr>
      <w:r w:rsidRPr="0071233F">
        <w:rPr>
          <w:i/>
          <w:u w:val="single"/>
        </w:rPr>
        <w:t>Geoffrey Ridel held lands</w:t>
      </w:r>
      <w:r>
        <w:rPr>
          <w:i/>
          <w:u w:val="single"/>
        </w:rPr>
        <w:t>……</w:t>
      </w:r>
    </w:p>
    <w:p w:rsidR="004A3CD2" w:rsidRDefault="0071233F" w:rsidP="00ED0283">
      <w:pPr>
        <w:ind w:left="1134"/>
        <w:jc w:val="both"/>
      </w:pPr>
      <w:r>
        <w:t xml:space="preserve">The occasion </w:t>
      </w:r>
      <w:r w:rsidR="0035048C">
        <w:t>as recorded</w:t>
      </w:r>
      <w:r>
        <w:t>, revolve</w:t>
      </w:r>
      <w:r w:rsidR="004A3CD2">
        <w:t>s</w:t>
      </w:r>
      <w:r>
        <w:t xml:space="preserve"> around the individual Geoffrey Ridel</w:t>
      </w:r>
      <w:r w:rsidR="004A3CD2">
        <w:t xml:space="preserve"> and makes reference to ‘this gift and compact’</w:t>
      </w:r>
      <w:r w:rsidR="00C42578">
        <w:t xml:space="preserve"> - </w:t>
      </w:r>
      <w:r w:rsidR="004A3CD2">
        <w:t xml:space="preserve">the betrothal of his daughter </w:t>
      </w:r>
      <w:r w:rsidR="00C42578">
        <w:t xml:space="preserve">and </w:t>
      </w:r>
      <w:r w:rsidR="004A3CD2">
        <w:t xml:space="preserve">the custody </w:t>
      </w:r>
      <w:r w:rsidR="00C42578">
        <w:t xml:space="preserve">(apparently temporarily) </w:t>
      </w:r>
      <w:r w:rsidR="004A3CD2">
        <w:t>of his land</w:t>
      </w:r>
      <w:r w:rsidR="00C42578" w:rsidRPr="00C42578">
        <w:t xml:space="preserve"> to Richard Basset</w:t>
      </w:r>
      <w:r w:rsidR="00C42578">
        <w:t>, as granted by the king.</w:t>
      </w:r>
    </w:p>
    <w:p w:rsidR="00C42578" w:rsidRDefault="004A3CD2" w:rsidP="00C42578">
      <w:pPr>
        <w:ind w:left="1134"/>
        <w:jc w:val="both"/>
      </w:pPr>
      <w:r>
        <w:t>Both th</w:t>
      </w:r>
      <w:r w:rsidR="00C42578">
        <w:t>is</w:t>
      </w:r>
      <w:r>
        <w:t xml:space="preserve"> grant and the reference to Geoffrey Ridel in the past tense (‘held’</w:t>
      </w:r>
      <w:r w:rsidR="00C42578">
        <w:t xml:space="preserve">) suggest that this record </w:t>
      </w:r>
      <w:r w:rsidR="00EF3253">
        <w:t>may be</w:t>
      </w:r>
      <w:r w:rsidR="00C42578">
        <w:t xml:space="preserve"> </w:t>
      </w:r>
      <w:r w:rsidR="00C42578" w:rsidRPr="00C42578">
        <w:rPr>
          <w:i/>
        </w:rPr>
        <w:t>post mortem</w:t>
      </w:r>
      <w:r w:rsidR="00C42578">
        <w:rPr>
          <w:i/>
        </w:rPr>
        <w:t xml:space="preserve"> </w:t>
      </w:r>
      <w:r w:rsidR="00C42578" w:rsidRPr="00C42578">
        <w:t>and therefore</w:t>
      </w:r>
      <w:r w:rsidR="00C42578">
        <w:t>, dating research</w:t>
      </w:r>
      <w:r w:rsidR="006E5AEF">
        <w:t xml:space="preserve"> of the document</w:t>
      </w:r>
      <w:r w:rsidR="00C42578">
        <w:t xml:space="preserve"> may focus on the period following an identifiable date of Geoffrey’s death</w:t>
      </w:r>
      <w:r w:rsidR="00DD44D7">
        <w:t xml:space="preserve"> and </w:t>
      </w:r>
      <w:r w:rsidR="00873D3E">
        <w:t xml:space="preserve">before </w:t>
      </w:r>
      <w:r w:rsidR="00DD44D7">
        <w:t xml:space="preserve">the marriage of </w:t>
      </w:r>
      <w:proofErr w:type="spellStart"/>
      <w:r w:rsidR="00DD44D7">
        <w:t>Ridel’s</w:t>
      </w:r>
      <w:proofErr w:type="spellEnd"/>
      <w:r w:rsidR="00DD44D7">
        <w:t xml:space="preserve"> daughter to Richard Basset</w:t>
      </w:r>
      <w:r w:rsidR="0035048C">
        <w:t xml:space="preserve"> and Richard taking custody of Ridel’s land.</w:t>
      </w:r>
    </w:p>
    <w:p w:rsidR="0071233F" w:rsidRDefault="00EF3253" w:rsidP="00C42578">
      <w:pPr>
        <w:ind w:left="1134"/>
        <w:jc w:val="both"/>
      </w:pPr>
      <w:r>
        <w:t>Research on Geoffrey Ridel</w:t>
      </w:r>
      <w:r w:rsidR="00E50B3E">
        <w:t xml:space="preserve"> and the events following his death</w:t>
      </w:r>
      <w:r>
        <w:t xml:space="preserve"> provided the following information:</w:t>
      </w:r>
    </w:p>
    <w:p w:rsidR="007E650C" w:rsidRPr="007E650C" w:rsidRDefault="007E650C" w:rsidP="007E650C">
      <w:pPr>
        <w:pStyle w:val="ListParagraph"/>
        <w:numPr>
          <w:ilvl w:val="0"/>
          <w:numId w:val="3"/>
        </w:numPr>
        <w:jc w:val="both"/>
      </w:pPr>
      <w:r w:rsidRPr="007E650C">
        <w:t>G</w:t>
      </w:r>
      <w:r w:rsidR="00DD44D7">
        <w:t xml:space="preserve">eoffrey Ridel </w:t>
      </w:r>
      <w:r w:rsidR="006E5AEF">
        <w:t>w</w:t>
      </w:r>
      <w:r w:rsidR="00C1466A">
        <w:t>a</w:t>
      </w:r>
      <w:r w:rsidR="006B4908" w:rsidRPr="007E650C">
        <w:t xml:space="preserve">s a landholder and royal justice during the reign of Henry I </w:t>
      </w:r>
    </w:p>
    <w:p w:rsidR="007E650C" w:rsidRDefault="00E50B3E" w:rsidP="00E50B3E">
      <w:pPr>
        <w:pStyle w:val="ListParagraph"/>
        <w:numPr>
          <w:ilvl w:val="0"/>
          <w:numId w:val="3"/>
        </w:numPr>
        <w:jc w:val="both"/>
      </w:pPr>
      <w:r w:rsidRPr="00E50B3E">
        <w:t xml:space="preserve">Ridel's lands </w:t>
      </w:r>
      <w:r>
        <w:t>included</w:t>
      </w:r>
      <w:r w:rsidRPr="00E50B3E">
        <w:t xml:space="preserve"> Great Weldon in Northamptonshire</w:t>
      </w:r>
    </w:p>
    <w:p w:rsidR="00E50B3E" w:rsidRDefault="00E50B3E" w:rsidP="00E50B3E">
      <w:pPr>
        <w:pStyle w:val="ListParagraph"/>
        <w:numPr>
          <w:ilvl w:val="0"/>
          <w:numId w:val="3"/>
        </w:numPr>
        <w:jc w:val="both"/>
      </w:pPr>
      <w:r w:rsidRPr="00E50B3E">
        <w:t>Ridel died</w:t>
      </w:r>
      <w:r w:rsidR="00DD44D7">
        <w:t xml:space="preserve"> o</w:t>
      </w:r>
      <w:r w:rsidRPr="00E50B3E">
        <w:t xml:space="preserve">n </w:t>
      </w:r>
      <w:r w:rsidR="006E5AEF">
        <w:t xml:space="preserve">25 </w:t>
      </w:r>
      <w:r>
        <w:t xml:space="preserve">November </w:t>
      </w:r>
      <w:r w:rsidRPr="00E50B3E">
        <w:t>1120 in the shipwreck of the White Ship</w:t>
      </w:r>
    </w:p>
    <w:p w:rsidR="00DD44D7" w:rsidRDefault="006E5AEF" w:rsidP="00E50B3E">
      <w:pPr>
        <w:pStyle w:val="ListParagraph"/>
        <w:numPr>
          <w:ilvl w:val="0"/>
          <w:numId w:val="3"/>
        </w:numPr>
        <w:jc w:val="both"/>
      </w:pPr>
      <w:r>
        <w:t xml:space="preserve">Geoffrey’s daughter Matilda married Richard Basset (although </w:t>
      </w:r>
      <w:r w:rsidR="00797E8C">
        <w:t xml:space="preserve">various sources </w:t>
      </w:r>
      <w:r>
        <w:t xml:space="preserve">stated as being sometime in the 1120s, there does not appear to be a definitive record of the date or year) </w:t>
      </w:r>
    </w:p>
    <w:p w:rsidR="005A73BD" w:rsidRDefault="005A73BD" w:rsidP="005A73BD">
      <w:pPr>
        <w:pStyle w:val="ListParagraph"/>
        <w:ind w:left="1854"/>
        <w:jc w:val="both"/>
      </w:pPr>
    </w:p>
    <w:p w:rsidR="005A73BD" w:rsidRPr="005E1C69" w:rsidRDefault="005E1C69" w:rsidP="005A73BD">
      <w:pPr>
        <w:pStyle w:val="ListParagraph"/>
        <w:ind w:left="1854"/>
        <w:jc w:val="both"/>
        <w:rPr>
          <w:u w:val="single"/>
        </w:rPr>
      </w:pPr>
      <w:r w:rsidRPr="005E1C69">
        <w:rPr>
          <w:u w:val="single"/>
        </w:rPr>
        <w:t>J. A. Green, Women and Inheritance in Norman England: The Case of Geva</w:t>
      </w:r>
      <w:r w:rsidR="00A07049">
        <w:rPr>
          <w:u w:val="single"/>
        </w:rPr>
        <w:t xml:space="preserve"> Ridel</w:t>
      </w:r>
      <w:r w:rsidRPr="005E1C69">
        <w:rPr>
          <w:u w:val="single"/>
        </w:rPr>
        <w:t xml:space="preserve"> </w:t>
      </w:r>
      <w:r w:rsidR="005A73BD" w:rsidRPr="00A07049">
        <w:rPr>
          <w:i/>
          <w:u w:val="single"/>
        </w:rPr>
        <w:t>Prosopon Newsletter,</w:t>
      </w:r>
      <w:r w:rsidR="005A73BD" w:rsidRPr="005E1C69">
        <w:rPr>
          <w:u w:val="single"/>
        </w:rPr>
        <w:t xml:space="preserve"> 12 (August 2001)</w:t>
      </w:r>
      <w:r w:rsidR="00F22236">
        <w:rPr>
          <w:u w:val="single"/>
        </w:rPr>
        <w:t>, pp. 1 - 6</w:t>
      </w:r>
    </w:p>
    <w:p w:rsidR="005E1C69" w:rsidRDefault="005E1C69" w:rsidP="00C42578">
      <w:pPr>
        <w:ind w:left="1134"/>
        <w:jc w:val="both"/>
        <w:rPr>
          <w:u w:val="single"/>
        </w:rPr>
      </w:pPr>
    </w:p>
    <w:p w:rsidR="005E1C69" w:rsidRDefault="005E1C69" w:rsidP="00C42578">
      <w:pPr>
        <w:ind w:left="1134"/>
        <w:jc w:val="both"/>
        <w:rPr>
          <w:u w:val="single"/>
        </w:rPr>
      </w:pPr>
    </w:p>
    <w:p w:rsidR="006E5AEF" w:rsidRPr="006E5AEF" w:rsidRDefault="00C1466A" w:rsidP="00C42578">
      <w:pPr>
        <w:ind w:left="1134"/>
        <w:jc w:val="both"/>
        <w:rPr>
          <w:u w:val="single"/>
        </w:rPr>
      </w:pPr>
      <w:r>
        <w:rPr>
          <w:u w:val="single"/>
        </w:rPr>
        <w:t>Henry and o</w:t>
      </w:r>
      <w:r w:rsidR="006E5AEF" w:rsidRPr="006E5AEF">
        <w:rPr>
          <w:u w:val="single"/>
        </w:rPr>
        <w:t xml:space="preserve">ther named </w:t>
      </w:r>
      <w:r w:rsidR="00C72015">
        <w:rPr>
          <w:u w:val="single"/>
        </w:rPr>
        <w:t>individuals</w:t>
      </w:r>
    </w:p>
    <w:p w:rsidR="006E5AEF" w:rsidRDefault="006E5AEF" w:rsidP="00C42578">
      <w:pPr>
        <w:ind w:left="1134"/>
        <w:jc w:val="both"/>
      </w:pPr>
      <w:r w:rsidRPr="006E5AEF">
        <w:lastRenderedPageBreak/>
        <w:t xml:space="preserve">Additional potential points of reference occur in the latter part of the record with a number of named individuals, including various Basset and Ridel kin, purportedly requesting this </w:t>
      </w:r>
      <w:r w:rsidR="0012743A">
        <w:t xml:space="preserve">arrangement </w:t>
      </w:r>
      <w:r w:rsidRPr="006E5AEF">
        <w:t>of the king.</w:t>
      </w:r>
    </w:p>
    <w:p w:rsidR="00797E8C" w:rsidRDefault="00797E8C" w:rsidP="00C42578">
      <w:pPr>
        <w:ind w:left="1134"/>
        <w:jc w:val="both"/>
      </w:pPr>
      <w:r>
        <w:t xml:space="preserve">Research on the various names (e.g. </w:t>
      </w:r>
      <w:r w:rsidRPr="00797E8C">
        <w:t>Rannulf Earl of Chester: earldom 1120 to 1129</w:t>
      </w:r>
      <w:r>
        <w:t>,</w:t>
      </w:r>
      <w:r w:rsidRPr="00797E8C">
        <w:t xml:space="preserve"> Nigel d’Aubigny: died 1129</w:t>
      </w:r>
      <w:r>
        <w:t xml:space="preserve">, </w:t>
      </w:r>
      <w:r w:rsidRPr="00797E8C">
        <w:t>S</w:t>
      </w:r>
      <w:r>
        <w:t>imon, dean of Lincoln: to 1129) provides no additional date prior to 1129.</w:t>
      </w:r>
      <w:r w:rsidR="00E250CA">
        <w:t xml:space="preserve"> Research around Richard Basset assuming ‘custodianship’ of the specified lands was also </w:t>
      </w:r>
      <w:r w:rsidR="00F242D4">
        <w:t>not productive</w:t>
      </w:r>
    </w:p>
    <w:p w:rsidR="00C1466A" w:rsidRDefault="00797E8C" w:rsidP="00C42578">
      <w:pPr>
        <w:ind w:left="1134"/>
        <w:jc w:val="both"/>
      </w:pPr>
      <w:r>
        <w:t xml:space="preserve">However, </w:t>
      </w:r>
      <w:r w:rsidR="00C72015">
        <w:t xml:space="preserve">other recorded events in Henry’s life could assist in narrowing the timeframe. </w:t>
      </w:r>
      <w:r w:rsidR="00C72015" w:rsidRPr="00C72015">
        <w:t>Henry married Adeliza</w:t>
      </w:r>
      <w:r w:rsidR="00C1466A">
        <w:t xml:space="preserve"> at</w:t>
      </w:r>
      <w:r w:rsidR="00C72015" w:rsidRPr="00C72015">
        <w:t xml:space="preserve"> Windsor</w:t>
      </w:r>
      <w:r w:rsidR="00C1466A">
        <w:t xml:space="preserve"> </w:t>
      </w:r>
      <w:r w:rsidR="002F0956">
        <w:t>24</w:t>
      </w:r>
      <w:r w:rsidR="00C1466A">
        <w:t xml:space="preserve"> January 1121 but this </w:t>
      </w:r>
      <w:r w:rsidR="004D471A">
        <w:t>by</w:t>
      </w:r>
      <w:r w:rsidR="00C1466A">
        <w:t xml:space="preserve"> itself does not assist the dating. However, </w:t>
      </w:r>
      <w:r w:rsidR="00C72015">
        <w:t xml:space="preserve">Henry travelled to Normandy </w:t>
      </w:r>
      <w:r w:rsidR="00C1466A">
        <w:t xml:space="preserve">in </w:t>
      </w:r>
      <w:r w:rsidR="00C72015">
        <w:t xml:space="preserve">late 1123 </w:t>
      </w:r>
      <w:r w:rsidR="00C1466A">
        <w:t>as a result of ongoing conflict in the region, and it is likely that events in the record would have occurred before such a</w:t>
      </w:r>
      <w:r w:rsidR="00031F35">
        <w:t>n</w:t>
      </w:r>
      <w:r w:rsidR="00C1466A">
        <w:t xml:space="preserve"> </w:t>
      </w:r>
      <w:r w:rsidR="00031F35">
        <w:t>expedition</w:t>
      </w:r>
      <w:r w:rsidR="00C1466A">
        <w:t>.</w:t>
      </w:r>
    </w:p>
    <w:p w:rsidR="00C1466A" w:rsidRDefault="00C1466A" w:rsidP="00C1466A">
      <w:pPr>
        <w:ind w:left="1134"/>
        <w:jc w:val="both"/>
        <w:rPr>
          <w:u w:val="single"/>
        </w:rPr>
      </w:pPr>
      <w:r>
        <w:t xml:space="preserve"> </w:t>
      </w:r>
      <w:r w:rsidRPr="00C1466A">
        <w:rPr>
          <w:u w:val="single"/>
        </w:rPr>
        <w:t>At Woodstock</w:t>
      </w:r>
    </w:p>
    <w:p w:rsidR="004D471A" w:rsidRDefault="004D471A" w:rsidP="004D471A">
      <w:pPr>
        <w:ind w:left="1134"/>
        <w:jc w:val="both"/>
      </w:pPr>
      <w:r w:rsidRPr="004D471A">
        <w:t xml:space="preserve">Most writs and charters made by Henry are likely to have been made in London, so research </w:t>
      </w:r>
      <w:r>
        <w:t>focusing on</w:t>
      </w:r>
      <w:r w:rsidRPr="004D471A">
        <w:t xml:space="preserve"> Woodstock could be more productive, on the basis that he stayed there comparatively infrequently</w:t>
      </w:r>
      <w:r>
        <w:t>.</w:t>
      </w:r>
    </w:p>
    <w:p w:rsidR="005A73BD" w:rsidRDefault="005A73BD" w:rsidP="005A73BD">
      <w:pPr>
        <w:ind w:left="1440"/>
        <w:jc w:val="both"/>
        <w:rPr>
          <w:u w:val="single"/>
        </w:rPr>
      </w:pPr>
      <w:r w:rsidRPr="005A73BD">
        <w:rPr>
          <w:u w:val="single"/>
        </w:rPr>
        <w:t>https://www.british-history.ac.uk/london-record-soc/vol25/pp44-59 (Calendar of royal documents: Henry I (nos. 57-96))[accessed 8 November 2020]</w:t>
      </w:r>
    </w:p>
    <w:p w:rsidR="004D471A" w:rsidRDefault="00603652" w:rsidP="004D471A">
      <w:pPr>
        <w:ind w:left="1134"/>
        <w:jc w:val="both"/>
      </w:pPr>
      <w:r>
        <w:t>Research shows that Henry was at Woodstock when he proclaimed Vincent as Abbot of Abingdon.</w:t>
      </w:r>
    </w:p>
    <w:p w:rsidR="00603652" w:rsidRDefault="00603652" w:rsidP="004D471A">
      <w:pPr>
        <w:ind w:left="1134"/>
        <w:jc w:val="both"/>
      </w:pPr>
      <w:r>
        <w:t>Vincent was Abbot of Abingdon with effect from 1121 and so this indicates that Henry was present at Woodstock in that year.</w:t>
      </w:r>
    </w:p>
    <w:p w:rsidR="005A73BD" w:rsidRPr="005A73BD" w:rsidRDefault="005A73BD" w:rsidP="005A73BD">
      <w:pPr>
        <w:ind w:left="1440"/>
        <w:jc w:val="both"/>
        <w:rPr>
          <w:u w:val="single"/>
        </w:rPr>
      </w:pPr>
      <w:r w:rsidRPr="005A73BD">
        <w:rPr>
          <w:u w:val="single"/>
        </w:rPr>
        <w:t>J. Stevenson (ed.), Chronicon Monasterii de Abingdon, Rolls Series, 2 vols (London, 1858), II, p. 162.</w:t>
      </w:r>
    </w:p>
    <w:p w:rsidR="004D471A" w:rsidRDefault="00603652" w:rsidP="00603652">
      <w:pPr>
        <w:ind w:firstLine="1134"/>
        <w:jc w:val="both"/>
        <w:rPr>
          <w:u w:val="single"/>
        </w:rPr>
      </w:pPr>
      <w:r w:rsidRPr="00603652">
        <w:rPr>
          <w:u w:val="single"/>
        </w:rPr>
        <w:t>Conclusion</w:t>
      </w:r>
    </w:p>
    <w:p w:rsidR="00603652" w:rsidRDefault="002F0956" w:rsidP="00281A7B">
      <w:pPr>
        <w:ind w:left="1134"/>
        <w:jc w:val="both"/>
      </w:pPr>
      <w:r>
        <w:t>By all accounts, the</w:t>
      </w:r>
      <w:r w:rsidR="00281A7B">
        <w:t xml:space="preserve"> sinking of the White Ship on 25 November 1120 was a calamitous event, resulting in the death of Henry’s heir and </w:t>
      </w:r>
      <w:r>
        <w:t xml:space="preserve">important </w:t>
      </w:r>
      <w:r w:rsidR="00281A7B">
        <w:t xml:space="preserve">members of his administration, including Geoffrey Ridel. </w:t>
      </w:r>
      <w:r>
        <w:t xml:space="preserve">The significance of the disaster and its immediate impact is evident in Henry’s </w:t>
      </w:r>
      <w:r w:rsidR="006963EB">
        <w:t xml:space="preserve">relatively </w:t>
      </w:r>
      <w:r>
        <w:t>hasty marriage</w:t>
      </w:r>
      <w:r w:rsidRPr="002F0956">
        <w:t xml:space="preserve"> </w:t>
      </w:r>
      <w:r>
        <w:t xml:space="preserve">to </w:t>
      </w:r>
      <w:r w:rsidRPr="002F0956">
        <w:t>Adeliza in January 1121</w:t>
      </w:r>
      <w:r>
        <w:t>, seemingly</w:t>
      </w:r>
      <w:r w:rsidR="006963EB">
        <w:t xml:space="preserve"> with the intention</w:t>
      </w:r>
      <w:r>
        <w:t xml:space="preserve"> to produce a new male heir.</w:t>
      </w:r>
    </w:p>
    <w:p w:rsidR="002F0956" w:rsidRDefault="002F0956" w:rsidP="00281A7B">
      <w:pPr>
        <w:ind w:left="1134"/>
        <w:jc w:val="both"/>
      </w:pPr>
      <w:r>
        <w:t xml:space="preserve">It would seem likely therefore, that Henry’s </w:t>
      </w:r>
      <w:r w:rsidR="006963EB">
        <w:t>goal was</w:t>
      </w:r>
      <w:r>
        <w:t xml:space="preserve"> to address the fallout of the sinking sooner rather than later.</w:t>
      </w:r>
      <w:r w:rsidR="006963EB">
        <w:t xml:space="preserve"> The marriage may have been the priority, with all other administration</w:t>
      </w:r>
      <w:r w:rsidR="00F242D4">
        <w:t xml:space="preserve"> (bestowing, lands, titles, positions </w:t>
      </w:r>
      <w:r w:rsidR="00500E76">
        <w:t>etc.</w:t>
      </w:r>
      <w:r w:rsidR="00F242D4">
        <w:t>)</w:t>
      </w:r>
      <w:r w:rsidR="006963EB">
        <w:t xml:space="preserve"> following in the months shortly thereafter.</w:t>
      </w:r>
    </w:p>
    <w:p w:rsidR="00295A8E" w:rsidRDefault="002F0956" w:rsidP="00603C62">
      <w:pPr>
        <w:ind w:left="1134"/>
        <w:jc w:val="both"/>
      </w:pPr>
      <w:r>
        <w:t xml:space="preserve">His presence at Woodstock in 1121 is </w:t>
      </w:r>
      <w:r w:rsidR="006963EB">
        <w:t xml:space="preserve">recorded, and on the basis of the information that may be established, it is my estimate that the record was </w:t>
      </w:r>
      <w:r w:rsidR="00F242D4">
        <w:t xml:space="preserve">likely </w:t>
      </w:r>
      <w:r w:rsidR="006963EB">
        <w:t xml:space="preserve">produced between </w:t>
      </w:r>
      <w:r w:rsidR="006963EB" w:rsidRPr="006963EB">
        <w:rPr>
          <w:b/>
          <w:u w:val="single"/>
        </w:rPr>
        <w:t>late January and Easter 1121.</w:t>
      </w:r>
      <w:r>
        <w:t xml:space="preserve"> </w:t>
      </w:r>
    </w:p>
    <w:sectPr w:rsidR="00295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C7246"/>
    <w:multiLevelType w:val="hybridMultilevel"/>
    <w:tmpl w:val="4BFA05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50B0234B"/>
    <w:multiLevelType w:val="hybridMultilevel"/>
    <w:tmpl w:val="27DED9F4"/>
    <w:lvl w:ilvl="0" w:tplc="EFFA06BE">
      <w:start w:val="1"/>
      <w:numFmt w:val="lowerLetter"/>
      <w:lvlText w:val="(%1)"/>
      <w:lvlJc w:val="left"/>
      <w:pPr>
        <w:ind w:left="1100" w:hanging="7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A67E5F"/>
    <w:multiLevelType w:val="hybridMultilevel"/>
    <w:tmpl w:val="177684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95D"/>
    <w:rsid w:val="00011C49"/>
    <w:rsid w:val="00031F35"/>
    <w:rsid w:val="000511AE"/>
    <w:rsid w:val="000F5DAE"/>
    <w:rsid w:val="0012743A"/>
    <w:rsid w:val="001375D9"/>
    <w:rsid w:val="00281A7B"/>
    <w:rsid w:val="00295A8E"/>
    <w:rsid w:val="002F0956"/>
    <w:rsid w:val="00307E87"/>
    <w:rsid w:val="0035048C"/>
    <w:rsid w:val="00382B6A"/>
    <w:rsid w:val="00382F6E"/>
    <w:rsid w:val="003C5BDD"/>
    <w:rsid w:val="004470A9"/>
    <w:rsid w:val="00453D6A"/>
    <w:rsid w:val="004A3CD2"/>
    <w:rsid w:val="004D471A"/>
    <w:rsid w:val="00500E76"/>
    <w:rsid w:val="00526E69"/>
    <w:rsid w:val="005A0F8D"/>
    <w:rsid w:val="005A73BD"/>
    <w:rsid w:val="005E1C69"/>
    <w:rsid w:val="005F692A"/>
    <w:rsid w:val="00603652"/>
    <w:rsid w:val="00603C62"/>
    <w:rsid w:val="00623B85"/>
    <w:rsid w:val="0063195D"/>
    <w:rsid w:val="006963EB"/>
    <w:rsid w:val="006B4908"/>
    <w:rsid w:val="006E5AEF"/>
    <w:rsid w:val="0071233F"/>
    <w:rsid w:val="007665B5"/>
    <w:rsid w:val="007704D0"/>
    <w:rsid w:val="00797E8C"/>
    <w:rsid w:val="007E650C"/>
    <w:rsid w:val="0087376A"/>
    <w:rsid w:val="00873D3E"/>
    <w:rsid w:val="00A07049"/>
    <w:rsid w:val="00B447EA"/>
    <w:rsid w:val="00B576DE"/>
    <w:rsid w:val="00B95AA1"/>
    <w:rsid w:val="00BB201B"/>
    <w:rsid w:val="00BB5766"/>
    <w:rsid w:val="00BC197E"/>
    <w:rsid w:val="00BE2976"/>
    <w:rsid w:val="00C106D7"/>
    <w:rsid w:val="00C1466A"/>
    <w:rsid w:val="00C42578"/>
    <w:rsid w:val="00C72015"/>
    <w:rsid w:val="00CB658F"/>
    <w:rsid w:val="00D056DB"/>
    <w:rsid w:val="00DB27CA"/>
    <w:rsid w:val="00DC2ED6"/>
    <w:rsid w:val="00DD44D7"/>
    <w:rsid w:val="00E250CA"/>
    <w:rsid w:val="00E262CF"/>
    <w:rsid w:val="00E30FD1"/>
    <w:rsid w:val="00E35F3E"/>
    <w:rsid w:val="00E432D6"/>
    <w:rsid w:val="00E50B3E"/>
    <w:rsid w:val="00EB7BF9"/>
    <w:rsid w:val="00ED0283"/>
    <w:rsid w:val="00EF3253"/>
    <w:rsid w:val="00F1071A"/>
    <w:rsid w:val="00F22236"/>
    <w:rsid w:val="00F242D4"/>
    <w:rsid w:val="00F64251"/>
    <w:rsid w:val="00F94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59ECA"/>
  <w15:chartTrackingRefBased/>
  <w15:docId w15:val="{C10F4992-EBBC-44B4-8A2E-3CCAD6F76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6D7"/>
    <w:pPr>
      <w:ind w:left="720"/>
      <w:contextualSpacing/>
    </w:pPr>
  </w:style>
  <w:style w:type="character" w:styleId="Hyperlink">
    <w:name w:val="Hyperlink"/>
    <w:basedOn w:val="DefaultParagraphFont"/>
    <w:uiPriority w:val="99"/>
    <w:unhideWhenUsed/>
    <w:rsid w:val="001375D9"/>
    <w:rPr>
      <w:color w:val="0563C1" w:themeColor="hyperlink"/>
      <w:u w:val="single"/>
    </w:rPr>
  </w:style>
  <w:style w:type="character" w:styleId="FollowedHyperlink">
    <w:name w:val="FollowedHyperlink"/>
    <w:basedOn w:val="DefaultParagraphFont"/>
    <w:uiPriority w:val="99"/>
    <w:semiHidden/>
    <w:unhideWhenUsed/>
    <w:rsid w:val="00382F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56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xforddnb.com/view/10.1093/ref:odnb/9780198614128.001.0001/odnb-9780198614128-e-95141/version/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ography.wales/article/s-ANIA-NI0-1266" TargetMode="External"/><Relationship Id="rId5" Type="http://schemas.openxmlformats.org/officeDocument/2006/relationships/hyperlink" Target="http://www.themcs.org/calendar.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822</TotalTime>
  <Pages>5</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Winslade, Barry (C1693)</dc:creator>
  <cp:keywords/>
  <dc:description/>
  <cp:lastModifiedBy>Winslade, Barry (C1693)</cp:lastModifiedBy>
  <cp:revision>29</cp:revision>
  <dcterms:created xsi:type="dcterms:W3CDTF">2020-11-07T11:08:00Z</dcterms:created>
  <dcterms:modified xsi:type="dcterms:W3CDTF">2020-11-14T13:58:00Z</dcterms:modified>
</cp:coreProperties>
</file>