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spacing w:line="360" w:lineRule="auto"/>
        <w:rPr>
          <w:rFonts w:ascii="Arial" w:hAnsi="Arial" w:eastAsia="Arial" w:cs="Arial"/>
        </w:rPr>
      </w:pPr>
      <w:r>
        <w:rPr>
          <w:rFonts w:ascii="Arial" w:hAnsi="Arial" w:eastAsia="Arial" w:cs="Arial"/>
          <w:rtl w:val="0"/>
        </w:rPr>
        <w:t>\</w:t>
      </w:r>
      <w:r>
        <w:drawing>
          <wp:anchor distT="0" distB="0" distL="114300" distR="114300" simplePos="0" relativeHeight="251659264" behindDoc="0" locked="0" layoutInCell="1" allowOverlap="1">
            <wp:simplePos x="0" y="0"/>
            <wp:positionH relativeFrom="column">
              <wp:posOffset>0</wp:posOffset>
            </wp:positionH>
            <wp:positionV relativeFrom="paragraph">
              <wp:posOffset>292100</wp:posOffset>
            </wp:positionV>
            <wp:extent cx="1809750" cy="723900"/>
            <wp:effectExtent l="0" t="0" r="0" b="0"/>
            <wp:wrapSquare wrapText="bothSides"/>
            <wp:docPr id="6" name="image2.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6" name="image2.png" descr="Discover University of Wales Trinity Saint David"/>
                    <pic:cNvPicPr preferRelativeResize="0"/>
                  </pic:nvPicPr>
                  <pic:blipFill>
                    <a:blip r:embed="rId6"/>
                    <a:srcRect/>
                    <a:stretch>
                      <a:fillRect/>
                    </a:stretch>
                  </pic:blipFill>
                  <pic:spPr>
                    <a:xfrm>
                      <a:off x="0" y="0"/>
                      <a:ext cx="1809750" cy="723900"/>
                    </a:xfrm>
                    <a:prstGeom prst="rect">
                      <a:avLst/>
                    </a:prstGeom>
                  </pic:spPr>
                </pic:pic>
              </a:graphicData>
            </a:graphic>
          </wp:anchor>
        </w:drawing>
      </w:r>
    </w:p>
    <w:p w14:paraId="00000002">
      <w:pPr>
        <w:spacing w:line="360" w:lineRule="auto"/>
        <w:rPr>
          <w:rFonts w:ascii="Arial" w:hAnsi="Arial" w:eastAsia="Arial" w:cs="Arial"/>
        </w:rPr>
      </w:pPr>
    </w:p>
    <w:p w14:paraId="00000003">
      <w:pPr>
        <w:spacing w:line="360" w:lineRule="auto"/>
        <w:rPr>
          <w:rFonts w:ascii="Arial" w:hAnsi="Arial" w:eastAsia="Arial" w:cs="Arial"/>
        </w:rPr>
      </w:pPr>
    </w:p>
    <w:p w14:paraId="00000004">
      <w:pPr>
        <w:spacing w:line="360" w:lineRule="auto"/>
        <w:rPr>
          <w:rFonts w:ascii="Arial" w:hAnsi="Arial" w:eastAsia="Arial" w:cs="Arial"/>
        </w:rPr>
      </w:pPr>
    </w:p>
    <w:p w14:paraId="00000005">
      <w:pPr>
        <w:tabs>
          <w:tab w:val="left" w:pos="6540"/>
        </w:tabs>
        <w:spacing w:line="360" w:lineRule="auto"/>
        <w:rPr>
          <w:rFonts w:ascii="Arial" w:hAnsi="Arial" w:eastAsia="Arial" w:cs="Arial"/>
          <w:sz w:val="28"/>
          <w:szCs w:val="28"/>
        </w:rPr>
      </w:pPr>
    </w:p>
    <w:p w14:paraId="00000006">
      <w:pPr>
        <w:tabs>
          <w:tab w:val="left" w:pos="6540"/>
        </w:tabs>
        <w:spacing w:line="360" w:lineRule="auto"/>
        <w:rPr>
          <w:rFonts w:hint="default" w:ascii="Arial" w:hAnsi="Arial" w:eastAsia="Arial" w:cs="Arial"/>
          <w:sz w:val="28"/>
          <w:szCs w:val="28"/>
          <w:lang w:val="en-GB"/>
        </w:rPr>
      </w:pPr>
      <w:r>
        <w:rPr>
          <w:rFonts w:ascii="Arial" w:hAnsi="Arial" w:eastAsia="Arial" w:cs="Arial"/>
          <w:b/>
          <w:bCs/>
          <w:sz w:val="28"/>
          <w:szCs w:val="28"/>
          <w:rtl w:val="0"/>
        </w:rPr>
        <w:t>Student name</w:t>
      </w:r>
      <w:r>
        <w:rPr>
          <w:rFonts w:ascii="Arial" w:hAnsi="Arial" w:eastAsia="Arial" w:cs="Arial"/>
          <w:sz w:val="28"/>
          <w:szCs w:val="28"/>
          <w:rtl w:val="0"/>
        </w:rPr>
        <w:t>:</w:t>
      </w:r>
      <w:r>
        <w:rPr>
          <w:rFonts w:hint="default" w:ascii="Arial" w:hAnsi="Arial" w:eastAsia="Arial" w:cs="Arial"/>
          <w:sz w:val="28"/>
          <w:szCs w:val="28"/>
          <w:rtl w:val="0"/>
          <w:lang w:val="en-GB"/>
        </w:rPr>
        <w:t xml:space="preserve"> Pavlin Enchev</w:t>
      </w:r>
    </w:p>
    <w:p w14:paraId="00000007">
      <w:pPr>
        <w:tabs>
          <w:tab w:val="left" w:pos="6540"/>
        </w:tabs>
        <w:spacing w:line="360" w:lineRule="auto"/>
        <w:rPr>
          <w:rFonts w:hint="default" w:ascii="Arial" w:hAnsi="Arial" w:eastAsia="Arial" w:cs="Arial"/>
          <w:sz w:val="28"/>
          <w:szCs w:val="28"/>
          <w:lang w:val="en-GB"/>
        </w:rPr>
      </w:pPr>
      <w:r>
        <w:rPr>
          <w:rFonts w:ascii="Arial" w:hAnsi="Arial" w:eastAsia="Arial" w:cs="Arial"/>
          <w:b/>
          <w:bCs/>
          <w:sz w:val="28"/>
          <w:szCs w:val="28"/>
          <w:rtl w:val="0"/>
        </w:rPr>
        <w:t>Student ID</w:t>
      </w:r>
      <w:r>
        <w:rPr>
          <w:rFonts w:ascii="Arial" w:hAnsi="Arial" w:eastAsia="Arial" w:cs="Arial"/>
          <w:sz w:val="28"/>
          <w:szCs w:val="28"/>
          <w:rtl w:val="0"/>
        </w:rPr>
        <w:t>:</w:t>
      </w:r>
      <w:r>
        <w:rPr>
          <w:rFonts w:hint="default" w:ascii="Arial" w:hAnsi="Arial" w:eastAsia="Arial" w:cs="Arial"/>
          <w:sz w:val="28"/>
          <w:szCs w:val="28"/>
          <w:rtl w:val="0"/>
          <w:lang w:val="en-GB"/>
        </w:rPr>
        <w:t>2327272</w:t>
      </w:r>
    </w:p>
    <w:p w14:paraId="00000008">
      <w:pPr>
        <w:tabs>
          <w:tab w:val="left" w:pos="6540"/>
        </w:tabs>
        <w:spacing w:line="360" w:lineRule="auto"/>
        <w:rPr>
          <w:rFonts w:ascii="Arial" w:hAnsi="Arial" w:eastAsia="Arial" w:cs="Arial"/>
          <w:sz w:val="28"/>
          <w:szCs w:val="28"/>
        </w:rPr>
      </w:pPr>
    </w:p>
    <w:p w14:paraId="00000009">
      <w:pPr>
        <w:tabs>
          <w:tab w:val="left" w:pos="6540"/>
        </w:tabs>
        <w:spacing w:line="360" w:lineRule="auto"/>
        <w:rPr>
          <w:rFonts w:hint="default" w:ascii="Arial" w:hAnsi="Arial" w:eastAsia="Arial" w:cs="Arial"/>
          <w:sz w:val="28"/>
          <w:szCs w:val="28"/>
          <w:lang w:val="en-GB"/>
        </w:rPr>
      </w:pPr>
      <w:r>
        <w:rPr>
          <w:rFonts w:ascii="Arial" w:hAnsi="Arial" w:eastAsia="Arial" w:cs="Arial"/>
          <w:b/>
          <w:bCs/>
          <w:sz w:val="28"/>
          <w:szCs w:val="28"/>
          <w:rtl w:val="0"/>
        </w:rPr>
        <w:t>Module name</w:t>
      </w:r>
      <w:r>
        <w:rPr>
          <w:rFonts w:ascii="Arial" w:hAnsi="Arial" w:eastAsia="Arial" w:cs="Arial"/>
          <w:sz w:val="28"/>
          <w:szCs w:val="28"/>
          <w:rtl w:val="0"/>
        </w:rPr>
        <w:t xml:space="preserve">: </w:t>
      </w:r>
      <w:r>
        <w:rPr>
          <w:rFonts w:hint="default" w:ascii="Arial" w:hAnsi="Arial" w:eastAsia="Arial" w:cs="Arial"/>
          <w:sz w:val="28"/>
          <w:szCs w:val="28"/>
          <w:rtl w:val="0"/>
          <w:lang w:val="en-GB"/>
        </w:rPr>
        <w:t>Changemakers: Bulding your Personal Brand for Sustainable Employment</w:t>
      </w:r>
    </w:p>
    <w:p w14:paraId="0000000A">
      <w:pPr>
        <w:tabs>
          <w:tab w:val="left" w:pos="6540"/>
        </w:tabs>
        <w:spacing w:line="360" w:lineRule="auto"/>
        <w:rPr>
          <w:rFonts w:hint="default" w:ascii="Arial" w:hAnsi="Arial" w:eastAsia="Arial" w:cs="Arial"/>
          <w:sz w:val="28"/>
          <w:szCs w:val="28"/>
          <w:lang w:val="en-GB"/>
        </w:rPr>
      </w:pPr>
      <w:r>
        <w:rPr>
          <w:rFonts w:ascii="Arial" w:hAnsi="Arial" w:eastAsia="Arial" w:cs="Arial"/>
          <w:b/>
          <w:bCs/>
          <w:sz w:val="28"/>
          <w:szCs w:val="28"/>
          <w:rtl w:val="0"/>
        </w:rPr>
        <w:t>Module code</w:t>
      </w:r>
      <w:r>
        <w:rPr>
          <w:rFonts w:ascii="Arial" w:hAnsi="Arial" w:eastAsia="Arial" w:cs="Arial"/>
          <w:sz w:val="28"/>
          <w:szCs w:val="28"/>
          <w:rtl w:val="0"/>
        </w:rPr>
        <w:t>:</w:t>
      </w:r>
      <w:r>
        <w:rPr>
          <w:rFonts w:hint="default" w:ascii="Arial" w:hAnsi="Arial" w:eastAsia="Arial" w:cs="Arial"/>
          <w:sz w:val="28"/>
          <w:szCs w:val="28"/>
          <w:rtl w:val="0"/>
          <w:lang w:val="en-GB"/>
        </w:rPr>
        <w:t>BMHP5015</w:t>
      </w:r>
    </w:p>
    <w:p w14:paraId="0000000B">
      <w:pPr>
        <w:tabs>
          <w:tab w:val="left" w:pos="6540"/>
        </w:tabs>
        <w:spacing w:line="360" w:lineRule="auto"/>
        <w:rPr>
          <w:rFonts w:hint="default" w:ascii="Arial" w:hAnsi="Arial" w:eastAsia="Arial" w:cs="Arial"/>
          <w:sz w:val="28"/>
          <w:szCs w:val="28"/>
          <w:lang w:val="en-GB"/>
        </w:rPr>
      </w:pPr>
      <w:r>
        <w:rPr>
          <w:rFonts w:ascii="Arial" w:hAnsi="Arial" w:eastAsia="Arial" w:cs="Arial"/>
          <w:b/>
          <w:bCs/>
          <w:sz w:val="28"/>
          <w:szCs w:val="28"/>
          <w:rtl w:val="0"/>
        </w:rPr>
        <w:t>Lecturer name</w:t>
      </w:r>
      <w:r>
        <w:rPr>
          <w:rFonts w:ascii="Arial" w:hAnsi="Arial" w:eastAsia="Arial" w:cs="Arial"/>
          <w:sz w:val="28"/>
          <w:szCs w:val="28"/>
          <w:rtl w:val="0"/>
        </w:rPr>
        <w:t>:</w:t>
      </w:r>
      <w:r>
        <w:rPr>
          <w:rFonts w:hint="default" w:ascii="Arial" w:hAnsi="Arial" w:eastAsia="Arial" w:cs="Arial"/>
          <w:sz w:val="28"/>
          <w:szCs w:val="28"/>
          <w:rtl w:val="0"/>
          <w:lang w:val="en-GB"/>
        </w:rPr>
        <w:t>Christopher Mafuva</w:t>
      </w:r>
      <w:bookmarkStart w:id="0" w:name="_GoBack"/>
      <w:bookmarkEnd w:id="0"/>
    </w:p>
    <w:p w14:paraId="0000000C">
      <w:pPr>
        <w:tabs>
          <w:tab w:val="left" w:pos="6540"/>
        </w:tabs>
        <w:spacing w:line="360" w:lineRule="auto"/>
        <w:rPr>
          <w:rFonts w:ascii="Arial" w:hAnsi="Arial" w:eastAsia="Arial" w:cs="Arial"/>
          <w:sz w:val="28"/>
          <w:szCs w:val="28"/>
        </w:rPr>
      </w:pPr>
    </w:p>
    <w:p w14:paraId="0000000D">
      <w:pPr>
        <w:spacing w:line="360" w:lineRule="auto"/>
        <w:rPr>
          <w:rFonts w:ascii="Arial" w:hAnsi="Arial" w:eastAsia="Arial" w:cs="Arial"/>
        </w:rPr>
      </w:pPr>
      <w:r>
        <w:br w:type="page"/>
      </w:r>
    </w:p>
    <w:p w14:paraId="0000000E">
      <w:pPr>
        <w:spacing w:after="0" w:line="360" w:lineRule="auto"/>
        <w:jc w:val="center"/>
        <w:rPr>
          <w:rFonts w:ascii="Arial" w:hAnsi="Arial" w:eastAsia="Arial" w:cs="Arial"/>
          <w:b/>
          <w:bCs/>
          <w:sz w:val="22"/>
          <w:szCs w:val="22"/>
        </w:rPr>
      </w:pPr>
      <w:r>
        <w:rPr>
          <w:rFonts w:ascii="Arial" w:hAnsi="Arial" w:eastAsia="Arial" w:cs="Arial"/>
          <w:b/>
          <w:bCs/>
          <w:sz w:val="22"/>
          <w:szCs w:val="22"/>
          <w:rtl w:val="0"/>
        </w:rPr>
        <w:t>Introduction</w:t>
      </w:r>
    </w:p>
    <w:p w14:paraId="0000000F">
      <w:pPr>
        <w:spacing w:after="0" w:line="360" w:lineRule="auto"/>
        <w:ind w:firstLine="720"/>
        <w:rPr>
          <w:rFonts w:ascii="Arial" w:hAnsi="Arial" w:eastAsia="Arial" w:cs="Arial"/>
          <w:sz w:val="22"/>
          <w:szCs w:val="22"/>
        </w:rPr>
      </w:pPr>
      <w:r>
        <w:rPr>
          <w:rFonts w:ascii="Arial" w:hAnsi="Arial" w:eastAsia="Arial" w:cs="Arial"/>
          <w:sz w:val="22"/>
          <w:szCs w:val="22"/>
          <w:rtl w:val="0"/>
        </w:rPr>
        <w:t xml:space="preserve">The module The Changemakers: Building Your Personal Brand to Sustainable Employment has been a critical development of my knowledge on professional identity in health and social care. In essence, professional development is based on the principle of reflexivity because the method is intended to enable individuals to comprehend their relation to themselves and others more (Luft &amp; Ingham, 1955). The process does not make self-awareness optional, but rather it is central to competent practice. I started to think about identity as a strategy and not as a stable concept, especially when I say that personal branding is a strategic process of creating, positioning, and sustaining a positive image of oneself (Gorbatov et al., 2018, p. 6). </w:t>
      </w:r>
    </w:p>
    <w:p w14:paraId="00000010">
      <w:pPr>
        <w:spacing w:after="0" w:line="360" w:lineRule="auto"/>
        <w:ind w:firstLine="720"/>
        <w:rPr>
          <w:rFonts w:ascii="Arial" w:hAnsi="Arial" w:eastAsia="Arial" w:cs="Arial"/>
          <w:sz w:val="22"/>
          <w:szCs w:val="22"/>
        </w:rPr>
      </w:pPr>
      <w:r>
        <w:rPr>
          <w:rFonts w:ascii="Arial" w:hAnsi="Arial" w:eastAsia="Arial" w:cs="Arial"/>
          <w:sz w:val="22"/>
          <w:szCs w:val="22"/>
          <w:rtl w:val="0"/>
        </w:rPr>
        <w:t>Notably, the module went beyond the individual identity to structural and global aspects. It has been indicated that a good personal brand can contribute to personal goals and culminate in the success of any company (Nhanow, 2020), which is why branding is considered an asset of both individual and systemic capital. At the same time, globalisation becomes a complication because cultural differences remain prominent nowadays, and diversity has tended to advance (Hofstede et al., 2010). This justifies the need for flexibility. Moreover, action is based on behavioural frameworks, in which goal-setting is problem-based, change-oriented, and may be effective in motivating attainment (Ogbeiwi, 2021). Lastly, sustainability cannot be discussed without wellbeing, and the PERMA model has five building blocks that increase one’s prospects of success (Seligman, 2011). So, the main point presented by this portfolio is that the combination of identity, cultural intelligence, strategic action, and psychological resilience is what leads to effective employability in health and social care.</w:t>
      </w:r>
    </w:p>
    <w:p w14:paraId="00000011">
      <w:pPr>
        <w:spacing w:after="0" w:line="360" w:lineRule="auto"/>
        <w:jc w:val="center"/>
        <w:rPr>
          <w:rFonts w:ascii="Arial" w:hAnsi="Arial" w:eastAsia="Arial" w:cs="Arial"/>
          <w:b/>
          <w:bCs/>
          <w:sz w:val="22"/>
          <w:szCs w:val="22"/>
        </w:rPr>
      </w:pPr>
      <w:r>
        <w:rPr>
          <w:rFonts w:ascii="Arial" w:hAnsi="Arial" w:eastAsia="Arial" w:cs="Arial"/>
          <w:b/>
          <w:bCs/>
          <w:sz w:val="22"/>
          <w:szCs w:val="22"/>
          <w:rtl w:val="0"/>
        </w:rPr>
        <w:t>Reflection of Unit 1: Brand You</w:t>
      </w:r>
    </w:p>
    <w:p w14:paraId="00000012">
      <w:pPr>
        <w:spacing w:after="0" w:line="360" w:lineRule="auto"/>
        <w:ind w:firstLine="720"/>
        <w:rPr>
          <w:rFonts w:ascii="Arial" w:hAnsi="Arial" w:eastAsia="Arial" w:cs="Arial"/>
          <w:sz w:val="22"/>
          <w:szCs w:val="22"/>
        </w:rPr>
      </w:pPr>
      <w:r>
        <w:rPr>
          <w:rFonts w:ascii="Arial" w:hAnsi="Arial" w:eastAsia="Arial" w:cs="Arial"/>
          <w:sz w:val="22"/>
          <w:szCs w:val="22"/>
          <w:rtl w:val="0"/>
        </w:rPr>
        <w:t xml:space="preserve">Unit 1 was really significant in changing how I understood employability because it redefined the concept of identity as a construct, as opposed to a passive characteristic. </w:t>
      </w:r>
      <w:r>
        <w:rPr>
          <w:rFonts w:ascii="Arial" w:hAnsi="Arial" w:eastAsia="Arial" w:cs="Arial"/>
          <w:b/>
          <w:bCs/>
          <w:sz w:val="22"/>
          <w:szCs w:val="22"/>
          <w:rtl w:val="0"/>
        </w:rPr>
        <w:t xml:space="preserve">According to the literature, branding is deliberate, where personal branding is a strategic process of creating, placing and maintaining a positive self-image (Gorbatov et al., 2018). This goes beyond the level of qualification to symbolic value creation. </w:t>
      </w:r>
      <w:r>
        <w:rPr>
          <w:rFonts w:ascii="Arial" w:hAnsi="Arial" w:eastAsia="Arial" w:cs="Arial"/>
          <w:sz w:val="22"/>
          <w:szCs w:val="22"/>
          <w:rtl w:val="0"/>
        </w:rPr>
        <w:t>More importantly, a personal brand describes what one adds to the people they serve (Nhanow, 2020), which is exactly what patient-centred care models entail. Therefore, branding does not consist of superficial self-promotion but is part of ethical practice.</w:t>
      </w:r>
    </w:p>
    <w:p w14:paraId="00000013">
      <w:pPr>
        <w:spacing w:after="0" w:line="360" w:lineRule="auto"/>
        <w:ind w:firstLine="720"/>
        <w:rPr>
          <w:rFonts w:ascii="Arial" w:hAnsi="Arial" w:eastAsia="Arial" w:cs="Arial"/>
          <w:sz w:val="22"/>
          <w:szCs w:val="22"/>
        </w:rPr>
      </w:pPr>
      <w:r>
        <w:rPr>
          <w:rFonts w:ascii="Arial" w:hAnsi="Arial" w:eastAsia="Arial" w:cs="Arial"/>
          <w:sz w:val="22"/>
          <w:szCs w:val="22"/>
          <w:rtl w:val="0"/>
        </w:rPr>
        <w:t>Theoretically, branding works according to reflexivity. Literature states that social negotiating identity means that successful personal branding involves self-awareness, feedback-seeking, and sense-making (Kovich et al., 2023) This is supported by the fact that personal branding strategies are clearly geared to reflexivity development (Gorbatov, 2019). My critical response to this was through the realisation that self-awareness is relational. As mentioned, self-awareness does not simply mean looking inside yourself but closing the gap between how people perceive you and how you perceive yourself (Letter for Better, 2023). This is the weakness of purely introspective models.</w:t>
      </w:r>
    </w:p>
    <w:p w14:paraId="00000014">
      <w:pPr>
        <w:spacing w:after="0" w:line="360" w:lineRule="auto"/>
        <w:ind w:firstLine="720"/>
        <w:rPr>
          <w:rFonts w:ascii="Arial" w:hAnsi="Arial" w:eastAsia="Arial" w:cs="Arial"/>
          <w:sz w:val="22"/>
          <w:szCs w:val="22"/>
        </w:rPr>
      </w:pPr>
      <w:r>
        <w:rPr>
          <w:rFonts w:ascii="Arial" w:hAnsi="Arial" w:eastAsia="Arial" w:cs="Arial"/>
          <w:sz w:val="22"/>
          <w:szCs w:val="22"/>
          <w:rtl w:val="0"/>
        </w:rPr>
        <w:t>The Johari Window offered a solid analytical model. Its objective is clear: the main purpose is to raise the Open Area (BehaviorFacts, 2026). Such growth increases transparency because the higher the self-knowledge, the higher the trust, cooperation, and emotional intelligence (BehaviorFacts, 2026). Nevertheless, it is a vulnerable process, as the individual cannot develop without being open to feedback (GodsFaintPath, 2022). Importantly, this is a criticism of hierarchical healthcare cultures in which feedback can be limited.</w:t>
      </w:r>
    </w:p>
    <w:p w14:paraId="00000015">
      <w:pPr>
        <w:spacing w:after="0" w:line="360" w:lineRule="auto"/>
        <w:jc w:val="center"/>
        <w:rPr>
          <w:rFonts w:ascii="Arial" w:hAnsi="Arial" w:eastAsia="Arial" w:cs="Arial"/>
          <w:sz w:val="22"/>
          <w:szCs w:val="22"/>
        </w:rPr>
      </w:pPr>
      <w:r>
        <w:rPr>
          <w:rFonts w:ascii="Arial" w:hAnsi="Arial" w:eastAsia="Arial" w:cs="Arial"/>
          <w:sz w:val="22"/>
          <w:szCs w:val="22"/>
        </w:rPr>
        <w:drawing>
          <wp:inline distT="114300" distB="114300" distL="114300" distR="114300">
            <wp:extent cx="5730875" cy="2679700"/>
            <wp:effectExtent l="0" t="0" r="0" b="0"/>
            <wp:docPr id="3" name="image8.jpg"/>
            <wp:cNvGraphicFramePr/>
            <a:graphic xmlns:a="http://schemas.openxmlformats.org/drawingml/2006/main">
              <a:graphicData uri="http://schemas.openxmlformats.org/drawingml/2006/picture">
                <pic:pic xmlns:pic="http://schemas.openxmlformats.org/drawingml/2006/picture">
                  <pic:nvPicPr>
                    <pic:cNvPr id="3" name="image8.jpg"/>
                    <pic:cNvPicPr preferRelativeResize="0"/>
                  </pic:nvPicPr>
                  <pic:blipFill>
                    <a:blip r:embed="rId7"/>
                    <a:srcRect/>
                    <a:stretch>
                      <a:fillRect/>
                    </a:stretch>
                  </pic:blipFill>
                  <pic:spPr>
                    <a:xfrm>
                      <a:off x="0" y="0"/>
                      <a:ext cx="5731200" cy="2679700"/>
                    </a:xfrm>
                    <a:prstGeom prst="rect">
                      <a:avLst/>
                    </a:prstGeom>
                  </pic:spPr>
                </pic:pic>
              </a:graphicData>
            </a:graphic>
          </wp:inline>
        </w:drawing>
      </w:r>
    </w:p>
    <w:p w14:paraId="00000016">
      <w:pPr>
        <w:spacing w:after="0" w:line="360" w:lineRule="auto"/>
        <w:jc w:val="center"/>
        <w:rPr>
          <w:rFonts w:ascii="Arial" w:hAnsi="Arial" w:eastAsia="Arial" w:cs="Arial"/>
          <w:sz w:val="22"/>
          <w:szCs w:val="22"/>
        </w:rPr>
      </w:pPr>
      <w:r>
        <w:rPr>
          <w:rFonts w:ascii="Arial" w:hAnsi="Arial" w:eastAsia="Arial" w:cs="Arial"/>
          <w:sz w:val="22"/>
          <w:szCs w:val="22"/>
          <w:rtl w:val="0"/>
        </w:rPr>
        <w:t>Image 1: Serendipity Activity</w:t>
      </w:r>
    </w:p>
    <w:p w14:paraId="00000017">
      <w:pPr>
        <w:spacing w:after="0" w:line="360" w:lineRule="auto"/>
        <w:rPr>
          <w:rFonts w:ascii="Arial" w:hAnsi="Arial" w:eastAsia="Arial" w:cs="Arial"/>
          <w:sz w:val="22"/>
          <w:szCs w:val="22"/>
        </w:rPr>
      </w:pPr>
      <w:r>
        <w:rPr>
          <w:rFonts w:ascii="Arial" w:hAnsi="Arial" w:eastAsia="Arial" w:cs="Arial"/>
          <w:sz w:val="22"/>
          <w:szCs w:val="22"/>
          <w:rtl w:val="0"/>
        </w:rPr>
        <w:t xml:space="preserve"> Non-linear career development can be traced to the idea of good luck in making unexpected and lucky finds (Image 1). This is in line with emergent career theory, which postulates that opportunities are created by action and not planning.</w:t>
      </w:r>
    </w:p>
    <w:p w14:paraId="00000018">
      <w:pPr>
        <w:spacing w:after="0" w:line="360" w:lineRule="auto"/>
        <w:jc w:val="center"/>
        <w:rPr>
          <w:rFonts w:ascii="Arial" w:hAnsi="Arial" w:eastAsia="Arial" w:cs="Arial"/>
          <w:sz w:val="22"/>
          <w:szCs w:val="22"/>
        </w:rPr>
      </w:pPr>
      <w:r>
        <w:rPr>
          <w:rFonts w:ascii="Arial" w:hAnsi="Arial" w:eastAsia="Arial" w:cs="Arial"/>
          <w:sz w:val="22"/>
          <w:szCs w:val="22"/>
        </w:rPr>
        <w:drawing>
          <wp:inline distT="114300" distB="114300" distL="114300" distR="114300">
            <wp:extent cx="5730875" cy="2679700"/>
            <wp:effectExtent l="0" t="0" r="0" b="0"/>
            <wp:docPr id="7" name="image6.jpg"/>
            <wp:cNvGraphicFramePr/>
            <a:graphic xmlns:a="http://schemas.openxmlformats.org/drawingml/2006/main">
              <a:graphicData uri="http://schemas.openxmlformats.org/drawingml/2006/picture">
                <pic:pic xmlns:pic="http://schemas.openxmlformats.org/drawingml/2006/picture">
                  <pic:nvPicPr>
                    <pic:cNvPr id="7" name="image6.jpg"/>
                    <pic:cNvPicPr preferRelativeResize="0"/>
                  </pic:nvPicPr>
                  <pic:blipFill>
                    <a:blip r:embed="rId8"/>
                    <a:srcRect/>
                    <a:stretch>
                      <a:fillRect/>
                    </a:stretch>
                  </pic:blipFill>
                  <pic:spPr>
                    <a:xfrm>
                      <a:off x="0" y="0"/>
                      <a:ext cx="5731200" cy="2679700"/>
                    </a:xfrm>
                    <a:prstGeom prst="rect">
                      <a:avLst/>
                    </a:prstGeom>
                  </pic:spPr>
                </pic:pic>
              </a:graphicData>
            </a:graphic>
          </wp:inline>
        </w:drawing>
      </w:r>
    </w:p>
    <w:p w14:paraId="00000019">
      <w:pPr>
        <w:spacing w:after="0" w:line="360" w:lineRule="auto"/>
        <w:jc w:val="center"/>
        <w:rPr>
          <w:rFonts w:ascii="Arial" w:hAnsi="Arial" w:eastAsia="Arial" w:cs="Arial"/>
          <w:sz w:val="22"/>
          <w:szCs w:val="22"/>
        </w:rPr>
      </w:pPr>
      <w:r>
        <w:rPr>
          <w:rFonts w:ascii="Arial" w:hAnsi="Arial" w:eastAsia="Arial" w:cs="Arial"/>
          <w:sz w:val="22"/>
          <w:szCs w:val="22"/>
          <w:rtl w:val="0"/>
        </w:rPr>
        <w:t>Image 2: Networking Meaning</w:t>
      </w:r>
    </w:p>
    <w:p w14:paraId="0000001A">
      <w:pPr>
        <w:spacing w:after="0" w:line="360" w:lineRule="auto"/>
        <w:rPr>
          <w:rFonts w:ascii="Arial" w:hAnsi="Arial" w:eastAsia="Arial" w:cs="Arial"/>
          <w:sz w:val="22"/>
          <w:szCs w:val="22"/>
        </w:rPr>
      </w:pPr>
      <w:r>
        <w:rPr>
          <w:rFonts w:ascii="Arial" w:hAnsi="Arial" w:eastAsia="Arial" w:cs="Arial"/>
          <w:sz w:val="22"/>
          <w:szCs w:val="22"/>
          <w:rtl w:val="0"/>
        </w:rPr>
        <w:t xml:space="preserve"> The concept of networking as a process to make professional contact (Image 2) is in line with the social capital theory, where people rely on the social networks to promote their status and credibility (Szántó et al., 2025). It shows that branding is not limited to the individual but also to relational ecosystems.</w:t>
      </w:r>
    </w:p>
    <w:p w14:paraId="0000001B">
      <w:pPr>
        <w:spacing w:after="0" w:line="360" w:lineRule="auto"/>
        <w:jc w:val="center"/>
        <w:rPr>
          <w:rFonts w:ascii="Arial" w:hAnsi="Arial" w:eastAsia="Arial" w:cs="Arial"/>
          <w:sz w:val="22"/>
          <w:szCs w:val="22"/>
        </w:rPr>
      </w:pPr>
      <w:r>
        <w:rPr>
          <w:rFonts w:ascii="Arial" w:hAnsi="Arial" w:eastAsia="Arial" w:cs="Arial"/>
          <w:sz w:val="22"/>
          <w:szCs w:val="22"/>
        </w:rPr>
        <w:drawing>
          <wp:inline distT="114300" distB="114300" distL="114300" distR="114300">
            <wp:extent cx="5730875" cy="2679700"/>
            <wp:effectExtent l="0" t="0" r="0" b="0"/>
            <wp:docPr id="5" name="image4.jpg"/>
            <wp:cNvGraphicFramePr/>
            <a:graphic xmlns:a="http://schemas.openxmlformats.org/drawingml/2006/main">
              <a:graphicData uri="http://schemas.openxmlformats.org/drawingml/2006/picture">
                <pic:pic xmlns:pic="http://schemas.openxmlformats.org/drawingml/2006/picture">
                  <pic:nvPicPr>
                    <pic:cNvPr id="5" name="image4.jpg"/>
                    <pic:cNvPicPr preferRelativeResize="0"/>
                  </pic:nvPicPr>
                  <pic:blipFill>
                    <a:blip r:embed="rId9"/>
                    <a:srcRect/>
                    <a:stretch>
                      <a:fillRect/>
                    </a:stretch>
                  </pic:blipFill>
                  <pic:spPr>
                    <a:xfrm>
                      <a:off x="0" y="0"/>
                      <a:ext cx="5731200" cy="2679700"/>
                    </a:xfrm>
                    <a:prstGeom prst="rect">
                      <a:avLst/>
                    </a:prstGeom>
                  </pic:spPr>
                </pic:pic>
              </a:graphicData>
            </a:graphic>
          </wp:inline>
        </w:drawing>
      </w:r>
    </w:p>
    <w:p w14:paraId="0000001C">
      <w:pPr>
        <w:spacing w:after="0" w:line="360" w:lineRule="auto"/>
        <w:jc w:val="center"/>
        <w:rPr>
          <w:rFonts w:ascii="Arial" w:hAnsi="Arial" w:eastAsia="Arial" w:cs="Arial"/>
          <w:sz w:val="22"/>
          <w:szCs w:val="22"/>
        </w:rPr>
      </w:pPr>
      <w:r>
        <w:rPr>
          <w:rFonts w:ascii="Arial" w:hAnsi="Arial" w:eastAsia="Arial" w:cs="Arial"/>
          <w:sz w:val="22"/>
          <w:szCs w:val="22"/>
          <w:rtl w:val="0"/>
        </w:rPr>
        <w:t>Image 3: Outside Industry Connections.</w:t>
      </w:r>
    </w:p>
    <w:p w14:paraId="0000001D">
      <w:pPr>
        <w:spacing w:after="0" w:line="360" w:lineRule="auto"/>
        <w:ind w:firstLine="720"/>
        <w:rPr>
          <w:rFonts w:ascii="Arial" w:hAnsi="Arial" w:eastAsia="Arial" w:cs="Arial"/>
          <w:sz w:val="22"/>
          <w:szCs w:val="22"/>
        </w:rPr>
      </w:pPr>
      <w:r>
        <w:rPr>
          <w:rFonts w:ascii="Arial" w:hAnsi="Arial" w:eastAsia="Arial" w:cs="Arial"/>
          <w:sz w:val="22"/>
          <w:szCs w:val="22"/>
          <w:rtl w:val="0"/>
        </w:rPr>
        <w:t>Specifically, informal networks are emphasised by the presence of family and friends, future colleagues (Image 3). This proves the point that identity construction is not institutionally constrained but socially embedded. In general, Unit 1 illustrates that branding is a dynamic interaction of self-perception, external validation, and social capital. This has far-reaching effects on employability in care situations where trust and relational competence are of paramount importance.</w:t>
      </w:r>
    </w:p>
    <w:p w14:paraId="0000001E">
      <w:pPr>
        <w:spacing w:after="0" w:line="360" w:lineRule="auto"/>
        <w:jc w:val="center"/>
        <w:rPr>
          <w:rFonts w:ascii="Arial" w:hAnsi="Arial" w:eastAsia="Arial" w:cs="Arial"/>
          <w:b/>
          <w:bCs/>
          <w:sz w:val="22"/>
          <w:szCs w:val="22"/>
        </w:rPr>
      </w:pPr>
      <w:r>
        <w:rPr>
          <w:rFonts w:ascii="Arial" w:hAnsi="Arial" w:eastAsia="Arial" w:cs="Arial"/>
          <w:b/>
          <w:bCs/>
          <w:sz w:val="22"/>
          <w:szCs w:val="22"/>
          <w:rtl w:val="0"/>
        </w:rPr>
        <w:t>Reflection on Unit 2: It is a Small World.</w:t>
      </w:r>
    </w:p>
    <w:p w14:paraId="0000001F">
      <w:pPr>
        <w:spacing w:after="0" w:line="360" w:lineRule="auto"/>
        <w:ind w:firstLine="720"/>
        <w:rPr>
          <w:rFonts w:ascii="Arial" w:hAnsi="Arial" w:eastAsia="Arial" w:cs="Arial"/>
          <w:sz w:val="22"/>
          <w:szCs w:val="22"/>
        </w:rPr>
      </w:pPr>
      <w:r>
        <w:rPr>
          <w:rFonts w:ascii="Arial" w:hAnsi="Arial" w:eastAsia="Arial" w:cs="Arial"/>
          <w:sz w:val="22"/>
          <w:szCs w:val="22"/>
          <w:rtl w:val="0"/>
        </w:rPr>
        <w:t>Unit 2 helped me develop my knowledge through placing my professional identity in the context of the world and culture. One of the main revelations is that even nowadays, cultural differences are still significant, and diversity has been inclined to grow (Hofstede et al., 2010). This is a challenge to global convergence assumptions and rather places diversity as an ongoing structural fact. The framework by Hofstede offers a deeper level of analysis since it allows quantifying the variability of culture in addition to the impact on behavior, decision-making, and social systems (Hofstede et al., 2010). This is especially applicable in the field of healthcare, where cultural misfit may undermine results. To illustrate this, mental distress in most Asian nations is commonly manifested in somatic symptoms (Ahmed et al., 2024), and this shows that Western diagnostic frameworks might not be adequate.</w:t>
      </w:r>
    </w:p>
    <w:p w14:paraId="00000020">
      <w:pPr>
        <w:spacing w:after="0" w:line="360" w:lineRule="auto"/>
        <w:ind w:firstLine="720"/>
        <w:rPr>
          <w:rFonts w:ascii="Arial" w:hAnsi="Arial" w:eastAsia="Arial" w:cs="Arial"/>
          <w:sz w:val="22"/>
          <w:szCs w:val="22"/>
        </w:rPr>
      </w:pPr>
      <w:r>
        <w:rPr>
          <w:rFonts w:ascii="Arial" w:hAnsi="Arial" w:eastAsia="Arial" w:cs="Arial"/>
          <w:sz w:val="22"/>
          <w:szCs w:val="22"/>
          <w:rtl w:val="0"/>
        </w:rPr>
        <w:t>More importantly, cultural competence is not a passive knowledge but an active adjustment. The literature points out that professionals should treat intercultural contacts more sensitively and open-mindedly (Hofstede et al., 2010). This goes in line with the rising significance of cultural intelligence to the ability to work well with different cultures (Ahmed et al., 2022). On a critical note, this is a concern of institutional preparedness, because systems tend to fall behind the demographic realities.</w:t>
      </w:r>
    </w:p>
    <w:p w14:paraId="00000021">
      <w:pPr>
        <w:spacing w:after="0" w:line="360" w:lineRule="auto"/>
        <w:jc w:val="center"/>
        <w:rPr>
          <w:rFonts w:ascii="Arial" w:hAnsi="Arial" w:eastAsia="Arial" w:cs="Arial"/>
          <w:sz w:val="22"/>
          <w:szCs w:val="22"/>
        </w:rPr>
      </w:pPr>
      <w:r>
        <w:rPr>
          <w:rFonts w:ascii="Arial" w:hAnsi="Arial" w:eastAsia="Arial" w:cs="Arial"/>
          <w:sz w:val="22"/>
          <w:szCs w:val="22"/>
        </w:rPr>
        <w:drawing>
          <wp:inline distT="114300" distB="114300" distL="114300" distR="114300">
            <wp:extent cx="5730875" cy="2679700"/>
            <wp:effectExtent l="0" t="0" r="0" b="0"/>
            <wp:docPr id="12" name="image1.jpg"/>
            <wp:cNvGraphicFramePr/>
            <a:graphic xmlns:a="http://schemas.openxmlformats.org/drawingml/2006/main">
              <a:graphicData uri="http://schemas.openxmlformats.org/drawingml/2006/picture">
                <pic:pic xmlns:pic="http://schemas.openxmlformats.org/drawingml/2006/picture">
                  <pic:nvPicPr>
                    <pic:cNvPr id="12" name="image1.jpg"/>
                    <pic:cNvPicPr preferRelativeResize="0"/>
                  </pic:nvPicPr>
                  <pic:blipFill>
                    <a:blip r:embed="rId10"/>
                    <a:srcRect/>
                    <a:stretch>
                      <a:fillRect/>
                    </a:stretch>
                  </pic:blipFill>
                  <pic:spPr>
                    <a:xfrm>
                      <a:off x="0" y="0"/>
                      <a:ext cx="5731200" cy="2679700"/>
                    </a:xfrm>
                    <a:prstGeom prst="rect">
                      <a:avLst/>
                    </a:prstGeom>
                  </pic:spPr>
                </pic:pic>
              </a:graphicData>
            </a:graphic>
          </wp:inline>
        </w:drawing>
      </w:r>
    </w:p>
    <w:p w14:paraId="00000022">
      <w:pPr>
        <w:spacing w:after="0" w:line="360" w:lineRule="auto"/>
        <w:jc w:val="center"/>
        <w:rPr>
          <w:rFonts w:ascii="Arial" w:hAnsi="Arial" w:eastAsia="Arial" w:cs="Arial"/>
          <w:sz w:val="22"/>
          <w:szCs w:val="22"/>
        </w:rPr>
      </w:pPr>
      <w:r>
        <w:rPr>
          <w:rFonts w:ascii="Arial" w:hAnsi="Arial" w:eastAsia="Arial" w:cs="Arial"/>
          <w:sz w:val="22"/>
          <w:szCs w:val="22"/>
          <w:rtl w:val="0"/>
        </w:rPr>
        <w:t>Image 4: Case Study Activity</w:t>
      </w:r>
    </w:p>
    <w:p w14:paraId="00000023">
      <w:pPr>
        <w:spacing w:after="0" w:line="360" w:lineRule="auto"/>
        <w:rPr>
          <w:rFonts w:ascii="Arial" w:hAnsi="Arial" w:eastAsia="Arial" w:cs="Arial"/>
          <w:sz w:val="22"/>
          <w:szCs w:val="22"/>
        </w:rPr>
      </w:pPr>
      <w:r>
        <w:rPr>
          <w:rFonts w:ascii="Arial" w:hAnsi="Arial" w:eastAsia="Arial" w:cs="Arial"/>
          <w:sz w:val="22"/>
          <w:szCs w:val="22"/>
          <w:rtl w:val="0"/>
        </w:rPr>
        <w:t xml:space="preserve"> The presence of the medical centre and breastfeeding association (Image 4) depicts various services offered. This shows the way healthcare systems should be able to fit the different needs of the community, which supports culturally responsive practice.</w:t>
      </w:r>
    </w:p>
    <w:p w14:paraId="00000024">
      <w:pPr>
        <w:spacing w:after="0" w:line="360" w:lineRule="auto"/>
        <w:jc w:val="center"/>
        <w:rPr>
          <w:rFonts w:ascii="Arial" w:hAnsi="Arial" w:eastAsia="Arial" w:cs="Arial"/>
          <w:sz w:val="22"/>
          <w:szCs w:val="22"/>
        </w:rPr>
      </w:pPr>
      <w:r>
        <w:rPr>
          <w:rFonts w:ascii="Arial" w:hAnsi="Arial" w:eastAsia="Arial" w:cs="Arial"/>
          <w:sz w:val="22"/>
          <w:szCs w:val="22"/>
        </w:rPr>
        <w:drawing>
          <wp:inline distT="114300" distB="114300" distL="114300" distR="114300">
            <wp:extent cx="5730875" cy="2679700"/>
            <wp:effectExtent l="0" t="0" r="0" b="0"/>
            <wp:docPr id="10" name="image6.jpg"/>
            <wp:cNvGraphicFramePr/>
            <a:graphic xmlns:a="http://schemas.openxmlformats.org/drawingml/2006/main">
              <a:graphicData uri="http://schemas.openxmlformats.org/drawingml/2006/picture">
                <pic:pic xmlns:pic="http://schemas.openxmlformats.org/drawingml/2006/picture">
                  <pic:nvPicPr>
                    <pic:cNvPr id="10" name="image6.jpg"/>
                    <pic:cNvPicPr preferRelativeResize="0"/>
                  </pic:nvPicPr>
                  <pic:blipFill>
                    <a:blip r:embed="rId8"/>
                    <a:srcRect/>
                    <a:stretch>
                      <a:fillRect/>
                    </a:stretch>
                  </pic:blipFill>
                  <pic:spPr>
                    <a:xfrm>
                      <a:off x="0" y="0"/>
                      <a:ext cx="5731200" cy="2679700"/>
                    </a:xfrm>
                    <a:prstGeom prst="rect">
                      <a:avLst/>
                    </a:prstGeom>
                  </pic:spPr>
                </pic:pic>
              </a:graphicData>
            </a:graphic>
          </wp:inline>
        </w:drawing>
      </w:r>
    </w:p>
    <w:p w14:paraId="00000025">
      <w:pPr>
        <w:spacing w:after="0" w:line="360" w:lineRule="auto"/>
        <w:jc w:val="center"/>
        <w:rPr>
          <w:rFonts w:ascii="Arial" w:hAnsi="Arial" w:eastAsia="Arial" w:cs="Arial"/>
          <w:sz w:val="22"/>
          <w:szCs w:val="22"/>
        </w:rPr>
      </w:pPr>
      <w:r>
        <w:rPr>
          <w:rFonts w:ascii="Arial" w:hAnsi="Arial" w:eastAsia="Arial" w:cs="Arial"/>
          <w:sz w:val="22"/>
          <w:szCs w:val="22"/>
          <w:rtl w:val="0"/>
        </w:rPr>
        <w:t>Image 5: Networking Meaning</w:t>
      </w:r>
    </w:p>
    <w:p w14:paraId="00000026">
      <w:pPr>
        <w:spacing w:after="0" w:line="360" w:lineRule="auto"/>
        <w:rPr>
          <w:rFonts w:ascii="Arial" w:hAnsi="Arial" w:eastAsia="Arial" w:cs="Arial"/>
          <w:sz w:val="22"/>
          <w:szCs w:val="22"/>
        </w:rPr>
      </w:pPr>
      <w:r>
        <w:rPr>
          <w:rFonts w:ascii="Arial" w:hAnsi="Arial" w:eastAsia="Arial" w:cs="Arial"/>
          <w:sz w:val="22"/>
          <w:szCs w:val="22"/>
          <w:rtl w:val="0"/>
        </w:rPr>
        <w:t xml:space="preserve"> The revisitation of networking brings out the international aspect of it. As it has been observed, personal branding assists people in achieving social capital, monetary gains, and professional progress (Kovich et al., 2023). This is an indication that the global employability is dependent on the relational reach.</w:t>
      </w:r>
    </w:p>
    <w:p w14:paraId="00000027">
      <w:pPr>
        <w:spacing w:after="0" w:line="360" w:lineRule="auto"/>
        <w:jc w:val="center"/>
        <w:rPr>
          <w:rFonts w:ascii="Arial" w:hAnsi="Arial" w:eastAsia="Arial" w:cs="Arial"/>
          <w:sz w:val="22"/>
          <w:szCs w:val="22"/>
        </w:rPr>
      </w:pPr>
      <w:r>
        <w:rPr>
          <w:rFonts w:ascii="Arial" w:hAnsi="Arial" w:eastAsia="Arial" w:cs="Arial"/>
          <w:sz w:val="22"/>
          <w:szCs w:val="22"/>
        </w:rPr>
        <w:drawing>
          <wp:inline distT="114300" distB="114300" distL="114300" distR="114300">
            <wp:extent cx="5730875" cy="2679700"/>
            <wp:effectExtent l="0" t="0" r="0" b="0"/>
            <wp:docPr id="11" name="image9.jpg"/>
            <wp:cNvGraphicFramePr/>
            <a:graphic xmlns:a="http://schemas.openxmlformats.org/drawingml/2006/main">
              <a:graphicData uri="http://schemas.openxmlformats.org/drawingml/2006/picture">
                <pic:pic xmlns:pic="http://schemas.openxmlformats.org/drawingml/2006/picture">
                  <pic:nvPicPr>
                    <pic:cNvPr id="11" name="image9.jpg"/>
                    <pic:cNvPicPr preferRelativeResize="0"/>
                  </pic:nvPicPr>
                  <pic:blipFill>
                    <a:blip r:embed="rId11"/>
                    <a:srcRect/>
                    <a:stretch>
                      <a:fillRect/>
                    </a:stretch>
                  </pic:blipFill>
                  <pic:spPr>
                    <a:xfrm>
                      <a:off x="0" y="0"/>
                      <a:ext cx="5731200" cy="2679700"/>
                    </a:xfrm>
                    <a:prstGeom prst="rect">
                      <a:avLst/>
                    </a:prstGeom>
                  </pic:spPr>
                </pic:pic>
              </a:graphicData>
            </a:graphic>
          </wp:inline>
        </w:drawing>
      </w:r>
    </w:p>
    <w:p w14:paraId="00000028">
      <w:pPr>
        <w:spacing w:after="0" w:line="360" w:lineRule="auto"/>
        <w:jc w:val="center"/>
        <w:rPr>
          <w:rFonts w:ascii="Arial" w:hAnsi="Arial" w:eastAsia="Arial" w:cs="Arial"/>
          <w:sz w:val="22"/>
          <w:szCs w:val="22"/>
        </w:rPr>
      </w:pPr>
      <w:r>
        <w:rPr>
          <w:rFonts w:ascii="Arial" w:hAnsi="Arial" w:eastAsia="Arial" w:cs="Arial"/>
          <w:sz w:val="22"/>
          <w:szCs w:val="22"/>
          <w:rtl w:val="0"/>
        </w:rPr>
        <w:t>Image 6: Changing Perspective</w:t>
      </w:r>
    </w:p>
    <w:p w14:paraId="00000029">
      <w:pPr>
        <w:spacing w:after="0" w:line="360" w:lineRule="auto"/>
        <w:ind w:firstLine="720"/>
        <w:rPr>
          <w:rFonts w:ascii="Arial" w:hAnsi="Arial" w:eastAsia="Arial" w:cs="Arial"/>
          <w:sz w:val="22"/>
          <w:szCs w:val="22"/>
        </w:rPr>
      </w:pPr>
      <w:r>
        <w:rPr>
          <w:rFonts w:ascii="Arial" w:hAnsi="Arial" w:eastAsia="Arial" w:cs="Arial"/>
          <w:sz w:val="22"/>
          <w:szCs w:val="22"/>
          <w:rtl w:val="0"/>
        </w:rPr>
        <w:t>Systemic transformation is expressed in the need to offer improved care opportunities and upgrade the system (Image 6). This is in line with studies that support culturally sensitive design of healthcare. Analytically, Unit 2 exposes that the competence of health and social care goes beyond technical skills to encompass cultural adaptability. This reinvents professionalism as a situational concept instead of being universal.</w:t>
      </w:r>
    </w:p>
    <w:p w14:paraId="0000002A">
      <w:pPr>
        <w:spacing w:after="0" w:line="360" w:lineRule="auto"/>
        <w:jc w:val="center"/>
        <w:rPr>
          <w:rFonts w:ascii="Arial" w:hAnsi="Arial" w:eastAsia="Arial" w:cs="Arial"/>
          <w:b/>
          <w:bCs/>
          <w:sz w:val="22"/>
          <w:szCs w:val="22"/>
        </w:rPr>
      </w:pPr>
      <w:r>
        <w:rPr>
          <w:rFonts w:ascii="Arial" w:hAnsi="Arial" w:eastAsia="Arial" w:cs="Arial"/>
          <w:b/>
          <w:bCs/>
          <w:sz w:val="22"/>
          <w:szCs w:val="22"/>
          <w:rtl w:val="0"/>
        </w:rPr>
        <w:t>Reflection on Unit 3: Opportunity Knocks</w:t>
      </w:r>
    </w:p>
    <w:p w14:paraId="0000002B">
      <w:pPr>
        <w:spacing w:after="0" w:line="360" w:lineRule="auto"/>
        <w:ind w:firstLine="720"/>
        <w:rPr>
          <w:rFonts w:ascii="Arial" w:hAnsi="Arial" w:eastAsia="Arial" w:cs="Arial"/>
          <w:sz w:val="22"/>
          <w:szCs w:val="22"/>
        </w:rPr>
      </w:pPr>
      <w:r>
        <w:rPr>
          <w:rFonts w:ascii="Arial" w:hAnsi="Arial" w:eastAsia="Arial" w:cs="Arial"/>
          <w:sz w:val="22"/>
          <w:szCs w:val="22"/>
          <w:rtl w:val="0"/>
        </w:rPr>
        <w:t>Unit 3 incorporated a strategic aspect to employability, which concerned the recognition of opportunities and coordinated action. The key in this is the goal-setting theory, in which the goal-setting is problem-based, change-oriented, and can be effective to drive achievement (Ogbeiwi, 2021). This highlights willfulness, rather than passive development. This framework is operationalised in SMART goals. It has been proven that they lead to quantifiable action and enhance communication and cooperation (Ogbeiwi, 2021). Importantly, SMART models facilitate accountability, especially in healthcare settings where the outcomes should be quantifiable. Opportunity is, however, not only structural, but it is also psychological. Studies show that the intention to take part in personal branding rises with receiving improvement feedback (Kovich et al., 2023). This implies that behaviour change is motivational in the case of feedback loops. Moreover, the higher the chances of participating in personal branding when a person is in control of their career. This is in accordance with the self-efficacy theory.</w:t>
      </w:r>
    </w:p>
    <w:p w14:paraId="0000002C">
      <w:pPr>
        <w:spacing w:after="0" w:line="360" w:lineRule="auto"/>
        <w:jc w:val="center"/>
        <w:rPr>
          <w:rFonts w:ascii="Arial" w:hAnsi="Arial" w:eastAsia="Arial" w:cs="Arial"/>
          <w:sz w:val="22"/>
          <w:szCs w:val="22"/>
        </w:rPr>
      </w:pPr>
      <w:r>
        <w:rPr>
          <w:rFonts w:ascii="Arial" w:hAnsi="Arial" w:eastAsia="Arial" w:cs="Arial"/>
          <w:sz w:val="22"/>
          <w:szCs w:val="22"/>
        </w:rPr>
        <w:drawing>
          <wp:inline distT="114300" distB="114300" distL="114300" distR="114300">
            <wp:extent cx="5730875" cy="3225800"/>
            <wp:effectExtent l="0" t="0" r="0" b="0"/>
            <wp:docPr id="8" name="image7.jpg"/>
            <wp:cNvGraphicFramePr/>
            <a:graphic xmlns:a="http://schemas.openxmlformats.org/drawingml/2006/main">
              <a:graphicData uri="http://schemas.openxmlformats.org/drawingml/2006/picture">
                <pic:pic xmlns:pic="http://schemas.openxmlformats.org/drawingml/2006/picture">
                  <pic:nvPicPr>
                    <pic:cNvPr id="8" name="image7.jpg"/>
                    <pic:cNvPicPr preferRelativeResize="0"/>
                  </pic:nvPicPr>
                  <pic:blipFill>
                    <a:blip r:embed="rId12"/>
                    <a:srcRect/>
                    <a:stretch>
                      <a:fillRect/>
                    </a:stretch>
                  </pic:blipFill>
                  <pic:spPr>
                    <a:xfrm>
                      <a:off x="0" y="0"/>
                      <a:ext cx="5731200" cy="3225800"/>
                    </a:xfrm>
                    <a:prstGeom prst="rect">
                      <a:avLst/>
                    </a:prstGeom>
                  </pic:spPr>
                </pic:pic>
              </a:graphicData>
            </a:graphic>
          </wp:inline>
        </w:drawing>
      </w:r>
    </w:p>
    <w:p w14:paraId="0000002D">
      <w:pPr>
        <w:spacing w:after="0" w:line="360" w:lineRule="auto"/>
        <w:jc w:val="center"/>
        <w:rPr>
          <w:rFonts w:ascii="Arial" w:hAnsi="Arial" w:eastAsia="Arial" w:cs="Arial"/>
          <w:sz w:val="22"/>
          <w:szCs w:val="22"/>
        </w:rPr>
      </w:pPr>
      <w:r>
        <w:rPr>
          <w:rFonts w:ascii="Arial" w:hAnsi="Arial" w:eastAsia="Arial" w:cs="Arial"/>
          <w:sz w:val="22"/>
          <w:szCs w:val="22"/>
          <w:rtl w:val="0"/>
        </w:rPr>
        <w:t>Image 7: Limiting Beliefs</w:t>
      </w:r>
    </w:p>
    <w:p w14:paraId="0000002E">
      <w:pPr>
        <w:spacing w:after="0" w:line="360" w:lineRule="auto"/>
        <w:rPr>
          <w:rFonts w:ascii="Arial" w:hAnsi="Arial" w:eastAsia="Arial" w:cs="Arial"/>
          <w:sz w:val="22"/>
          <w:szCs w:val="22"/>
        </w:rPr>
      </w:pPr>
      <w:r>
        <w:rPr>
          <w:rFonts w:ascii="Arial" w:hAnsi="Arial" w:eastAsia="Arial" w:cs="Arial"/>
          <w:sz w:val="22"/>
          <w:szCs w:val="22"/>
          <w:rtl w:val="0"/>
        </w:rPr>
        <w:t xml:space="preserve"> Cognitive barriers are represented by statements like “I am not good enough” (Image 7). These ideologies restrict participation in opportunities. Most importantly, this is congruent with the studies that have indicated that a lack of self-awareness decreases the capacity to use feedback efficiently (Ryan et al., 2004).</w:t>
      </w:r>
    </w:p>
    <w:p w14:paraId="0000002F">
      <w:pPr>
        <w:spacing w:after="0" w:line="360" w:lineRule="auto"/>
        <w:jc w:val="center"/>
        <w:rPr>
          <w:rFonts w:ascii="Arial" w:hAnsi="Arial" w:eastAsia="Arial" w:cs="Arial"/>
          <w:sz w:val="22"/>
          <w:szCs w:val="22"/>
        </w:rPr>
      </w:pPr>
      <w:r>
        <w:rPr>
          <w:rFonts w:ascii="Arial" w:hAnsi="Arial" w:eastAsia="Arial" w:cs="Arial"/>
          <w:sz w:val="22"/>
          <w:szCs w:val="22"/>
        </w:rPr>
        <w:drawing>
          <wp:inline distT="114300" distB="114300" distL="114300" distR="114300">
            <wp:extent cx="5730875" cy="2679700"/>
            <wp:effectExtent l="0" t="0" r="0" b="0"/>
            <wp:docPr id="9" name="image3.jpg"/>
            <wp:cNvGraphicFramePr/>
            <a:graphic xmlns:a="http://schemas.openxmlformats.org/drawingml/2006/main">
              <a:graphicData uri="http://schemas.openxmlformats.org/drawingml/2006/picture">
                <pic:pic xmlns:pic="http://schemas.openxmlformats.org/drawingml/2006/picture">
                  <pic:nvPicPr>
                    <pic:cNvPr id="9" name="image3.jpg"/>
                    <pic:cNvPicPr preferRelativeResize="0"/>
                  </pic:nvPicPr>
                  <pic:blipFill>
                    <a:blip r:embed="rId13"/>
                    <a:srcRect/>
                    <a:stretch>
                      <a:fillRect/>
                    </a:stretch>
                  </pic:blipFill>
                  <pic:spPr>
                    <a:xfrm>
                      <a:off x="0" y="0"/>
                      <a:ext cx="5731200" cy="2679700"/>
                    </a:xfrm>
                    <a:prstGeom prst="rect">
                      <a:avLst/>
                    </a:prstGeom>
                  </pic:spPr>
                </pic:pic>
              </a:graphicData>
            </a:graphic>
          </wp:inline>
        </w:drawing>
      </w:r>
    </w:p>
    <w:p w14:paraId="00000030">
      <w:pPr>
        <w:spacing w:after="0" w:line="360" w:lineRule="auto"/>
        <w:jc w:val="center"/>
        <w:rPr>
          <w:rFonts w:ascii="Arial" w:hAnsi="Arial" w:eastAsia="Arial" w:cs="Arial"/>
          <w:sz w:val="22"/>
          <w:szCs w:val="22"/>
        </w:rPr>
      </w:pPr>
      <w:r>
        <w:rPr>
          <w:rFonts w:ascii="Arial" w:hAnsi="Arial" w:eastAsia="Arial" w:cs="Arial"/>
          <w:sz w:val="22"/>
          <w:szCs w:val="22"/>
          <w:rtl w:val="0"/>
        </w:rPr>
        <w:t>Image 8: Achieving Success</w:t>
      </w:r>
    </w:p>
    <w:p w14:paraId="00000031">
      <w:pPr>
        <w:spacing w:after="0" w:line="360" w:lineRule="auto"/>
        <w:rPr>
          <w:rFonts w:ascii="Arial" w:hAnsi="Arial" w:eastAsia="Arial" w:cs="Arial"/>
          <w:sz w:val="22"/>
          <w:szCs w:val="22"/>
        </w:rPr>
      </w:pPr>
      <w:r>
        <w:rPr>
          <w:rFonts w:ascii="Arial" w:hAnsi="Arial" w:eastAsia="Arial" w:cs="Arial"/>
          <w:sz w:val="22"/>
          <w:szCs w:val="22"/>
          <w:rtl w:val="0"/>
        </w:rPr>
        <w:t xml:space="preserve"> Proactive development can be seen in such actions as passing more courses and making connections (Image 8). This is in line with the results that lifelong learning enhances your personal brand (Ahmed et al., 2024). Critically, Unit 3 shows that opportunity is constructed as a result of interaction between structure, strategy, and psychology. Even the well-designed frameworks cannot work without taking the limiting beliefs into consideration.</w:t>
      </w:r>
    </w:p>
    <w:p w14:paraId="00000032">
      <w:pPr>
        <w:spacing w:after="0" w:line="360" w:lineRule="auto"/>
        <w:jc w:val="center"/>
        <w:rPr>
          <w:rFonts w:ascii="Arial" w:hAnsi="Arial" w:eastAsia="Arial" w:cs="Arial"/>
          <w:b/>
          <w:bCs/>
          <w:sz w:val="22"/>
          <w:szCs w:val="22"/>
        </w:rPr>
      </w:pPr>
      <w:r>
        <w:rPr>
          <w:rFonts w:ascii="Arial" w:hAnsi="Arial" w:eastAsia="Arial" w:cs="Arial"/>
          <w:b/>
          <w:bCs/>
          <w:sz w:val="22"/>
          <w:szCs w:val="22"/>
          <w:rtl w:val="0"/>
        </w:rPr>
        <w:t>Reflection on Unit 4: The Pursuit of Happiness</w:t>
      </w:r>
    </w:p>
    <w:p w14:paraId="00000033">
      <w:pPr>
        <w:spacing w:after="0" w:line="360" w:lineRule="auto"/>
        <w:ind w:firstLine="720"/>
        <w:rPr>
          <w:rFonts w:ascii="Arial" w:hAnsi="Arial" w:eastAsia="Arial" w:cs="Arial"/>
          <w:sz w:val="22"/>
          <w:szCs w:val="22"/>
        </w:rPr>
      </w:pPr>
      <w:r>
        <w:rPr>
          <w:rFonts w:ascii="Arial" w:hAnsi="Arial" w:eastAsia="Arial" w:cs="Arial"/>
          <w:sz w:val="22"/>
          <w:szCs w:val="22"/>
          <w:rtl w:val="0"/>
        </w:rPr>
        <w:t>Unit 4 was a synthesis of prior learning that focused on sustainability via wellbeing and resilience. The PERMA model is an overall model that recognises the following main components, namely, Positive Emotion, Engagement, Relationships, Meaning, and Accomplishment (Seligman, 2011). Notably, there is a strong correlation between well-being and life success (Donaldson et al., 2022), which makes psychological well-being and professional success interconnected. The concept of resilience is another important skill in healthcare. It is characterised as something that is not an inborn and fixed characteristic, but can be developed (Grant &amp; Kinman, 2014). This undermines deterministic perceptions and makes resilience trainable. Moreover, resilience is an active process that is linked to change over time (Al-Hendawi et al., 2024), which is why it is contextual in nature.</w:t>
      </w:r>
    </w:p>
    <w:p w14:paraId="00000034">
      <w:pPr>
        <w:spacing w:after="0" w:line="360" w:lineRule="auto"/>
        <w:ind w:firstLine="720"/>
        <w:rPr>
          <w:rFonts w:ascii="Arial" w:hAnsi="Arial" w:eastAsia="Arial" w:cs="Arial"/>
          <w:sz w:val="22"/>
          <w:szCs w:val="22"/>
        </w:rPr>
      </w:pPr>
      <w:r>
        <w:rPr>
          <w:rFonts w:ascii="Arial" w:hAnsi="Arial" w:eastAsia="Arial" w:cs="Arial"/>
          <w:sz w:val="22"/>
          <w:szCs w:val="22"/>
          <w:rtl w:val="0"/>
        </w:rPr>
        <w:t>Resilience is based on emotional intelligence (EI). It is characterised as the capacity to be aware, comprehend, and manage emotions (Mayer &amp; Salovey, 1997). Importantly, EI-enhancing interventions increase wellbeing and resilience (Al-Hendawi et al., 2024). This is especially true considering that medical practitioners experience chronic stress.</w:t>
      </w:r>
    </w:p>
    <w:p w14:paraId="00000035">
      <w:pPr>
        <w:spacing w:after="0" w:line="360" w:lineRule="auto"/>
        <w:jc w:val="center"/>
        <w:rPr>
          <w:rFonts w:ascii="Arial" w:hAnsi="Arial" w:eastAsia="Arial" w:cs="Arial"/>
          <w:sz w:val="22"/>
          <w:szCs w:val="22"/>
        </w:rPr>
      </w:pPr>
      <w:r>
        <w:rPr>
          <w:rFonts w:ascii="Arial" w:hAnsi="Arial" w:eastAsia="Arial" w:cs="Arial"/>
          <w:sz w:val="22"/>
          <w:szCs w:val="22"/>
        </w:rPr>
        <w:drawing>
          <wp:inline distT="114300" distB="114300" distL="114300" distR="114300">
            <wp:extent cx="5730875" cy="2679700"/>
            <wp:effectExtent l="0" t="0" r="0" b="0"/>
            <wp:docPr id="4" name="image5.jpg"/>
            <wp:cNvGraphicFramePr/>
            <a:graphic xmlns:a="http://schemas.openxmlformats.org/drawingml/2006/main">
              <a:graphicData uri="http://schemas.openxmlformats.org/drawingml/2006/picture">
                <pic:pic xmlns:pic="http://schemas.openxmlformats.org/drawingml/2006/picture">
                  <pic:nvPicPr>
                    <pic:cNvPr id="4" name="image5.jpg"/>
                    <pic:cNvPicPr preferRelativeResize="0"/>
                  </pic:nvPicPr>
                  <pic:blipFill>
                    <a:blip r:embed="rId14"/>
                    <a:srcRect/>
                    <a:stretch>
                      <a:fillRect/>
                    </a:stretch>
                  </pic:blipFill>
                  <pic:spPr>
                    <a:xfrm>
                      <a:off x="0" y="0"/>
                      <a:ext cx="5731200" cy="2679700"/>
                    </a:xfrm>
                    <a:prstGeom prst="rect">
                      <a:avLst/>
                    </a:prstGeom>
                  </pic:spPr>
                </pic:pic>
              </a:graphicData>
            </a:graphic>
          </wp:inline>
        </w:drawing>
      </w:r>
    </w:p>
    <w:p w14:paraId="00000036">
      <w:pPr>
        <w:spacing w:after="0" w:line="360" w:lineRule="auto"/>
        <w:jc w:val="center"/>
        <w:rPr>
          <w:rFonts w:ascii="Arial" w:hAnsi="Arial" w:eastAsia="Arial" w:cs="Arial"/>
          <w:sz w:val="22"/>
          <w:szCs w:val="22"/>
        </w:rPr>
      </w:pPr>
      <w:r>
        <w:rPr>
          <w:rFonts w:ascii="Arial" w:hAnsi="Arial" w:eastAsia="Arial" w:cs="Arial"/>
          <w:sz w:val="22"/>
          <w:szCs w:val="22"/>
          <w:rtl w:val="0"/>
        </w:rPr>
        <w:t>Image 9: Personal Development</w:t>
      </w:r>
    </w:p>
    <w:p w14:paraId="00000037">
      <w:pPr>
        <w:spacing w:after="0" w:line="360" w:lineRule="auto"/>
        <w:rPr>
          <w:rFonts w:ascii="Arial" w:hAnsi="Arial" w:eastAsia="Arial" w:cs="Arial"/>
          <w:sz w:val="22"/>
          <w:szCs w:val="22"/>
        </w:rPr>
      </w:pPr>
      <w:r>
        <w:rPr>
          <w:rFonts w:ascii="Arial" w:hAnsi="Arial" w:eastAsia="Arial" w:cs="Arial"/>
          <w:sz w:val="22"/>
          <w:szCs w:val="22"/>
          <w:rtl w:val="0"/>
        </w:rPr>
        <w:t xml:space="preserve"> Cognitive resilience is reflected in such statements as: do not say I can not do it (Image 9). This is in line with the psychological capital theory, in which optimism and confidence are the forces behind performance.</w:t>
      </w:r>
    </w:p>
    <w:p w14:paraId="00000038">
      <w:pPr>
        <w:spacing w:after="0" w:line="360" w:lineRule="auto"/>
        <w:jc w:val="center"/>
        <w:rPr>
          <w:rFonts w:ascii="Arial" w:hAnsi="Arial" w:eastAsia="Arial" w:cs="Arial"/>
          <w:sz w:val="22"/>
          <w:szCs w:val="22"/>
        </w:rPr>
      </w:pPr>
      <w:r>
        <w:rPr>
          <w:rFonts w:ascii="Arial" w:hAnsi="Arial" w:eastAsia="Arial" w:cs="Arial"/>
          <w:sz w:val="22"/>
          <w:szCs w:val="22"/>
        </w:rPr>
        <w:drawing>
          <wp:inline distT="114300" distB="114300" distL="114300" distR="114300">
            <wp:extent cx="5730875" cy="3225800"/>
            <wp:effectExtent l="0" t="0" r="0" b="0"/>
            <wp:docPr id="2" name="image7.jpg"/>
            <wp:cNvGraphicFramePr/>
            <a:graphic xmlns:a="http://schemas.openxmlformats.org/drawingml/2006/main">
              <a:graphicData uri="http://schemas.openxmlformats.org/drawingml/2006/picture">
                <pic:pic xmlns:pic="http://schemas.openxmlformats.org/drawingml/2006/picture">
                  <pic:nvPicPr>
                    <pic:cNvPr id="2" name="image7.jpg"/>
                    <pic:cNvPicPr preferRelativeResize="0"/>
                  </pic:nvPicPr>
                  <pic:blipFill>
                    <a:blip r:embed="rId12"/>
                    <a:srcRect/>
                    <a:stretch>
                      <a:fillRect/>
                    </a:stretch>
                  </pic:blipFill>
                  <pic:spPr>
                    <a:xfrm>
                      <a:off x="0" y="0"/>
                      <a:ext cx="5731200" cy="3225800"/>
                    </a:xfrm>
                    <a:prstGeom prst="rect">
                      <a:avLst/>
                    </a:prstGeom>
                  </pic:spPr>
                </pic:pic>
              </a:graphicData>
            </a:graphic>
          </wp:inline>
        </w:drawing>
      </w:r>
    </w:p>
    <w:p w14:paraId="00000039">
      <w:pPr>
        <w:spacing w:after="0" w:line="360" w:lineRule="auto"/>
        <w:jc w:val="center"/>
        <w:rPr>
          <w:rFonts w:ascii="Arial" w:hAnsi="Arial" w:eastAsia="Arial" w:cs="Arial"/>
          <w:sz w:val="22"/>
          <w:szCs w:val="22"/>
        </w:rPr>
      </w:pPr>
      <w:r>
        <w:rPr>
          <w:rFonts w:ascii="Arial" w:hAnsi="Arial" w:eastAsia="Arial" w:cs="Arial"/>
          <w:sz w:val="22"/>
          <w:szCs w:val="22"/>
          <w:rtl w:val="0"/>
        </w:rPr>
        <w:t>Image 10: Limiting Beliefs</w:t>
      </w:r>
    </w:p>
    <w:p w14:paraId="0000003A">
      <w:pPr>
        <w:spacing w:after="0" w:line="360" w:lineRule="auto"/>
        <w:rPr>
          <w:rFonts w:ascii="Arial" w:hAnsi="Arial" w:eastAsia="Arial" w:cs="Arial"/>
          <w:sz w:val="22"/>
          <w:szCs w:val="22"/>
        </w:rPr>
      </w:pPr>
      <w:r>
        <w:rPr>
          <w:rFonts w:ascii="Arial" w:hAnsi="Arial" w:eastAsia="Arial" w:cs="Arial"/>
          <w:sz w:val="22"/>
          <w:szCs w:val="22"/>
          <w:rtl w:val="0"/>
        </w:rPr>
        <w:t>Going back to limiting beliefs brings out the effects they have on wellbeing. These are the same challenges to overcome in resilience development. Analytically, Unit 4 reveals that the concept of sustainable employability entails psychological resources as well as technical competence. Professional performance cannot be sustained in the long run without wellbeing.</w:t>
      </w:r>
    </w:p>
    <w:p w14:paraId="0000003B">
      <w:pPr>
        <w:spacing w:after="0" w:line="360" w:lineRule="auto"/>
        <w:jc w:val="center"/>
        <w:rPr>
          <w:rFonts w:ascii="Arial" w:hAnsi="Arial" w:eastAsia="Arial" w:cs="Arial"/>
          <w:b/>
          <w:bCs/>
          <w:sz w:val="22"/>
          <w:szCs w:val="22"/>
        </w:rPr>
      </w:pPr>
      <w:r>
        <w:rPr>
          <w:rFonts w:ascii="Arial" w:hAnsi="Arial" w:eastAsia="Arial" w:cs="Arial"/>
          <w:b/>
          <w:bCs/>
          <w:sz w:val="22"/>
          <w:szCs w:val="22"/>
          <w:rtl w:val="0"/>
        </w:rPr>
        <w:t>Conclusion</w:t>
      </w:r>
    </w:p>
    <w:p w14:paraId="0000003C">
      <w:pPr>
        <w:spacing w:after="0" w:line="360" w:lineRule="auto"/>
        <w:ind w:firstLine="720"/>
        <w:rPr>
          <w:rFonts w:ascii="Arial" w:hAnsi="Arial" w:eastAsia="Arial" w:cs="Arial"/>
          <w:sz w:val="22"/>
          <w:szCs w:val="22"/>
        </w:rPr>
      </w:pPr>
      <w:r>
        <w:rPr>
          <w:rFonts w:ascii="Arial" w:hAnsi="Arial" w:eastAsia="Arial" w:cs="Arial"/>
          <w:sz w:val="22"/>
          <w:szCs w:val="22"/>
          <w:rtl w:val="0"/>
        </w:rPr>
        <w:t>The module has facilitated a critical combination of identity, culture, strategy, and wellbeing in health and social care practice. The data indicate that effective personal branding and positioning reflexivity is based on self-awareness and feedback-seeking. This is enhanced by cultural competence, which determines flexibility in different circumstances. Strategic goal-setting offers practical progress, and wellbeing models sustain performance over the long term. In general, the main finding here is that employability is not a single skill but a multidimensional construct. With the combination of these factors, I will be more prepared to act as a reflective, adaptive, and resilient practitioner in complicated healthcare settings.</w:t>
      </w:r>
    </w:p>
    <w:p w14:paraId="0000003D">
      <w:pPr>
        <w:spacing w:after="0" w:line="360" w:lineRule="auto"/>
        <w:rPr>
          <w:rFonts w:ascii="Arial" w:hAnsi="Arial" w:eastAsia="Arial" w:cs="Arial"/>
          <w:sz w:val="22"/>
          <w:szCs w:val="22"/>
        </w:rPr>
      </w:pPr>
      <w:r>
        <w:br w:type="page"/>
      </w:r>
    </w:p>
    <w:p w14:paraId="0000003E">
      <w:pPr>
        <w:spacing w:after="0" w:line="360" w:lineRule="auto"/>
        <w:jc w:val="center"/>
        <w:rPr>
          <w:rFonts w:ascii="Arial" w:hAnsi="Arial" w:eastAsia="Arial" w:cs="Arial"/>
          <w:b/>
          <w:bCs/>
          <w:sz w:val="22"/>
          <w:szCs w:val="22"/>
        </w:rPr>
      </w:pPr>
      <w:r>
        <w:rPr>
          <w:rFonts w:ascii="Arial" w:hAnsi="Arial" w:eastAsia="Arial" w:cs="Arial"/>
          <w:b/>
          <w:bCs/>
          <w:sz w:val="22"/>
          <w:szCs w:val="22"/>
          <w:rtl w:val="0"/>
        </w:rPr>
        <w:t>References</w:t>
      </w:r>
    </w:p>
    <w:p w14:paraId="0000003F">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Ahmed, N., Liu, X., Al-Hazwani, I. and Huang, E.M. (2024) ‘Cultural dimensions and mental health technology: A systematic review of Hofstede's dimensions in shaping mental health experiences’, in </w:t>
      </w:r>
      <w:r>
        <w:rPr>
          <w:rFonts w:ascii="Arial" w:hAnsi="Arial" w:eastAsia="Arial" w:cs="Arial"/>
          <w:i/>
          <w:iCs/>
          <w:sz w:val="22"/>
          <w:szCs w:val="22"/>
          <w:rtl w:val="0"/>
        </w:rPr>
        <w:t>Extended Abstracts of the CHI Conference on Human Factors in Computing Systems</w:t>
      </w:r>
      <w:r>
        <w:rPr>
          <w:rFonts w:ascii="Arial" w:hAnsi="Arial" w:eastAsia="Arial" w:cs="Arial"/>
          <w:sz w:val="22"/>
          <w:szCs w:val="22"/>
          <w:rtl w:val="0"/>
        </w:rPr>
        <w:t>, pp. 1–13.</w:t>
      </w:r>
    </w:p>
    <w:p w14:paraId="00000040">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Al-Hendawi, M., Alodat, A., Al-Zoubi, S. and Bulut, S. (2024) ‘A PERMA model approach to well-being: A psychometric properties study’, </w:t>
      </w:r>
      <w:r>
        <w:rPr>
          <w:rFonts w:ascii="Arial" w:hAnsi="Arial" w:eastAsia="Arial" w:cs="Arial"/>
          <w:i/>
          <w:iCs/>
          <w:sz w:val="22"/>
          <w:szCs w:val="22"/>
          <w:rtl w:val="0"/>
        </w:rPr>
        <w:t>BMC Psychology</w:t>
      </w:r>
      <w:r>
        <w:rPr>
          <w:rFonts w:ascii="Arial" w:hAnsi="Arial" w:eastAsia="Arial" w:cs="Arial"/>
          <w:sz w:val="22"/>
          <w:szCs w:val="22"/>
          <w:rtl w:val="0"/>
        </w:rPr>
        <w:t>, 12(1), p. 414.</w:t>
      </w:r>
    </w:p>
    <w:p w14:paraId="00000041">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BehaviorFacts (2026) </w:t>
      </w:r>
      <w:r>
        <w:rPr>
          <w:rFonts w:ascii="Arial" w:hAnsi="Arial" w:eastAsia="Arial" w:cs="Arial"/>
          <w:i/>
          <w:iCs/>
          <w:sz w:val="22"/>
          <w:szCs w:val="22"/>
          <w:rtl w:val="0"/>
        </w:rPr>
        <w:t>What is the Johari Window in psychology?</w:t>
      </w:r>
      <w:r>
        <w:rPr>
          <w:rFonts w:ascii="Arial" w:hAnsi="Arial" w:eastAsia="Arial" w:cs="Arial"/>
          <w:sz w:val="22"/>
          <w:szCs w:val="22"/>
          <w:rtl w:val="0"/>
        </w:rPr>
        <w:t xml:space="preserve"> Available at:</w:t>
      </w:r>
      <w:r>
        <w:fldChar w:fldCharType="begin"/>
      </w:r>
      <w:r>
        <w:instrText xml:space="preserve"> HYPERLINK "https://behaviorfacts.com/johari-window-self-awareness-model/" \h </w:instrText>
      </w:r>
      <w:r>
        <w:fldChar w:fldCharType="separate"/>
      </w:r>
      <w:r>
        <w:rPr>
          <w:rFonts w:ascii="Arial" w:hAnsi="Arial" w:eastAsia="Arial" w:cs="Arial"/>
          <w:sz w:val="22"/>
          <w:szCs w:val="22"/>
          <w:rtl w:val="0"/>
        </w:rPr>
        <w:t xml:space="preserve"> </w:t>
      </w:r>
      <w:r>
        <w:rPr>
          <w:rFonts w:ascii="Arial" w:hAnsi="Arial" w:eastAsia="Arial" w:cs="Arial"/>
          <w:sz w:val="22"/>
          <w:szCs w:val="22"/>
          <w:rtl w:val="0"/>
        </w:rPr>
        <w:fldChar w:fldCharType="end"/>
      </w:r>
      <w:r>
        <w:fldChar w:fldCharType="begin"/>
      </w:r>
      <w:r>
        <w:instrText xml:space="preserve"> HYPERLINK "https://behaviorfacts.com/johari-window-self-awareness-model/" \h </w:instrText>
      </w:r>
      <w:r>
        <w:fldChar w:fldCharType="separate"/>
      </w:r>
      <w:r>
        <w:rPr>
          <w:rFonts w:ascii="Arial" w:hAnsi="Arial" w:eastAsia="Arial" w:cs="Arial"/>
          <w:color w:val="1155CC"/>
          <w:sz w:val="22"/>
          <w:szCs w:val="22"/>
          <w:u w:val="single"/>
          <w:rtl w:val="0"/>
        </w:rPr>
        <w:t>https://behaviorfacts.com/johari-window-self-awareness-model/</w:t>
      </w:r>
      <w:r>
        <w:rPr>
          <w:rFonts w:ascii="Arial" w:hAnsi="Arial" w:eastAsia="Arial" w:cs="Arial"/>
          <w:color w:val="1155CC"/>
          <w:sz w:val="22"/>
          <w:szCs w:val="22"/>
          <w:u w:val="single"/>
          <w:rtl w:val="0"/>
        </w:rPr>
        <w:fldChar w:fldCharType="end"/>
      </w:r>
      <w:r>
        <w:rPr>
          <w:rFonts w:ascii="Arial" w:hAnsi="Arial" w:eastAsia="Arial" w:cs="Arial"/>
          <w:sz w:val="22"/>
          <w:szCs w:val="22"/>
          <w:rtl w:val="0"/>
        </w:rPr>
        <w:t xml:space="preserve"> (Accessed: 2 April 2026).</w:t>
      </w:r>
    </w:p>
    <w:p w14:paraId="00000042">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Donaldson, S.I., van Zyl, L.E. and Donaldson, S.I. (2022) ‘PERMA+4: A framework for work-related wellbeing, performance and positive organizational psychology 2.0’, </w:t>
      </w:r>
      <w:r>
        <w:rPr>
          <w:rFonts w:ascii="Arial" w:hAnsi="Arial" w:eastAsia="Arial" w:cs="Arial"/>
          <w:i/>
          <w:iCs/>
          <w:sz w:val="22"/>
          <w:szCs w:val="22"/>
          <w:rtl w:val="0"/>
        </w:rPr>
        <w:t>Frontiers in Psychology</w:t>
      </w:r>
      <w:r>
        <w:rPr>
          <w:rFonts w:ascii="Arial" w:hAnsi="Arial" w:eastAsia="Arial" w:cs="Arial"/>
          <w:sz w:val="22"/>
          <w:szCs w:val="22"/>
          <w:rtl w:val="0"/>
        </w:rPr>
        <w:t>, 12, p. 817244.</w:t>
      </w:r>
    </w:p>
    <w:p w14:paraId="00000043">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GodsFaintPath (2022) </w:t>
      </w:r>
      <w:r>
        <w:rPr>
          <w:rFonts w:ascii="Arial" w:hAnsi="Arial" w:eastAsia="Arial" w:cs="Arial"/>
          <w:i/>
          <w:iCs/>
          <w:sz w:val="22"/>
          <w:szCs w:val="22"/>
          <w:rtl w:val="0"/>
        </w:rPr>
        <w:t>Leadership and the Johari Window</w:t>
      </w:r>
      <w:r>
        <w:rPr>
          <w:rFonts w:ascii="Arial" w:hAnsi="Arial" w:eastAsia="Arial" w:cs="Arial"/>
          <w:sz w:val="22"/>
          <w:szCs w:val="22"/>
          <w:rtl w:val="0"/>
        </w:rPr>
        <w:t>. Available at:</w:t>
      </w:r>
      <w:r>
        <w:fldChar w:fldCharType="begin"/>
      </w:r>
      <w:r>
        <w:instrText xml:space="preserve"> HYPERLINK "https://www.godsfaintpath.com" \h </w:instrText>
      </w:r>
      <w:r>
        <w:fldChar w:fldCharType="separate"/>
      </w:r>
      <w:r>
        <w:rPr>
          <w:rFonts w:ascii="Arial" w:hAnsi="Arial" w:eastAsia="Arial" w:cs="Arial"/>
          <w:sz w:val="22"/>
          <w:szCs w:val="22"/>
          <w:rtl w:val="0"/>
        </w:rPr>
        <w:t xml:space="preserve"> </w:t>
      </w:r>
      <w:r>
        <w:rPr>
          <w:rFonts w:ascii="Arial" w:hAnsi="Arial" w:eastAsia="Arial" w:cs="Arial"/>
          <w:sz w:val="22"/>
          <w:szCs w:val="22"/>
          <w:rtl w:val="0"/>
        </w:rPr>
        <w:fldChar w:fldCharType="end"/>
      </w:r>
      <w:r>
        <w:fldChar w:fldCharType="begin"/>
      </w:r>
      <w:r>
        <w:instrText xml:space="preserve"> HYPERLINK "https://www.godsfaintpath.com" \h </w:instrText>
      </w:r>
      <w:r>
        <w:fldChar w:fldCharType="separate"/>
      </w:r>
      <w:r>
        <w:rPr>
          <w:rFonts w:ascii="Arial" w:hAnsi="Arial" w:eastAsia="Arial" w:cs="Arial"/>
          <w:color w:val="1155CC"/>
          <w:sz w:val="22"/>
          <w:szCs w:val="22"/>
          <w:u w:val="single"/>
          <w:rtl w:val="0"/>
        </w:rPr>
        <w:t>https://www.godsfaintpath.com</w:t>
      </w:r>
      <w:r>
        <w:rPr>
          <w:rFonts w:ascii="Arial" w:hAnsi="Arial" w:eastAsia="Arial" w:cs="Arial"/>
          <w:color w:val="1155CC"/>
          <w:sz w:val="22"/>
          <w:szCs w:val="22"/>
          <w:u w:val="single"/>
          <w:rtl w:val="0"/>
        </w:rPr>
        <w:fldChar w:fldCharType="end"/>
      </w:r>
      <w:r>
        <w:rPr>
          <w:rFonts w:ascii="Arial" w:hAnsi="Arial" w:eastAsia="Arial" w:cs="Arial"/>
          <w:sz w:val="22"/>
          <w:szCs w:val="22"/>
          <w:rtl w:val="0"/>
        </w:rPr>
        <w:t xml:space="preserve"> (Accessed: 2 April 2026).</w:t>
      </w:r>
    </w:p>
    <w:p w14:paraId="00000044">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Gorbatov, S., Khapova, S.N. and Lysova, E.I. (2018) ‘Personal branding: Interdisciplinary systematic review and research agenda’, </w:t>
      </w:r>
      <w:r>
        <w:rPr>
          <w:rFonts w:ascii="Arial" w:hAnsi="Arial" w:eastAsia="Arial" w:cs="Arial"/>
          <w:i/>
          <w:iCs/>
          <w:sz w:val="22"/>
          <w:szCs w:val="22"/>
          <w:rtl w:val="0"/>
        </w:rPr>
        <w:t>Frontiers in Psychology</w:t>
      </w:r>
      <w:r>
        <w:rPr>
          <w:rFonts w:ascii="Arial" w:hAnsi="Arial" w:eastAsia="Arial" w:cs="Arial"/>
          <w:sz w:val="22"/>
          <w:szCs w:val="22"/>
          <w:rtl w:val="0"/>
        </w:rPr>
        <w:t>, 9, p. 2238.</w:t>
      </w:r>
    </w:p>
    <w:p w14:paraId="00000045">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Gorbatov, S., Khapova, S.N. and Lysova, E.I. (2019) ‘Get noticed to get ahead: The impact of personal branding on career success’, </w:t>
      </w:r>
      <w:r>
        <w:rPr>
          <w:rFonts w:ascii="Arial" w:hAnsi="Arial" w:eastAsia="Arial" w:cs="Arial"/>
          <w:i/>
          <w:iCs/>
          <w:sz w:val="22"/>
          <w:szCs w:val="22"/>
          <w:rtl w:val="0"/>
        </w:rPr>
        <w:t>Frontiers in Psychology</w:t>
      </w:r>
      <w:r>
        <w:rPr>
          <w:rFonts w:ascii="Arial" w:hAnsi="Arial" w:eastAsia="Arial" w:cs="Arial"/>
          <w:sz w:val="22"/>
          <w:szCs w:val="22"/>
          <w:rtl w:val="0"/>
        </w:rPr>
        <w:t>, 10, p. 495947.</w:t>
      </w:r>
    </w:p>
    <w:p w14:paraId="00000046">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Grant, L. and Kinman, G. (2014) ‘Emotional resilience in the helping professions and how it can be enhanced’, </w:t>
      </w:r>
      <w:r>
        <w:rPr>
          <w:rFonts w:ascii="Arial" w:hAnsi="Arial" w:eastAsia="Arial" w:cs="Arial"/>
          <w:i/>
          <w:iCs/>
          <w:sz w:val="22"/>
          <w:szCs w:val="22"/>
          <w:rtl w:val="0"/>
        </w:rPr>
        <w:t>Health and Social Care Education</w:t>
      </w:r>
      <w:r>
        <w:rPr>
          <w:rFonts w:ascii="Arial" w:hAnsi="Arial" w:eastAsia="Arial" w:cs="Arial"/>
          <w:sz w:val="22"/>
          <w:szCs w:val="22"/>
          <w:rtl w:val="0"/>
        </w:rPr>
        <w:t>, 3(1), pp. 23–34.</w:t>
      </w:r>
    </w:p>
    <w:p w14:paraId="00000047">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Hofstede, G., Hofstede, G.J. and Minkov, M. (2010) </w:t>
      </w:r>
      <w:r>
        <w:rPr>
          <w:rFonts w:ascii="Arial" w:hAnsi="Arial" w:eastAsia="Arial" w:cs="Arial"/>
          <w:i/>
          <w:iCs/>
          <w:sz w:val="22"/>
          <w:szCs w:val="22"/>
          <w:rtl w:val="0"/>
        </w:rPr>
        <w:t>Cultures and organizations: Software of the mind</w:t>
      </w:r>
      <w:r>
        <w:rPr>
          <w:rFonts w:ascii="Arial" w:hAnsi="Arial" w:eastAsia="Arial" w:cs="Arial"/>
          <w:sz w:val="22"/>
          <w:szCs w:val="22"/>
          <w:rtl w:val="0"/>
        </w:rPr>
        <w:t>. 3rd edn. New York: McGraw-Hill.</w:t>
      </w:r>
    </w:p>
    <w:p w14:paraId="00000048">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Kovich, M.K., Simpson, V.L., Foli, K.J., Hass, Z. and Phillips, R.G. (2023) ‘Application of the PERMA model of well-being in undergraduate students’, </w:t>
      </w:r>
      <w:r>
        <w:rPr>
          <w:rFonts w:ascii="Arial" w:hAnsi="Arial" w:eastAsia="Arial" w:cs="Arial"/>
          <w:i/>
          <w:iCs/>
          <w:sz w:val="22"/>
          <w:szCs w:val="22"/>
          <w:rtl w:val="0"/>
        </w:rPr>
        <w:t>International Journal of Community Well-Being</w:t>
      </w:r>
      <w:r>
        <w:rPr>
          <w:rFonts w:ascii="Arial" w:hAnsi="Arial" w:eastAsia="Arial" w:cs="Arial"/>
          <w:sz w:val="22"/>
          <w:szCs w:val="22"/>
          <w:rtl w:val="0"/>
        </w:rPr>
        <w:t>, 6(1), pp. 1–20.</w:t>
      </w:r>
    </w:p>
    <w:p w14:paraId="00000049">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Letter for Better (2023) </w:t>
      </w:r>
      <w:r>
        <w:rPr>
          <w:rFonts w:ascii="Arial" w:hAnsi="Arial" w:eastAsia="Arial" w:cs="Arial"/>
          <w:i/>
          <w:iCs/>
          <w:sz w:val="22"/>
          <w:szCs w:val="22"/>
          <w:rtl w:val="0"/>
        </w:rPr>
        <w:t>Johari Window explained: Building self-awareness</w:t>
      </w:r>
      <w:r>
        <w:rPr>
          <w:rFonts w:ascii="Arial" w:hAnsi="Arial" w:eastAsia="Arial" w:cs="Arial"/>
          <w:sz w:val="22"/>
          <w:szCs w:val="22"/>
          <w:rtl w:val="0"/>
        </w:rPr>
        <w:t>. Available at:</w:t>
      </w:r>
      <w:r>
        <w:fldChar w:fldCharType="begin"/>
      </w:r>
      <w:r>
        <w:instrText xml:space="preserve"> HYPERLINK "https://www.letterforbetter.com" \h </w:instrText>
      </w:r>
      <w:r>
        <w:fldChar w:fldCharType="separate"/>
      </w:r>
      <w:r>
        <w:rPr>
          <w:rFonts w:ascii="Arial" w:hAnsi="Arial" w:eastAsia="Arial" w:cs="Arial"/>
          <w:sz w:val="22"/>
          <w:szCs w:val="22"/>
          <w:rtl w:val="0"/>
        </w:rPr>
        <w:t xml:space="preserve"> </w:t>
      </w:r>
      <w:r>
        <w:rPr>
          <w:rFonts w:ascii="Arial" w:hAnsi="Arial" w:eastAsia="Arial" w:cs="Arial"/>
          <w:sz w:val="22"/>
          <w:szCs w:val="22"/>
          <w:rtl w:val="0"/>
        </w:rPr>
        <w:fldChar w:fldCharType="end"/>
      </w:r>
      <w:r>
        <w:fldChar w:fldCharType="begin"/>
      </w:r>
      <w:r>
        <w:instrText xml:space="preserve"> HYPERLINK "https://www.letterforbetter.com" \h </w:instrText>
      </w:r>
      <w:r>
        <w:fldChar w:fldCharType="separate"/>
      </w:r>
      <w:r>
        <w:rPr>
          <w:rFonts w:ascii="Arial" w:hAnsi="Arial" w:eastAsia="Arial" w:cs="Arial"/>
          <w:color w:val="1155CC"/>
          <w:sz w:val="22"/>
          <w:szCs w:val="22"/>
          <w:u w:val="single"/>
          <w:rtl w:val="0"/>
        </w:rPr>
        <w:t>https://www.letterforbetter.com</w:t>
      </w:r>
      <w:r>
        <w:rPr>
          <w:rFonts w:ascii="Arial" w:hAnsi="Arial" w:eastAsia="Arial" w:cs="Arial"/>
          <w:color w:val="1155CC"/>
          <w:sz w:val="22"/>
          <w:szCs w:val="22"/>
          <w:u w:val="single"/>
          <w:rtl w:val="0"/>
        </w:rPr>
        <w:fldChar w:fldCharType="end"/>
      </w:r>
      <w:r>
        <w:rPr>
          <w:rFonts w:ascii="Arial" w:hAnsi="Arial" w:eastAsia="Arial" w:cs="Arial"/>
          <w:sz w:val="22"/>
          <w:szCs w:val="22"/>
          <w:rtl w:val="0"/>
        </w:rPr>
        <w:t xml:space="preserve"> (Accessed: 2 April 2026).</w:t>
      </w:r>
    </w:p>
    <w:p w14:paraId="0000004A">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Luft, J. and Ingham, H. (1955) ‘The Johari Window: A graphic model of awareness in interpersonal relations’, </w:t>
      </w:r>
      <w:r>
        <w:rPr>
          <w:rFonts w:ascii="Arial" w:hAnsi="Arial" w:eastAsia="Arial" w:cs="Arial"/>
          <w:i/>
          <w:iCs/>
          <w:sz w:val="22"/>
          <w:szCs w:val="22"/>
          <w:rtl w:val="0"/>
        </w:rPr>
        <w:t>Human Relations Training News</w:t>
      </w:r>
      <w:r>
        <w:rPr>
          <w:rFonts w:ascii="Arial" w:hAnsi="Arial" w:eastAsia="Arial" w:cs="Arial"/>
          <w:sz w:val="22"/>
          <w:szCs w:val="22"/>
          <w:rtl w:val="0"/>
        </w:rPr>
        <w:t>, 5(9), pp. 6–7.</w:t>
      </w:r>
    </w:p>
    <w:p w14:paraId="0000004B">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Mayer, J.D. and Salovey, P. (1997) ‘What is emotional intelligence?’, in Salovey, P. and Sluyter, D. (eds.) </w:t>
      </w:r>
      <w:r>
        <w:rPr>
          <w:rFonts w:ascii="Arial" w:hAnsi="Arial" w:eastAsia="Arial" w:cs="Arial"/>
          <w:i/>
          <w:iCs/>
          <w:sz w:val="22"/>
          <w:szCs w:val="22"/>
          <w:rtl w:val="0"/>
        </w:rPr>
        <w:t>Emotional development and emotional intelligence</w:t>
      </w:r>
      <w:r>
        <w:rPr>
          <w:rFonts w:ascii="Arial" w:hAnsi="Arial" w:eastAsia="Arial" w:cs="Arial"/>
          <w:sz w:val="22"/>
          <w:szCs w:val="22"/>
          <w:rtl w:val="0"/>
        </w:rPr>
        <w:t>. New York: Basic Books, pp. 3–31.</w:t>
      </w:r>
    </w:p>
    <w:p w14:paraId="0000004C">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Ogbeiwi, O. (2021) ‘General concepts of goals and goal-setting in healthcare: A narrative review’, </w:t>
      </w:r>
      <w:r>
        <w:rPr>
          <w:rFonts w:ascii="Arial" w:hAnsi="Arial" w:eastAsia="Arial" w:cs="Arial"/>
          <w:i/>
          <w:iCs/>
          <w:sz w:val="22"/>
          <w:szCs w:val="22"/>
          <w:rtl w:val="0"/>
        </w:rPr>
        <w:t>Journal of Management &amp; Organization</w:t>
      </w:r>
      <w:r>
        <w:rPr>
          <w:rFonts w:ascii="Arial" w:hAnsi="Arial" w:eastAsia="Arial" w:cs="Arial"/>
          <w:sz w:val="22"/>
          <w:szCs w:val="22"/>
          <w:rtl w:val="0"/>
        </w:rPr>
        <w:t>, 27(2), pp. 324–341.</w:t>
      </w:r>
    </w:p>
    <w:p w14:paraId="0000004D">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Ryan, M., Merighi, J., Healy, B. and Renouf, N. (2004) ‘Belief, optimism and caring: Findings from a cross national study of expertise in mental health social work’, </w:t>
      </w:r>
      <w:r>
        <w:rPr>
          <w:rFonts w:ascii="Arial" w:hAnsi="Arial" w:eastAsia="Arial" w:cs="Arial"/>
          <w:i/>
          <w:iCs/>
          <w:sz w:val="22"/>
          <w:szCs w:val="22"/>
          <w:rtl w:val="0"/>
        </w:rPr>
        <w:t>Qualitative Social Work</w:t>
      </w:r>
      <w:r>
        <w:rPr>
          <w:rFonts w:ascii="Arial" w:hAnsi="Arial" w:eastAsia="Arial" w:cs="Arial"/>
          <w:sz w:val="22"/>
          <w:szCs w:val="22"/>
          <w:rtl w:val="0"/>
        </w:rPr>
        <w:t>, 3(4), pp. 411–429.</w:t>
      </w:r>
    </w:p>
    <w:p w14:paraId="0000004E">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Seligman, M.E.P. (2011) </w:t>
      </w:r>
      <w:r>
        <w:rPr>
          <w:rFonts w:ascii="Arial" w:hAnsi="Arial" w:eastAsia="Arial" w:cs="Arial"/>
          <w:i/>
          <w:iCs/>
          <w:sz w:val="22"/>
          <w:szCs w:val="22"/>
          <w:rtl w:val="0"/>
        </w:rPr>
        <w:t>Flourish: A visionary new understanding of happiness and well-being</w:t>
      </w:r>
      <w:r>
        <w:rPr>
          <w:rFonts w:ascii="Arial" w:hAnsi="Arial" w:eastAsia="Arial" w:cs="Arial"/>
          <w:sz w:val="22"/>
          <w:szCs w:val="22"/>
          <w:rtl w:val="0"/>
        </w:rPr>
        <w:t>. New York: Simon and Schuster.</w:t>
      </w:r>
    </w:p>
    <w:p w14:paraId="0000004F">
      <w:pPr>
        <w:spacing w:before="240" w:after="240" w:line="360" w:lineRule="auto"/>
        <w:ind w:left="850" w:hanging="850"/>
        <w:rPr>
          <w:rFonts w:ascii="Arial" w:hAnsi="Arial" w:eastAsia="Arial" w:cs="Arial"/>
          <w:sz w:val="22"/>
          <w:szCs w:val="22"/>
        </w:rPr>
      </w:pPr>
      <w:r>
        <w:rPr>
          <w:rFonts w:ascii="Arial" w:hAnsi="Arial" w:eastAsia="Arial" w:cs="Arial"/>
          <w:sz w:val="22"/>
          <w:szCs w:val="22"/>
          <w:rtl w:val="0"/>
        </w:rPr>
        <w:t xml:space="preserve">Szántó, P., Papp-Váry, Á. and Radácsi, L. (2025) ‘Research gap in personal branding: Understanding and quantifying personal branding by developing a standardized framework for personal brand equity measurement’, </w:t>
      </w:r>
      <w:r>
        <w:rPr>
          <w:rFonts w:ascii="Arial" w:hAnsi="Arial" w:eastAsia="Arial" w:cs="Arial"/>
          <w:i/>
          <w:iCs/>
          <w:sz w:val="22"/>
          <w:szCs w:val="22"/>
          <w:rtl w:val="0"/>
        </w:rPr>
        <w:t>Administrative Sciences</w:t>
      </w:r>
      <w:r>
        <w:rPr>
          <w:rFonts w:ascii="Arial" w:hAnsi="Arial" w:eastAsia="Arial" w:cs="Arial"/>
          <w:sz w:val="22"/>
          <w:szCs w:val="22"/>
          <w:rtl w:val="0"/>
        </w:rPr>
        <w:t>, 15(4), p. 148.</w:t>
      </w:r>
    </w:p>
    <w:p w14:paraId="00000050">
      <w:pPr>
        <w:spacing w:before="240" w:after="240" w:line="360" w:lineRule="auto"/>
        <w:ind w:left="850" w:hanging="850"/>
        <w:rPr>
          <w:rFonts w:ascii="Arial" w:hAnsi="Arial" w:eastAsia="Arial" w:cs="Arial"/>
          <w:color w:val="222222"/>
          <w:sz w:val="22"/>
          <w:szCs w:val="22"/>
          <w:highlight w:val="white"/>
        </w:rPr>
      </w:pPr>
    </w:p>
    <w:p w14:paraId="00000051">
      <w:pPr>
        <w:spacing w:line="360" w:lineRule="auto"/>
        <w:jc w:val="both"/>
        <w:rPr>
          <w:b/>
          <w:bCs/>
          <w:sz w:val="36"/>
          <w:szCs w:val="36"/>
        </w:rPr>
      </w:pPr>
    </w:p>
    <w:sectPr>
      <w:pgSz w:w="11906" w:h="16838"/>
      <w:pgMar w:top="1440" w:right="1440" w:bottom="1440" w:left="1440" w:header="708" w:footer="708"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embedRegular r:id="rId1" w:fontKey="{47B33C37-478A-4B51-AEDB-0293C7D1EE22}"/>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3EA0052C-568E-485A-AED2-E2BD30BDA991}"/>
  </w:font>
  <w:font w:name="Wingdings">
    <w:panose1 w:val="05000000000000000000"/>
    <w:charset w:val="02"/>
    <w:family w:val="auto"/>
    <w:pitch w:val="default"/>
    <w:sig w:usb0="00000000" w:usb1="00000000" w:usb2="00000000" w:usb3="00000000" w:csb0="80000000" w:csb1="00000000"/>
    <w:embedRegular r:id="rId3" w:fontKey="{30F202F8-BE23-4363-A5D2-5C70F6E2744F}"/>
  </w:font>
  <w:font w:name="Calibri">
    <w:panose1 w:val="020F0502020204030204"/>
    <w:charset w:val="00"/>
    <w:family w:val="swiss"/>
    <w:pitch w:val="default"/>
    <w:sig w:usb0="E4002EFF" w:usb1="C200247B" w:usb2="00000009" w:usb3="00000000" w:csb0="200001FF" w:csb1="00000000"/>
    <w:embedRegular r:id="rId4" w:fontKey="{E997ECD7-28E7-4C42-986D-05E986C1C2A1}"/>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auto"/>
    <w:pitch w:val="default"/>
    <w:sig w:usb0="E4002EFF" w:usb1="C200247B" w:usb2="00000009" w:usb3="00000000" w:csb0="200001FF" w:csb1="00000000"/>
    <w:embedRegular r:id="rId5" w:fontKey="{2992ED3E-3089-4D6E-83C3-B640E3E6CC8D}"/>
  </w:font>
  <w:font w:name="等线 Light">
    <w:altName w:val="Segoe Print"/>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embedRegular r:id="rId6" w:fontKey="{CA8AFF79-C072-47E8-823B-C53B87A1CFDB}"/>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embedRegular r:id="rId7" w:fontKey="{ADE92A0C-37E3-408B-81BF-CA1711CB1D17}"/>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6" w:lineRule="auto"/>
      </w:pPr>
      <w:r>
        <w:separator/>
      </w:r>
    </w:p>
  </w:footnote>
  <w:footnote w:type="continuationSeparator" w:id="1">
    <w:p>
      <w:pPr>
        <w:spacing w:before="0" w:after="0" w:line="25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TrueTypeFonts/>
  <w:documentProtection w:enforcement="0"/>
  <w:defaultTabStop w:val="720"/>
  <w:footnotePr>
    <w:footnote w:id="0"/>
    <w:footnote w:id="1"/>
  </w:footnotePr>
  <w:endnotePr>
    <w:endnote w:id="0"/>
    <w:endnote w:id="1"/>
  </w:endnotePr>
  <w:compat>
    <w:compatSetting w:name="compatibilityMode" w:uri="http://schemas.microsoft.com/office/word" w:val="15"/>
  </w:compat>
  <w:rsids>
    <w:rsidRoot w:val="00000000"/>
    <w:rsid w:val="1C6110CA"/>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iPriority="99" w:semiHidden="0" w:name="header"/>
    <w:lsdException w:uiPriority="99" w:semiHidden="0" w:name="footer"/>
    <w:lsdException w:unhideWhenUsed="0" w:uiPriority="0" w:semiHidden="0" w:name="index heading"/>
    <w:lsdException w:qFormat="1"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22" w:semiHidden="0" w:name="Strong"/>
    <w:lsdException w:qFormat="1" w:unhideWhenUsed="0" w:uiPriority="20" w:semiHidden="0" w:name="Emphasis"/>
    <w:lsdException w:unhideWhenUsed="0" w:uiPriority="0" w:semiHidden="0" w:name="Document Map"/>
    <w:lsdException w:unhideWhenUsed="0" w:uiPriority="0" w:semiHidden="0" w:name="Plain Text"/>
    <w:lsdException w:unhideWhenUsed="0" w:uiPriority="0" w:semiHidden="0" w:name="E-mail Signature"/>
    <w:lsdException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39"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after="160" w:line="256" w:lineRule="auto"/>
    </w:pPr>
    <w:rPr>
      <w:sz w:val="24"/>
      <w:szCs w:val="24"/>
      <w:lang w:val="zh-CN"/>
    </w:rPr>
  </w:style>
  <w:style w:type="paragraph" w:styleId="2">
    <w:name w:val="heading 1"/>
    <w:basedOn w:val="1"/>
    <w:next w:val="1"/>
    <w:link w:val="27"/>
    <w:uiPriority w:val="0"/>
    <w:pPr>
      <w:keepNext/>
      <w:keepLines/>
      <w:spacing w:before="240" w:after="0"/>
    </w:pPr>
    <w:rPr>
      <w:rFonts w:ascii="Calibri" w:hAnsi="Calibri" w:eastAsia="Calibri" w:cs="Calibri"/>
      <w:color w:val="2F5496"/>
      <w:sz w:val="32"/>
      <w:szCs w:val="32"/>
    </w:rPr>
  </w:style>
  <w:style w:type="paragraph" w:styleId="3">
    <w:name w:val="heading 2"/>
    <w:basedOn w:val="1"/>
    <w:next w:val="1"/>
    <w:link w:val="23"/>
    <w:uiPriority w:val="0"/>
    <w:pPr>
      <w:spacing w:line="240" w:lineRule="auto"/>
    </w:pPr>
    <w:rPr>
      <w:b/>
      <w:bCs/>
      <w:sz w:val="36"/>
      <w:szCs w:val="36"/>
    </w:rPr>
  </w:style>
  <w:style w:type="paragraph" w:styleId="4">
    <w:name w:val="heading 3"/>
    <w:basedOn w:val="1"/>
    <w:next w:val="1"/>
    <w:link w:val="24"/>
    <w:uiPriority w:val="0"/>
    <w:pPr>
      <w:spacing w:line="240" w:lineRule="auto"/>
    </w:pPr>
    <w:rPr>
      <w:b/>
      <w:bCs/>
      <w:sz w:val="27"/>
      <w:szCs w:val="27"/>
    </w:rPr>
  </w:style>
  <w:style w:type="paragraph" w:styleId="5">
    <w:name w:val="heading 4"/>
    <w:basedOn w:val="1"/>
    <w:next w:val="1"/>
    <w:uiPriority w:val="0"/>
    <w:pPr>
      <w:keepNext/>
      <w:keepLines/>
      <w:pageBreakBefore w:val="0"/>
      <w:spacing w:before="240" w:after="40"/>
    </w:pPr>
    <w:rPr>
      <w:b/>
      <w:bCs/>
      <w:sz w:val="24"/>
      <w:szCs w:val="24"/>
    </w:rPr>
  </w:style>
  <w:style w:type="paragraph" w:styleId="6">
    <w:name w:val="heading 5"/>
    <w:basedOn w:val="1"/>
    <w:next w:val="1"/>
    <w:uiPriority w:val="0"/>
    <w:pPr>
      <w:keepNext/>
      <w:keepLines/>
      <w:pageBreakBefore w:val="0"/>
      <w:spacing w:before="220" w:after="40"/>
    </w:pPr>
    <w:rPr>
      <w:b/>
      <w:bCs/>
      <w:sz w:val="22"/>
      <w:szCs w:val="22"/>
    </w:rPr>
  </w:style>
  <w:style w:type="paragraph" w:styleId="7">
    <w:name w:val="heading 6"/>
    <w:basedOn w:val="1"/>
    <w:next w:val="1"/>
    <w:uiPriority w:val="0"/>
    <w:pPr>
      <w:keepNext/>
      <w:keepLines/>
      <w:pageBreakBefore w:val="0"/>
      <w:spacing w:before="200" w:after="40"/>
    </w:pPr>
    <w:rPr>
      <w:b/>
      <w:bCs/>
      <w:sz w:val="20"/>
      <w:szCs w:val="20"/>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caption"/>
    <w:basedOn w:val="1"/>
    <w:next w:val="1"/>
    <w:unhideWhenUsed/>
    <w:qFormat/>
    <w:uiPriority w:val="35"/>
    <w:pPr>
      <w:spacing w:after="200" w:line="240" w:lineRule="auto"/>
    </w:pPr>
    <w:rPr>
      <w:rFonts w:asciiTheme="minorHAnsi" w:hAnsiTheme="minorHAnsi"/>
      <w:i/>
      <w:iCs/>
      <w:color w:val="44546A" w:themeColor="text2"/>
      <w:sz w:val="18"/>
      <w:szCs w:val="18"/>
      <w:lang w:val="en-US"/>
      <w14:textFill>
        <w14:solidFill>
          <w14:schemeClr w14:val="tx2"/>
        </w14:solidFill>
      </w14:textFill>
    </w:rPr>
  </w:style>
  <w:style w:type="character" w:styleId="11">
    <w:name w:val="Emphasis"/>
    <w:basedOn w:val="8"/>
    <w:qFormat/>
    <w:uiPriority w:val="20"/>
    <w:rPr>
      <w:i/>
      <w:iCs/>
    </w:rPr>
  </w:style>
  <w:style w:type="paragraph" w:styleId="12">
    <w:name w:val="footer"/>
    <w:basedOn w:val="1"/>
    <w:link w:val="22"/>
    <w:unhideWhenUsed/>
    <w:uiPriority w:val="99"/>
    <w:pPr>
      <w:tabs>
        <w:tab w:val="center" w:pos="4513"/>
        <w:tab w:val="right" w:pos="9026"/>
      </w:tabs>
      <w:spacing w:after="0" w:line="240" w:lineRule="auto"/>
    </w:pPr>
  </w:style>
  <w:style w:type="paragraph" w:styleId="13">
    <w:name w:val="header"/>
    <w:basedOn w:val="1"/>
    <w:link w:val="21"/>
    <w:unhideWhenUsed/>
    <w:uiPriority w:val="99"/>
    <w:pPr>
      <w:tabs>
        <w:tab w:val="center" w:pos="4513"/>
        <w:tab w:val="right" w:pos="9026"/>
      </w:tabs>
      <w:spacing w:after="0" w:line="240" w:lineRule="auto"/>
    </w:pPr>
  </w:style>
  <w:style w:type="paragraph" w:styleId="14">
    <w:name w:val="Normal (Web)"/>
    <w:basedOn w:val="1"/>
    <w:unhideWhenUsed/>
    <w:uiPriority w:val="99"/>
    <w:pPr>
      <w:spacing w:before="100" w:beforeAutospacing="1" w:after="100" w:afterAutospacing="1" w:line="240" w:lineRule="auto"/>
    </w:pPr>
    <w:rPr>
      <w:rFonts w:eastAsia="Times New Roman" w:cs="Times New Roman"/>
      <w:szCs w:val="24"/>
      <w:lang w:eastAsia="en-GB"/>
    </w:rPr>
  </w:style>
  <w:style w:type="character" w:styleId="15">
    <w:name w:val="Strong"/>
    <w:qFormat/>
    <w:uiPriority w:val="22"/>
    <w:rPr>
      <w:b/>
      <w:bCs/>
    </w:rPr>
  </w:style>
  <w:style w:type="paragraph" w:styleId="16">
    <w:name w:val="Subtitle"/>
    <w:basedOn w:val="1"/>
    <w:next w:val="1"/>
    <w:uiPriority w:val="0"/>
    <w:pPr>
      <w:keepNext/>
      <w:keepLines/>
      <w:pageBreakBefore w:val="0"/>
      <w:spacing w:before="360" w:after="80"/>
    </w:pPr>
    <w:rPr>
      <w:rFonts w:ascii="Georgia" w:hAnsi="Georgia" w:eastAsia="Georgia" w:cs="Georgia"/>
      <w:i/>
      <w:iCs/>
      <w:color w:val="666666"/>
      <w:sz w:val="48"/>
      <w:szCs w:val="48"/>
    </w:rPr>
  </w:style>
  <w:style w:type="table" w:styleId="17">
    <w:name w:val="Table Grid"/>
    <w:basedOn w:val="18"/>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18">
    <w:name w:val="TableNormal"/>
    <w:uiPriority w:val="0"/>
    <w:tblPr>
      <w:tblCellMar>
        <w:top w:w="100" w:type="dxa"/>
        <w:left w:w="100" w:type="dxa"/>
        <w:bottom w:w="100" w:type="dxa"/>
        <w:right w:w="100" w:type="dxa"/>
      </w:tblCellMar>
    </w:tblPr>
  </w:style>
  <w:style w:type="paragraph" w:styleId="19">
    <w:name w:val="Title"/>
    <w:basedOn w:val="1"/>
    <w:next w:val="1"/>
    <w:uiPriority w:val="0"/>
    <w:pPr>
      <w:keepNext/>
      <w:keepLines/>
      <w:pageBreakBefore w:val="0"/>
      <w:spacing w:before="480" w:after="120"/>
    </w:pPr>
    <w:rPr>
      <w:b/>
      <w:bCs/>
      <w:sz w:val="72"/>
      <w:szCs w:val="72"/>
    </w:rPr>
  </w:style>
  <w:style w:type="paragraph" w:styleId="20">
    <w:name w:val="List Paragraph"/>
    <w:basedOn w:val="1"/>
    <w:qFormat/>
    <w:uiPriority w:val="34"/>
    <w:pPr>
      <w:ind w:left="720"/>
      <w:contextualSpacing/>
    </w:pPr>
  </w:style>
  <w:style w:type="character" w:customStyle="1" w:styleId="21">
    <w:name w:val="Header Char"/>
    <w:basedOn w:val="8"/>
    <w:link w:val="13"/>
    <w:uiPriority w:val="99"/>
    <w:rPr>
      <w:rFonts w:ascii="Times New Roman" w:hAnsi="Times New Roman"/>
      <w:sz w:val="24"/>
    </w:rPr>
  </w:style>
  <w:style w:type="character" w:customStyle="1" w:styleId="22">
    <w:name w:val="Footer Char"/>
    <w:basedOn w:val="8"/>
    <w:link w:val="12"/>
    <w:uiPriority w:val="99"/>
    <w:rPr>
      <w:rFonts w:ascii="Times New Roman" w:hAnsi="Times New Roman"/>
      <w:sz w:val="24"/>
    </w:rPr>
  </w:style>
  <w:style w:type="character" w:customStyle="1" w:styleId="23">
    <w:name w:val="Heading 2 Char"/>
    <w:basedOn w:val="8"/>
    <w:link w:val="3"/>
    <w:uiPriority w:val="9"/>
    <w:rPr>
      <w:rFonts w:ascii="Times New Roman" w:hAnsi="Times New Roman" w:eastAsia="Times New Roman" w:cs="Times New Roman"/>
      <w:b/>
      <w:bCs/>
      <w:sz w:val="36"/>
      <w:szCs w:val="36"/>
      <w:lang w:eastAsia="en-GB"/>
    </w:rPr>
  </w:style>
  <w:style w:type="character" w:customStyle="1" w:styleId="24">
    <w:name w:val="Heading 3 Char"/>
    <w:basedOn w:val="8"/>
    <w:link w:val="4"/>
    <w:uiPriority w:val="9"/>
    <w:rPr>
      <w:rFonts w:ascii="Times New Roman" w:hAnsi="Times New Roman" w:eastAsia="Times New Roman" w:cs="Times New Roman"/>
      <w:b/>
      <w:bCs/>
      <w:sz w:val="27"/>
      <w:szCs w:val="27"/>
      <w:lang w:eastAsia="en-GB"/>
    </w:rPr>
  </w:style>
  <w:style w:type="character" w:customStyle="1" w:styleId="25">
    <w:name w:val="apple-converted-space"/>
    <w:basedOn w:val="8"/>
    <w:uiPriority w:val="0"/>
  </w:style>
  <w:style w:type="paragraph" w:styleId="26">
    <w:name w:val="No Spacing"/>
    <w:qFormat/>
    <w:uiPriority w:val="1"/>
    <w:pPr>
      <w:spacing w:after="0" w:line="240" w:lineRule="auto"/>
    </w:pPr>
    <w:rPr>
      <w:rFonts w:ascii="Times New Roman" w:hAnsi="Times New Roman"/>
      <w:sz w:val="24"/>
      <w:szCs w:val="24"/>
      <w:lang w:val="zh-CN"/>
    </w:rPr>
  </w:style>
  <w:style w:type="character" w:customStyle="1" w:styleId="27">
    <w:name w:val="Heading 1 Char"/>
    <w:basedOn w:val="8"/>
    <w:link w:val="2"/>
    <w:uiPriority w:val="9"/>
    <w:rPr>
      <w:rFonts w:asciiTheme="majorHAnsi" w:hAnsiTheme="majorHAnsi" w:eastAsiaTheme="majorEastAsia" w:cstheme="majorBidi"/>
      <w:color w:val="2F5597" w:themeColor="accent1" w:themeShade="BF"/>
      <w:sz w:val="32"/>
      <w:szCs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1.xml"/><Relationship Id="rId14" Type="http://schemas.openxmlformats.org/officeDocument/2006/relationships/image" Target="media/image9.jpeg"/><Relationship Id="rId13" Type="http://schemas.openxmlformats.org/officeDocument/2006/relationships/image" Target="media/image8.jpeg"/><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nN+sjegNGti0rpPmtav3LHIEDw==">CgMxLjA4AHIhMU8tcVY0N2ZGTkZ3OS1KUjdubmJZTjEzSFI2WE1aMnFW</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Pages>11</Pages>
  <TotalTime>5</TotalTime>
  <ScaleCrop>false</ScaleCrop>
  <LinksUpToDate>false</LinksUpToDate>
  <Application>WPS Office_12.2.0.23196_F1E327BC-269C-435d-A152-05C5408002CA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2025-10-06T08:22:00Z</dcterms:created>
  <dc:creator>Diola Bijlhout</dc:creator>
  <cp:lastModifiedBy>pavlin enchev</cp:lastModifiedBy>
  <dcterms:modified xsi:type="dcterms:W3CDTF">2026-04-09T12:54:39Z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3CEC127E77644469B3C9AD29FA22A2CC_12</vt:lpwstr>
  </property>
</Properties>
</file>