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9229D" w14:textId="77777777" w:rsidR="00E207AE" w:rsidRDefault="00E207AE" w:rsidP="007C70A3">
      <w:pPr>
        <w:pStyle w:val="Heading1"/>
        <w:numPr>
          <w:ilvl w:val="0"/>
          <w:numId w:val="0"/>
        </w:numPr>
        <w:rPr>
          <w:rFonts w:ascii="Times New Roman" w:hAnsi="Times New Roman" w:cs="Times New Roman"/>
          <w:b w:val="0"/>
          <w:bCs w:val="0"/>
          <w:sz w:val="22"/>
          <w:szCs w:val="22"/>
        </w:rPr>
      </w:pPr>
      <w:r w:rsidRPr="00A406E5">
        <w:drawing>
          <wp:anchor distT="0" distB="0" distL="114300" distR="114300" simplePos="0" relativeHeight="251698176" behindDoc="0" locked="0" layoutInCell="1" allowOverlap="1" wp14:anchorId="4572981D" wp14:editId="58425DC9">
            <wp:simplePos x="0" y="0"/>
            <wp:positionH relativeFrom="margin">
              <wp:align>center</wp:align>
            </wp:positionH>
            <wp:positionV relativeFrom="paragraph">
              <wp:posOffset>538</wp:posOffset>
            </wp:positionV>
            <wp:extent cx="5485765" cy="1002030"/>
            <wp:effectExtent l="0" t="0" r="635" b="0"/>
            <wp:wrapSquare wrapText="bothSides"/>
            <wp:docPr id="134890888" name="Picture 13489088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485765" cy="10020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51D40D" w14:textId="77777777" w:rsidR="00E207AE" w:rsidRDefault="00E207AE" w:rsidP="007C70A3">
      <w:pPr>
        <w:pStyle w:val="Heading1"/>
        <w:numPr>
          <w:ilvl w:val="0"/>
          <w:numId w:val="0"/>
        </w:numPr>
        <w:rPr>
          <w:rFonts w:ascii="Times New Roman" w:hAnsi="Times New Roman" w:cs="Times New Roman"/>
          <w:b w:val="0"/>
          <w:bCs w:val="0"/>
          <w:sz w:val="22"/>
          <w:szCs w:val="22"/>
        </w:rPr>
      </w:pPr>
    </w:p>
    <w:p w14:paraId="6740C997" w14:textId="77777777" w:rsidR="00E207AE" w:rsidRDefault="00E207AE" w:rsidP="007C70A3">
      <w:pPr>
        <w:pStyle w:val="Heading1"/>
        <w:numPr>
          <w:ilvl w:val="0"/>
          <w:numId w:val="0"/>
        </w:numPr>
        <w:rPr>
          <w:rFonts w:ascii="Times New Roman" w:hAnsi="Times New Roman" w:cs="Times New Roman"/>
          <w:b w:val="0"/>
          <w:bCs w:val="0"/>
          <w:sz w:val="22"/>
          <w:szCs w:val="22"/>
        </w:rPr>
      </w:pPr>
    </w:p>
    <w:p w14:paraId="3B82A203" w14:textId="77777777" w:rsidR="00E207AE" w:rsidRDefault="00E207AE" w:rsidP="007C70A3">
      <w:pPr>
        <w:pStyle w:val="Heading1"/>
        <w:numPr>
          <w:ilvl w:val="0"/>
          <w:numId w:val="0"/>
        </w:numPr>
        <w:rPr>
          <w:rFonts w:ascii="Times New Roman" w:hAnsi="Times New Roman" w:cs="Times New Roman"/>
          <w:b w:val="0"/>
          <w:bCs w:val="0"/>
          <w:sz w:val="22"/>
          <w:szCs w:val="22"/>
        </w:rPr>
      </w:pPr>
    </w:p>
    <w:p w14:paraId="1D8E261B" w14:textId="77777777" w:rsidR="00E207AE" w:rsidRDefault="00E207AE" w:rsidP="007C70A3">
      <w:pPr>
        <w:pStyle w:val="Heading1"/>
        <w:numPr>
          <w:ilvl w:val="0"/>
          <w:numId w:val="0"/>
        </w:numPr>
        <w:rPr>
          <w:rFonts w:ascii="Times New Roman" w:hAnsi="Times New Roman" w:cs="Times New Roman"/>
          <w:b w:val="0"/>
          <w:bCs w:val="0"/>
          <w:sz w:val="22"/>
          <w:szCs w:val="22"/>
        </w:rPr>
      </w:pPr>
    </w:p>
    <w:p w14:paraId="7158AB8D" w14:textId="77777777" w:rsidR="00E207AE" w:rsidRPr="00AE08E3" w:rsidRDefault="00E207AE" w:rsidP="00E207AE">
      <w:pPr>
        <w:jc w:val="center"/>
        <w:rPr>
          <w:rFonts w:ascii="Times New Roman" w:hAnsi="Times New Roman" w:cs="Times New Roman"/>
          <w:b/>
          <w:bCs/>
          <w:sz w:val="28"/>
          <w:szCs w:val="28"/>
        </w:rPr>
      </w:pPr>
      <w:r w:rsidRPr="00AE08E3">
        <w:rPr>
          <w:rFonts w:ascii="Times New Roman" w:hAnsi="Times New Roman" w:cs="Times New Roman"/>
          <w:b/>
          <w:bCs/>
          <w:sz w:val="28"/>
          <w:szCs w:val="28"/>
        </w:rPr>
        <w:t>Student Name: Podili Deepthi</w:t>
      </w:r>
    </w:p>
    <w:p w14:paraId="71BA46F1" w14:textId="77777777" w:rsidR="00E207AE" w:rsidRPr="00AE08E3" w:rsidRDefault="00E207AE" w:rsidP="00E207AE">
      <w:pPr>
        <w:jc w:val="center"/>
        <w:rPr>
          <w:rFonts w:ascii="Times New Roman" w:hAnsi="Times New Roman" w:cs="Times New Roman"/>
          <w:b/>
          <w:bCs/>
          <w:sz w:val="28"/>
          <w:szCs w:val="28"/>
        </w:rPr>
      </w:pPr>
      <w:r w:rsidRPr="00AE08E3">
        <w:rPr>
          <w:rFonts w:ascii="Times New Roman" w:hAnsi="Times New Roman" w:cs="Times New Roman"/>
          <w:b/>
          <w:bCs/>
          <w:sz w:val="28"/>
          <w:szCs w:val="28"/>
        </w:rPr>
        <w:t>Student Id: 2432738</w:t>
      </w:r>
    </w:p>
    <w:p w14:paraId="12407C2C" w14:textId="77777777" w:rsidR="00E207AE" w:rsidRPr="00AE08E3" w:rsidRDefault="00E207AE" w:rsidP="00E207AE">
      <w:pPr>
        <w:jc w:val="center"/>
        <w:rPr>
          <w:rFonts w:ascii="Times New Roman" w:hAnsi="Times New Roman" w:cs="Times New Roman"/>
          <w:b/>
          <w:bCs/>
          <w:sz w:val="28"/>
          <w:szCs w:val="28"/>
        </w:rPr>
      </w:pPr>
      <w:r w:rsidRPr="00AE08E3">
        <w:rPr>
          <w:rFonts w:ascii="Times New Roman" w:hAnsi="Times New Roman" w:cs="Times New Roman"/>
          <w:b/>
          <w:bCs/>
          <w:sz w:val="28"/>
          <w:szCs w:val="28"/>
        </w:rPr>
        <w:t xml:space="preserve">Lecturer Name: </w:t>
      </w:r>
      <w:r w:rsidRPr="00E207AE">
        <w:rPr>
          <w:rFonts w:ascii="Times New Roman" w:hAnsi="Times New Roman" w:cs="Times New Roman"/>
          <w:b/>
          <w:bCs/>
          <w:sz w:val="28"/>
          <w:szCs w:val="28"/>
        </w:rPr>
        <w:t>Dr Muhammad A.Abbas/Assoc. Prof.</w:t>
      </w:r>
    </w:p>
    <w:p w14:paraId="4EE857C2" w14:textId="77777777" w:rsidR="00E207AE" w:rsidRPr="00AE08E3" w:rsidRDefault="00E207AE" w:rsidP="00E207AE">
      <w:pPr>
        <w:jc w:val="center"/>
        <w:rPr>
          <w:rFonts w:ascii="Times New Roman" w:hAnsi="Times New Roman" w:cs="Times New Roman"/>
          <w:b/>
          <w:bCs/>
          <w:sz w:val="28"/>
          <w:szCs w:val="28"/>
        </w:rPr>
      </w:pPr>
      <w:r w:rsidRPr="00AE08E3">
        <w:rPr>
          <w:rFonts w:ascii="Times New Roman" w:hAnsi="Times New Roman" w:cs="Times New Roman"/>
          <w:b/>
          <w:bCs/>
          <w:sz w:val="28"/>
          <w:szCs w:val="28"/>
        </w:rPr>
        <w:t xml:space="preserve">Module: </w:t>
      </w:r>
      <w:r>
        <w:rPr>
          <w:rFonts w:ascii="Times New Roman" w:hAnsi="Times New Roman" w:cs="Times New Roman"/>
          <w:b/>
          <w:bCs/>
          <w:sz w:val="28"/>
          <w:szCs w:val="28"/>
        </w:rPr>
        <w:t>Data Security, Governance and Compliance</w:t>
      </w:r>
      <w:r w:rsidRPr="00AE08E3">
        <w:rPr>
          <w:rFonts w:ascii="Times New Roman" w:hAnsi="Times New Roman" w:cs="Times New Roman"/>
          <w:b/>
          <w:bCs/>
          <w:sz w:val="28"/>
          <w:szCs w:val="28"/>
        </w:rPr>
        <w:t>[</w:t>
      </w:r>
      <w:r w:rsidRPr="00E207AE">
        <w:rPr>
          <w:rFonts w:ascii="Times New Roman" w:hAnsi="Times New Roman" w:cs="Times New Roman"/>
          <w:b/>
          <w:bCs/>
          <w:sz w:val="28"/>
          <w:szCs w:val="28"/>
        </w:rPr>
        <w:t>ACCA7028</w:t>
      </w:r>
      <w:r w:rsidRPr="00AE08E3">
        <w:rPr>
          <w:rFonts w:ascii="Times New Roman" w:hAnsi="Times New Roman" w:cs="Times New Roman"/>
          <w:b/>
          <w:bCs/>
          <w:sz w:val="28"/>
          <w:szCs w:val="28"/>
        </w:rPr>
        <w:t>]</w:t>
      </w:r>
    </w:p>
    <w:p w14:paraId="427B9B06" w14:textId="77777777" w:rsidR="00E207AE" w:rsidRDefault="00E207AE" w:rsidP="007C70A3">
      <w:pPr>
        <w:pStyle w:val="Heading1"/>
        <w:numPr>
          <w:ilvl w:val="0"/>
          <w:numId w:val="0"/>
        </w:numPr>
        <w:rPr>
          <w:rFonts w:ascii="Times New Roman" w:hAnsi="Times New Roman" w:cs="Times New Roman"/>
          <w:b w:val="0"/>
          <w:bCs w:val="0"/>
          <w:sz w:val="22"/>
          <w:szCs w:val="22"/>
        </w:rPr>
      </w:pPr>
    </w:p>
    <w:p w14:paraId="1AF6FE16" w14:textId="77777777" w:rsidR="00E207AE" w:rsidRDefault="00E207AE" w:rsidP="007C70A3">
      <w:pPr>
        <w:pStyle w:val="Heading1"/>
        <w:numPr>
          <w:ilvl w:val="0"/>
          <w:numId w:val="0"/>
        </w:numPr>
        <w:rPr>
          <w:rFonts w:ascii="Times New Roman" w:hAnsi="Times New Roman" w:cs="Times New Roman"/>
          <w:b w:val="0"/>
          <w:bCs w:val="0"/>
          <w:sz w:val="22"/>
          <w:szCs w:val="22"/>
        </w:rPr>
      </w:pPr>
    </w:p>
    <w:p w14:paraId="107E61B8" w14:textId="77777777" w:rsidR="00E207AE" w:rsidRDefault="00E207AE" w:rsidP="007C70A3">
      <w:pPr>
        <w:pStyle w:val="Heading1"/>
        <w:numPr>
          <w:ilvl w:val="0"/>
          <w:numId w:val="0"/>
        </w:numPr>
        <w:rPr>
          <w:rFonts w:ascii="Times New Roman" w:hAnsi="Times New Roman" w:cs="Times New Roman"/>
          <w:b w:val="0"/>
          <w:bCs w:val="0"/>
          <w:sz w:val="22"/>
          <w:szCs w:val="22"/>
        </w:rPr>
      </w:pPr>
    </w:p>
    <w:p w14:paraId="5B778D82" w14:textId="77777777" w:rsidR="00E207AE" w:rsidRDefault="00E207AE" w:rsidP="007C70A3">
      <w:pPr>
        <w:pStyle w:val="Heading1"/>
        <w:numPr>
          <w:ilvl w:val="0"/>
          <w:numId w:val="0"/>
        </w:numPr>
        <w:rPr>
          <w:rFonts w:ascii="Times New Roman" w:hAnsi="Times New Roman" w:cs="Times New Roman"/>
          <w:b w:val="0"/>
          <w:bCs w:val="0"/>
          <w:sz w:val="22"/>
          <w:szCs w:val="22"/>
        </w:rPr>
      </w:pPr>
    </w:p>
    <w:p w14:paraId="147CA0E0" w14:textId="77777777" w:rsidR="00E207AE" w:rsidRDefault="00E207AE" w:rsidP="007C70A3">
      <w:pPr>
        <w:pStyle w:val="Heading1"/>
        <w:numPr>
          <w:ilvl w:val="0"/>
          <w:numId w:val="0"/>
        </w:numPr>
        <w:rPr>
          <w:rFonts w:ascii="Times New Roman" w:hAnsi="Times New Roman" w:cs="Times New Roman"/>
          <w:b w:val="0"/>
          <w:bCs w:val="0"/>
          <w:sz w:val="22"/>
          <w:szCs w:val="22"/>
        </w:rPr>
      </w:pPr>
    </w:p>
    <w:p w14:paraId="0C347364" w14:textId="77777777" w:rsidR="00E207AE" w:rsidRDefault="00E207AE" w:rsidP="007C70A3">
      <w:pPr>
        <w:pStyle w:val="Heading1"/>
        <w:numPr>
          <w:ilvl w:val="0"/>
          <w:numId w:val="0"/>
        </w:numPr>
        <w:rPr>
          <w:rFonts w:ascii="Times New Roman" w:hAnsi="Times New Roman" w:cs="Times New Roman"/>
          <w:b w:val="0"/>
          <w:bCs w:val="0"/>
          <w:sz w:val="22"/>
          <w:szCs w:val="22"/>
        </w:rPr>
      </w:pPr>
    </w:p>
    <w:p w14:paraId="533B77C7" w14:textId="77777777" w:rsidR="00E207AE" w:rsidRDefault="00E207AE" w:rsidP="007C70A3">
      <w:pPr>
        <w:pStyle w:val="Heading1"/>
        <w:numPr>
          <w:ilvl w:val="0"/>
          <w:numId w:val="0"/>
        </w:numPr>
        <w:rPr>
          <w:rFonts w:ascii="Times New Roman" w:hAnsi="Times New Roman" w:cs="Times New Roman"/>
          <w:b w:val="0"/>
          <w:bCs w:val="0"/>
          <w:sz w:val="22"/>
          <w:szCs w:val="22"/>
        </w:rPr>
      </w:pPr>
    </w:p>
    <w:p w14:paraId="2B6EECD4" w14:textId="77777777" w:rsidR="00E207AE" w:rsidRDefault="00E207AE" w:rsidP="007C70A3">
      <w:pPr>
        <w:pStyle w:val="Heading1"/>
        <w:numPr>
          <w:ilvl w:val="0"/>
          <w:numId w:val="0"/>
        </w:numPr>
        <w:rPr>
          <w:rFonts w:ascii="Times New Roman" w:hAnsi="Times New Roman" w:cs="Times New Roman"/>
          <w:b w:val="0"/>
          <w:bCs w:val="0"/>
          <w:sz w:val="22"/>
          <w:szCs w:val="22"/>
        </w:rPr>
      </w:pPr>
    </w:p>
    <w:p w14:paraId="59804B32" w14:textId="77777777" w:rsidR="00E207AE" w:rsidRDefault="00E207AE" w:rsidP="007C70A3">
      <w:pPr>
        <w:pStyle w:val="Heading1"/>
        <w:numPr>
          <w:ilvl w:val="0"/>
          <w:numId w:val="0"/>
        </w:numPr>
        <w:rPr>
          <w:rFonts w:ascii="Times New Roman" w:hAnsi="Times New Roman" w:cs="Times New Roman"/>
          <w:b w:val="0"/>
          <w:bCs w:val="0"/>
          <w:sz w:val="22"/>
          <w:szCs w:val="22"/>
        </w:rPr>
      </w:pPr>
    </w:p>
    <w:p w14:paraId="29D19043" w14:textId="77777777" w:rsidR="00E207AE" w:rsidRDefault="00E207AE" w:rsidP="007C70A3">
      <w:pPr>
        <w:pStyle w:val="Heading1"/>
        <w:numPr>
          <w:ilvl w:val="0"/>
          <w:numId w:val="0"/>
        </w:numPr>
        <w:rPr>
          <w:rFonts w:ascii="Times New Roman" w:hAnsi="Times New Roman" w:cs="Times New Roman"/>
          <w:b w:val="0"/>
          <w:bCs w:val="0"/>
          <w:sz w:val="22"/>
          <w:szCs w:val="22"/>
        </w:rPr>
      </w:pPr>
    </w:p>
    <w:p w14:paraId="67981EAC" w14:textId="77777777" w:rsidR="00E207AE" w:rsidRDefault="00E207AE" w:rsidP="007C70A3">
      <w:pPr>
        <w:pStyle w:val="Heading1"/>
        <w:numPr>
          <w:ilvl w:val="0"/>
          <w:numId w:val="0"/>
        </w:numPr>
        <w:rPr>
          <w:rFonts w:ascii="Times New Roman" w:hAnsi="Times New Roman" w:cs="Times New Roman"/>
          <w:b w:val="0"/>
          <w:bCs w:val="0"/>
          <w:sz w:val="22"/>
          <w:szCs w:val="22"/>
        </w:rPr>
      </w:pPr>
    </w:p>
    <w:p w14:paraId="51DD9F80" w14:textId="77777777" w:rsidR="00E207AE" w:rsidRDefault="00E207AE" w:rsidP="007C70A3">
      <w:pPr>
        <w:pStyle w:val="Heading1"/>
        <w:numPr>
          <w:ilvl w:val="0"/>
          <w:numId w:val="0"/>
        </w:numPr>
        <w:rPr>
          <w:rFonts w:ascii="Times New Roman" w:hAnsi="Times New Roman" w:cs="Times New Roman"/>
          <w:b w:val="0"/>
          <w:bCs w:val="0"/>
          <w:sz w:val="22"/>
          <w:szCs w:val="22"/>
        </w:rPr>
      </w:pPr>
    </w:p>
    <w:p w14:paraId="3E3CC45F" w14:textId="77777777" w:rsidR="00E207AE" w:rsidRDefault="00E207AE" w:rsidP="007C70A3">
      <w:pPr>
        <w:pStyle w:val="Heading1"/>
        <w:numPr>
          <w:ilvl w:val="0"/>
          <w:numId w:val="0"/>
        </w:numPr>
        <w:rPr>
          <w:rFonts w:ascii="Times New Roman" w:hAnsi="Times New Roman" w:cs="Times New Roman"/>
          <w:b w:val="0"/>
          <w:bCs w:val="0"/>
          <w:sz w:val="22"/>
          <w:szCs w:val="22"/>
        </w:rPr>
      </w:pPr>
    </w:p>
    <w:sdt>
      <w:sdtPr>
        <w:rPr>
          <w:rFonts w:ascii="Times New Roman" w:hAnsi="Times New Roman" w:cs="Times New Roman"/>
          <w:b w:val="0"/>
          <w:bCs w:val="0"/>
          <w:sz w:val="22"/>
          <w:szCs w:val="22"/>
        </w:rPr>
        <w:id w:val="1501849523"/>
        <w:docPartObj>
          <w:docPartGallery w:val="Table of Contents"/>
          <w:docPartUnique/>
        </w:docPartObj>
      </w:sdtPr>
      <w:sdtEndPr/>
      <w:sdtContent>
        <w:p w14:paraId="3C46464E" w14:textId="77777777" w:rsidR="00E65338" w:rsidRPr="007C70A3" w:rsidRDefault="00E65338" w:rsidP="007C70A3">
          <w:pPr>
            <w:pStyle w:val="Heading1"/>
            <w:numPr>
              <w:ilvl w:val="0"/>
              <w:numId w:val="0"/>
            </w:numPr>
            <w:rPr>
              <w:rFonts w:ascii="Times New Roman" w:hAnsi="Times New Roman" w:cs="Times New Roman"/>
            </w:rPr>
          </w:pPr>
          <w:r w:rsidRPr="007C70A3">
            <w:rPr>
              <w:rFonts w:ascii="Times New Roman" w:hAnsi="Times New Roman" w:cs="Times New Roman"/>
            </w:rPr>
            <w:t>Table of Contents</w:t>
          </w:r>
        </w:p>
        <w:p w14:paraId="6F03F759" w14:textId="77777777" w:rsidR="00E65338" w:rsidRPr="007C70A3" w:rsidRDefault="00E65338" w:rsidP="007C70A3">
          <w:pPr>
            <w:pStyle w:val="TOC1"/>
            <w:tabs>
              <w:tab w:val="left" w:pos="480"/>
              <w:tab w:val="right" w:leader="dot" w:pos="9730"/>
            </w:tabs>
            <w:rPr>
              <w:rFonts w:ascii="Times New Roman" w:hAnsi="Times New Roman" w:cs="Times New Roman"/>
              <w:sz w:val="22"/>
              <w:szCs w:val="22"/>
            </w:rPr>
          </w:pPr>
          <w:r w:rsidRPr="007C70A3">
            <w:rPr>
              <w:rFonts w:ascii="Times New Roman" w:hAnsi="Times New Roman" w:cs="Times New Roman"/>
              <w:b w:val="0"/>
              <w:bCs w:val="0"/>
              <w:noProof w:val="0"/>
              <w:sz w:val="22"/>
              <w:szCs w:val="22"/>
            </w:rPr>
            <w:fldChar w:fldCharType="begin"/>
          </w:r>
          <w:r w:rsidRPr="007C70A3">
            <w:rPr>
              <w:rFonts w:ascii="Times New Roman" w:hAnsi="Times New Roman" w:cs="Times New Roman"/>
              <w:sz w:val="22"/>
              <w:szCs w:val="22"/>
            </w:rPr>
            <w:instrText xml:space="preserve"> TOC \o "1-3" \h \z \u </w:instrText>
          </w:r>
          <w:r w:rsidRPr="007C70A3">
            <w:rPr>
              <w:rFonts w:ascii="Times New Roman" w:hAnsi="Times New Roman" w:cs="Times New Roman"/>
              <w:b w:val="0"/>
              <w:bCs w:val="0"/>
              <w:noProof w:val="0"/>
              <w:sz w:val="22"/>
              <w:szCs w:val="22"/>
            </w:rPr>
            <w:fldChar w:fldCharType="separate"/>
          </w:r>
          <w:hyperlink w:anchor="_Toc213350664" w:history="1">
            <w:r w:rsidRPr="007C70A3">
              <w:rPr>
                <w:rStyle w:val="Hyperlink"/>
                <w:rFonts w:ascii="Times New Roman" w:hAnsi="Times New Roman" w:cs="Times New Roman"/>
                <w:sz w:val="22"/>
                <w:szCs w:val="22"/>
              </w:rPr>
              <w:t>1.</w:t>
            </w:r>
            <w:r w:rsidRPr="007C70A3">
              <w:rPr>
                <w:rFonts w:ascii="Times New Roman" w:hAnsi="Times New Roman" w:cs="Times New Roman"/>
                <w:sz w:val="22"/>
                <w:szCs w:val="22"/>
              </w:rPr>
              <w:tab/>
            </w:r>
            <w:r w:rsidRPr="007C70A3">
              <w:rPr>
                <w:rStyle w:val="Hyperlink"/>
                <w:rFonts w:ascii="Times New Roman" w:hAnsi="Times New Roman" w:cs="Times New Roman"/>
                <w:sz w:val="22"/>
                <w:szCs w:val="22"/>
              </w:rPr>
              <w:t>Introduction</w:t>
            </w:r>
            <w:r w:rsidRPr="007C70A3">
              <w:rPr>
                <w:rFonts w:ascii="Times New Roman" w:hAnsi="Times New Roman" w:cs="Times New Roman"/>
                <w:webHidden/>
                <w:sz w:val="22"/>
                <w:szCs w:val="22"/>
              </w:rPr>
              <w:tab/>
            </w:r>
            <w:r w:rsidRPr="007C70A3">
              <w:rPr>
                <w:rFonts w:ascii="Times New Roman" w:hAnsi="Times New Roman" w:cs="Times New Roman"/>
                <w:webHidden/>
                <w:sz w:val="22"/>
                <w:szCs w:val="22"/>
              </w:rPr>
              <w:fldChar w:fldCharType="begin"/>
            </w:r>
            <w:r w:rsidRPr="007C70A3">
              <w:rPr>
                <w:rFonts w:ascii="Times New Roman" w:hAnsi="Times New Roman" w:cs="Times New Roman"/>
                <w:webHidden/>
                <w:sz w:val="22"/>
                <w:szCs w:val="22"/>
              </w:rPr>
              <w:instrText xml:space="preserve"> PAGEREF _Toc213350664 \h </w:instrText>
            </w:r>
            <w:r w:rsidRPr="007C70A3">
              <w:rPr>
                <w:rFonts w:ascii="Times New Roman" w:hAnsi="Times New Roman" w:cs="Times New Roman"/>
                <w:webHidden/>
                <w:sz w:val="22"/>
                <w:szCs w:val="22"/>
              </w:rPr>
            </w:r>
            <w:r w:rsidRPr="007C70A3">
              <w:rPr>
                <w:rFonts w:ascii="Times New Roman" w:hAnsi="Times New Roman" w:cs="Times New Roman"/>
                <w:webHidden/>
                <w:sz w:val="22"/>
                <w:szCs w:val="22"/>
              </w:rPr>
              <w:fldChar w:fldCharType="separate"/>
            </w:r>
            <w:r w:rsidR="007C70A3">
              <w:rPr>
                <w:rFonts w:ascii="Times New Roman" w:hAnsi="Times New Roman" w:cs="Times New Roman"/>
                <w:webHidden/>
                <w:sz w:val="22"/>
                <w:szCs w:val="22"/>
              </w:rPr>
              <w:t>1</w:t>
            </w:r>
            <w:r w:rsidRPr="007C70A3">
              <w:rPr>
                <w:rFonts w:ascii="Times New Roman" w:hAnsi="Times New Roman" w:cs="Times New Roman"/>
                <w:webHidden/>
                <w:sz w:val="22"/>
                <w:szCs w:val="22"/>
              </w:rPr>
              <w:fldChar w:fldCharType="end"/>
            </w:r>
          </w:hyperlink>
        </w:p>
        <w:p w14:paraId="06350972" w14:textId="77777777" w:rsidR="00E65338" w:rsidRPr="007C70A3" w:rsidRDefault="00E65338" w:rsidP="007C70A3">
          <w:pPr>
            <w:pStyle w:val="TOC1"/>
            <w:tabs>
              <w:tab w:val="left" w:pos="480"/>
              <w:tab w:val="right" w:leader="dot" w:pos="9730"/>
            </w:tabs>
            <w:rPr>
              <w:rFonts w:ascii="Times New Roman" w:hAnsi="Times New Roman" w:cs="Times New Roman"/>
              <w:sz w:val="22"/>
              <w:szCs w:val="22"/>
            </w:rPr>
          </w:pPr>
          <w:hyperlink w:anchor="_Toc213350665" w:history="1">
            <w:r w:rsidRPr="007C70A3">
              <w:rPr>
                <w:rStyle w:val="Hyperlink"/>
                <w:rFonts w:ascii="Times New Roman" w:hAnsi="Times New Roman" w:cs="Times New Roman"/>
                <w:sz w:val="22"/>
                <w:szCs w:val="22"/>
              </w:rPr>
              <w:t>2.</w:t>
            </w:r>
            <w:r w:rsidRPr="007C70A3">
              <w:rPr>
                <w:rFonts w:ascii="Times New Roman" w:hAnsi="Times New Roman" w:cs="Times New Roman"/>
                <w:sz w:val="22"/>
                <w:szCs w:val="22"/>
              </w:rPr>
              <w:tab/>
            </w:r>
            <w:r w:rsidRPr="007C70A3">
              <w:rPr>
                <w:rStyle w:val="Hyperlink"/>
                <w:rFonts w:ascii="Times New Roman" w:hAnsi="Times New Roman" w:cs="Times New Roman"/>
                <w:sz w:val="22"/>
                <w:szCs w:val="22"/>
              </w:rPr>
              <w:t>Literature Review and Framework Analysis</w:t>
            </w:r>
            <w:r w:rsidRPr="007C70A3">
              <w:rPr>
                <w:rFonts w:ascii="Times New Roman" w:hAnsi="Times New Roman" w:cs="Times New Roman"/>
                <w:webHidden/>
                <w:sz w:val="22"/>
                <w:szCs w:val="22"/>
              </w:rPr>
              <w:tab/>
            </w:r>
            <w:r w:rsidRPr="007C70A3">
              <w:rPr>
                <w:rFonts w:ascii="Times New Roman" w:hAnsi="Times New Roman" w:cs="Times New Roman"/>
                <w:webHidden/>
                <w:sz w:val="22"/>
                <w:szCs w:val="22"/>
              </w:rPr>
              <w:fldChar w:fldCharType="begin"/>
            </w:r>
            <w:r w:rsidRPr="007C70A3">
              <w:rPr>
                <w:rFonts w:ascii="Times New Roman" w:hAnsi="Times New Roman" w:cs="Times New Roman"/>
                <w:webHidden/>
                <w:sz w:val="22"/>
                <w:szCs w:val="22"/>
              </w:rPr>
              <w:instrText xml:space="preserve"> PAGEREF _Toc213350665 \h </w:instrText>
            </w:r>
            <w:r w:rsidRPr="007C70A3">
              <w:rPr>
                <w:rFonts w:ascii="Times New Roman" w:hAnsi="Times New Roman" w:cs="Times New Roman"/>
                <w:webHidden/>
                <w:sz w:val="22"/>
                <w:szCs w:val="22"/>
              </w:rPr>
            </w:r>
            <w:r w:rsidRPr="007C70A3">
              <w:rPr>
                <w:rFonts w:ascii="Times New Roman" w:hAnsi="Times New Roman" w:cs="Times New Roman"/>
                <w:webHidden/>
                <w:sz w:val="22"/>
                <w:szCs w:val="22"/>
              </w:rPr>
              <w:fldChar w:fldCharType="separate"/>
            </w:r>
            <w:r w:rsidR="007C70A3">
              <w:rPr>
                <w:rFonts w:ascii="Times New Roman" w:hAnsi="Times New Roman" w:cs="Times New Roman"/>
                <w:webHidden/>
                <w:sz w:val="22"/>
                <w:szCs w:val="22"/>
              </w:rPr>
              <w:t>1</w:t>
            </w:r>
            <w:r w:rsidRPr="007C70A3">
              <w:rPr>
                <w:rFonts w:ascii="Times New Roman" w:hAnsi="Times New Roman" w:cs="Times New Roman"/>
                <w:webHidden/>
                <w:sz w:val="22"/>
                <w:szCs w:val="22"/>
              </w:rPr>
              <w:fldChar w:fldCharType="end"/>
            </w:r>
          </w:hyperlink>
        </w:p>
        <w:p w14:paraId="3BB8147C" w14:textId="77777777" w:rsidR="00E65338" w:rsidRPr="007C70A3" w:rsidRDefault="00E65338" w:rsidP="007C70A3">
          <w:pPr>
            <w:pStyle w:val="TOC2"/>
            <w:tabs>
              <w:tab w:val="left" w:pos="960"/>
              <w:tab w:val="right" w:leader="dot" w:pos="9730"/>
            </w:tabs>
            <w:rPr>
              <w:rFonts w:ascii="Times New Roman" w:hAnsi="Times New Roman" w:cs="Times New Roman"/>
              <w:i w:val="0"/>
              <w:iCs w:val="0"/>
              <w:sz w:val="22"/>
              <w:szCs w:val="22"/>
            </w:rPr>
          </w:pPr>
          <w:hyperlink w:anchor="_Toc213350666" w:history="1">
            <w:r w:rsidRPr="007C70A3">
              <w:rPr>
                <w:rStyle w:val="Hyperlink"/>
                <w:rFonts w:ascii="Times New Roman" w:hAnsi="Times New Roman" w:cs="Times New Roman"/>
                <w:i w:val="0"/>
                <w:iCs w:val="0"/>
                <w:sz w:val="22"/>
                <w:szCs w:val="22"/>
              </w:rPr>
              <w:t>2.1.</w:t>
            </w:r>
            <w:r w:rsidRPr="007C70A3">
              <w:rPr>
                <w:rFonts w:ascii="Times New Roman" w:hAnsi="Times New Roman" w:cs="Times New Roman"/>
                <w:i w:val="0"/>
                <w:iCs w:val="0"/>
                <w:sz w:val="22"/>
                <w:szCs w:val="22"/>
              </w:rPr>
              <w:tab/>
            </w:r>
            <w:r w:rsidRPr="007C70A3">
              <w:rPr>
                <w:rStyle w:val="Hyperlink"/>
                <w:rFonts w:ascii="Times New Roman" w:hAnsi="Times New Roman" w:cs="Times New Roman"/>
                <w:i w:val="0"/>
                <w:iCs w:val="0"/>
                <w:sz w:val="22"/>
                <w:szCs w:val="22"/>
              </w:rPr>
              <w:t>Conceptual Foundations of Data-Security Governance</w:t>
            </w:r>
            <w:r w:rsidRPr="007C70A3">
              <w:rPr>
                <w:rFonts w:ascii="Times New Roman" w:hAnsi="Times New Roman" w:cs="Times New Roman"/>
                <w:i w:val="0"/>
                <w:iCs w:val="0"/>
                <w:webHidden/>
                <w:sz w:val="22"/>
                <w:szCs w:val="22"/>
              </w:rPr>
              <w:tab/>
            </w:r>
            <w:r w:rsidRPr="007C70A3">
              <w:rPr>
                <w:rFonts w:ascii="Times New Roman" w:hAnsi="Times New Roman" w:cs="Times New Roman"/>
                <w:i w:val="0"/>
                <w:iCs w:val="0"/>
                <w:webHidden/>
                <w:sz w:val="22"/>
                <w:szCs w:val="22"/>
              </w:rPr>
              <w:fldChar w:fldCharType="begin"/>
            </w:r>
            <w:r w:rsidRPr="007C70A3">
              <w:rPr>
                <w:rFonts w:ascii="Times New Roman" w:hAnsi="Times New Roman" w:cs="Times New Roman"/>
                <w:i w:val="0"/>
                <w:iCs w:val="0"/>
                <w:webHidden/>
                <w:sz w:val="22"/>
                <w:szCs w:val="22"/>
              </w:rPr>
              <w:instrText xml:space="preserve"> PAGEREF _Toc213350666 \h </w:instrText>
            </w:r>
            <w:r w:rsidRPr="007C70A3">
              <w:rPr>
                <w:rFonts w:ascii="Times New Roman" w:hAnsi="Times New Roman" w:cs="Times New Roman"/>
                <w:i w:val="0"/>
                <w:iCs w:val="0"/>
                <w:webHidden/>
                <w:sz w:val="22"/>
                <w:szCs w:val="22"/>
              </w:rPr>
            </w:r>
            <w:r w:rsidRPr="007C70A3">
              <w:rPr>
                <w:rFonts w:ascii="Times New Roman" w:hAnsi="Times New Roman" w:cs="Times New Roman"/>
                <w:i w:val="0"/>
                <w:iCs w:val="0"/>
                <w:webHidden/>
                <w:sz w:val="22"/>
                <w:szCs w:val="22"/>
              </w:rPr>
              <w:fldChar w:fldCharType="separate"/>
            </w:r>
            <w:r w:rsidR="007C70A3">
              <w:rPr>
                <w:rFonts w:ascii="Times New Roman" w:hAnsi="Times New Roman" w:cs="Times New Roman"/>
                <w:i w:val="0"/>
                <w:iCs w:val="0"/>
                <w:webHidden/>
                <w:sz w:val="22"/>
                <w:szCs w:val="22"/>
              </w:rPr>
              <w:t>1</w:t>
            </w:r>
            <w:r w:rsidRPr="007C70A3">
              <w:rPr>
                <w:rFonts w:ascii="Times New Roman" w:hAnsi="Times New Roman" w:cs="Times New Roman"/>
                <w:i w:val="0"/>
                <w:iCs w:val="0"/>
                <w:webHidden/>
                <w:sz w:val="22"/>
                <w:szCs w:val="22"/>
              </w:rPr>
              <w:fldChar w:fldCharType="end"/>
            </w:r>
          </w:hyperlink>
        </w:p>
        <w:p w14:paraId="1FF6AA1F" w14:textId="77777777" w:rsidR="00E65338" w:rsidRPr="007C70A3" w:rsidRDefault="00E65338" w:rsidP="007C70A3">
          <w:pPr>
            <w:pStyle w:val="TOC2"/>
            <w:tabs>
              <w:tab w:val="left" w:pos="960"/>
              <w:tab w:val="right" w:leader="dot" w:pos="9730"/>
            </w:tabs>
            <w:rPr>
              <w:rFonts w:ascii="Times New Roman" w:hAnsi="Times New Roman" w:cs="Times New Roman"/>
              <w:i w:val="0"/>
              <w:iCs w:val="0"/>
              <w:sz w:val="22"/>
              <w:szCs w:val="22"/>
            </w:rPr>
          </w:pPr>
          <w:hyperlink w:anchor="_Toc213350667" w:history="1">
            <w:r w:rsidRPr="007C70A3">
              <w:rPr>
                <w:rStyle w:val="Hyperlink"/>
                <w:rFonts w:ascii="Times New Roman" w:hAnsi="Times New Roman" w:cs="Times New Roman"/>
                <w:i w:val="0"/>
                <w:iCs w:val="0"/>
                <w:sz w:val="22"/>
                <w:szCs w:val="22"/>
              </w:rPr>
              <w:t>2.2.</w:t>
            </w:r>
            <w:r w:rsidRPr="007C70A3">
              <w:rPr>
                <w:rFonts w:ascii="Times New Roman" w:hAnsi="Times New Roman" w:cs="Times New Roman"/>
                <w:i w:val="0"/>
                <w:iCs w:val="0"/>
                <w:sz w:val="22"/>
                <w:szCs w:val="22"/>
              </w:rPr>
              <w:tab/>
            </w:r>
            <w:r w:rsidRPr="007C70A3">
              <w:rPr>
                <w:rStyle w:val="Hyperlink"/>
                <w:rFonts w:ascii="Times New Roman" w:hAnsi="Times New Roman" w:cs="Times New Roman"/>
                <w:i w:val="0"/>
                <w:iCs w:val="0"/>
                <w:sz w:val="22"/>
                <w:szCs w:val="22"/>
              </w:rPr>
              <w:t>ISO/IEC 27001:2022</w:t>
            </w:r>
            <w:r w:rsidRPr="007C70A3">
              <w:rPr>
                <w:rFonts w:ascii="Times New Roman" w:hAnsi="Times New Roman" w:cs="Times New Roman"/>
                <w:i w:val="0"/>
                <w:iCs w:val="0"/>
                <w:webHidden/>
                <w:sz w:val="22"/>
                <w:szCs w:val="22"/>
              </w:rPr>
              <w:tab/>
            </w:r>
            <w:r w:rsidRPr="007C70A3">
              <w:rPr>
                <w:rFonts w:ascii="Times New Roman" w:hAnsi="Times New Roman" w:cs="Times New Roman"/>
                <w:i w:val="0"/>
                <w:iCs w:val="0"/>
                <w:webHidden/>
                <w:sz w:val="22"/>
                <w:szCs w:val="22"/>
              </w:rPr>
              <w:fldChar w:fldCharType="begin"/>
            </w:r>
            <w:r w:rsidRPr="007C70A3">
              <w:rPr>
                <w:rFonts w:ascii="Times New Roman" w:hAnsi="Times New Roman" w:cs="Times New Roman"/>
                <w:i w:val="0"/>
                <w:iCs w:val="0"/>
                <w:webHidden/>
                <w:sz w:val="22"/>
                <w:szCs w:val="22"/>
              </w:rPr>
              <w:instrText xml:space="preserve"> PAGEREF _Toc213350667 \h </w:instrText>
            </w:r>
            <w:r w:rsidRPr="007C70A3">
              <w:rPr>
                <w:rFonts w:ascii="Times New Roman" w:hAnsi="Times New Roman" w:cs="Times New Roman"/>
                <w:i w:val="0"/>
                <w:iCs w:val="0"/>
                <w:webHidden/>
                <w:sz w:val="22"/>
                <w:szCs w:val="22"/>
              </w:rPr>
            </w:r>
            <w:r w:rsidRPr="007C70A3">
              <w:rPr>
                <w:rFonts w:ascii="Times New Roman" w:hAnsi="Times New Roman" w:cs="Times New Roman"/>
                <w:i w:val="0"/>
                <w:iCs w:val="0"/>
                <w:webHidden/>
                <w:sz w:val="22"/>
                <w:szCs w:val="22"/>
              </w:rPr>
              <w:fldChar w:fldCharType="separate"/>
            </w:r>
            <w:r w:rsidR="007C70A3">
              <w:rPr>
                <w:rFonts w:ascii="Times New Roman" w:hAnsi="Times New Roman" w:cs="Times New Roman"/>
                <w:i w:val="0"/>
                <w:iCs w:val="0"/>
                <w:webHidden/>
                <w:sz w:val="22"/>
                <w:szCs w:val="22"/>
              </w:rPr>
              <w:t>2</w:t>
            </w:r>
            <w:r w:rsidRPr="007C70A3">
              <w:rPr>
                <w:rFonts w:ascii="Times New Roman" w:hAnsi="Times New Roman" w:cs="Times New Roman"/>
                <w:i w:val="0"/>
                <w:iCs w:val="0"/>
                <w:webHidden/>
                <w:sz w:val="22"/>
                <w:szCs w:val="22"/>
              </w:rPr>
              <w:fldChar w:fldCharType="end"/>
            </w:r>
          </w:hyperlink>
        </w:p>
        <w:p w14:paraId="54E92F44" w14:textId="77777777" w:rsidR="00E65338" w:rsidRPr="007C70A3" w:rsidRDefault="00E65338" w:rsidP="007C70A3">
          <w:pPr>
            <w:pStyle w:val="TOC2"/>
            <w:tabs>
              <w:tab w:val="left" w:pos="960"/>
              <w:tab w:val="right" w:leader="dot" w:pos="9730"/>
            </w:tabs>
            <w:rPr>
              <w:rFonts w:ascii="Times New Roman" w:hAnsi="Times New Roman" w:cs="Times New Roman"/>
              <w:i w:val="0"/>
              <w:iCs w:val="0"/>
              <w:sz w:val="22"/>
              <w:szCs w:val="22"/>
            </w:rPr>
          </w:pPr>
          <w:hyperlink w:anchor="_Toc213350668" w:history="1">
            <w:r w:rsidRPr="007C70A3">
              <w:rPr>
                <w:rStyle w:val="Hyperlink"/>
                <w:rFonts w:ascii="Times New Roman" w:hAnsi="Times New Roman" w:cs="Times New Roman"/>
                <w:i w:val="0"/>
                <w:iCs w:val="0"/>
                <w:sz w:val="22"/>
                <w:szCs w:val="22"/>
              </w:rPr>
              <w:t>2.3.</w:t>
            </w:r>
            <w:r w:rsidRPr="007C70A3">
              <w:rPr>
                <w:rFonts w:ascii="Times New Roman" w:hAnsi="Times New Roman" w:cs="Times New Roman"/>
                <w:i w:val="0"/>
                <w:iCs w:val="0"/>
                <w:sz w:val="22"/>
                <w:szCs w:val="22"/>
              </w:rPr>
              <w:tab/>
            </w:r>
            <w:r w:rsidRPr="007C70A3">
              <w:rPr>
                <w:rStyle w:val="Hyperlink"/>
                <w:rFonts w:ascii="Times New Roman" w:hAnsi="Times New Roman" w:cs="Times New Roman"/>
                <w:i w:val="0"/>
                <w:iCs w:val="0"/>
                <w:sz w:val="22"/>
                <w:szCs w:val="22"/>
              </w:rPr>
              <w:t>NIST Cybersecurity Framework 2.0</w:t>
            </w:r>
            <w:r w:rsidRPr="007C70A3">
              <w:rPr>
                <w:rFonts w:ascii="Times New Roman" w:hAnsi="Times New Roman" w:cs="Times New Roman"/>
                <w:i w:val="0"/>
                <w:iCs w:val="0"/>
                <w:webHidden/>
                <w:sz w:val="22"/>
                <w:szCs w:val="22"/>
              </w:rPr>
              <w:tab/>
            </w:r>
            <w:r w:rsidRPr="007C70A3">
              <w:rPr>
                <w:rFonts w:ascii="Times New Roman" w:hAnsi="Times New Roman" w:cs="Times New Roman"/>
                <w:i w:val="0"/>
                <w:iCs w:val="0"/>
                <w:webHidden/>
                <w:sz w:val="22"/>
                <w:szCs w:val="22"/>
              </w:rPr>
              <w:fldChar w:fldCharType="begin"/>
            </w:r>
            <w:r w:rsidRPr="007C70A3">
              <w:rPr>
                <w:rFonts w:ascii="Times New Roman" w:hAnsi="Times New Roman" w:cs="Times New Roman"/>
                <w:i w:val="0"/>
                <w:iCs w:val="0"/>
                <w:webHidden/>
                <w:sz w:val="22"/>
                <w:szCs w:val="22"/>
              </w:rPr>
              <w:instrText xml:space="preserve"> PAGEREF _Toc213350668 \h </w:instrText>
            </w:r>
            <w:r w:rsidRPr="007C70A3">
              <w:rPr>
                <w:rFonts w:ascii="Times New Roman" w:hAnsi="Times New Roman" w:cs="Times New Roman"/>
                <w:i w:val="0"/>
                <w:iCs w:val="0"/>
                <w:webHidden/>
                <w:sz w:val="22"/>
                <w:szCs w:val="22"/>
              </w:rPr>
            </w:r>
            <w:r w:rsidRPr="007C70A3">
              <w:rPr>
                <w:rFonts w:ascii="Times New Roman" w:hAnsi="Times New Roman" w:cs="Times New Roman"/>
                <w:i w:val="0"/>
                <w:iCs w:val="0"/>
                <w:webHidden/>
                <w:sz w:val="22"/>
                <w:szCs w:val="22"/>
              </w:rPr>
              <w:fldChar w:fldCharType="separate"/>
            </w:r>
            <w:r w:rsidR="007C70A3">
              <w:rPr>
                <w:rFonts w:ascii="Times New Roman" w:hAnsi="Times New Roman" w:cs="Times New Roman"/>
                <w:i w:val="0"/>
                <w:iCs w:val="0"/>
                <w:webHidden/>
                <w:sz w:val="22"/>
                <w:szCs w:val="22"/>
              </w:rPr>
              <w:t>3</w:t>
            </w:r>
            <w:r w:rsidRPr="007C70A3">
              <w:rPr>
                <w:rFonts w:ascii="Times New Roman" w:hAnsi="Times New Roman" w:cs="Times New Roman"/>
                <w:i w:val="0"/>
                <w:iCs w:val="0"/>
                <w:webHidden/>
                <w:sz w:val="22"/>
                <w:szCs w:val="22"/>
              </w:rPr>
              <w:fldChar w:fldCharType="end"/>
            </w:r>
          </w:hyperlink>
        </w:p>
        <w:p w14:paraId="10C732E6" w14:textId="77777777" w:rsidR="00E65338" w:rsidRPr="007C70A3" w:rsidRDefault="00E65338" w:rsidP="007C70A3">
          <w:pPr>
            <w:pStyle w:val="TOC2"/>
            <w:tabs>
              <w:tab w:val="left" w:pos="960"/>
              <w:tab w:val="right" w:leader="dot" w:pos="9730"/>
            </w:tabs>
            <w:rPr>
              <w:rFonts w:ascii="Times New Roman" w:hAnsi="Times New Roman" w:cs="Times New Roman"/>
              <w:i w:val="0"/>
              <w:iCs w:val="0"/>
              <w:sz w:val="22"/>
              <w:szCs w:val="22"/>
            </w:rPr>
          </w:pPr>
          <w:hyperlink w:anchor="_Toc213350669" w:history="1">
            <w:r w:rsidRPr="007C70A3">
              <w:rPr>
                <w:rStyle w:val="Hyperlink"/>
                <w:rFonts w:ascii="Times New Roman" w:hAnsi="Times New Roman" w:cs="Times New Roman"/>
                <w:i w:val="0"/>
                <w:iCs w:val="0"/>
                <w:sz w:val="22"/>
                <w:szCs w:val="22"/>
              </w:rPr>
              <w:t>2.4.</w:t>
            </w:r>
            <w:r w:rsidRPr="007C70A3">
              <w:rPr>
                <w:rFonts w:ascii="Times New Roman" w:hAnsi="Times New Roman" w:cs="Times New Roman"/>
                <w:i w:val="0"/>
                <w:iCs w:val="0"/>
                <w:sz w:val="22"/>
                <w:szCs w:val="22"/>
              </w:rPr>
              <w:tab/>
            </w:r>
            <w:r w:rsidRPr="007C70A3">
              <w:rPr>
                <w:rStyle w:val="Hyperlink"/>
                <w:rFonts w:ascii="Times New Roman" w:hAnsi="Times New Roman" w:cs="Times New Roman"/>
                <w:i w:val="0"/>
                <w:iCs w:val="0"/>
                <w:sz w:val="22"/>
                <w:szCs w:val="22"/>
              </w:rPr>
              <w:t>COBIT 2019 and ITIL 4</w:t>
            </w:r>
            <w:r w:rsidRPr="007C70A3">
              <w:rPr>
                <w:rFonts w:ascii="Times New Roman" w:hAnsi="Times New Roman" w:cs="Times New Roman"/>
                <w:i w:val="0"/>
                <w:iCs w:val="0"/>
                <w:webHidden/>
                <w:sz w:val="22"/>
                <w:szCs w:val="22"/>
              </w:rPr>
              <w:tab/>
            </w:r>
            <w:r w:rsidRPr="007C70A3">
              <w:rPr>
                <w:rFonts w:ascii="Times New Roman" w:hAnsi="Times New Roman" w:cs="Times New Roman"/>
                <w:i w:val="0"/>
                <w:iCs w:val="0"/>
                <w:webHidden/>
                <w:sz w:val="22"/>
                <w:szCs w:val="22"/>
              </w:rPr>
              <w:fldChar w:fldCharType="begin"/>
            </w:r>
            <w:r w:rsidRPr="007C70A3">
              <w:rPr>
                <w:rFonts w:ascii="Times New Roman" w:hAnsi="Times New Roman" w:cs="Times New Roman"/>
                <w:i w:val="0"/>
                <w:iCs w:val="0"/>
                <w:webHidden/>
                <w:sz w:val="22"/>
                <w:szCs w:val="22"/>
              </w:rPr>
              <w:instrText xml:space="preserve"> PAGEREF _Toc213350669 \h </w:instrText>
            </w:r>
            <w:r w:rsidRPr="007C70A3">
              <w:rPr>
                <w:rFonts w:ascii="Times New Roman" w:hAnsi="Times New Roman" w:cs="Times New Roman"/>
                <w:i w:val="0"/>
                <w:iCs w:val="0"/>
                <w:webHidden/>
                <w:sz w:val="22"/>
                <w:szCs w:val="22"/>
              </w:rPr>
            </w:r>
            <w:r w:rsidRPr="007C70A3">
              <w:rPr>
                <w:rFonts w:ascii="Times New Roman" w:hAnsi="Times New Roman" w:cs="Times New Roman"/>
                <w:i w:val="0"/>
                <w:iCs w:val="0"/>
                <w:webHidden/>
                <w:sz w:val="22"/>
                <w:szCs w:val="22"/>
              </w:rPr>
              <w:fldChar w:fldCharType="separate"/>
            </w:r>
            <w:r w:rsidR="007C70A3">
              <w:rPr>
                <w:rFonts w:ascii="Times New Roman" w:hAnsi="Times New Roman" w:cs="Times New Roman"/>
                <w:i w:val="0"/>
                <w:iCs w:val="0"/>
                <w:webHidden/>
                <w:sz w:val="22"/>
                <w:szCs w:val="22"/>
              </w:rPr>
              <w:t>3</w:t>
            </w:r>
            <w:r w:rsidRPr="007C70A3">
              <w:rPr>
                <w:rFonts w:ascii="Times New Roman" w:hAnsi="Times New Roman" w:cs="Times New Roman"/>
                <w:i w:val="0"/>
                <w:iCs w:val="0"/>
                <w:webHidden/>
                <w:sz w:val="22"/>
                <w:szCs w:val="22"/>
              </w:rPr>
              <w:fldChar w:fldCharType="end"/>
            </w:r>
          </w:hyperlink>
        </w:p>
        <w:p w14:paraId="44F86A4F" w14:textId="77777777" w:rsidR="00E65338" w:rsidRPr="007C70A3" w:rsidRDefault="00E65338" w:rsidP="007C70A3">
          <w:pPr>
            <w:pStyle w:val="TOC2"/>
            <w:tabs>
              <w:tab w:val="left" w:pos="960"/>
              <w:tab w:val="right" w:leader="dot" w:pos="9730"/>
            </w:tabs>
            <w:rPr>
              <w:rFonts w:ascii="Times New Roman" w:hAnsi="Times New Roman" w:cs="Times New Roman"/>
              <w:i w:val="0"/>
              <w:iCs w:val="0"/>
              <w:sz w:val="22"/>
              <w:szCs w:val="22"/>
            </w:rPr>
          </w:pPr>
          <w:hyperlink w:anchor="_Toc213350670" w:history="1">
            <w:r w:rsidRPr="007C70A3">
              <w:rPr>
                <w:rStyle w:val="Hyperlink"/>
                <w:rFonts w:ascii="Times New Roman" w:hAnsi="Times New Roman" w:cs="Times New Roman"/>
                <w:i w:val="0"/>
                <w:iCs w:val="0"/>
                <w:sz w:val="22"/>
                <w:szCs w:val="22"/>
              </w:rPr>
              <w:t>2.5.</w:t>
            </w:r>
            <w:r w:rsidRPr="007C70A3">
              <w:rPr>
                <w:rFonts w:ascii="Times New Roman" w:hAnsi="Times New Roman" w:cs="Times New Roman"/>
                <w:i w:val="0"/>
                <w:iCs w:val="0"/>
                <w:sz w:val="22"/>
                <w:szCs w:val="22"/>
              </w:rPr>
              <w:tab/>
            </w:r>
            <w:r w:rsidRPr="007C70A3">
              <w:rPr>
                <w:rStyle w:val="Hyperlink"/>
                <w:rFonts w:ascii="Times New Roman" w:hAnsi="Times New Roman" w:cs="Times New Roman"/>
                <w:i w:val="0"/>
                <w:iCs w:val="0"/>
                <w:sz w:val="22"/>
                <w:szCs w:val="22"/>
              </w:rPr>
              <w:t>Zero Trust Architecture (ZTA)</w:t>
            </w:r>
            <w:r w:rsidRPr="007C70A3">
              <w:rPr>
                <w:rFonts w:ascii="Times New Roman" w:hAnsi="Times New Roman" w:cs="Times New Roman"/>
                <w:i w:val="0"/>
                <w:iCs w:val="0"/>
                <w:webHidden/>
                <w:sz w:val="22"/>
                <w:szCs w:val="22"/>
              </w:rPr>
              <w:tab/>
            </w:r>
            <w:r w:rsidRPr="007C70A3">
              <w:rPr>
                <w:rFonts w:ascii="Times New Roman" w:hAnsi="Times New Roman" w:cs="Times New Roman"/>
                <w:i w:val="0"/>
                <w:iCs w:val="0"/>
                <w:webHidden/>
                <w:sz w:val="22"/>
                <w:szCs w:val="22"/>
              </w:rPr>
              <w:fldChar w:fldCharType="begin"/>
            </w:r>
            <w:r w:rsidRPr="007C70A3">
              <w:rPr>
                <w:rFonts w:ascii="Times New Roman" w:hAnsi="Times New Roman" w:cs="Times New Roman"/>
                <w:i w:val="0"/>
                <w:iCs w:val="0"/>
                <w:webHidden/>
                <w:sz w:val="22"/>
                <w:szCs w:val="22"/>
              </w:rPr>
              <w:instrText xml:space="preserve"> PAGEREF _Toc213350670 \h </w:instrText>
            </w:r>
            <w:r w:rsidRPr="007C70A3">
              <w:rPr>
                <w:rFonts w:ascii="Times New Roman" w:hAnsi="Times New Roman" w:cs="Times New Roman"/>
                <w:i w:val="0"/>
                <w:iCs w:val="0"/>
                <w:webHidden/>
                <w:sz w:val="22"/>
                <w:szCs w:val="22"/>
              </w:rPr>
            </w:r>
            <w:r w:rsidRPr="007C70A3">
              <w:rPr>
                <w:rFonts w:ascii="Times New Roman" w:hAnsi="Times New Roman" w:cs="Times New Roman"/>
                <w:i w:val="0"/>
                <w:iCs w:val="0"/>
                <w:webHidden/>
                <w:sz w:val="22"/>
                <w:szCs w:val="22"/>
              </w:rPr>
              <w:fldChar w:fldCharType="separate"/>
            </w:r>
            <w:r w:rsidR="007C70A3">
              <w:rPr>
                <w:rFonts w:ascii="Times New Roman" w:hAnsi="Times New Roman" w:cs="Times New Roman"/>
                <w:i w:val="0"/>
                <w:iCs w:val="0"/>
                <w:webHidden/>
                <w:sz w:val="22"/>
                <w:szCs w:val="22"/>
              </w:rPr>
              <w:t>4</w:t>
            </w:r>
            <w:r w:rsidRPr="007C70A3">
              <w:rPr>
                <w:rFonts w:ascii="Times New Roman" w:hAnsi="Times New Roman" w:cs="Times New Roman"/>
                <w:i w:val="0"/>
                <w:iCs w:val="0"/>
                <w:webHidden/>
                <w:sz w:val="22"/>
                <w:szCs w:val="22"/>
              </w:rPr>
              <w:fldChar w:fldCharType="end"/>
            </w:r>
          </w:hyperlink>
        </w:p>
        <w:p w14:paraId="091340DA" w14:textId="77777777" w:rsidR="00E65338" w:rsidRPr="007C70A3" w:rsidRDefault="00E65338" w:rsidP="007C70A3">
          <w:pPr>
            <w:pStyle w:val="TOC2"/>
            <w:tabs>
              <w:tab w:val="left" w:pos="960"/>
              <w:tab w:val="right" w:leader="dot" w:pos="9730"/>
            </w:tabs>
            <w:rPr>
              <w:rFonts w:ascii="Times New Roman" w:hAnsi="Times New Roman" w:cs="Times New Roman"/>
              <w:i w:val="0"/>
              <w:iCs w:val="0"/>
              <w:sz w:val="22"/>
              <w:szCs w:val="22"/>
            </w:rPr>
          </w:pPr>
          <w:hyperlink w:anchor="_Toc213350671" w:history="1">
            <w:r w:rsidRPr="007C70A3">
              <w:rPr>
                <w:rStyle w:val="Hyperlink"/>
                <w:rFonts w:ascii="Times New Roman" w:hAnsi="Times New Roman" w:cs="Times New Roman"/>
                <w:i w:val="0"/>
                <w:iCs w:val="0"/>
                <w:sz w:val="22"/>
                <w:szCs w:val="22"/>
              </w:rPr>
              <w:t>2.6.</w:t>
            </w:r>
            <w:r w:rsidRPr="007C70A3">
              <w:rPr>
                <w:rFonts w:ascii="Times New Roman" w:hAnsi="Times New Roman" w:cs="Times New Roman"/>
                <w:i w:val="0"/>
                <w:iCs w:val="0"/>
                <w:sz w:val="22"/>
                <w:szCs w:val="22"/>
              </w:rPr>
              <w:tab/>
            </w:r>
            <w:r w:rsidRPr="007C70A3">
              <w:rPr>
                <w:rStyle w:val="Hyperlink"/>
                <w:rFonts w:ascii="Times New Roman" w:hAnsi="Times New Roman" w:cs="Times New Roman"/>
                <w:i w:val="0"/>
                <w:iCs w:val="0"/>
                <w:sz w:val="22"/>
                <w:szCs w:val="22"/>
              </w:rPr>
              <w:t>ISO/IEC 27701 and ISO 22301</w:t>
            </w:r>
            <w:r w:rsidRPr="007C70A3">
              <w:rPr>
                <w:rFonts w:ascii="Times New Roman" w:hAnsi="Times New Roman" w:cs="Times New Roman"/>
                <w:i w:val="0"/>
                <w:iCs w:val="0"/>
                <w:webHidden/>
                <w:sz w:val="22"/>
                <w:szCs w:val="22"/>
              </w:rPr>
              <w:tab/>
            </w:r>
            <w:r w:rsidRPr="007C70A3">
              <w:rPr>
                <w:rFonts w:ascii="Times New Roman" w:hAnsi="Times New Roman" w:cs="Times New Roman"/>
                <w:i w:val="0"/>
                <w:iCs w:val="0"/>
                <w:webHidden/>
                <w:sz w:val="22"/>
                <w:szCs w:val="22"/>
              </w:rPr>
              <w:fldChar w:fldCharType="begin"/>
            </w:r>
            <w:r w:rsidRPr="007C70A3">
              <w:rPr>
                <w:rFonts w:ascii="Times New Roman" w:hAnsi="Times New Roman" w:cs="Times New Roman"/>
                <w:i w:val="0"/>
                <w:iCs w:val="0"/>
                <w:webHidden/>
                <w:sz w:val="22"/>
                <w:szCs w:val="22"/>
              </w:rPr>
              <w:instrText xml:space="preserve"> PAGEREF _Toc213350671 \h </w:instrText>
            </w:r>
            <w:r w:rsidRPr="007C70A3">
              <w:rPr>
                <w:rFonts w:ascii="Times New Roman" w:hAnsi="Times New Roman" w:cs="Times New Roman"/>
                <w:i w:val="0"/>
                <w:iCs w:val="0"/>
                <w:webHidden/>
                <w:sz w:val="22"/>
                <w:szCs w:val="22"/>
              </w:rPr>
            </w:r>
            <w:r w:rsidRPr="007C70A3">
              <w:rPr>
                <w:rFonts w:ascii="Times New Roman" w:hAnsi="Times New Roman" w:cs="Times New Roman"/>
                <w:i w:val="0"/>
                <w:iCs w:val="0"/>
                <w:webHidden/>
                <w:sz w:val="22"/>
                <w:szCs w:val="22"/>
              </w:rPr>
              <w:fldChar w:fldCharType="separate"/>
            </w:r>
            <w:r w:rsidR="007C70A3">
              <w:rPr>
                <w:rFonts w:ascii="Times New Roman" w:hAnsi="Times New Roman" w:cs="Times New Roman"/>
                <w:i w:val="0"/>
                <w:iCs w:val="0"/>
                <w:webHidden/>
                <w:sz w:val="22"/>
                <w:szCs w:val="22"/>
              </w:rPr>
              <w:t>4</w:t>
            </w:r>
            <w:r w:rsidRPr="007C70A3">
              <w:rPr>
                <w:rFonts w:ascii="Times New Roman" w:hAnsi="Times New Roman" w:cs="Times New Roman"/>
                <w:i w:val="0"/>
                <w:iCs w:val="0"/>
                <w:webHidden/>
                <w:sz w:val="22"/>
                <w:szCs w:val="22"/>
              </w:rPr>
              <w:fldChar w:fldCharType="end"/>
            </w:r>
          </w:hyperlink>
        </w:p>
        <w:p w14:paraId="42ABB11B" w14:textId="77777777" w:rsidR="00E65338" w:rsidRPr="007C70A3" w:rsidRDefault="00E65338" w:rsidP="007C70A3">
          <w:pPr>
            <w:pStyle w:val="TOC2"/>
            <w:tabs>
              <w:tab w:val="left" w:pos="960"/>
              <w:tab w:val="right" w:leader="dot" w:pos="9730"/>
            </w:tabs>
            <w:rPr>
              <w:rFonts w:ascii="Times New Roman" w:hAnsi="Times New Roman" w:cs="Times New Roman"/>
              <w:i w:val="0"/>
              <w:iCs w:val="0"/>
              <w:sz w:val="22"/>
              <w:szCs w:val="22"/>
            </w:rPr>
          </w:pPr>
          <w:hyperlink w:anchor="_Toc213350672" w:history="1">
            <w:r w:rsidRPr="007C70A3">
              <w:rPr>
                <w:rStyle w:val="Hyperlink"/>
                <w:rFonts w:ascii="Times New Roman" w:hAnsi="Times New Roman" w:cs="Times New Roman"/>
                <w:i w:val="0"/>
                <w:iCs w:val="0"/>
                <w:sz w:val="22"/>
                <w:szCs w:val="22"/>
              </w:rPr>
              <w:t>2.7.</w:t>
            </w:r>
            <w:r w:rsidRPr="007C70A3">
              <w:rPr>
                <w:rFonts w:ascii="Times New Roman" w:hAnsi="Times New Roman" w:cs="Times New Roman"/>
                <w:i w:val="0"/>
                <w:iCs w:val="0"/>
                <w:sz w:val="22"/>
                <w:szCs w:val="22"/>
              </w:rPr>
              <w:tab/>
            </w:r>
            <w:r w:rsidRPr="007C70A3">
              <w:rPr>
                <w:rStyle w:val="Hyperlink"/>
                <w:rFonts w:ascii="Times New Roman" w:hAnsi="Times New Roman" w:cs="Times New Roman"/>
                <w:i w:val="0"/>
                <w:iCs w:val="0"/>
                <w:sz w:val="22"/>
                <w:szCs w:val="22"/>
              </w:rPr>
              <w:t>Comparative critique of frameworks</w:t>
            </w:r>
            <w:r w:rsidRPr="007C70A3">
              <w:rPr>
                <w:rFonts w:ascii="Times New Roman" w:hAnsi="Times New Roman" w:cs="Times New Roman"/>
                <w:i w:val="0"/>
                <w:iCs w:val="0"/>
                <w:webHidden/>
                <w:sz w:val="22"/>
                <w:szCs w:val="22"/>
              </w:rPr>
              <w:tab/>
            </w:r>
            <w:r w:rsidRPr="007C70A3">
              <w:rPr>
                <w:rFonts w:ascii="Times New Roman" w:hAnsi="Times New Roman" w:cs="Times New Roman"/>
                <w:i w:val="0"/>
                <w:iCs w:val="0"/>
                <w:webHidden/>
                <w:sz w:val="22"/>
                <w:szCs w:val="22"/>
              </w:rPr>
              <w:fldChar w:fldCharType="begin"/>
            </w:r>
            <w:r w:rsidRPr="007C70A3">
              <w:rPr>
                <w:rFonts w:ascii="Times New Roman" w:hAnsi="Times New Roman" w:cs="Times New Roman"/>
                <w:i w:val="0"/>
                <w:iCs w:val="0"/>
                <w:webHidden/>
                <w:sz w:val="22"/>
                <w:szCs w:val="22"/>
              </w:rPr>
              <w:instrText xml:space="preserve"> PAGEREF _Toc213350672 \h </w:instrText>
            </w:r>
            <w:r w:rsidRPr="007C70A3">
              <w:rPr>
                <w:rFonts w:ascii="Times New Roman" w:hAnsi="Times New Roman" w:cs="Times New Roman"/>
                <w:i w:val="0"/>
                <w:iCs w:val="0"/>
                <w:webHidden/>
                <w:sz w:val="22"/>
                <w:szCs w:val="22"/>
              </w:rPr>
            </w:r>
            <w:r w:rsidRPr="007C70A3">
              <w:rPr>
                <w:rFonts w:ascii="Times New Roman" w:hAnsi="Times New Roman" w:cs="Times New Roman"/>
                <w:i w:val="0"/>
                <w:iCs w:val="0"/>
                <w:webHidden/>
                <w:sz w:val="22"/>
                <w:szCs w:val="22"/>
              </w:rPr>
              <w:fldChar w:fldCharType="separate"/>
            </w:r>
            <w:r w:rsidR="007C70A3">
              <w:rPr>
                <w:rFonts w:ascii="Times New Roman" w:hAnsi="Times New Roman" w:cs="Times New Roman"/>
                <w:i w:val="0"/>
                <w:iCs w:val="0"/>
                <w:webHidden/>
                <w:sz w:val="22"/>
                <w:szCs w:val="22"/>
              </w:rPr>
              <w:t>4</w:t>
            </w:r>
            <w:r w:rsidRPr="007C70A3">
              <w:rPr>
                <w:rFonts w:ascii="Times New Roman" w:hAnsi="Times New Roman" w:cs="Times New Roman"/>
                <w:i w:val="0"/>
                <w:iCs w:val="0"/>
                <w:webHidden/>
                <w:sz w:val="22"/>
                <w:szCs w:val="22"/>
              </w:rPr>
              <w:fldChar w:fldCharType="end"/>
            </w:r>
          </w:hyperlink>
        </w:p>
        <w:p w14:paraId="4FB61E57" w14:textId="77777777" w:rsidR="00E65338" w:rsidRPr="007C70A3" w:rsidRDefault="00E65338" w:rsidP="007C70A3">
          <w:pPr>
            <w:pStyle w:val="TOC1"/>
            <w:tabs>
              <w:tab w:val="left" w:pos="480"/>
              <w:tab w:val="right" w:leader="dot" w:pos="9730"/>
            </w:tabs>
            <w:rPr>
              <w:rFonts w:ascii="Times New Roman" w:hAnsi="Times New Roman" w:cs="Times New Roman"/>
              <w:sz w:val="22"/>
              <w:szCs w:val="22"/>
            </w:rPr>
          </w:pPr>
          <w:hyperlink w:anchor="_Toc213350673" w:history="1">
            <w:r w:rsidRPr="007C70A3">
              <w:rPr>
                <w:rStyle w:val="Hyperlink"/>
                <w:rFonts w:ascii="Times New Roman" w:hAnsi="Times New Roman" w:cs="Times New Roman"/>
                <w:sz w:val="22"/>
                <w:szCs w:val="22"/>
              </w:rPr>
              <w:t>3.</w:t>
            </w:r>
            <w:r w:rsidRPr="007C70A3">
              <w:rPr>
                <w:rFonts w:ascii="Times New Roman" w:hAnsi="Times New Roman" w:cs="Times New Roman"/>
                <w:sz w:val="22"/>
                <w:szCs w:val="22"/>
              </w:rPr>
              <w:tab/>
            </w:r>
            <w:r w:rsidRPr="007C70A3">
              <w:rPr>
                <w:rStyle w:val="Hyperlink"/>
                <w:rFonts w:ascii="Times New Roman" w:hAnsi="Times New Roman" w:cs="Times New Roman"/>
                <w:sz w:val="22"/>
                <w:szCs w:val="22"/>
              </w:rPr>
              <w:t>Design Approach for NatureGreen</w:t>
            </w:r>
            <w:r w:rsidRPr="007C70A3">
              <w:rPr>
                <w:rFonts w:ascii="Times New Roman" w:hAnsi="Times New Roman" w:cs="Times New Roman"/>
                <w:webHidden/>
                <w:sz w:val="22"/>
                <w:szCs w:val="22"/>
              </w:rPr>
              <w:tab/>
            </w:r>
            <w:r w:rsidRPr="007C70A3">
              <w:rPr>
                <w:rFonts w:ascii="Times New Roman" w:hAnsi="Times New Roman" w:cs="Times New Roman"/>
                <w:webHidden/>
                <w:sz w:val="22"/>
                <w:szCs w:val="22"/>
              </w:rPr>
              <w:fldChar w:fldCharType="begin"/>
            </w:r>
            <w:r w:rsidRPr="007C70A3">
              <w:rPr>
                <w:rFonts w:ascii="Times New Roman" w:hAnsi="Times New Roman" w:cs="Times New Roman"/>
                <w:webHidden/>
                <w:sz w:val="22"/>
                <w:szCs w:val="22"/>
              </w:rPr>
              <w:instrText xml:space="preserve"> PAGEREF _Toc213350673 \h </w:instrText>
            </w:r>
            <w:r w:rsidRPr="007C70A3">
              <w:rPr>
                <w:rFonts w:ascii="Times New Roman" w:hAnsi="Times New Roman" w:cs="Times New Roman"/>
                <w:webHidden/>
                <w:sz w:val="22"/>
                <w:szCs w:val="22"/>
              </w:rPr>
            </w:r>
            <w:r w:rsidRPr="007C70A3">
              <w:rPr>
                <w:rFonts w:ascii="Times New Roman" w:hAnsi="Times New Roman" w:cs="Times New Roman"/>
                <w:webHidden/>
                <w:sz w:val="22"/>
                <w:szCs w:val="22"/>
              </w:rPr>
              <w:fldChar w:fldCharType="separate"/>
            </w:r>
            <w:r w:rsidR="007C70A3">
              <w:rPr>
                <w:rFonts w:ascii="Times New Roman" w:hAnsi="Times New Roman" w:cs="Times New Roman"/>
                <w:webHidden/>
                <w:sz w:val="22"/>
                <w:szCs w:val="22"/>
              </w:rPr>
              <w:t>5</w:t>
            </w:r>
            <w:r w:rsidRPr="007C70A3">
              <w:rPr>
                <w:rFonts w:ascii="Times New Roman" w:hAnsi="Times New Roman" w:cs="Times New Roman"/>
                <w:webHidden/>
                <w:sz w:val="22"/>
                <w:szCs w:val="22"/>
              </w:rPr>
              <w:fldChar w:fldCharType="end"/>
            </w:r>
          </w:hyperlink>
        </w:p>
        <w:p w14:paraId="18B6DF07" w14:textId="77777777" w:rsidR="00E65338" w:rsidRPr="007C70A3" w:rsidRDefault="00E65338" w:rsidP="007C70A3">
          <w:pPr>
            <w:pStyle w:val="TOC2"/>
            <w:tabs>
              <w:tab w:val="left" w:pos="960"/>
              <w:tab w:val="right" w:leader="dot" w:pos="9730"/>
            </w:tabs>
            <w:rPr>
              <w:rFonts w:ascii="Times New Roman" w:hAnsi="Times New Roman" w:cs="Times New Roman"/>
              <w:i w:val="0"/>
              <w:iCs w:val="0"/>
              <w:sz w:val="22"/>
              <w:szCs w:val="22"/>
            </w:rPr>
          </w:pPr>
          <w:hyperlink w:anchor="_Toc213350674" w:history="1">
            <w:r w:rsidRPr="007C70A3">
              <w:rPr>
                <w:rStyle w:val="Hyperlink"/>
                <w:rFonts w:ascii="Times New Roman" w:hAnsi="Times New Roman" w:cs="Times New Roman"/>
                <w:i w:val="0"/>
                <w:iCs w:val="0"/>
                <w:sz w:val="22"/>
                <w:szCs w:val="22"/>
              </w:rPr>
              <w:t>3.1.</w:t>
            </w:r>
            <w:r w:rsidRPr="007C70A3">
              <w:rPr>
                <w:rFonts w:ascii="Times New Roman" w:hAnsi="Times New Roman" w:cs="Times New Roman"/>
                <w:i w:val="0"/>
                <w:iCs w:val="0"/>
                <w:sz w:val="22"/>
                <w:szCs w:val="22"/>
              </w:rPr>
              <w:tab/>
            </w:r>
            <w:r w:rsidRPr="007C70A3">
              <w:rPr>
                <w:rStyle w:val="Hyperlink"/>
                <w:rFonts w:ascii="Times New Roman" w:hAnsi="Times New Roman" w:cs="Times New Roman"/>
                <w:i w:val="0"/>
                <w:iCs w:val="0"/>
                <w:sz w:val="22"/>
                <w:szCs w:val="22"/>
              </w:rPr>
              <w:t>Integrated Security-Governance Model</w:t>
            </w:r>
            <w:r w:rsidRPr="007C70A3">
              <w:rPr>
                <w:rFonts w:ascii="Times New Roman" w:hAnsi="Times New Roman" w:cs="Times New Roman"/>
                <w:i w:val="0"/>
                <w:iCs w:val="0"/>
                <w:webHidden/>
                <w:sz w:val="22"/>
                <w:szCs w:val="22"/>
              </w:rPr>
              <w:tab/>
            </w:r>
            <w:r w:rsidRPr="007C70A3">
              <w:rPr>
                <w:rFonts w:ascii="Times New Roman" w:hAnsi="Times New Roman" w:cs="Times New Roman"/>
                <w:i w:val="0"/>
                <w:iCs w:val="0"/>
                <w:webHidden/>
                <w:sz w:val="22"/>
                <w:szCs w:val="22"/>
              </w:rPr>
              <w:fldChar w:fldCharType="begin"/>
            </w:r>
            <w:r w:rsidRPr="007C70A3">
              <w:rPr>
                <w:rFonts w:ascii="Times New Roman" w:hAnsi="Times New Roman" w:cs="Times New Roman"/>
                <w:i w:val="0"/>
                <w:iCs w:val="0"/>
                <w:webHidden/>
                <w:sz w:val="22"/>
                <w:szCs w:val="22"/>
              </w:rPr>
              <w:instrText xml:space="preserve"> PAGEREF _Toc213350674 \h </w:instrText>
            </w:r>
            <w:r w:rsidRPr="007C70A3">
              <w:rPr>
                <w:rFonts w:ascii="Times New Roman" w:hAnsi="Times New Roman" w:cs="Times New Roman"/>
                <w:i w:val="0"/>
                <w:iCs w:val="0"/>
                <w:webHidden/>
                <w:sz w:val="22"/>
                <w:szCs w:val="22"/>
              </w:rPr>
            </w:r>
            <w:r w:rsidRPr="007C70A3">
              <w:rPr>
                <w:rFonts w:ascii="Times New Roman" w:hAnsi="Times New Roman" w:cs="Times New Roman"/>
                <w:i w:val="0"/>
                <w:iCs w:val="0"/>
                <w:webHidden/>
                <w:sz w:val="22"/>
                <w:szCs w:val="22"/>
              </w:rPr>
              <w:fldChar w:fldCharType="separate"/>
            </w:r>
            <w:r w:rsidR="007C70A3">
              <w:rPr>
                <w:rFonts w:ascii="Times New Roman" w:hAnsi="Times New Roman" w:cs="Times New Roman"/>
                <w:i w:val="0"/>
                <w:iCs w:val="0"/>
                <w:webHidden/>
                <w:sz w:val="22"/>
                <w:szCs w:val="22"/>
              </w:rPr>
              <w:t>6</w:t>
            </w:r>
            <w:r w:rsidRPr="007C70A3">
              <w:rPr>
                <w:rFonts w:ascii="Times New Roman" w:hAnsi="Times New Roman" w:cs="Times New Roman"/>
                <w:i w:val="0"/>
                <w:iCs w:val="0"/>
                <w:webHidden/>
                <w:sz w:val="22"/>
                <w:szCs w:val="22"/>
              </w:rPr>
              <w:fldChar w:fldCharType="end"/>
            </w:r>
          </w:hyperlink>
        </w:p>
        <w:p w14:paraId="3A96C6D7" w14:textId="77777777" w:rsidR="00E65338" w:rsidRPr="007C70A3" w:rsidRDefault="00E65338" w:rsidP="007C70A3">
          <w:pPr>
            <w:pStyle w:val="TOC2"/>
            <w:tabs>
              <w:tab w:val="left" w:pos="960"/>
              <w:tab w:val="right" w:leader="dot" w:pos="9730"/>
            </w:tabs>
            <w:rPr>
              <w:rFonts w:ascii="Times New Roman" w:hAnsi="Times New Roman" w:cs="Times New Roman"/>
              <w:i w:val="0"/>
              <w:iCs w:val="0"/>
              <w:sz w:val="22"/>
              <w:szCs w:val="22"/>
            </w:rPr>
          </w:pPr>
          <w:hyperlink w:anchor="_Toc213350675" w:history="1">
            <w:r w:rsidRPr="007C70A3">
              <w:rPr>
                <w:rStyle w:val="Hyperlink"/>
                <w:rFonts w:ascii="Times New Roman" w:hAnsi="Times New Roman" w:cs="Times New Roman"/>
                <w:i w:val="0"/>
                <w:iCs w:val="0"/>
                <w:sz w:val="22"/>
                <w:szCs w:val="22"/>
              </w:rPr>
              <w:t>3.2.</w:t>
            </w:r>
            <w:r w:rsidRPr="007C70A3">
              <w:rPr>
                <w:rFonts w:ascii="Times New Roman" w:hAnsi="Times New Roman" w:cs="Times New Roman"/>
                <w:i w:val="0"/>
                <w:iCs w:val="0"/>
                <w:sz w:val="22"/>
                <w:szCs w:val="22"/>
              </w:rPr>
              <w:tab/>
            </w:r>
            <w:r w:rsidRPr="007C70A3">
              <w:rPr>
                <w:rStyle w:val="Hyperlink"/>
                <w:rFonts w:ascii="Times New Roman" w:hAnsi="Times New Roman" w:cs="Times New Roman"/>
                <w:i w:val="0"/>
                <w:iCs w:val="0"/>
                <w:sz w:val="22"/>
                <w:szCs w:val="22"/>
              </w:rPr>
              <w:t>Governance and Compliance Structure</w:t>
            </w:r>
            <w:r w:rsidRPr="007C70A3">
              <w:rPr>
                <w:rFonts w:ascii="Times New Roman" w:hAnsi="Times New Roman" w:cs="Times New Roman"/>
                <w:i w:val="0"/>
                <w:iCs w:val="0"/>
                <w:webHidden/>
                <w:sz w:val="22"/>
                <w:szCs w:val="22"/>
              </w:rPr>
              <w:tab/>
            </w:r>
            <w:r w:rsidRPr="007C70A3">
              <w:rPr>
                <w:rFonts w:ascii="Times New Roman" w:hAnsi="Times New Roman" w:cs="Times New Roman"/>
                <w:i w:val="0"/>
                <w:iCs w:val="0"/>
                <w:webHidden/>
                <w:sz w:val="22"/>
                <w:szCs w:val="22"/>
              </w:rPr>
              <w:fldChar w:fldCharType="begin"/>
            </w:r>
            <w:r w:rsidRPr="007C70A3">
              <w:rPr>
                <w:rFonts w:ascii="Times New Roman" w:hAnsi="Times New Roman" w:cs="Times New Roman"/>
                <w:i w:val="0"/>
                <w:iCs w:val="0"/>
                <w:webHidden/>
                <w:sz w:val="22"/>
                <w:szCs w:val="22"/>
              </w:rPr>
              <w:instrText xml:space="preserve"> PAGEREF _Toc213350675 \h </w:instrText>
            </w:r>
            <w:r w:rsidRPr="007C70A3">
              <w:rPr>
                <w:rFonts w:ascii="Times New Roman" w:hAnsi="Times New Roman" w:cs="Times New Roman"/>
                <w:i w:val="0"/>
                <w:iCs w:val="0"/>
                <w:webHidden/>
                <w:sz w:val="22"/>
                <w:szCs w:val="22"/>
              </w:rPr>
            </w:r>
            <w:r w:rsidRPr="007C70A3">
              <w:rPr>
                <w:rFonts w:ascii="Times New Roman" w:hAnsi="Times New Roman" w:cs="Times New Roman"/>
                <w:i w:val="0"/>
                <w:iCs w:val="0"/>
                <w:webHidden/>
                <w:sz w:val="22"/>
                <w:szCs w:val="22"/>
              </w:rPr>
              <w:fldChar w:fldCharType="separate"/>
            </w:r>
            <w:r w:rsidR="007C70A3">
              <w:rPr>
                <w:rFonts w:ascii="Times New Roman" w:hAnsi="Times New Roman" w:cs="Times New Roman"/>
                <w:i w:val="0"/>
                <w:iCs w:val="0"/>
                <w:webHidden/>
                <w:sz w:val="22"/>
                <w:szCs w:val="22"/>
              </w:rPr>
              <w:t>7</w:t>
            </w:r>
            <w:r w:rsidRPr="007C70A3">
              <w:rPr>
                <w:rFonts w:ascii="Times New Roman" w:hAnsi="Times New Roman" w:cs="Times New Roman"/>
                <w:i w:val="0"/>
                <w:iCs w:val="0"/>
                <w:webHidden/>
                <w:sz w:val="22"/>
                <w:szCs w:val="22"/>
              </w:rPr>
              <w:fldChar w:fldCharType="end"/>
            </w:r>
          </w:hyperlink>
        </w:p>
        <w:p w14:paraId="455701E5" w14:textId="77777777" w:rsidR="00E65338" w:rsidRPr="007C70A3" w:rsidRDefault="00E65338" w:rsidP="007C70A3">
          <w:pPr>
            <w:pStyle w:val="TOC3"/>
            <w:tabs>
              <w:tab w:val="left" w:pos="1440"/>
              <w:tab w:val="right" w:leader="dot" w:pos="9730"/>
            </w:tabs>
            <w:rPr>
              <w:rFonts w:ascii="Times New Roman" w:hAnsi="Times New Roman" w:cs="Times New Roman"/>
              <w:sz w:val="22"/>
              <w:szCs w:val="22"/>
            </w:rPr>
          </w:pPr>
          <w:hyperlink w:anchor="_Toc213350676" w:history="1">
            <w:r w:rsidRPr="007C70A3">
              <w:rPr>
                <w:rStyle w:val="Hyperlink"/>
                <w:rFonts w:ascii="Times New Roman" w:hAnsi="Times New Roman" w:cs="Times New Roman"/>
                <w:sz w:val="22"/>
                <w:szCs w:val="22"/>
              </w:rPr>
              <w:t>3.2.1.</w:t>
            </w:r>
            <w:r w:rsidRPr="007C70A3">
              <w:rPr>
                <w:rFonts w:ascii="Times New Roman" w:hAnsi="Times New Roman" w:cs="Times New Roman"/>
                <w:sz w:val="22"/>
                <w:szCs w:val="22"/>
              </w:rPr>
              <w:tab/>
            </w:r>
            <w:r w:rsidRPr="007C70A3">
              <w:rPr>
                <w:rStyle w:val="Hyperlink"/>
                <w:rFonts w:ascii="Times New Roman" w:hAnsi="Times New Roman" w:cs="Times New Roman"/>
                <w:sz w:val="22"/>
                <w:szCs w:val="22"/>
              </w:rPr>
              <w:t>Information Security Management System (ISMS)</w:t>
            </w:r>
            <w:r w:rsidRPr="007C70A3">
              <w:rPr>
                <w:rFonts w:ascii="Times New Roman" w:hAnsi="Times New Roman" w:cs="Times New Roman"/>
                <w:webHidden/>
                <w:sz w:val="22"/>
                <w:szCs w:val="22"/>
              </w:rPr>
              <w:tab/>
            </w:r>
            <w:r w:rsidRPr="007C70A3">
              <w:rPr>
                <w:rFonts w:ascii="Times New Roman" w:hAnsi="Times New Roman" w:cs="Times New Roman"/>
                <w:webHidden/>
                <w:sz w:val="22"/>
                <w:szCs w:val="22"/>
              </w:rPr>
              <w:fldChar w:fldCharType="begin"/>
            </w:r>
            <w:r w:rsidRPr="007C70A3">
              <w:rPr>
                <w:rFonts w:ascii="Times New Roman" w:hAnsi="Times New Roman" w:cs="Times New Roman"/>
                <w:webHidden/>
                <w:sz w:val="22"/>
                <w:szCs w:val="22"/>
              </w:rPr>
              <w:instrText xml:space="preserve"> PAGEREF _Toc213350676 \h </w:instrText>
            </w:r>
            <w:r w:rsidRPr="007C70A3">
              <w:rPr>
                <w:rFonts w:ascii="Times New Roman" w:hAnsi="Times New Roman" w:cs="Times New Roman"/>
                <w:webHidden/>
                <w:sz w:val="22"/>
                <w:szCs w:val="22"/>
              </w:rPr>
            </w:r>
            <w:r w:rsidRPr="007C70A3">
              <w:rPr>
                <w:rFonts w:ascii="Times New Roman" w:hAnsi="Times New Roman" w:cs="Times New Roman"/>
                <w:webHidden/>
                <w:sz w:val="22"/>
                <w:szCs w:val="22"/>
              </w:rPr>
              <w:fldChar w:fldCharType="separate"/>
            </w:r>
            <w:r w:rsidR="007C70A3">
              <w:rPr>
                <w:rFonts w:ascii="Times New Roman" w:hAnsi="Times New Roman" w:cs="Times New Roman"/>
                <w:webHidden/>
                <w:sz w:val="22"/>
                <w:szCs w:val="22"/>
              </w:rPr>
              <w:t>7</w:t>
            </w:r>
            <w:r w:rsidRPr="007C70A3">
              <w:rPr>
                <w:rFonts w:ascii="Times New Roman" w:hAnsi="Times New Roman" w:cs="Times New Roman"/>
                <w:webHidden/>
                <w:sz w:val="22"/>
                <w:szCs w:val="22"/>
              </w:rPr>
              <w:fldChar w:fldCharType="end"/>
            </w:r>
          </w:hyperlink>
        </w:p>
        <w:p w14:paraId="35F07539" w14:textId="77777777" w:rsidR="00E65338" w:rsidRPr="007C70A3" w:rsidRDefault="00E65338" w:rsidP="007C70A3">
          <w:pPr>
            <w:pStyle w:val="TOC2"/>
            <w:tabs>
              <w:tab w:val="left" w:pos="960"/>
              <w:tab w:val="right" w:leader="dot" w:pos="9730"/>
            </w:tabs>
            <w:rPr>
              <w:rFonts w:ascii="Times New Roman" w:hAnsi="Times New Roman" w:cs="Times New Roman"/>
              <w:i w:val="0"/>
              <w:iCs w:val="0"/>
              <w:sz w:val="22"/>
              <w:szCs w:val="22"/>
            </w:rPr>
          </w:pPr>
          <w:hyperlink w:anchor="_Toc213350677" w:history="1">
            <w:r w:rsidRPr="007C70A3">
              <w:rPr>
                <w:rStyle w:val="Hyperlink"/>
                <w:rFonts w:ascii="Times New Roman" w:hAnsi="Times New Roman" w:cs="Times New Roman"/>
                <w:i w:val="0"/>
                <w:iCs w:val="0"/>
                <w:sz w:val="22"/>
                <w:szCs w:val="22"/>
              </w:rPr>
              <w:t>3.3.</w:t>
            </w:r>
            <w:r w:rsidRPr="007C70A3">
              <w:rPr>
                <w:rFonts w:ascii="Times New Roman" w:hAnsi="Times New Roman" w:cs="Times New Roman"/>
                <w:i w:val="0"/>
                <w:iCs w:val="0"/>
                <w:sz w:val="22"/>
                <w:szCs w:val="22"/>
              </w:rPr>
              <w:tab/>
            </w:r>
            <w:r w:rsidRPr="007C70A3">
              <w:rPr>
                <w:rStyle w:val="Hyperlink"/>
                <w:rFonts w:ascii="Times New Roman" w:hAnsi="Times New Roman" w:cs="Times New Roman"/>
                <w:i w:val="0"/>
                <w:iCs w:val="0"/>
                <w:sz w:val="22"/>
                <w:szCs w:val="22"/>
              </w:rPr>
              <w:t>Policy Framework and Risk-Management Integration</w:t>
            </w:r>
            <w:r w:rsidRPr="007C70A3">
              <w:rPr>
                <w:rFonts w:ascii="Times New Roman" w:hAnsi="Times New Roman" w:cs="Times New Roman"/>
                <w:i w:val="0"/>
                <w:iCs w:val="0"/>
                <w:webHidden/>
                <w:sz w:val="22"/>
                <w:szCs w:val="22"/>
              </w:rPr>
              <w:tab/>
            </w:r>
            <w:r w:rsidRPr="007C70A3">
              <w:rPr>
                <w:rFonts w:ascii="Times New Roman" w:hAnsi="Times New Roman" w:cs="Times New Roman"/>
                <w:i w:val="0"/>
                <w:iCs w:val="0"/>
                <w:webHidden/>
                <w:sz w:val="22"/>
                <w:szCs w:val="22"/>
              </w:rPr>
              <w:fldChar w:fldCharType="begin"/>
            </w:r>
            <w:r w:rsidRPr="007C70A3">
              <w:rPr>
                <w:rFonts w:ascii="Times New Roman" w:hAnsi="Times New Roman" w:cs="Times New Roman"/>
                <w:i w:val="0"/>
                <w:iCs w:val="0"/>
                <w:webHidden/>
                <w:sz w:val="22"/>
                <w:szCs w:val="22"/>
              </w:rPr>
              <w:instrText xml:space="preserve"> PAGEREF _Toc213350677 \h </w:instrText>
            </w:r>
            <w:r w:rsidRPr="007C70A3">
              <w:rPr>
                <w:rFonts w:ascii="Times New Roman" w:hAnsi="Times New Roman" w:cs="Times New Roman"/>
                <w:i w:val="0"/>
                <w:iCs w:val="0"/>
                <w:webHidden/>
                <w:sz w:val="22"/>
                <w:szCs w:val="22"/>
              </w:rPr>
            </w:r>
            <w:r w:rsidRPr="007C70A3">
              <w:rPr>
                <w:rFonts w:ascii="Times New Roman" w:hAnsi="Times New Roman" w:cs="Times New Roman"/>
                <w:i w:val="0"/>
                <w:iCs w:val="0"/>
                <w:webHidden/>
                <w:sz w:val="22"/>
                <w:szCs w:val="22"/>
              </w:rPr>
              <w:fldChar w:fldCharType="separate"/>
            </w:r>
            <w:r w:rsidR="007C70A3">
              <w:rPr>
                <w:rFonts w:ascii="Times New Roman" w:hAnsi="Times New Roman" w:cs="Times New Roman"/>
                <w:i w:val="0"/>
                <w:iCs w:val="0"/>
                <w:webHidden/>
                <w:sz w:val="22"/>
                <w:szCs w:val="22"/>
              </w:rPr>
              <w:t>8</w:t>
            </w:r>
            <w:r w:rsidRPr="007C70A3">
              <w:rPr>
                <w:rFonts w:ascii="Times New Roman" w:hAnsi="Times New Roman" w:cs="Times New Roman"/>
                <w:i w:val="0"/>
                <w:iCs w:val="0"/>
                <w:webHidden/>
                <w:sz w:val="22"/>
                <w:szCs w:val="22"/>
              </w:rPr>
              <w:fldChar w:fldCharType="end"/>
            </w:r>
          </w:hyperlink>
        </w:p>
        <w:p w14:paraId="64CDED09" w14:textId="77777777" w:rsidR="00E65338" w:rsidRPr="007C70A3" w:rsidRDefault="00E65338" w:rsidP="007C70A3">
          <w:pPr>
            <w:pStyle w:val="TOC2"/>
            <w:tabs>
              <w:tab w:val="left" w:pos="960"/>
              <w:tab w:val="right" w:leader="dot" w:pos="9730"/>
            </w:tabs>
            <w:rPr>
              <w:rFonts w:ascii="Times New Roman" w:hAnsi="Times New Roman" w:cs="Times New Roman"/>
              <w:i w:val="0"/>
              <w:iCs w:val="0"/>
              <w:sz w:val="22"/>
              <w:szCs w:val="22"/>
            </w:rPr>
          </w:pPr>
          <w:hyperlink w:anchor="_Toc213350678" w:history="1">
            <w:r w:rsidRPr="007C70A3">
              <w:rPr>
                <w:rStyle w:val="Hyperlink"/>
                <w:rFonts w:ascii="Times New Roman" w:hAnsi="Times New Roman" w:cs="Times New Roman"/>
                <w:i w:val="0"/>
                <w:iCs w:val="0"/>
                <w:sz w:val="22"/>
                <w:szCs w:val="22"/>
              </w:rPr>
              <w:t>3.4.</w:t>
            </w:r>
            <w:r w:rsidRPr="007C70A3">
              <w:rPr>
                <w:rFonts w:ascii="Times New Roman" w:hAnsi="Times New Roman" w:cs="Times New Roman"/>
                <w:i w:val="0"/>
                <w:iCs w:val="0"/>
                <w:sz w:val="22"/>
                <w:szCs w:val="22"/>
              </w:rPr>
              <w:tab/>
            </w:r>
            <w:r w:rsidRPr="007C70A3">
              <w:rPr>
                <w:rStyle w:val="Hyperlink"/>
                <w:rFonts w:ascii="Times New Roman" w:hAnsi="Times New Roman" w:cs="Times New Roman"/>
                <w:i w:val="0"/>
                <w:iCs w:val="0"/>
                <w:sz w:val="22"/>
                <w:szCs w:val="22"/>
              </w:rPr>
              <w:t>Technical Design Elements</w:t>
            </w:r>
            <w:r w:rsidRPr="007C70A3">
              <w:rPr>
                <w:rFonts w:ascii="Times New Roman" w:hAnsi="Times New Roman" w:cs="Times New Roman"/>
                <w:i w:val="0"/>
                <w:iCs w:val="0"/>
                <w:webHidden/>
                <w:sz w:val="22"/>
                <w:szCs w:val="22"/>
              </w:rPr>
              <w:tab/>
            </w:r>
            <w:r w:rsidRPr="007C70A3">
              <w:rPr>
                <w:rFonts w:ascii="Times New Roman" w:hAnsi="Times New Roman" w:cs="Times New Roman"/>
                <w:i w:val="0"/>
                <w:iCs w:val="0"/>
                <w:webHidden/>
                <w:sz w:val="22"/>
                <w:szCs w:val="22"/>
              </w:rPr>
              <w:fldChar w:fldCharType="begin"/>
            </w:r>
            <w:r w:rsidRPr="007C70A3">
              <w:rPr>
                <w:rFonts w:ascii="Times New Roman" w:hAnsi="Times New Roman" w:cs="Times New Roman"/>
                <w:i w:val="0"/>
                <w:iCs w:val="0"/>
                <w:webHidden/>
                <w:sz w:val="22"/>
                <w:szCs w:val="22"/>
              </w:rPr>
              <w:instrText xml:space="preserve"> PAGEREF _Toc213350678 \h </w:instrText>
            </w:r>
            <w:r w:rsidRPr="007C70A3">
              <w:rPr>
                <w:rFonts w:ascii="Times New Roman" w:hAnsi="Times New Roman" w:cs="Times New Roman"/>
                <w:i w:val="0"/>
                <w:iCs w:val="0"/>
                <w:webHidden/>
                <w:sz w:val="22"/>
                <w:szCs w:val="22"/>
              </w:rPr>
            </w:r>
            <w:r w:rsidRPr="007C70A3">
              <w:rPr>
                <w:rFonts w:ascii="Times New Roman" w:hAnsi="Times New Roman" w:cs="Times New Roman"/>
                <w:i w:val="0"/>
                <w:iCs w:val="0"/>
                <w:webHidden/>
                <w:sz w:val="22"/>
                <w:szCs w:val="22"/>
              </w:rPr>
              <w:fldChar w:fldCharType="separate"/>
            </w:r>
            <w:r w:rsidR="007C70A3">
              <w:rPr>
                <w:rFonts w:ascii="Times New Roman" w:hAnsi="Times New Roman" w:cs="Times New Roman"/>
                <w:i w:val="0"/>
                <w:iCs w:val="0"/>
                <w:webHidden/>
                <w:sz w:val="22"/>
                <w:szCs w:val="22"/>
              </w:rPr>
              <w:t>8</w:t>
            </w:r>
            <w:r w:rsidRPr="007C70A3">
              <w:rPr>
                <w:rFonts w:ascii="Times New Roman" w:hAnsi="Times New Roman" w:cs="Times New Roman"/>
                <w:i w:val="0"/>
                <w:iCs w:val="0"/>
                <w:webHidden/>
                <w:sz w:val="22"/>
                <w:szCs w:val="22"/>
              </w:rPr>
              <w:fldChar w:fldCharType="end"/>
            </w:r>
          </w:hyperlink>
        </w:p>
        <w:p w14:paraId="4B0B7099" w14:textId="77777777" w:rsidR="00E65338" w:rsidRPr="007C70A3" w:rsidRDefault="00E65338" w:rsidP="007C70A3">
          <w:pPr>
            <w:pStyle w:val="TOC3"/>
            <w:tabs>
              <w:tab w:val="left" w:pos="1440"/>
              <w:tab w:val="right" w:leader="dot" w:pos="9730"/>
            </w:tabs>
            <w:rPr>
              <w:rFonts w:ascii="Times New Roman" w:hAnsi="Times New Roman" w:cs="Times New Roman"/>
              <w:sz w:val="22"/>
              <w:szCs w:val="22"/>
            </w:rPr>
          </w:pPr>
          <w:hyperlink w:anchor="_Toc213350679" w:history="1">
            <w:r w:rsidRPr="007C70A3">
              <w:rPr>
                <w:rStyle w:val="Hyperlink"/>
                <w:rFonts w:ascii="Times New Roman" w:hAnsi="Times New Roman" w:cs="Times New Roman"/>
                <w:sz w:val="22"/>
                <w:szCs w:val="22"/>
              </w:rPr>
              <w:t>3.4.1.</w:t>
            </w:r>
            <w:r w:rsidRPr="007C70A3">
              <w:rPr>
                <w:rFonts w:ascii="Times New Roman" w:hAnsi="Times New Roman" w:cs="Times New Roman"/>
                <w:sz w:val="22"/>
                <w:szCs w:val="22"/>
              </w:rPr>
              <w:tab/>
            </w:r>
            <w:r w:rsidRPr="007C70A3">
              <w:rPr>
                <w:rStyle w:val="Hyperlink"/>
                <w:rFonts w:ascii="Times New Roman" w:hAnsi="Times New Roman" w:cs="Times New Roman"/>
                <w:sz w:val="22"/>
                <w:szCs w:val="22"/>
              </w:rPr>
              <w:t>Zero Trust Enforcement</w:t>
            </w:r>
            <w:r w:rsidRPr="007C70A3">
              <w:rPr>
                <w:rFonts w:ascii="Times New Roman" w:hAnsi="Times New Roman" w:cs="Times New Roman"/>
                <w:webHidden/>
                <w:sz w:val="22"/>
                <w:szCs w:val="22"/>
              </w:rPr>
              <w:tab/>
            </w:r>
            <w:r w:rsidRPr="007C70A3">
              <w:rPr>
                <w:rFonts w:ascii="Times New Roman" w:hAnsi="Times New Roman" w:cs="Times New Roman"/>
                <w:webHidden/>
                <w:sz w:val="22"/>
                <w:szCs w:val="22"/>
              </w:rPr>
              <w:fldChar w:fldCharType="begin"/>
            </w:r>
            <w:r w:rsidRPr="007C70A3">
              <w:rPr>
                <w:rFonts w:ascii="Times New Roman" w:hAnsi="Times New Roman" w:cs="Times New Roman"/>
                <w:webHidden/>
                <w:sz w:val="22"/>
                <w:szCs w:val="22"/>
              </w:rPr>
              <w:instrText xml:space="preserve"> PAGEREF _Toc213350679 \h </w:instrText>
            </w:r>
            <w:r w:rsidRPr="007C70A3">
              <w:rPr>
                <w:rFonts w:ascii="Times New Roman" w:hAnsi="Times New Roman" w:cs="Times New Roman"/>
                <w:webHidden/>
                <w:sz w:val="22"/>
                <w:szCs w:val="22"/>
              </w:rPr>
            </w:r>
            <w:r w:rsidRPr="007C70A3">
              <w:rPr>
                <w:rFonts w:ascii="Times New Roman" w:hAnsi="Times New Roman" w:cs="Times New Roman"/>
                <w:webHidden/>
                <w:sz w:val="22"/>
                <w:szCs w:val="22"/>
              </w:rPr>
              <w:fldChar w:fldCharType="separate"/>
            </w:r>
            <w:r w:rsidR="007C70A3">
              <w:rPr>
                <w:rFonts w:ascii="Times New Roman" w:hAnsi="Times New Roman" w:cs="Times New Roman"/>
                <w:webHidden/>
                <w:sz w:val="22"/>
                <w:szCs w:val="22"/>
              </w:rPr>
              <w:t>8</w:t>
            </w:r>
            <w:r w:rsidRPr="007C70A3">
              <w:rPr>
                <w:rFonts w:ascii="Times New Roman" w:hAnsi="Times New Roman" w:cs="Times New Roman"/>
                <w:webHidden/>
                <w:sz w:val="22"/>
                <w:szCs w:val="22"/>
              </w:rPr>
              <w:fldChar w:fldCharType="end"/>
            </w:r>
          </w:hyperlink>
        </w:p>
        <w:p w14:paraId="10EB80DD" w14:textId="77777777" w:rsidR="00E65338" w:rsidRPr="007C70A3" w:rsidRDefault="00E65338" w:rsidP="007C70A3">
          <w:pPr>
            <w:pStyle w:val="TOC3"/>
            <w:tabs>
              <w:tab w:val="left" w:pos="1440"/>
              <w:tab w:val="right" w:leader="dot" w:pos="9730"/>
            </w:tabs>
            <w:rPr>
              <w:rFonts w:ascii="Times New Roman" w:hAnsi="Times New Roman" w:cs="Times New Roman"/>
              <w:sz w:val="22"/>
              <w:szCs w:val="22"/>
            </w:rPr>
          </w:pPr>
          <w:hyperlink w:anchor="_Toc213350680" w:history="1">
            <w:r w:rsidRPr="007C70A3">
              <w:rPr>
                <w:rStyle w:val="Hyperlink"/>
                <w:rFonts w:ascii="Times New Roman" w:hAnsi="Times New Roman" w:cs="Times New Roman"/>
                <w:sz w:val="22"/>
                <w:szCs w:val="22"/>
              </w:rPr>
              <w:t>3.4.2.</w:t>
            </w:r>
            <w:r w:rsidRPr="007C70A3">
              <w:rPr>
                <w:rFonts w:ascii="Times New Roman" w:hAnsi="Times New Roman" w:cs="Times New Roman"/>
                <w:sz w:val="22"/>
                <w:szCs w:val="22"/>
              </w:rPr>
              <w:tab/>
            </w:r>
            <w:r w:rsidRPr="007C70A3">
              <w:rPr>
                <w:rStyle w:val="Hyperlink"/>
                <w:rFonts w:ascii="Times New Roman" w:hAnsi="Times New Roman" w:cs="Times New Roman"/>
                <w:sz w:val="22"/>
                <w:szCs w:val="22"/>
              </w:rPr>
              <w:t>Cloud-Security Controls</w:t>
            </w:r>
            <w:r w:rsidRPr="007C70A3">
              <w:rPr>
                <w:rFonts w:ascii="Times New Roman" w:hAnsi="Times New Roman" w:cs="Times New Roman"/>
                <w:webHidden/>
                <w:sz w:val="22"/>
                <w:szCs w:val="22"/>
              </w:rPr>
              <w:tab/>
            </w:r>
            <w:r w:rsidRPr="007C70A3">
              <w:rPr>
                <w:rFonts w:ascii="Times New Roman" w:hAnsi="Times New Roman" w:cs="Times New Roman"/>
                <w:webHidden/>
                <w:sz w:val="22"/>
                <w:szCs w:val="22"/>
              </w:rPr>
              <w:fldChar w:fldCharType="begin"/>
            </w:r>
            <w:r w:rsidRPr="007C70A3">
              <w:rPr>
                <w:rFonts w:ascii="Times New Roman" w:hAnsi="Times New Roman" w:cs="Times New Roman"/>
                <w:webHidden/>
                <w:sz w:val="22"/>
                <w:szCs w:val="22"/>
              </w:rPr>
              <w:instrText xml:space="preserve"> PAGEREF _Toc213350680 \h </w:instrText>
            </w:r>
            <w:r w:rsidRPr="007C70A3">
              <w:rPr>
                <w:rFonts w:ascii="Times New Roman" w:hAnsi="Times New Roman" w:cs="Times New Roman"/>
                <w:webHidden/>
                <w:sz w:val="22"/>
                <w:szCs w:val="22"/>
              </w:rPr>
            </w:r>
            <w:r w:rsidRPr="007C70A3">
              <w:rPr>
                <w:rFonts w:ascii="Times New Roman" w:hAnsi="Times New Roman" w:cs="Times New Roman"/>
                <w:webHidden/>
                <w:sz w:val="22"/>
                <w:szCs w:val="22"/>
              </w:rPr>
              <w:fldChar w:fldCharType="separate"/>
            </w:r>
            <w:r w:rsidR="007C70A3">
              <w:rPr>
                <w:rFonts w:ascii="Times New Roman" w:hAnsi="Times New Roman" w:cs="Times New Roman"/>
                <w:webHidden/>
                <w:sz w:val="22"/>
                <w:szCs w:val="22"/>
              </w:rPr>
              <w:t>10</w:t>
            </w:r>
            <w:r w:rsidRPr="007C70A3">
              <w:rPr>
                <w:rFonts w:ascii="Times New Roman" w:hAnsi="Times New Roman" w:cs="Times New Roman"/>
                <w:webHidden/>
                <w:sz w:val="22"/>
                <w:szCs w:val="22"/>
              </w:rPr>
              <w:fldChar w:fldCharType="end"/>
            </w:r>
          </w:hyperlink>
        </w:p>
        <w:p w14:paraId="35BB6B9D" w14:textId="77777777" w:rsidR="00E65338" w:rsidRPr="007C70A3" w:rsidRDefault="00E65338" w:rsidP="007C70A3">
          <w:pPr>
            <w:pStyle w:val="TOC3"/>
            <w:tabs>
              <w:tab w:val="left" w:pos="1440"/>
              <w:tab w:val="right" w:leader="dot" w:pos="9730"/>
            </w:tabs>
            <w:rPr>
              <w:rFonts w:ascii="Times New Roman" w:hAnsi="Times New Roman" w:cs="Times New Roman"/>
              <w:sz w:val="22"/>
              <w:szCs w:val="22"/>
            </w:rPr>
          </w:pPr>
          <w:hyperlink w:anchor="_Toc213350681" w:history="1">
            <w:r w:rsidRPr="007C70A3">
              <w:rPr>
                <w:rStyle w:val="Hyperlink"/>
                <w:rFonts w:ascii="Times New Roman" w:hAnsi="Times New Roman" w:cs="Times New Roman"/>
                <w:sz w:val="22"/>
                <w:szCs w:val="22"/>
              </w:rPr>
              <w:t>3.4.3.</w:t>
            </w:r>
            <w:r w:rsidRPr="007C70A3">
              <w:rPr>
                <w:rFonts w:ascii="Times New Roman" w:hAnsi="Times New Roman" w:cs="Times New Roman"/>
                <w:sz w:val="22"/>
                <w:szCs w:val="22"/>
              </w:rPr>
              <w:tab/>
            </w:r>
            <w:r w:rsidRPr="007C70A3">
              <w:rPr>
                <w:rStyle w:val="Hyperlink"/>
                <w:rFonts w:ascii="Times New Roman" w:hAnsi="Times New Roman" w:cs="Times New Roman"/>
                <w:sz w:val="22"/>
                <w:szCs w:val="22"/>
              </w:rPr>
              <w:t>Privacy and Legal Compliance</w:t>
            </w:r>
            <w:r w:rsidRPr="007C70A3">
              <w:rPr>
                <w:rFonts w:ascii="Times New Roman" w:hAnsi="Times New Roman" w:cs="Times New Roman"/>
                <w:webHidden/>
                <w:sz w:val="22"/>
                <w:szCs w:val="22"/>
              </w:rPr>
              <w:tab/>
            </w:r>
            <w:r w:rsidRPr="007C70A3">
              <w:rPr>
                <w:rFonts w:ascii="Times New Roman" w:hAnsi="Times New Roman" w:cs="Times New Roman"/>
                <w:webHidden/>
                <w:sz w:val="22"/>
                <w:szCs w:val="22"/>
              </w:rPr>
              <w:fldChar w:fldCharType="begin"/>
            </w:r>
            <w:r w:rsidRPr="007C70A3">
              <w:rPr>
                <w:rFonts w:ascii="Times New Roman" w:hAnsi="Times New Roman" w:cs="Times New Roman"/>
                <w:webHidden/>
                <w:sz w:val="22"/>
                <w:szCs w:val="22"/>
              </w:rPr>
              <w:instrText xml:space="preserve"> PAGEREF _Toc213350681 \h </w:instrText>
            </w:r>
            <w:r w:rsidRPr="007C70A3">
              <w:rPr>
                <w:rFonts w:ascii="Times New Roman" w:hAnsi="Times New Roman" w:cs="Times New Roman"/>
                <w:webHidden/>
                <w:sz w:val="22"/>
                <w:szCs w:val="22"/>
              </w:rPr>
            </w:r>
            <w:r w:rsidRPr="007C70A3">
              <w:rPr>
                <w:rFonts w:ascii="Times New Roman" w:hAnsi="Times New Roman" w:cs="Times New Roman"/>
                <w:webHidden/>
                <w:sz w:val="22"/>
                <w:szCs w:val="22"/>
              </w:rPr>
              <w:fldChar w:fldCharType="separate"/>
            </w:r>
            <w:r w:rsidR="007C70A3">
              <w:rPr>
                <w:rFonts w:ascii="Times New Roman" w:hAnsi="Times New Roman" w:cs="Times New Roman"/>
                <w:webHidden/>
                <w:sz w:val="22"/>
                <w:szCs w:val="22"/>
              </w:rPr>
              <w:t>10</w:t>
            </w:r>
            <w:r w:rsidRPr="007C70A3">
              <w:rPr>
                <w:rFonts w:ascii="Times New Roman" w:hAnsi="Times New Roman" w:cs="Times New Roman"/>
                <w:webHidden/>
                <w:sz w:val="22"/>
                <w:szCs w:val="22"/>
              </w:rPr>
              <w:fldChar w:fldCharType="end"/>
            </w:r>
          </w:hyperlink>
        </w:p>
        <w:p w14:paraId="721C2AE4" w14:textId="77777777" w:rsidR="00E65338" w:rsidRPr="007C70A3" w:rsidRDefault="00E65338" w:rsidP="007C70A3">
          <w:pPr>
            <w:pStyle w:val="TOC3"/>
            <w:tabs>
              <w:tab w:val="left" w:pos="1440"/>
              <w:tab w:val="right" w:leader="dot" w:pos="9730"/>
            </w:tabs>
            <w:rPr>
              <w:rFonts w:ascii="Times New Roman" w:hAnsi="Times New Roman" w:cs="Times New Roman"/>
              <w:sz w:val="22"/>
              <w:szCs w:val="22"/>
            </w:rPr>
          </w:pPr>
          <w:hyperlink w:anchor="_Toc213350682" w:history="1">
            <w:r w:rsidRPr="007C70A3">
              <w:rPr>
                <w:rStyle w:val="Hyperlink"/>
                <w:rFonts w:ascii="Times New Roman" w:hAnsi="Times New Roman" w:cs="Times New Roman"/>
                <w:sz w:val="22"/>
                <w:szCs w:val="22"/>
              </w:rPr>
              <w:t>3.4.4.</w:t>
            </w:r>
            <w:r w:rsidRPr="007C70A3">
              <w:rPr>
                <w:rFonts w:ascii="Times New Roman" w:hAnsi="Times New Roman" w:cs="Times New Roman"/>
                <w:sz w:val="22"/>
                <w:szCs w:val="22"/>
              </w:rPr>
              <w:tab/>
            </w:r>
            <w:r w:rsidRPr="007C70A3">
              <w:rPr>
                <w:rStyle w:val="Hyperlink"/>
                <w:rFonts w:ascii="Times New Roman" w:hAnsi="Times New Roman" w:cs="Times New Roman"/>
                <w:sz w:val="22"/>
                <w:szCs w:val="22"/>
              </w:rPr>
              <w:t>Monitoring, Detection and Response</w:t>
            </w:r>
            <w:r w:rsidRPr="007C70A3">
              <w:rPr>
                <w:rFonts w:ascii="Times New Roman" w:hAnsi="Times New Roman" w:cs="Times New Roman"/>
                <w:webHidden/>
                <w:sz w:val="22"/>
                <w:szCs w:val="22"/>
              </w:rPr>
              <w:tab/>
            </w:r>
            <w:r w:rsidRPr="007C70A3">
              <w:rPr>
                <w:rFonts w:ascii="Times New Roman" w:hAnsi="Times New Roman" w:cs="Times New Roman"/>
                <w:webHidden/>
                <w:sz w:val="22"/>
                <w:szCs w:val="22"/>
              </w:rPr>
              <w:fldChar w:fldCharType="begin"/>
            </w:r>
            <w:r w:rsidRPr="007C70A3">
              <w:rPr>
                <w:rFonts w:ascii="Times New Roman" w:hAnsi="Times New Roman" w:cs="Times New Roman"/>
                <w:webHidden/>
                <w:sz w:val="22"/>
                <w:szCs w:val="22"/>
              </w:rPr>
              <w:instrText xml:space="preserve"> PAGEREF _Toc213350682 \h </w:instrText>
            </w:r>
            <w:r w:rsidRPr="007C70A3">
              <w:rPr>
                <w:rFonts w:ascii="Times New Roman" w:hAnsi="Times New Roman" w:cs="Times New Roman"/>
                <w:webHidden/>
                <w:sz w:val="22"/>
                <w:szCs w:val="22"/>
              </w:rPr>
            </w:r>
            <w:r w:rsidRPr="007C70A3">
              <w:rPr>
                <w:rFonts w:ascii="Times New Roman" w:hAnsi="Times New Roman" w:cs="Times New Roman"/>
                <w:webHidden/>
                <w:sz w:val="22"/>
                <w:szCs w:val="22"/>
              </w:rPr>
              <w:fldChar w:fldCharType="separate"/>
            </w:r>
            <w:r w:rsidR="007C70A3">
              <w:rPr>
                <w:rFonts w:ascii="Times New Roman" w:hAnsi="Times New Roman" w:cs="Times New Roman"/>
                <w:webHidden/>
                <w:sz w:val="22"/>
                <w:szCs w:val="22"/>
              </w:rPr>
              <w:t>11</w:t>
            </w:r>
            <w:r w:rsidRPr="007C70A3">
              <w:rPr>
                <w:rFonts w:ascii="Times New Roman" w:hAnsi="Times New Roman" w:cs="Times New Roman"/>
                <w:webHidden/>
                <w:sz w:val="22"/>
                <w:szCs w:val="22"/>
              </w:rPr>
              <w:fldChar w:fldCharType="end"/>
            </w:r>
          </w:hyperlink>
        </w:p>
        <w:p w14:paraId="3DA66A42" w14:textId="77777777" w:rsidR="00E65338" w:rsidRPr="007C70A3" w:rsidRDefault="00E65338" w:rsidP="007C70A3">
          <w:pPr>
            <w:pStyle w:val="TOC2"/>
            <w:tabs>
              <w:tab w:val="left" w:pos="960"/>
              <w:tab w:val="right" w:leader="dot" w:pos="9730"/>
            </w:tabs>
            <w:rPr>
              <w:rFonts w:ascii="Times New Roman" w:hAnsi="Times New Roman" w:cs="Times New Roman"/>
              <w:i w:val="0"/>
              <w:iCs w:val="0"/>
              <w:sz w:val="22"/>
              <w:szCs w:val="22"/>
            </w:rPr>
          </w:pPr>
          <w:hyperlink w:anchor="_Toc213350683" w:history="1">
            <w:r w:rsidRPr="007C70A3">
              <w:rPr>
                <w:rStyle w:val="Hyperlink"/>
                <w:rFonts w:ascii="Times New Roman" w:hAnsi="Times New Roman" w:cs="Times New Roman"/>
                <w:i w:val="0"/>
                <w:iCs w:val="0"/>
                <w:sz w:val="22"/>
                <w:szCs w:val="22"/>
              </w:rPr>
              <w:t>3.5.</w:t>
            </w:r>
            <w:r w:rsidRPr="007C70A3">
              <w:rPr>
                <w:rFonts w:ascii="Times New Roman" w:hAnsi="Times New Roman" w:cs="Times New Roman"/>
                <w:i w:val="0"/>
                <w:iCs w:val="0"/>
                <w:sz w:val="22"/>
                <w:szCs w:val="22"/>
              </w:rPr>
              <w:tab/>
            </w:r>
            <w:r w:rsidRPr="007C70A3">
              <w:rPr>
                <w:rStyle w:val="Hyperlink"/>
                <w:rFonts w:ascii="Times New Roman" w:hAnsi="Times New Roman" w:cs="Times New Roman"/>
                <w:i w:val="0"/>
                <w:iCs w:val="0"/>
                <w:sz w:val="22"/>
                <w:szCs w:val="22"/>
              </w:rPr>
              <w:t>Business-Continuity and Resilience Planning</w:t>
            </w:r>
            <w:r w:rsidRPr="007C70A3">
              <w:rPr>
                <w:rFonts w:ascii="Times New Roman" w:hAnsi="Times New Roman" w:cs="Times New Roman"/>
                <w:i w:val="0"/>
                <w:iCs w:val="0"/>
                <w:webHidden/>
                <w:sz w:val="22"/>
                <w:szCs w:val="22"/>
              </w:rPr>
              <w:tab/>
            </w:r>
            <w:r w:rsidRPr="007C70A3">
              <w:rPr>
                <w:rFonts w:ascii="Times New Roman" w:hAnsi="Times New Roman" w:cs="Times New Roman"/>
                <w:i w:val="0"/>
                <w:iCs w:val="0"/>
                <w:webHidden/>
                <w:sz w:val="22"/>
                <w:szCs w:val="22"/>
              </w:rPr>
              <w:fldChar w:fldCharType="begin"/>
            </w:r>
            <w:r w:rsidRPr="007C70A3">
              <w:rPr>
                <w:rFonts w:ascii="Times New Roman" w:hAnsi="Times New Roman" w:cs="Times New Roman"/>
                <w:i w:val="0"/>
                <w:iCs w:val="0"/>
                <w:webHidden/>
                <w:sz w:val="22"/>
                <w:szCs w:val="22"/>
              </w:rPr>
              <w:instrText xml:space="preserve"> PAGEREF _Toc213350683 \h </w:instrText>
            </w:r>
            <w:r w:rsidRPr="007C70A3">
              <w:rPr>
                <w:rFonts w:ascii="Times New Roman" w:hAnsi="Times New Roman" w:cs="Times New Roman"/>
                <w:i w:val="0"/>
                <w:iCs w:val="0"/>
                <w:webHidden/>
                <w:sz w:val="22"/>
                <w:szCs w:val="22"/>
              </w:rPr>
            </w:r>
            <w:r w:rsidRPr="007C70A3">
              <w:rPr>
                <w:rFonts w:ascii="Times New Roman" w:hAnsi="Times New Roman" w:cs="Times New Roman"/>
                <w:i w:val="0"/>
                <w:iCs w:val="0"/>
                <w:webHidden/>
                <w:sz w:val="22"/>
                <w:szCs w:val="22"/>
              </w:rPr>
              <w:fldChar w:fldCharType="separate"/>
            </w:r>
            <w:r w:rsidR="007C70A3">
              <w:rPr>
                <w:rFonts w:ascii="Times New Roman" w:hAnsi="Times New Roman" w:cs="Times New Roman"/>
                <w:i w:val="0"/>
                <w:iCs w:val="0"/>
                <w:webHidden/>
                <w:sz w:val="22"/>
                <w:szCs w:val="22"/>
              </w:rPr>
              <w:t>12</w:t>
            </w:r>
            <w:r w:rsidRPr="007C70A3">
              <w:rPr>
                <w:rFonts w:ascii="Times New Roman" w:hAnsi="Times New Roman" w:cs="Times New Roman"/>
                <w:i w:val="0"/>
                <w:iCs w:val="0"/>
                <w:webHidden/>
                <w:sz w:val="22"/>
                <w:szCs w:val="22"/>
              </w:rPr>
              <w:fldChar w:fldCharType="end"/>
            </w:r>
          </w:hyperlink>
        </w:p>
        <w:p w14:paraId="34474284" w14:textId="77777777" w:rsidR="00E65338" w:rsidRPr="007C70A3" w:rsidRDefault="00E65338" w:rsidP="007C70A3">
          <w:pPr>
            <w:pStyle w:val="TOC2"/>
            <w:tabs>
              <w:tab w:val="left" w:pos="960"/>
              <w:tab w:val="right" w:leader="dot" w:pos="9730"/>
            </w:tabs>
            <w:rPr>
              <w:rFonts w:ascii="Times New Roman" w:hAnsi="Times New Roman" w:cs="Times New Roman"/>
              <w:i w:val="0"/>
              <w:iCs w:val="0"/>
              <w:sz w:val="22"/>
              <w:szCs w:val="22"/>
            </w:rPr>
          </w:pPr>
          <w:hyperlink w:anchor="_Toc213350684" w:history="1">
            <w:r w:rsidRPr="007C70A3">
              <w:rPr>
                <w:rStyle w:val="Hyperlink"/>
                <w:rFonts w:ascii="Times New Roman" w:hAnsi="Times New Roman" w:cs="Times New Roman"/>
                <w:i w:val="0"/>
                <w:iCs w:val="0"/>
                <w:sz w:val="22"/>
                <w:szCs w:val="22"/>
              </w:rPr>
              <w:t>3.6.</w:t>
            </w:r>
            <w:r w:rsidRPr="007C70A3">
              <w:rPr>
                <w:rFonts w:ascii="Times New Roman" w:hAnsi="Times New Roman" w:cs="Times New Roman"/>
                <w:i w:val="0"/>
                <w:iCs w:val="0"/>
                <w:sz w:val="22"/>
                <w:szCs w:val="22"/>
              </w:rPr>
              <w:tab/>
            </w:r>
            <w:r w:rsidRPr="007C70A3">
              <w:rPr>
                <w:rStyle w:val="Hyperlink"/>
                <w:rFonts w:ascii="Times New Roman" w:hAnsi="Times New Roman" w:cs="Times New Roman"/>
                <w:i w:val="0"/>
                <w:iCs w:val="0"/>
                <w:sz w:val="22"/>
                <w:szCs w:val="22"/>
              </w:rPr>
              <w:t>Service-Level Agreements and Third-Party Management</w:t>
            </w:r>
            <w:r w:rsidRPr="007C70A3">
              <w:rPr>
                <w:rFonts w:ascii="Times New Roman" w:hAnsi="Times New Roman" w:cs="Times New Roman"/>
                <w:i w:val="0"/>
                <w:iCs w:val="0"/>
                <w:webHidden/>
                <w:sz w:val="22"/>
                <w:szCs w:val="22"/>
              </w:rPr>
              <w:tab/>
            </w:r>
            <w:r w:rsidRPr="007C70A3">
              <w:rPr>
                <w:rFonts w:ascii="Times New Roman" w:hAnsi="Times New Roman" w:cs="Times New Roman"/>
                <w:i w:val="0"/>
                <w:iCs w:val="0"/>
                <w:webHidden/>
                <w:sz w:val="22"/>
                <w:szCs w:val="22"/>
              </w:rPr>
              <w:fldChar w:fldCharType="begin"/>
            </w:r>
            <w:r w:rsidRPr="007C70A3">
              <w:rPr>
                <w:rFonts w:ascii="Times New Roman" w:hAnsi="Times New Roman" w:cs="Times New Roman"/>
                <w:i w:val="0"/>
                <w:iCs w:val="0"/>
                <w:webHidden/>
                <w:sz w:val="22"/>
                <w:szCs w:val="22"/>
              </w:rPr>
              <w:instrText xml:space="preserve"> PAGEREF _Toc213350684 \h </w:instrText>
            </w:r>
            <w:r w:rsidRPr="007C70A3">
              <w:rPr>
                <w:rFonts w:ascii="Times New Roman" w:hAnsi="Times New Roman" w:cs="Times New Roman"/>
                <w:i w:val="0"/>
                <w:iCs w:val="0"/>
                <w:webHidden/>
                <w:sz w:val="22"/>
                <w:szCs w:val="22"/>
              </w:rPr>
            </w:r>
            <w:r w:rsidRPr="007C70A3">
              <w:rPr>
                <w:rFonts w:ascii="Times New Roman" w:hAnsi="Times New Roman" w:cs="Times New Roman"/>
                <w:i w:val="0"/>
                <w:iCs w:val="0"/>
                <w:webHidden/>
                <w:sz w:val="22"/>
                <w:szCs w:val="22"/>
              </w:rPr>
              <w:fldChar w:fldCharType="separate"/>
            </w:r>
            <w:r w:rsidR="007C70A3">
              <w:rPr>
                <w:rFonts w:ascii="Times New Roman" w:hAnsi="Times New Roman" w:cs="Times New Roman"/>
                <w:i w:val="0"/>
                <w:iCs w:val="0"/>
                <w:webHidden/>
                <w:sz w:val="22"/>
                <w:szCs w:val="22"/>
              </w:rPr>
              <w:t>12</w:t>
            </w:r>
            <w:r w:rsidRPr="007C70A3">
              <w:rPr>
                <w:rFonts w:ascii="Times New Roman" w:hAnsi="Times New Roman" w:cs="Times New Roman"/>
                <w:i w:val="0"/>
                <w:iCs w:val="0"/>
                <w:webHidden/>
                <w:sz w:val="22"/>
                <w:szCs w:val="22"/>
              </w:rPr>
              <w:fldChar w:fldCharType="end"/>
            </w:r>
          </w:hyperlink>
        </w:p>
        <w:p w14:paraId="2CCF81F2" w14:textId="77777777" w:rsidR="00E65338" w:rsidRPr="007C70A3" w:rsidRDefault="00E65338" w:rsidP="007C70A3">
          <w:pPr>
            <w:pStyle w:val="TOC2"/>
            <w:tabs>
              <w:tab w:val="left" w:pos="960"/>
              <w:tab w:val="right" w:leader="dot" w:pos="9730"/>
            </w:tabs>
            <w:rPr>
              <w:rFonts w:ascii="Times New Roman" w:hAnsi="Times New Roman" w:cs="Times New Roman"/>
              <w:i w:val="0"/>
              <w:iCs w:val="0"/>
              <w:sz w:val="22"/>
              <w:szCs w:val="22"/>
            </w:rPr>
          </w:pPr>
          <w:hyperlink w:anchor="_Toc213350685" w:history="1">
            <w:r w:rsidRPr="007C70A3">
              <w:rPr>
                <w:rStyle w:val="Hyperlink"/>
                <w:rFonts w:ascii="Times New Roman" w:hAnsi="Times New Roman" w:cs="Times New Roman"/>
                <w:i w:val="0"/>
                <w:iCs w:val="0"/>
                <w:sz w:val="22"/>
                <w:szCs w:val="22"/>
              </w:rPr>
              <w:t>3.7.</w:t>
            </w:r>
            <w:r w:rsidRPr="007C70A3">
              <w:rPr>
                <w:rFonts w:ascii="Times New Roman" w:hAnsi="Times New Roman" w:cs="Times New Roman"/>
                <w:i w:val="0"/>
                <w:iCs w:val="0"/>
                <w:sz w:val="22"/>
                <w:szCs w:val="22"/>
              </w:rPr>
              <w:tab/>
            </w:r>
            <w:r w:rsidRPr="007C70A3">
              <w:rPr>
                <w:rStyle w:val="Hyperlink"/>
                <w:rFonts w:ascii="Times New Roman" w:hAnsi="Times New Roman" w:cs="Times New Roman"/>
                <w:i w:val="0"/>
                <w:iCs w:val="0"/>
                <w:sz w:val="22"/>
                <w:szCs w:val="22"/>
              </w:rPr>
              <w:t>Metrics, Assurance and Continual Improvement</w:t>
            </w:r>
            <w:r w:rsidRPr="007C70A3">
              <w:rPr>
                <w:rFonts w:ascii="Times New Roman" w:hAnsi="Times New Roman" w:cs="Times New Roman"/>
                <w:i w:val="0"/>
                <w:iCs w:val="0"/>
                <w:webHidden/>
                <w:sz w:val="22"/>
                <w:szCs w:val="22"/>
              </w:rPr>
              <w:tab/>
            </w:r>
            <w:r w:rsidRPr="007C70A3">
              <w:rPr>
                <w:rFonts w:ascii="Times New Roman" w:hAnsi="Times New Roman" w:cs="Times New Roman"/>
                <w:i w:val="0"/>
                <w:iCs w:val="0"/>
                <w:webHidden/>
                <w:sz w:val="22"/>
                <w:szCs w:val="22"/>
              </w:rPr>
              <w:fldChar w:fldCharType="begin"/>
            </w:r>
            <w:r w:rsidRPr="007C70A3">
              <w:rPr>
                <w:rFonts w:ascii="Times New Roman" w:hAnsi="Times New Roman" w:cs="Times New Roman"/>
                <w:i w:val="0"/>
                <w:iCs w:val="0"/>
                <w:webHidden/>
                <w:sz w:val="22"/>
                <w:szCs w:val="22"/>
              </w:rPr>
              <w:instrText xml:space="preserve"> PAGEREF _Toc213350685 \h </w:instrText>
            </w:r>
            <w:r w:rsidRPr="007C70A3">
              <w:rPr>
                <w:rFonts w:ascii="Times New Roman" w:hAnsi="Times New Roman" w:cs="Times New Roman"/>
                <w:i w:val="0"/>
                <w:iCs w:val="0"/>
                <w:webHidden/>
                <w:sz w:val="22"/>
                <w:szCs w:val="22"/>
              </w:rPr>
            </w:r>
            <w:r w:rsidRPr="007C70A3">
              <w:rPr>
                <w:rFonts w:ascii="Times New Roman" w:hAnsi="Times New Roman" w:cs="Times New Roman"/>
                <w:i w:val="0"/>
                <w:iCs w:val="0"/>
                <w:webHidden/>
                <w:sz w:val="22"/>
                <w:szCs w:val="22"/>
              </w:rPr>
              <w:fldChar w:fldCharType="separate"/>
            </w:r>
            <w:r w:rsidR="007C70A3">
              <w:rPr>
                <w:rFonts w:ascii="Times New Roman" w:hAnsi="Times New Roman" w:cs="Times New Roman"/>
                <w:i w:val="0"/>
                <w:iCs w:val="0"/>
                <w:webHidden/>
                <w:sz w:val="22"/>
                <w:szCs w:val="22"/>
              </w:rPr>
              <w:t>12</w:t>
            </w:r>
            <w:r w:rsidRPr="007C70A3">
              <w:rPr>
                <w:rFonts w:ascii="Times New Roman" w:hAnsi="Times New Roman" w:cs="Times New Roman"/>
                <w:i w:val="0"/>
                <w:iCs w:val="0"/>
                <w:webHidden/>
                <w:sz w:val="22"/>
                <w:szCs w:val="22"/>
              </w:rPr>
              <w:fldChar w:fldCharType="end"/>
            </w:r>
          </w:hyperlink>
        </w:p>
        <w:p w14:paraId="2FB8D909" w14:textId="77777777" w:rsidR="00E65338" w:rsidRPr="007C70A3" w:rsidRDefault="00E65338" w:rsidP="007C70A3">
          <w:pPr>
            <w:pStyle w:val="TOC1"/>
            <w:tabs>
              <w:tab w:val="left" w:pos="440"/>
              <w:tab w:val="right" w:leader="dot" w:pos="9730"/>
            </w:tabs>
            <w:rPr>
              <w:rFonts w:ascii="Times New Roman" w:hAnsi="Times New Roman" w:cs="Times New Roman"/>
              <w:sz w:val="22"/>
              <w:szCs w:val="22"/>
            </w:rPr>
          </w:pPr>
          <w:hyperlink w:anchor="_Toc213350686" w:history="1">
            <w:r w:rsidRPr="007C70A3">
              <w:rPr>
                <w:rStyle w:val="Hyperlink"/>
                <w:rFonts w:ascii="Times New Roman" w:hAnsi="Times New Roman" w:cs="Times New Roman"/>
                <w:sz w:val="22"/>
                <w:szCs w:val="22"/>
              </w:rPr>
              <w:t>4.</w:t>
            </w:r>
            <w:r w:rsidRPr="007C70A3">
              <w:rPr>
                <w:rFonts w:ascii="Times New Roman" w:hAnsi="Times New Roman" w:cs="Times New Roman"/>
                <w:sz w:val="22"/>
                <w:szCs w:val="22"/>
              </w:rPr>
              <w:tab/>
            </w:r>
            <w:r w:rsidRPr="007C70A3">
              <w:rPr>
                <w:rStyle w:val="Hyperlink"/>
                <w:rFonts w:ascii="Times New Roman" w:hAnsi="Times New Roman" w:cs="Times New Roman"/>
                <w:sz w:val="22"/>
                <w:szCs w:val="22"/>
              </w:rPr>
              <w:t>Critical Discussion</w:t>
            </w:r>
            <w:r w:rsidRPr="007C70A3">
              <w:rPr>
                <w:rFonts w:ascii="Times New Roman" w:hAnsi="Times New Roman" w:cs="Times New Roman"/>
                <w:webHidden/>
                <w:sz w:val="22"/>
                <w:szCs w:val="22"/>
              </w:rPr>
              <w:tab/>
            </w:r>
            <w:r w:rsidRPr="007C70A3">
              <w:rPr>
                <w:rFonts w:ascii="Times New Roman" w:hAnsi="Times New Roman" w:cs="Times New Roman"/>
                <w:webHidden/>
                <w:sz w:val="22"/>
                <w:szCs w:val="22"/>
              </w:rPr>
              <w:fldChar w:fldCharType="begin"/>
            </w:r>
            <w:r w:rsidRPr="007C70A3">
              <w:rPr>
                <w:rFonts w:ascii="Times New Roman" w:hAnsi="Times New Roman" w:cs="Times New Roman"/>
                <w:webHidden/>
                <w:sz w:val="22"/>
                <w:szCs w:val="22"/>
              </w:rPr>
              <w:instrText xml:space="preserve"> PAGEREF _Toc213350686 \h </w:instrText>
            </w:r>
            <w:r w:rsidRPr="007C70A3">
              <w:rPr>
                <w:rFonts w:ascii="Times New Roman" w:hAnsi="Times New Roman" w:cs="Times New Roman"/>
                <w:webHidden/>
                <w:sz w:val="22"/>
                <w:szCs w:val="22"/>
              </w:rPr>
            </w:r>
            <w:r w:rsidRPr="007C70A3">
              <w:rPr>
                <w:rFonts w:ascii="Times New Roman" w:hAnsi="Times New Roman" w:cs="Times New Roman"/>
                <w:webHidden/>
                <w:sz w:val="22"/>
                <w:szCs w:val="22"/>
              </w:rPr>
              <w:fldChar w:fldCharType="separate"/>
            </w:r>
            <w:r w:rsidR="007C70A3">
              <w:rPr>
                <w:rFonts w:ascii="Times New Roman" w:hAnsi="Times New Roman" w:cs="Times New Roman"/>
                <w:webHidden/>
                <w:sz w:val="22"/>
                <w:szCs w:val="22"/>
              </w:rPr>
              <w:t>13</w:t>
            </w:r>
            <w:r w:rsidRPr="007C70A3">
              <w:rPr>
                <w:rFonts w:ascii="Times New Roman" w:hAnsi="Times New Roman" w:cs="Times New Roman"/>
                <w:webHidden/>
                <w:sz w:val="22"/>
                <w:szCs w:val="22"/>
              </w:rPr>
              <w:fldChar w:fldCharType="end"/>
            </w:r>
          </w:hyperlink>
        </w:p>
        <w:p w14:paraId="616B09FB" w14:textId="77777777" w:rsidR="00E65338" w:rsidRPr="007C70A3" w:rsidRDefault="00E65338" w:rsidP="007C70A3">
          <w:pPr>
            <w:pStyle w:val="TOC1"/>
            <w:tabs>
              <w:tab w:val="left" w:pos="440"/>
              <w:tab w:val="right" w:leader="dot" w:pos="9730"/>
            </w:tabs>
            <w:rPr>
              <w:rFonts w:ascii="Times New Roman" w:hAnsi="Times New Roman" w:cs="Times New Roman"/>
              <w:sz w:val="22"/>
              <w:szCs w:val="22"/>
            </w:rPr>
          </w:pPr>
          <w:hyperlink w:anchor="_Toc213350687" w:history="1">
            <w:r w:rsidRPr="007C70A3">
              <w:rPr>
                <w:rStyle w:val="Hyperlink"/>
                <w:rFonts w:ascii="Times New Roman" w:hAnsi="Times New Roman" w:cs="Times New Roman"/>
                <w:sz w:val="22"/>
                <w:szCs w:val="22"/>
              </w:rPr>
              <w:t>5.</w:t>
            </w:r>
            <w:r w:rsidRPr="007C70A3">
              <w:rPr>
                <w:rFonts w:ascii="Times New Roman" w:hAnsi="Times New Roman" w:cs="Times New Roman"/>
                <w:sz w:val="22"/>
                <w:szCs w:val="22"/>
              </w:rPr>
              <w:tab/>
            </w:r>
            <w:r w:rsidRPr="007C70A3">
              <w:rPr>
                <w:rStyle w:val="Hyperlink"/>
                <w:rFonts w:ascii="Times New Roman" w:hAnsi="Times New Roman" w:cs="Times New Roman"/>
                <w:sz w:val="22"/>
                <w:szCs w:val="22"/>
              </w:rPr>
              <w:t>Conclusion</w:t>
            </w:r>
            <w:r w:rsidRPr="007C70A3">
              <w:rPr>
                <w:rFonts w:ascii="Times New Roman" w:hAnsi="Times New Roman" w:cs="Times New Roman"/>
                <w:webHidden/>
                <w:sz w:val="22"/>
                <w:szCs w:val="22"/>
              </w:rPr>
              <w:tab/>
            </w:r>
            <w:r w:rsidRPr="007C70A3">
              <w:rPr>
                <w:rFonts w:ascii="Times New Roman" w:hAnsi="Times New Roman" w:cs="Times New Roman"/>
                <w:webHidden/>
                <w:sz w:val="22"/>
                <w:szCs w:val="22"/>
              </w:rPr>
              <w:fldChar w:fldCharType="begin"/>
            </w:r>
            <w:r w:rsidRPr="007C70A3">
              <w:rPr>
                <w:rFonts w:ascii="Times New Roman" w:hAnsi="Times New Roman" w:cs="Times New Roman"/>
                <w:webHidden/>
                <w:sz w:val="22"/>
                <w:szCs w:val="22"/>
              </w:rPr>
              <w:instrText xml:space="preserve"> PAGEREF _Toc213350687 \h </w:instrText>
            </w:r>
            <w:r w:rsidRPr="007C70A3">
              <w:rPr>
                <w:rFonts w:ascii="Times New Roman" w:hAnsi="Times New Roman" w:cs="Times New Roman"/>
                <w:webHidden/>
                <w:sz w:val="22"/>
                <w:szCs w:val="22"/>
              </w:rPr>
            </w:r>
            <w:r w:rsidRPr="007C70A3">
              <w:rPr>
                <w:rFonts w:ascii="Times New Roman" w:hAnsi="Times New Roman" w:cs="Times New Roman"/>
                <w:webHidden/>
                <w:sz w:val="22"/>
                <w:szCs w:val="22"/>
              </w:rPr>
              <w:fldChar w:fldCharType="separate"/>
            </w:r>
            <w:r w:rsidR="007C70A3">
              <w:rPr>
                <w:rFonts w:ascii="Times New Roman" w:hAnsi="Times New Roman" w:cs="Times New Roman"/>
                <w:webHidden/>
                <w:sz w:val="22"/>
                <w:szCs w:val="22"/>
              </w:rPr>
              <w:t>15</w:t>
            </w:r>
            <w:r w:rsidRPr="007C70A3">
              <w:rPr>
                <w:rFonts w:ascii="Times New Roman" w:hAnsi="Times New Roman" w:cs="Times New Roman"/>
                <w:webHidden/>
                <w:sz w:val="22"/>
                <w:szCs w:val="22"/>
              </w:rPr>
              <w:fldChar w:fldCharType="end"/>
            </w:r>
          </w:hyperlink>
        </w:p>
        <w:p w14:paraId="626AC89C" w14:textId="77777777" w:rsidR="00E65338" w:rsidRPr="007C70A3" w:rsidRDefault="00E65338" w:rsidP="007C70A3">
          <w:pPr>
            <w:pStyle w:val="TOC1"/>
            <w:tabs>
              <w:tab w:val="right" w:leader="dot" w:pos="9730"/>
            </w:tabs>
            <w:rPr>
              <w:rFonts w:ascii="Times New Roman" w:hAnsi="Times New Roman" w:cs="Times New Roman"/>
              <w:sz w:val="22"/>
              <w:szCs w:val="22"/>
            </w:rPr>
          </w:pPr>
          <w:hyperlink w:anchor="_Toc213350688" w:history="1">
            <w:r w:rsidRPr="007C70A3">
              <w:rPr>
                <w:rStyle w:val="Hyperlink"/>
                <w:rFonts w:ascii="Times New Roman" w:hAnsi="Times New Roman" w:cs="Times New Roman"/>
                <w:sz w:val="22"/>
                <w:szCs w:val="22"/>
              </w:rPr>
              <w:t>References</w:t>
            </w:r>
            <w:r w:rsidRPr="007C70A3">
              <w:rPr>
                <w:rFonts w:ascii="Times New Roman" w:hAnsi="Times New Roman" w:cs="Times New Roman"/>
                <w:webHidden/>
                <w:sz w:val="22"/>
                <w:szCs w:val="22"/>
              </w:rPr>
              <w:tab/>
            </w:r>
            <w:r w:rsidRPr="007C70A3">
              <w:rPr>
                <w:rFonts w:ascii="Times New Roman" w:hAnsi="Times New Roman" w:cs="Times New Roman"/>
                <w:webHidden/>
                <w:sz w:val="22"/>
                <w:szCs w:val="22"/>
              </w:rPr>
              <w:fldChar w:fldCharType="begin"/>
            </w:r>
            <w:r w:rsidRPr="007C70A3">
              <w:rPr>
                <w:rFonts w:ascii="Times New Roman" w:hAnsi="Times New Roman" w:cs="Times New Roman"/>
                <w:webHidden/>
                <w:sz w:val="22"/>
                <w:szCs w:val="22"/>
              </w:rPr>
              <w:instrText xml:space="preserve"> PAGEREF _Toc213350688 \h </w:instrText>
            </w:r>
            <w:r w:rsidRPr="007C70A3">
              <w:rPr>
                <w:rFonts w:ascii="Times New Roman" w:hAnsi="Times New Roman" w:cs="Times New Roman"/>
                <w:webHidden/>
                <w:sz w:val="22"/>
                <w:szCs w:val="22"/>
              </w:rPr>
            </w:r>
            <w:r w:rsidRPr="007C70A3">
              <w:rPr>
                <w:rFonts w:ascii="Times New Roman" w:hAnsi="Times New Roman" w:cs="Times New Roman"/>
                <w:webHidden/>
                <w:sz w:val="22"/>
                <w:szCs w:val="22"/>
              </w:rPr>
              <w:fldChar w:fldCharType="separate"/>
            </w:r>
            <w:r w:rsidR="007C70A3">
              <w:rPr>
                <w:rFonts w:ascii="Times New Roman" w:hAnsi="Times New Roman" w:cs="Times New Roman"/>
                <w:webHidden/>
                <w:sz w:val="22"/>
                <w:szCs w:val="22"/>
              </w:rPr>
              <w:t>16</w:t>
            </w:r>
            <w:r w:rsidRPr="007C70A3">
              <w:rPr>
                <w:rFonts w:ascii="Times New Roman" w:hAnsi="Times New Roman" w:cs="Times New Roman"/>
                <w:webHidden/>
                <w:sz w:val="22"/>
                <w:szCs w:val="22"/>
              </w:rPr>
              <w:fldChar w:fldCharType="end"/>
            </w:r>
          </w:hyperlink>
        </w:p>
        <w:p w14:paraId="359EEE20" w14:textId="77777777" w:rsidR="00E65338" w:rsidRPr="007C70A3" w:rsidRDefault="00E65338" w:rsidP="007C70A3">
          <w:pPr>
            <w:pStyle w:val="NoSpacing"/>
            <w:spacing w:line="360" w:lineRule="auto"/>
            <w:rPr>
              <w:rFonts w:ascii="Times New Roman" w:hAnsi="Times New Roman" w:cs="Times New Roman"/>
            </w:rPr>
          </w:pPr>
          <w:r w:rsidRPr="007C70A3">
            <w:rPr>
              <w:rFonts w:ascii="Times New Roman" w:hAnsi="Times New Roman" w:cs="Times New Roman"/>
            </w:rPr>
            <w:fldChar w:fldCharType="end"/>
          </w:r>
        </w:p>
      </w:sdtContent>
    </w:sdt>
    <w:p w14:paraId="2D221938" w14:textId="77777777" w:rsidR="00E65338" w:rsidRPr="007C70A3" w:rsidRDefault="00E65338" w:rsidP="007C70A3">
      <w:pPr>
        <w:spacing w:after="0"/>
        <w:jc w:val="left"/>
        <w:rPr>
          <w:rFonts w:ascii="Times New Roman" w:hAnsi="Times New Roman" w:cs="Times New Roman"/>
        </w:rPr>
      </w:pPr>
      <w:r w:rsidRPr="007C70A3">
        <w:rPr>
          <w:rFonts w:ascii="Times New Roman" w:hAnsi="Times New Roman" w:cs="Times New Roman"/>
        </w:rPr>
        <w:br w:type="page"/>
      </w:r>
    </w:p>
    <w:p w14:paraId="102E39C9" w14:textId="77777777" w:rsidR="00E65338" w:rsidRPr="007C70A3" w:rsidRDefault="00E65338" w:rsidP="007C70A3">
      <w:pPr>
        <w:pStyle w:val="Heading1"/>
        <w:numPr>
          <w:ilvl w:val="0"/>
          <w:numId w:val="0"/>
        </w:numPr>
        <w:rPr>
          <w:rFonts w:ascii="Times New Roman" w:hAnsi="Times New Roman" w:cs="Times New Roman"/>
        </w:rPr>
      </w:pPr>
      <w:r w:rsidRPr="007C70A3">
        <w:rPr>
          <w:rFonts w:ascii="Times New Roman" w:hAnsi="Times New Roman" w:cs="Times New Roman"/>
        </w:rPr>
        <w:lastRenderedPageBreak/>
        <w:t>Figures</w:t>
      </w:r>
    </w:p>
    <w:p w14:paraId="586B8F96" w14:textId="77777777" w:rsidR="006E0944" w:rsidRPr="007C70A3" w:rsidRDefault="00E65338" w:rsidP="007C70A3">
      <w:pPr>
        <w:pStyle w:val="TableofFigures"/>
        <w:tabs>
          <w:tab w:val="right" w:leader="dot" w:pos="9730"/>
        </w:tabs>
        <w:rPr>
          <w:rFonts w:ascii="Times New Roman" w:hAnsi="Times New Roman" w:cs="Times New Roman"/>
          <w:sz w:val="24"/>
          <w:szCs w:val="24"/>
        </w:rPr>
      </w:pPr>
      <w:r w:rsidRPr="007C70A3">
        <w:rPr>
          <w:rFonts w:ascii="Times New Roman" w:hAnsi="Times New Roman" w:cs="Times New Roman"/>
        </w:rPr>
        <w:fldChar w:fldCharType="begin"/>
      </w:r>
      <w:r w:rsidRPr="007C70A3">
        <w:rPr>
          <w:rFonts w:ascii="Times New Roman" w:hAnsi="Times New Roman" w:cs="Times New Roman"/>
        </w:rPr>
        <w:instrText xml:space="preserve"> TOC \h \z \c "Figure" </w:instrText>
      </w:r>
      <w:r w:rsidRPr="007C70A3">
        <w:rPr>
          <w:rFonts w:ascii="Times New Roman" w:hAnsi="Times New Roman" w:cs="Times New Roman"/>
        </w:rPr>
        <w:fldChar w:fldCharType="separate"/>
      </w:r>
      <w:hyperlink r:id="rId10" w:anchor="_Toc213351025" w:history="1">
        <w:r w:rsidR="006E0944" w:rsidRPr="007C70A3">
          <w:rPr>
            <w:rStyle w:val="Hyperlink"/>
            <w:rFonts w:ascii="Times New Roman" w:hAnsi="Times New Roman" w:cs="Times New Roman"/>
          </w:rPr>
          <w:t>Figure 1</w:t>
        </w:r>
        <w:r w:rsidR="006E0944" w:rsidRPr="007C70A3">
          <w:rPr>
            <w:rStyle w:val="Hyperlink"/>
            <w:rFonts w:ascii="Times New Roman" w:hAnsi="Times New Roman" w:cs="Times New Roman"/>
            <w:lang w:val="en-US"/>
          </w:rPr>
          <w:t xml:space="preserve">: Main Changes in </w:t>
        </w:r>
        <w:r w:rsidR="006E0944" w:rsidRPr="007C70A3">
          <w:rPr>
            <w:rStyle w:val="Hyperlink"/>
            <w:rFonts w:ascii="Times New Roman" w:hAnsi="Times New Roman" w:cs="Times New Roman"/>
          </w:rPr>
          <w:t>ISO/IEC 27001:2022</w:t>
        </w:r>
        <w:r w:rsidR="006E0944" w:rsidRPr="007C70A3">
          <w:rPr>
            <w:rFonts w:ascii="Times New Roman" w:hAnsi="Times New Roman" w:cs="Times New Roman"/>
            <w:webHidden/>
          </w:rPr>
          <w:tab/>
        </w:r>
        <w:r w:rsidR="006E0944" w:rsidRPr="007C70A3">
          <w:rPr>
            <w:rFonts w:ascii="Times New Roman" w:hAnsi="Times New Roman" w:cs="Times New Roman"/>
            <w:webHidden/>
          </w:rPr>
          <w:fldChar w:fldCharType="begin"/>
        </w:r>
        <w:r w:rsidR="006E0944" w:rsidRPr="007C70A3">
          <w:rPr>
            <w:rFonts w:ascii="Times New Roman" w:hAnsi="Times New Roman" w:cs="Times New Roman"/>
            <w:webHidden/>
          </w:rPr>
          <w:instrText xml:space="preserve"> PAGEREF _Toc213351025 \h </w:instrText>
        </w:r>
        <w:r w:rsidR="006E0944" w:rsidRPr="007C70A3">
          <w:rPr>
            <w:rFonts w:ascii="Times New Roman" w:hAnsi="Times New Roman" w:cs="Times New Roman"/>
            <w:webHidden/>
          </w:rPr>
        </w:r>
        <w:r w:rsidR="006E0944" w:rsidRPr="007C70A3">
          <w:rPr>
            <w:rFonts w:ascii="Times New Roman" w:hAnsi="Times New Roman" w:cs="Times New Roman"/>
            <w:webHidden/>
          </w:rPr>
          <w:fldChar w:fldCharType="separate"/>
        </w:r>
        <w:r w:rsidR="00C97291" w:rsidRPr="007C70A3">
          <w:rPr>
            <w:rFonts w:ascii="Times New Roman" w:hAnsi="Times New Roman" w:cs="Times New Roman"/>
            <w:webHidden/>
          </w:rPr>
          <w:t>2</w:t>
        </w:r>
        <w:r w:rsidR="006E0944" w:rsidRPr="007C70A3">
          <w:rPr>
            <w:rFonts w:ascii="Times New Roman" w:hAnsi="Times New Roman" w:cs="Times New Roman"/>
            <w:webHidden/>
          </w:rPr>
          <w:fldChar w:fldCharType="end"/>
        </w:r>
      </w:hyperlink>
    </w:p>
    <w:p w14:paraId="317056D8" w14:textId="77777777" w:rsidR="006E0944" w:rsidRPr="007C70A3" w:rsidRDefault="006E0944" w:rsidP="007C70A3">
      <w:pPr>
        <w:pStyle w:val="TableofFigures"/>
        <w:tabs>
          <w:tab w:val="right" w:leader="dot" w:pos="9730"/>
        </w:tabs>
        <w:rPr>
          <w:rFonts w:ascii="Times New Roman" w:hAnsi="Times New Roman" w:cs="Times New Roman"/>
          <w:sz w:val="24"/>
          <w:szCs w:val="24"/>
        </w:rPr>
      </w:pPr>
      <w:hyperlink r:id="rId11" w:anchor="_Toc213351026" w:history="1">
        <w:r w:rsidRPr="007C70A3">
          <w:rPr>
            <w:rStyle w:val="Hyperlink"/>
            <w:rFonts w:ascii="Times New Roman" w:hAnsi="Times New Roman" w:cs="Times New Roman"/>
          </w:rPr>
          <w:t>Figure 2</w:t>
        </w:r>
        <w:r w:rsidRPr="007C70A3">
          <w:rPr>
            <w:rStyle w:val="Hyperlink"/>
            <w:rFonts w:ascii="Times New Roman" w:hAnsi="Times New Roman" w:cs="Times New Roman"/>
            <w:lang w:val="en-US"/>
          </w:rPr>
          <w:t>: Functions of NSF</w:t>
        </w:r>
        <w:r w:rsidRPr="007C70A3">
          <w:rPr>
            <w:rFonts w:ascii="Times New Roman" w:hAnsi="Times New Roman" w:cs="Times New Roman"/>
            <w:webHidden/>
          </w:rPr>
          <w:tab/>
        </w:r>
        <w:r w:rsidRPr="007C70A3">
          <w:rPr>
            <w:rFonts w:ascii="Times New Roman" w:hAnsi="Times New Roman" w:cs="Times New Roman"/>
            <w:webHidden/>
          </w:rPr>
          <w:fldChar w:fldCharType="begin"/>
        </w:r>
        <w:r w:rsidRPr="007C70A3">
          <w:rPr>
            <w:rFonts w:ascii="Times New Roman" w:hAnsi="Times New Roman" w:cs="Times New Roman"/>
            <w:webHidden/>
          </w:rPr>
          <w:instrText xml:space="preserve"> PAGEREF _Toc213351026 \h </w:instrText>
        </w:r>
        <w:r w:rsidRPr="007C70A3">
          <w:rPr>
            <w:rFonts w:ascii="Times New Roman" w:hAnsi="Times New Roman" w:cs="Times New Roman"/>
            <w:webHidden/>
          </w:rPr>
        </w:r>
        <w:r w:rsidRPr="007C70A3">
          <w:rPr>
            <w:rFonts w:ascii="Times New Roman" w:hAnsi="Times New Roman" w:cs="Times New Roman"/>
            <w:webHidden/>
          </w:rPr>
          <w:fldChar w:fldCharType="separate"/>
        </w:r>
        <w:r w:rsidR="00C97291" w:rsidRPr="007C70A3">
          <w:rPr>
            <w:rFonts w:ascii="Times New Roman" w:hAnsi="Times New Roman" w:cs="Times New Roman"/>
            <w:webHidden/>
          </w:rPr>
          <w:t>3</w:t>
        </w:r>
        <w:r w:rsidRPr="007C70A3">
          <w:rPr>
            <w:rFonts w:ascii="Times New Roman" w:hAnsi="Times New Roman" w:cs="Times New Roman"/>
            <w:webHidden/>
          </w:rPr>
          <w:fldChar w:fldCharType="end"/>
        </w:r>
      </w:hyperlink>
    </w:p>
    <w:p w14:paraId="3DC05EC8" w14:textId="77777777" w:rsidR="006E0944" w:rsidRPr="007C70A3" w:rsidRDefault="006E0944" w:rsidP="007C70A3">
      <w:pPr>
        <w:pStyle w:val="TableofFigures"/>
        <w:tabs>
          <w:tab w:val="right" w:leader="dot" w:pos="9730"/>
        </w:tabs>
        <w:rPr>
          <w:rFonts w:ascii="Times New Roman" w:hAnsi="Times New Roman" w:cs="Times New Roman"/>
          <w:sz w:val="24"/>
          <w:szCs w:val="24"/>
        </w:rPr>
      </w:pPr>
      <w:hyperlink r:id="rId12" w:anchor="_Toc213351027" w:history="1">
        <w:r w:rsidRPr="007C70A3">
          <w:rPr>
            <w:rStyle w:val="Hyperlink"/>
            <w:rFonts w:ascii="Times New Roman" w:hAnsi="Times New Roman" w:cs="Times New Roman"/>
          </w:rPr>
          <w:t>Figure 3</w:t>
        </w:r>
        <w:r w:rsidRPr="007C70A3">
          <w:rPr>
            <w:rStyle w:val="Hyperlink"/>
            <w:rFonts w:ascii="Times New Roman" w:hAnsi="Times New Roman" w:cs="Times New Roman"/>
            <w:lang w:val="en-US"/>
          </w:rPr>
          <w:t>: Key Components of COBIT 2019</w:t>
        </w:r>
        <w:r w:rsidRPr="007C70A3">
          <w:rPr>
            <w:rFonts w:ascii="Times New Roman" w:hAnsi="Times New Roman" w:cs="Times New Roman"/>
            <w:webHidden/>
          </w:rPr>
          <w:tab/>
        </w:r>
        <w:r w:rsidRPr="007C70A3">
          <w:rPr>
            <w:rFonts w:ascii="Times New Roman" w:hAnsi="Times New Roman" w:cs="Times New Roman"/>
            <w:webHidden/>
          </w:rPr>
          <w:fldChar w:fldCharType="begin"/>
        </w:r>
        <w:r w:rsidRPr="007C70A3">
          <w:rPr>
            <w:rFonts w:ascii="Times New Roman" w:hAnsi="Times New Roman" w:cs="Times New Roman"/>
            <w:webHidden/>
          </w:rPr>
          <w:instrText xml:space="preserve"> PAGEREF _Toc213351027 \h </w:instrText>
        </w:r>
        <w:r w:rsidRPr="007C70A3">
          <w:rPr>
            <w:rFonts w:ascii="Times New Roman" w:hAnsi="Times New Roman" w:cs="Times New Roman"/>
            <w:webHidden/>
          </w:rPr>
        </w:r>
        <w:r w:rsidRPr="007C70A3">
          <w:rPr>
            <w:rFonts w:ascii="Times New Roman" w:hAnsi="Times New Roman" w:cs="Times New Roman"/>
            <w:webHidden/>
          </w:rPr>
          <w:fldChar w:fldCharType="separate"/>
        </w:r>
        <w:r w:rsidR="00C97291" w:rsidRPr="007C70A3">
          <w:rPr>
            <w:rFonts w:ascii="Times New Roman" w:hAnsi="Times New Roman" w:cs="Times New Roman"/>
            <w:webHidden/>
          </w:rPr>
          <w:t>3</w:t>
        </w:r>
        <w:r w:rsidRPr="007C70A3">
          <w:rPr>
            <w:rFonts w:ascii="Times New Roman" w:hAnsi="Times New Roman" w:cs="Times New Roman"/>
            <w:webHidden/>
          </w:rPr>
          <w:fldChar w:fldCharType="end"/>
        </w:r>
      </w:hyperlink>
    </w:p>
    <w:p w14:paraId="1800EEFB" w14:textId="77777777" w:rsidR="006E0944" w:rsidRPr="007C70A3" w:rsidRDefault="006E0944" w:rsidP="007C70A3">
      <w:pPr>
        <w:pStyle w:val="TableofFigures"/>
        <w:tabs>
          <w:tab w:val="right" w:leader="dot" w:pos="9730"/>
        </w:tabs>
        <w:rPr>
          <w:rFonts w:ascii="Times New Roman" w:hAnsi="Times New Roman" w:cs="Times New Roman"/>
          <w:sz w:val="24"/>
          <w:szCs w:val="24"/>
        </w:rPr>
      </w:pPr>
      <w:hyperlink r:id="rId13" w:anchor="_Toc213351028" w:history="1">
        <w:r w:rsidRPr="007C70A3">
          <w:rPr>
            <w:rStyle w:val="Hyperlink"/>
            <w:rFonts w:ascii="Times New Roman" w:hAnsi="Times New Roman" w:cs="Times New Roman"/>
          </w:rPr>
          <w:t>Figure 4</w:t>
        </w:r>
        <w:r w:rsidRPr="007C70A3">
          <w:rPr>
            <w:rStyle w:val="Hyperlink"/>
            <w:rFonts w:ascii="Times New Roman" w:hAnsi="Times New Roman" w:cs="Times New Roman"/>
            <w:lang w:val="en-US"/>
          </w:rPr>
          <w:t>: K</w:t>
        </w:r>
        <w:r w:rsidR="00D05146">
          <w:rPr>
            <w:rStyle w:val="Hyperlink"/>
            <w:rFonts w:ascii="Times New Roman" w:hAnsi="Times New Roman" w:cs="Times New Roman"/>
            <w:lang w:val="en-US"/>
          </w:rPr>
          <w:t>e</w:t>
        </w:r>
        <w:r w:rsidRPr="007C70A3">
          <w:rPr>
            <w:rStyle w:val="Hyperlink"/>
            <w:rFonts w:ascii="Times New Roman" w:hAnsi="Times New Roman" w:cs="Times New Roman"/>
            <w:lang w:val="en-US"/>
          </w:rPr>
          <w:t>y Components of Zero Trust Architecture</w:t>
        </w:r>
        <w:r w:rsidRPr="007C70A3">
          <w:rPr>
            <w:rFonts w:ascii="Times New Roman" w:hAnsi="Times New Roman" w:cs="Times New Roman"/>
            <w:webHidden/>
          </w:rPr>
          <w:tab/>
        </w:r>
        <w:r w:rsidRPr="007C70A3">
          <w:rPr>
            <w:rFonts w:ascii="Times New Roman" w:hAnsi="Times New Roman" w:cs="Times New Roman"/>
            <w:webHidden/>
          </w:rPr>
          <w:fldChar w:fldCharType="begin"/>
        </w:r>
        <w:r w:rsidRPr="007C70A3">
          <w:rPr>
            <w:rFonts w:ascii="Times New Roman" w:hAnsi="Times New Roman" w:cs="Times New Roman"/>
            <w:webHidden/>
          </w:rPr>
          <w:instrText xml:space="preserve"> PAGEREF _Toc213351028 \h </w:instrText>
        </w:r>
        <w:r w:rsidRPr="007C70A3">
          <w:rPr>
            <w:rFonts w:ascii="Times New Roman" w:hAnsi="Times New Roman" w:cs="Times New Roman"/>
            <w:webHidden/>
          </w:rPr>
        </w:r>
        <w:r w:rsidRPr="007C70A3">
          <w:rPr>
            <w:rFonts w:ascii="Times New Roman" w:hAnsi="Times New Roman" w:cs="Times New Roman"/>
            <w:webHidden/>
          </w:rPr>
          <w:fldChar w:fldCharType="separate"/>
        </w:r>
        <w:r w:rsidR="00C97291" w:rsidRPr="007C70A3">
          <w:rPr>
            <w:rFonts w:ascii="Times New Roman" w:hAnsi="Times New Roman" w:cs="Times New Roman"/>
            <w:webHidden/>
          </w:rPr>
          <w:t>4</w:t>
        </w:r>
        <w:r w:rsidRPr="007C70A3">
          <w:rPr>
            <w:rFonts w:ascii="Times New Roman" w:hAnsi="Times New Roman" w:cs="Times New Roman"/>
            <w:webHidden/>
          </w:rPr>
          <w:fldChar w:fldCharType="end"/>
        </w:r>
      </w:hyperlink>
    </w:p>
    <w:p w14:paraId="76DCE23B" w14:textId="77777777" w:rsidR="006E0944" w:rsidRPr="007C70A3" w:rsidRDefault="006E0944" w:rsidP="007C70A3">
      <w:pPr>
        <w:pStyle w:val="TableofFigures"/>
        <w:tabs>
          <w:tab w:val="right" w:leader="dot" w:pos="9730"/>
        </w:tabs>
        <w:rPr>
          <w:rFonts w:ascii="Times New Roman" w:hAnsi="Times New Roman" w:cs="Times New Roman"/>
          <w:sz w:val="24"/>
          <w:szCs w:val="24"/>
        </w:rPr>
      </w:pPr>
      <w:hyperlink r:id="rId14" w:anchor="_Toc213351029" w:history="1">
        <w:r w:rsidRPr="007C70A3">
          <w:rPr>
            <w:rStyle w:val="Hyperlink"/>
            <w:rFonts w:ascii="Times New Roman" w:hAnsi="Times New Roman" w:cs="Times New Roman"/>
          </w:rPr>
          <w:t>Figure 5</w:t>
        </w:r>
        <w:r w:rsidRPr="007C70A3">
          <w:rPr>
            <w:rStyle w:val="Hyperlink"/>
            <w:rFonts w:ascii="Times New Roman" w:hAnsi="Times New Roman" w:cs="Times New Roman"/>
            <w:lang w:val="en-US"/>
          </w:rPr>
          <w:t>: Layered “Onion” Model of Integrated Data Security, Governance, and Compliance Framework for NatureGreen (NG).</w:t>
        </w:r>
        <w:r w:rsidRPr="007C70A3">
          <w:rPr>
            <w:rFonts w:ascii="Times New Roman" w:hAnsi="Times New Roman" w:cs="Times New Roman"/>
            <w:webHidden/>
          </w:rPr>
          <w:tab/>
        </w:r>
        <w:r w:rsidRPr="007C70A3">
          <w:rPr>
            <w:rFonts w:ascii="Times New Roman" w:hAnsi="Times New Roman" w:cs="Times New Roman"/>
            <w:webHidden/>
          </w:rPr>
          <w:fldChar w:fldCharType="begin"/>
        </w:r>
        <w:r w:rsidRPr="007C70A3">
          <w:rPr>
            <w:rFonts w:ascii="Times New Roman" w:hAnsi="Times New Roman" w:cs="Times New Roman"/>
            <w:webHidden/>
          </w:rPr>
          <w:instrText xml:space="preserve"> PAGEREF _Toc213351029 \h </w:instrText>
        </w:r>
        <w:r w:rsidRPr="007C70A3">
          <w:rPr>
            <w:rFonts w:ascii="Times New Roman" w:hAnsi="Times New Roman" w:cs="Times New Roman"/>
            <w:webHidden/>
          </w:rPr>
        </w:r>
        <w:r w:rsidRPr="007C70A3">
          <w:rPr>
            <w:rFonts w:ascii="Times New Roman" w:hAnsi="Times New Roman" w:cs="Times New Roman"/>
            <w:webHidden/>
          </w:rPr>
          <w:fldChar w:fldCharType="separate"/>
        </w:r>
        <w:r w:rsidR="00C97291" w:rsidRPr="007C70A3">
          <w:rPr>
            <w:rFonts w:ascii="Times New Roman" w:hAnsi="Times New Roman" w:cs="Times New Roman"/>
            <w:webHidden/>
          </w:rPr>
          <w:t>6</w:t>
        </w:r>
        <w:r w:rsidRPr="007C70A3">
          <w:rPr>
            <w:rFonts w:ascii="Times New Roman" w:hAnsi="Times New Roman" w:cs="Times New Roman"/>
            <w:webHidden/>
          </w:rPr>
          <w:fldChar w:fldCharType="end"/>
        </w:r>
      </w:hyperlink>
    </w:p>
    <w:p w14:paraId="12DFE37A" w14:textId="77777777" w:rsidR="006E0944" w:rsidRPr="007C70A3" w:rsidRDefault="006E0944" w:rsidP="007C70A3">
      <w:pPr>
        <w:pStyle w:val="TableofFigures"/>
        <w:tabs>
          <w:tab w:val="right" w:leader="dot" w:pos="9730"/>
        </w:tabs>
        <w:rPr>
          <w:rFonts w:ascii="Times New Roman" w:hAnsi="Times New Roman" w:cs="Times New Roman"/>
          <w:sz w:val="24"/>
          <w:szCs w:val="24"/>
        </w:rPr>
      </w:pPr>
      <w:hyperlink w:anchor="_Toc213351030" w:history="1">
        <w:r w:rsidRPr="007C70A3">
          <w:rPr>
            <w:rStyle w:val="Hyperlink"/>
            <w:rFonts w:ascii="Times New Roman" w:hAnsi="Times New Roman" w:cs="Times New Roman"/>
          </w:rPr>
          <w:t>Figure 6</w:t>
        </w:r>
        <w:r w:rsidRPr="007C70A3">
          <w:rPr>
            <w:rStyle w:val="Hyperlink"/>
            <w:rFonts w:ascii="Times New Roman" w:hAnsi="Times New Roman" w:cs="Times New Roman"/>
            <w:lang w:val="en-US"/>
          </w:rPr>
          <w:t xml:space="preserve">: </w:t>
        </w:r>
        <w:r w:rsidRPr="007C70A3">
          <w:rPr>
            <w:rStyle w:val="Hyperlink"/>
            <w:rFonts w:ascii="Times New Roman" w:hAnsi="Times New Roman" w:cs="Times New Roman"/>
          </w:rPr>
          <w:t>Zero Trust Enforcement Architecture</w:t>
        </w:r>
        <w:r w:rsidRPr="007C70A3">
          <w:rPr>
            <w:rFonts w:ascii="Times New Roman" w:hAnsi="Times New Roman" w:cs="Times New Roman"/>
            <w:webHidden/>
          </w:rPr>
          <w:tab/>
        </w:r>
        <w:r w:rsidRPr="007C70A3">
          <w:rPr>
            <w:rFonts w:ascii="Times New Roman" w:hAnsi="Times New Roman" w:cs="Times New Roman"/>
            <w:webHidden/>
          </w:rPr>
          <w:fldChar w:fldCharType="begin"/>
        </w:r>
        <w:r w:rsidRPr="007C70A3">
          <w:rPr>
            <w:rFonts w:ascii="Times New Roman" w:hAnsi="Times New Roman" w:cs="Times New Roman"/>
            <w:webHidden/>
          </w:rPr>
          <w:instrText xml:space="preserve"> PAGEREF _Toc213351030 \h </w:instrText>
        </w:r>
        <w:r w:rsidRPr="007C70A3">
          <w:rPr>
            <w:rFonts w:ascii="Times New Roman" w:hAnsi="Times New Roman" w:cs="Times New Roman"/>
            <w:webHidden/>
          </w:rPr>
        </w:r>
        <w:r w:rsidRPr="007C70A3">
          <w:rPr>
            <w:rFonts w:ascii="Times New Roman" w:hAnsi="Times New Roman" w:cs="Times New Roman"/>
            <w:webHidden/>
          </w:rPr>
          <w:fldChar w:fldCharType="separate"/>
        </w:r>
        <w:r w:rsidR="00C97291" w:rsidRPr="007C70A3">
          <w:rPr>
            <w:rFonts w:ascii="Times New Roman" w:hAnsi="Times New Roman" w:cs="Times New Roman"/>
            <w:webHidden/>
          </w:rPr>
          <w:t>8</w:t>
        </w:r>
        <w:r w:rsidRPr="007C70A3">
          <w:rPr>
            <w:rFonts w:ascii="Times New Roman" w:hAnsi="Times New Roman" w:cs="Times New Roman"/>
            <w:webHidden/>
          </w:rPr>
          <w:fldChar w:fldCharType="end"/>
        </w:r>
      </w:hyperlink>
    </w:p>
    <w:p w14:paraId="3226847B" w14:textId="77777777" w:rsidR="006E0944" w:rsidRPr="007C70A3" w:rsidRDefault="006E0944" w:rsidP="007C70A3">
      <w:pPr>
        <w:pStyle w:val="TableofFigures"/>
        <w:tabs>
          <w:tab w:val="right" w:leader="dot" w:pos="9730"/>
        </w:tabs>
        <w:rPr>
          <w:rFonts w:ascii="Times New Roman" w:hAnsi="Times New Roman" w:cs="Times New Roman"/>
          <w:sz w:val="24"/>
          <w:szCs w:val="24"/>
        </w:rPr>
      </w:pPr>
      <w:hyperlink r:id="rId15" w:anchor="_Toc213351031" w:history="1">
        <w:r w:rsidRPr="007C70A3">
          <w:rPr>
            <w:rStyle w:val="Hyperlink"/>
            <w:rFonts w:ascii="Times New Roman" w:hAnsi="Times New Roman" w:cs="Times New Roman"/>
          </w:rPr>
          <w:t>Figure 7</w:t>
        </w:r>
        <w:r w:rsidRPr="007C70A3">
          <w:rPr>
            <w:rStyle w:val="Hyperlink"/>
            <w:rFonts w:ascii="Times New Roman" w:hAnsi="Times New Roman" w:cs="Times New Roman"/>
            <w:lang w:val="en-US"/>
          </w:rPr>
          <w:t>: Cloud-Security Controls</w:t>
        </w:r>
        <w:r w:rsidRPr="007C70A3">
          <w:rPr>
            <w:rFonts w:ascii="Times New Roman" w:hAnsi="Times New Roman" w:cs="Times New Roman"/>
            <w:webHidden/>
          </w:rPr>
          <w:tab/>
        </w:r>
        <w:r w:rsidRPr="007C70A3">
          <w:rPr>
            <w:rFonts w:ascii="Times New Roman" w:hAnsi="Times New Roman" w:cs="Times New Roman"/>
            <w:webHidden/>
          </w:rPr>
          <w:fldChar w:fldCharType="begin"/>
        </w:r>
        <w:r w:rsidRPr="007C70A3">
          <w:rPr>
            <w:rFonts w:ascii="Times New Roman" w:hAnsi="Times New Roman" w:cs="Times New Roman"/>
            <w:webHidden/>
          </w:rPr>
          <w:instrText xml:space="preserve"> PAGEREF _Toc213351031 \h </w:instrText>
        </w:r>
        <w:r w:rsidRPr="007C70A3">
          <w:rPr>
            <w:rFonts w:ascii="Times New Roman" w:hAnsi="Times New Roman" w:cs="Times New Roman"/>
            <w:webHidden/>
          </w:rPr>
        </w:r>
        <w:r w:rsidRPr="007C70A3">
          <w:rPr>
            <w:rFonts w:ascii="Times New Roman" w:hAnsi="Times New Roman" w:cs="Times New Roman"/>
            <w:webHidden/>
          </w:rPr>
          <w:fldChar w:fldCharType="separate"/>
        </w:r>
        <w:r w:rsidR="00C97291" w:rsidRPr="007C70A3">
          <w:rPr>
            <w:rFonts w:ascii="Times New Roman" w:hAnsi="Times New Roman" w:cs="Times New Roman"/>
            <w:webHidden/>
          </w:rPr>
          <w:t>9</w:t>
        </w:r>
        <w:r w:rsidRPr="007C70A3">
          <w:rPr>
            <w:rFonts w:ascii="Times New Roman" w:hAnsi="Times New Roman" w:cs="Times New Roman"/>
            <w:webHidden/>
          </w:rPr>
          <w:fldChar w:fldCharType="end"/>
        </w:r>
      </w:hyperlink>
    </w:p>
    <w:p w14:paraId="0AB52F44" w14:textId="77777777" w:rsidR="006E0944" w:rsidRPr="007C70A3" w:rsidRDefault="006E0944" w:rsidP="007C70A3">
      <w:pPr>
        <w:pStyle w:val="TableofFigures"/>
        <w:tabs>
          <w:tab w:val="right" w:leader="dot" w:pos="9730"/>
        </w:tabs>
        <w:rPr>
          <w:rFonts w:ascii="Times New Roman" w:hAnsi="Times New Roman" w:cs="Times New Roman"/>
          <w:sz w:val="24"/>
          <w:szCs w:val="24"/>
        </w:rPr>
      </w:pPr>
      <w:hyperlink w:anchor="_Toc213351032" w:history="1">
        <w:r w:rsidRPr="007C70A3">
          <w:rPr>
            <w:rStyle w:val="Hyperlink"/>
            <w:rFonts w:ascii="Times New Roman" w:hAnsi="Times New Roman" w:cs="Times New Roman"/>
          </w:rPr>
          <w:t>Figure 8</w:t>
        </w:r>
        <w:r w:rsidRPr="007C70A3">
          <w:rPr>
            <w:rStyle w:val="Hyperlink"/>
            <w:rFonts w:ascii="Times New Roman" w:hAnsi="Times New Roman" w:cs="Times New Roman"/>
            <w:lang w:val="en-US"/>
          </w:rPr>
          <w:t>: Privacy and Legal-Compliance Architecture</w:t>
        </w:r>
        <w:r w:rsidRPr="007C70A3">
          <w:rPr>
            <w:rFonts w:ascii="Times New Roman" w:hAnsi="Times New Roman" w:cs="Times New Roman"/>
            <w:webHidden/>
          </w:rPr>
          <w:tab/>
        </w:r>
        <w:r w:rsidRPr="007C70A3">
          <w:rPr>
            <w:rFonts w:ascii="Times New Roman" w:hAnsi="Times New Roman" w:cs="Times New Roman"/>
            <w:webHidden/>
          </w:rPr>
          <w:fldChar w:fldCharType="begin"/>
        </w:r>
        <w:r w:rsidRPr="007C70A3">
          <w:rPr>
            <w:rFonts w:ascii="Times New Roman" w:hAnsi="Times New Roman" w:cs="Times New Roman"/>
            <w:webHidden/>
          </w:rPr>
          <w:instrText xml:space="preserve"> PAGEREF _Toc213351032 \h </w:instrText>
        </w:r>
        <w:r w:rsidRPr="007C70A3">
          <w:rPr>
            <w:rFonts w:ascii="Times New Roman" w:hAnsi="Times New Roman" w:cs="Times New Roman"/>
            <w:webHidden/>
          </w:rPr>
        </w:r>
        <w:r w:rsidRPr="007C70A3">
          <w:rPr>
            <w:rFonts w:ascii="Times New Roman" w:hAnsi="Times New Roman" w:cs="Times New Roman"/>
            <w:webHidden/>
          </w:rPr>
          <w:fldChar w:fldCharType="separate"/>
        </w:r>
        <w:r w:rsidR="00C97291" w:rsidRPr="007C70A3">
          <w:rPr>
            <w:rFonts w:ascii="Times New Roman" w:hAnsi="Times New Roman" w:cs="Times New Roman"/>
            <w:webHidden/>
          </w:rPr>
          <w:t>10</w:t>
        </w:r>
        <w:r w:rsidRPr="007C70A3">
          <w:rPr>
            <w:rFonts w:ascii="Times New Roman" w:hAnsi="Times New Roman" w:cs="Times New Roman"/>
            <w:webHidden/>
          </w:rPr>
          <w:fldChar w:fldCharType="end"/>
        </w:r>
      </w:hyperlink>
    </w:p>
    <w:p w14:paraId="63E2E93E" w14:textId="77777777" w:rsidR="006E0944" w:rsidRPr="007C70A3" w:rsidRDefault="006E0944" w:rsidP="007C70A3">
      <w:pPr>
        <w:pStyle w:val="TableofFigures"/>
        <w:tabs>
          <w:tab w:val="right" w:leader="dot" w:pos="9730"/>
        </w:tabs>
        <w:rPr>
          <w:rFonts w:ascii="Times New Roman" w:hAnsi="Times New Roman" w:cs="Times New Roman"/>
          <w:sz w:val="24"/>
          <w:szCs w:val="24"/>
        </w:rPr>
      </w:pPr>
      <w:hyperlink r:id="rId16" w:anchor="_Toc213351033" w:history="1">
        <w:r w:rsidRPr="007C70A3">
          <w:rPr>
            <w:rStyle w:val="Hyperlink"/>
            <w:rFonts w:ascii="Times New Roman" w:hAnsi="Times New Roman" w:cs="Times New Roman"/>
          </w:rPr>
          <w:t>Figure 9</w:t>
        </w:r>
        <w:r w:rsidRPr="007C70A3">
          <w:rPr>
            <w:rStyle w:val="Hyperlink"/>
            <w:rFonts w:ascii="Times New Roman" w:hAnsi="Times New Roman" w:cs="Times New Roman"/>
            <w:lang w:val="en-US"/>
          </w:rPr>
          <w:t xml:space="preserve">: </w:t>
        </w:r>
        <w:r w:rsidRPr="007C70A3">
          <w:rPr>
            <w:rStyle w:val="Hyperlink"/>
            <w:rFonts w:ascii="Times New Roman" w:hAnsi="Times New Roman" w:cs="Times New Roman"/>
          </w:rPr>
          <w:t>Unified Monitoring, Detection, and Response Ecosystem</w:t>
        </w:r>
        <w:r w:rsidRPr="007C70A3">
          <w:rPr>
            <w:rFonts w:ascii="Times New Roman" w:hAnsi="Times New Roman" w:cs="Times New Roman"/>
            <w:webHidden/>
          </w:rPr>
          <w:tab/>
        </w:r>
        <w:r w:rsidRPr="007C70A3">
          <w:rPr>
            <w:rFonts w:ascii="Times New Roman" w:hAnsi="Times New Roman" w:cs="Times New Roman"/>
            <w:webHidden/>
          </w:rPr>
          <w:fldChar w:fldCharType="begin"/>
        </w:r>
        <w:r w:rsidRPr="007C70A3">
          <w:rPr>
            <w:rFonts w:ascii="Times New Roman" w:hAnsi="Times New Roman" w:cs="Times New Roman"/>
            <w:webHidden/>
          </w:rPr>
          <w:instrText xml:space="preserve"> PAGEREF _Toc213351033 \h </w:instrText>
        </w:r>
        <w:r w:rsidRPr="007C70A3">
          <w:rPr>
            <w:rFonts w:ascii="Times New Roman" w:hAnsi="Times New Roman" w:cs="Times New Roman"/>
            <w:webHidden/>
          </w:rPr>
        </w:r>
        <w:r w:rsidRPr="007C70A3">
          <w:rPr>
            <w:rFonts w:ascii="Times New Roman" w:hAnsi="Times New Roman" w:cs="Times New Roman"/>
            <w:webHidden/>
          </w:rPr>
          <w:fldChar w:fldCharType="separate"/>
        </w:r>
        <w:r w:rsidR="00C97291" w:rsidRPr="007C70A3">
          <w:rPr>
            <w:rFonts w:ascii="Times New Roman" w:hAnsi="Times New Roman" w:cs="Times New Roman"/>
            <w:webHidden/>
          </w:rPr>
          <w:t>11</w:t>
        </w:r>
        <w:r w:rsidRPr="007C70A3">
          <w:rPr>
            <w:rFonts w:ascii="Times New Roman" w:hAnsi="Times New Roman" w:cs="Times New Roman"/>
            <w:webHidden/>
          </w:rPr>
          <w:fldChar w:fldCharType="end"/>
        </w:r>
      </w:hyperlink>
    </w:p>
    <w:p w14:paraId="131AC971" w14:textId="77777777" w:rsidR="00E65338" w:rsidRPr="007C70A3" w:rsidRDefault="00E65338" w:rsidP="007C70A3">
      <w:pPr>
        <w:rPr>
          <w:rFonts w:ascii="Times New Roman" w:hAnsi="Times New Roman" w:cs="Times New Roman"/>
        </w:rPr>
      </w:pPr>
      <w:r w:rsidRPr="007C70A3">
        <w:rPr>
          <w:rFonts w:ascii="Times New Roman" w:hAnsi="Times New Roman" w:cs="Times New Roman"/>
        </w:rPr>
        <w:fldChar w:fldCharType="end"/>
      </w:r>
    </w:p>
    <w:p w14:paraId="05AEA655" w14:textId="77777777" w:rsidR="00E65338" w:rsidRPr="007C70A3" w:rsidRDefault="00E65338" w:rsidP="007C70A3">
      <w:pPr>
        <w:spacing w:after="0"/>
        <w:jc w:val="left"/>
        <w:rPr>
          <w:rFonts w:ascii="Times New Roman" w:hAnsi="Times New Roman" w:cs="Times New Roman"/>
        </w:rPr>
      </w:pPr>
      <w:r w:rsidRPr="007C70A3">
        <w:rPr>
          <w:rFonts w:ascii="Times New Roman" w:hAnsi="Times New Roman" w:cs="Times New Roman"/>
        </w:rPr>
        <w:br w:type="page"/>
      </w:r>
    </w:p>
    <w:p w14:paraId="182FB9C9" w14:textId="77777777" w:rsidR="00E65338" w:rsidRPr="007C70A3" w:rsidRDefault="00E65338" w:rsidP="007C70A3">
      <w:pPr>
        <w:pStyle w:val="Heading1"/>
        <w:numPr>
          <w:ilvl w:val="0"/>
          <w:numId w:val="0"/>
        </w:numPr>
        <w:rPr>
          <w:rFonts w:ascii="Times New Roman" w:hAnsi="Times New Roman" w:cs="Times New Roman"/>
        </w:rPr>
      </w:pPr>
      <w:r w:rsidRPr="007C70A3">
        <w:rPr>
          <w:rFonts w:ascii="Times New Roman" w:hAnsi="Times New Roman" w:cs="Times New Roman"/>
        </w:rPr>
        <w:lastRenderedPageBreak/>
        <w:t>Tables</w:t>
      </w:r>
    </w:p>
    <w:p w14:paraId="79F7229E" w14:textId="77777777" w:rsidR="00E65338" w:rsidRPr="007C70A3" w:rsidRDefault="00E65338" w:rsidP="007C70A3">
      <w:pPr>
        <w:pStyle w:val="TableofFigures"/>
        <w:tabs>
          <w:tab w:val="right" w:leader="dot" w:pos="9730"/>
        </w:tabs>
        <w:rPr>
          <w:rFonts w:ascii="Times New Roman" w:hAnsi="Times New Roman" w:cs="Times New Roman"/>
          <w:sz w:val="24"/>
          <w:szCs w:val="24"/>
        </w:rPr>
      </w:pPr>
      <w:r w:rsidRPr="007C70A3">
        <w:rPr>
          <w:rFonts w:ascii="Times New Roman" w:hAnsi="Times New Roman" w:cs="Times New Roman"/>
        </w:rPr>
        <w:fldChar w:fldCharType="begin"/>
      </w:r>
      <w:r w:rsidRPr="007C70A3">
        <w:rPr>
          <w:rFonts w:ascii="Times New Roman" w:hAnsi="Times New Roman" w:cs="Times New Roman"/>
        </w:rPr>
        <w:instrText xml:space="preserve"> TOC \h \z \c "Table" </w:instrText>
      </w:r>
      <w:r w:rsidRPr="007C70A3">
        <w:rPr>
          <w:rFonts w:ascii="Times New Roman" w:hAnsi="Times New Roman" w:cs="Times New Roman"/>
        </w:rPr>
        <w:fldChar w:fldCharType="separate"/>
      </w:r>
      <w:hyperlink w:anchor="_Toc213350710" w:history="1">
        <w:r w:rsidRPr="007C70A3">
          <w:rPr>
            <w:rStyle w:val="Hyperlink"/>
            <w:rFonts w:ascii="Times New Roman" w:hAnsi="Times New Roman" w:cs="Times New Roman"/>
          </w:rPr>
          <w:t>Table 1</w:t>
        </w:r>
        <w:r w:rsidRPr="007C70A3">
          <w:rPr>
            <w:rStyle w:val="Hyperlink"/>
            <w:rFonts w:ascii="Times New Roman" w:hAnsi="Times New Roman" w:cs="Times New Roman"/>
            <w:lang w:val="en-US"/>
          </w:rPr>
          <w:t>: Comparative Analysis of Major Frameworks</w:t>
        </w:r>
        <w:r w:rsidRPr="007C70A3">
          <w:rPr>
            <w:rFonts w:ascii="Times New Roman" w:hAnsi="Times New Roman" w:cs="Times New Roman"/>
            <w:webHidden/>
          </w:rPr>
          <w:tab/>
        </w:r>
        <w:r w:rsidRPr="007C70A3">
          <w:rPr>
            <w:rFonts w:ascii="Times New Roman" w:hAnsi="Times New Roman" w:cs="Times New Roman"/>
            <w:webHidden/>
          </w:rPr>
          <w:fldChar w:fldCharType="begin"/>
        </w:r>
        <w:r w:rsidRPr="007C70A3">
          <w:rPr>
            <w:rFonts w:ascii="Times New Roman" w:hAnsi="Times New Roman" w:cs="Times New Roman"/>
            <w:webHidden/>
          </w:rPr>
          <w:instrText xml:space="preserve"> PAGEREF _Toc213350710 \h </w:instrText>
        </w:r>
        <w:r w:rsidRPr="007C70A3">
          <w:rPr>
            <w:rFonts w:ascii="Times New Roman" w:hAnsi="Times New Roman" w:cs="Times New Roman"/>
            <w:webHidden/>
          </w:rPr>
        </w:r>
        <w:r w:rsidRPr="007C70A3">
          <w:rPr>
            <w:rFonts w:ascii="Times New Roman" w:hAnsi="Times New Roman" w:cs="Times New Roman"/>
            <w:webHidden/>
          </w:rPr>
          <w:fldChar w:fldCharType="separate"/>
        </w:r>
        <w:r w:rsidR="00C97291" w:rsidRPr="007C70A3">
          <w:rPr>
            <w:rFonts w:ascii="Times New Roman" w:hAnsi="Times New Roman" w:cs="Times New Roman"/>
            <w:webHidden/>
          </w:rPr>
          <w:t>4</w:t>
        </w:r>
        <w:r w:rsidRPr="007C70A3">
          <w:rPr>
            <w:rFonts w:ascii="Times New Roman" w:hAnsi="Times New Roman" w:cs="Times New Roman"/>
            <w:webHidden/>
          </w:rPr>
          <w:fldChar w:fldCharType="end"/>
        </w:r>
      </w:hyperlink>
    </w:p>
    <w:p w14:paraId="18F7F5FF" w14:textId="77777777" w:rsidR="00E65338" w:rsidRPr="007C70A3" w:rsidRDefault="00E65338" w:rsidP="007C70A3">
      <w:pPr>
        <w:pStyle w:val="TableofFigures"/>
        <w:tabs>
          <w:tab w:val="right" w:leader="dot" w:pos="9730"/>
        </w:tabs>
        <w:rPr>
          <w:rFonts w:ascii="Times New Roman" w:hAnsi="Times New Roman" w:cs="Times New Roman"/>
          <w:sz w:val="24"/>
          <w:szCs w:val="24"/>
        </w:rPr>
      </w:pPr>
      <w:hyperlink w:anchor="_Toc213350711" w:history="1">
        <w:r w:rsidRPr="007C70A3">
          <w:rPr>
            <w:rStyle w:val="Hyperlink"/>
            <w:rFonts w:ascii="Times New Roman" w:hAnsi="Times New Roman" w:cs="Times New Roman"/>
          </w:rPr>
          <w:t>Table 2</w:t>
        </w:r>
        <w:r w:rsidRPr="007C70A3">
          <w:rPr>
            <w:rStyle w:val="Hyperlink"/>
            <w:rFonts w:ascii="Times New Roman" w:hAnsi="Times New Roman" w:cs="Times New Roman"/>
            <w:lang w:val="en-US"/>
          </w:rPr>
          <w:t>: Roles and Responsibilities</w:t>
        </w:r>
        <w:r w:rsidRPr="007C70A3">
          <w:rPr>
            <w:rFonts w:ascii="Times New Roman" w:hAnsi="Times New Roman" w:cs="Times New Roman"/>
            <w:webHidden/>
          </w:rPr>
          <w:tab/>
        </w:r>
        <w:r w:rsidRPr="007C70A3">
          <w:rPr>
            <w:rFonts w:ascii="Times New Roman" w:hAnsi="Times New Roman" w:cs="Times New Roman"/>
            <w:webHidden/>
          </w:rPr>
          <w:fldChar w:fldCharType="begin"/>
        </w:r>
        <w:r w:rsidRPr="007C70A3">
          <w:rPr>
            <w:rFonts w:ascii="Times New Roman" w:hAnsi="Times New Roman" w:cs="Times New Roman"/>
            <w:webHidden/>
          </w:rPr>
          <w:instrText xml:space="preserve"> PAGEREF _Toc213350711 \h </w:instrText>
        </w:r>
        <w:r w:rsidRPr="007C70A3">
          <w:rPr>
            <w:rFonts w:ascii="Times New Roman" w:hAnsi="Times New Roman" w:cs="Times New Roman"/>
            <w:webHidden/>
          </w:rPr>
        </w:r>
        <w:r w:rsidRPr="007C70A3">
          <w:rPr>
            <w:rFonts w:ascii="Times New Roman" w:hAnsi="Times New Roman" w:cs="Times New Roman"/>
            <w:webHidden/>
          </w:rPr>
          <w:fldChar w:fldCharType="separate"/>
        </w:r>
        <w:r w:rsidR="00C97291" w:rsidRPr="007C70A3">
          <w:rPr>
            <w:rFonts w:ascii="Times New Roman" w:hAnsi="Times New Roman" w:cs="Times New Roman"/>
            <w:webHidden/>
          </w:rPr>
          <w:t>7</w:t>
        </w:r>
        <w:r w:rsidRPr="007C70A3">
          <w:rPr>
            <w:rFonts w:ascii="Times New Roman" w:hAnsi="Times New Roman" w:cs="Times New Roman"/>
            <w:webHidden/>
          </w:rPr>
          <w:fldChar w:fldCharType="end"/>
        </w:r>
      </w:hyperlink>
    </w:p>
    <w:p w14:paraId="7BA4EF01" w14:textId="77777777" w:rsidR="00E65338" w:rsidRPr="007C70A3" w:rsidRDefault="00E65338" w:rsidP="007C70A3">
      <w:pPr>
        <w:rPr>
          <w:rFonts w:ascii="Times New Roman" w:hAnsi="Times New Roman" w:cs="Times New Roman"/>
        </w:rPr>
      </w:pPr>
      <w:r w:rsidRPr="007C70A3">
        <w:rPr>
          <w:rFonts w:ascii="Times New Roman" w:hAnsi="Times New Roman" w:cs="Times New Roman"/>
        </w:rPr>
        <w:fldChar w:fldCharType="end"/>
      </w:r>
    </w:p>
    <w:p w14:paraId="0172027C" w14:textId="77777777" w:rsidR="00E65338" w:rsidRPr="007C70A3" w:rsidRDefault="00E65338" w:rsidP="007C70A3">
      <w:pPr>
        <w:rPr>
          <w:rFonts w:ascii="Times New Roman" w:hAnsi="Times New Roman" w:cs="Times New Roman"/>
        </w:rPr>
      </w:pPr>
    </w:p>
    <w:p w14:paraId="0DD6121C" w14:textId="77777777" w:rsidR="00E65338" w:rsidRPr="007C70A3" w:rsidRDefault="00E65338" w:rsidP="007C70A3">
      <w:pPr>
        <w:rPr>
          <w:rFonts w:ascii="Times New Roman" w:hAnsi="Times New Roman" w:cs="Times New Roman"/>
        </w:rPr>
      </w:pPr>
    </w:p>
    <w:p w14:paraId="68818573" w14:textId="77777777" w:rsidR="00E65338" w:rsidRPr="007C70A3" w:rsidRDefault="00E65338" w:rsidP="007C70A3">
      <w:pPr>
        <w:rPr>
          <w:rFonts w:ascii="Times New Roman" w:hAnsi="Times New Roman" w:cs="Times New Roman"/>
        </w:rPr>
        <w:sectPr w:rsidR="00E65338" w:rsidRPr="007C70A3" w:rsidSect="00CB596A">
          <w:footerReference w:type="even" r:id="rId17"/>
          <w:pgSz w:w="11900" w:h="16840"/>
          <w:pgMar w:top="1440" w:right="1080" w:bottom="1440" w:left="1080" w:header="708" w:footer="708" w:gutter="0"/>
          <w:cols w:space="708"/>
          <w:docGrid w:linePitch="360"/>
        </w:sectPr>
      </w:pPr>
    </w:p>
    <w:p w14:paraId="4BE98AD8" w14:textId="77777777" w:rsidR="00E41CED" w:rsidRPr="007C70A3" w:rsidRDefault="00E41CED" w:rsidP="007C70A3">
      <w:pPr>
        <w:pStyle w:val="Heading1"/>
        <w:rPr>
          <w:rFonts w:ascii="Times New Roman" w:hAnsi="Times New Roman" w:cs="Times New Roman"/>
        </w:rPr>
      </w:pPr>
      <w:bookmarkStart w:id="0" w:name="_Toc213350664"/>
      <w:r w:rsidRPr="007C70A3">
        <w:rPr>
          <w:rFonts w:ascii="Times New Roman" w:hAnsi="Times New Roman" w:cs="Times New Roman"/>
        </w:rPr>
        <w:lastRenderedPageBreak/>
        <w:t>Introduction</w:t>
      </w:r>
      <w:bookmarkEnd w:id="0"/>
    </w:p>
    <w:p w14:paraId="59805E94" w14:textId="77777777" w:rsidR="00E41CED" w:rsidRPr="007C70A3" w:rsidRDefault="00E41CED" w:rsidP="007C70A3">
      <w:pPr>
        <w:rPr>
          <w:rFonts w:ascii="Times New Roman" w:hAnsi="Times New Roman" w:cs="Times New Roman"/>
        </w:rPr>
      </w:pPr>
      <w:r w:rsidRPr="007C70A3">
        <w:rPr>
          <w:rFonts w:ascii="Times New Roman" w:hAnsi="Times New Roman" w:cs="Times New Roman"/>
        </w:rPr>
        <w:t>In the globalized economy, where hyper-connectivity has become common, information assets are becoming the main currency of a firm. The case of organisations like NatureGreen (NG), a multinational corporation providing cloud-based wellness solutions, which have a 95</w:t>
      </w:r>
      <w:r w:rsidR="00F71B79" w:rsidRPr="007C70A3">
        <w:rPr>
          <w:rFonts w:ascii="Times New Roman" w:hAnsi="Times New Roman" w:cs="Times New Roman"/>
        </w:rPr>
        <w:t xml:space="preserve">% </w:t>
      </w:r>
      <w:r w:rsidRPr="007C70A3">
        <w:rPr>
          <w:rFonts w:ascii="Times New Roman" w:hAnsi="Times New Roman" w:cs="Times New Roman"/>
        </w:rPr>
        <w:t>wireless infrastructure, is a paradox: ubiquitous connectivity yields business agility but exponentially increases the attack surface</w:t>
      </w:r>
      <w:r w:rsidR="00544962" w:rsidRPr="007C70A3">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"/>
          <w:id w:val="251796332"/>
          <w:placeholder>
            <w:docPart w:val="DefaultPlaceholder_-1854013440"/>
          </w:placeholder>
        </w:sdtPr>
        <w:sdtEndPr/>
        <w:sdtContent>
          <w:r w:rsidR="00F0465D" w:rsidRPr="007C70A3">
            <w:rPr>
              <w:rFonts w:ascii="Times New Roman" w:hAnsi="Times New Roman" w:cs="Times New Roman"/>
              <w:color w:val="000000"/>
            </w:rPr>
            <w:t>(Soomro, Shah and Ahmed, 2016)</w:t>
          </w:r>
        </w:sdtContent>
      </w:sdt>
      <w:r w:rsidRPr="007C70A3">
        <w:rPr>
          <w:rFonts w:ascii="Times New Roman" w:hAnsi="Times New Roman" w:cs="Times New Roman"/>
        </w:rPr>
        <w:t>. Recent threat-intelligence reports indicate that incidents of ransomware and cloud-misconfiguration attacks of hybrid workforces have increased by 3</w:t>
      </w:r>
      <w:r w:rsidR="00544962" w:rsidRPr="007C70A3">
        <w:rPr>
          <w:rFonts w:ascii="Times New Roman" w:hAnsi="Times New Roman" w:cs="Times New Roman"/>
        </w:rPr>
        <w:t>6</w:t>
      </w:r>
      <w:r w:rsidR="00F71B79" w:rsidRPr="007C70A3">
        <w:rPr>
          <w:rFonts w:ascii="Times New Roman" w:hAnsi="Times New Roman" w:cs="Times New Roman"/>
        </w:rPr>
        <w:t xml:space="preserve">% </w:t>
      </w:r>
      <w:r w:rsidRPr="007C70A3">
        <w:rPr>
          <w:rFonts w:ascii="Times New Roman" w:hAnsi="Times New Roman" w:cs="Times New Roman"/>
        </w:rPr>
        <w:t xml:space="preserve">annually </w:t>
      </w:r>
      <w:sdt>
        <w:sdtPr>
          <w:rPr>
            <w:rFonts w:ascii="Times New Roman" w:hAnsi="Times New Roman" w:cs="Times New Roman"/>
            <w:color w:val="000000"/>
          </w:rPr>
          <w:tag w:val="MENDELEY_CITATION_v3_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"/>
          <w:id w:val="-569963390"/>
          <w:placeholder>
            <w:docPart w:val="DefaultPlaceholder_-1854013440"/>
          </w:placeholder>
        </w:sdtPr>
        <w:sdtEndPr/>
        <w:sdtContent>
          <w:r w:rsidR="00F0465D" w:rsidRPr="007C70A3">
            <w:rPr>
              <w:rFonts w:ascii="Times New Roman" w:hAnsi="Times New Roman" w:cs="Times New Roman"/>
              <w:color w:val="000000"/>
            </w:rPr>
            <w:t>(Alder, 2025)</w:t>
          </w:r>
        </w:sdtContent>
      </w:sdt>
      <w:r w:rsidRPr="007C70A3">
        <w:rPr>
          <w:rFonts w:ascii="Times New Roman" w:hAnsi="Times New Roman" w:cs="Times New Roman"/>
        </w:rPr>
        <w:t>. At the same time, consumers and regulators demand the transparency of personal data stewardship in the framework of such laws as the UK GDPR and Data Protection Act 2018</w:t>
      </w:r>
      <w:r w:rsidR="00F45DC5" w:rsidRPr="007C70A3">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"/>
          <w:id w:val="790326281"/>
          <w:placeholder>
            <w:docPart w:val="DefaultPlaceholder_-1854013440"/>
          </w:placeholder>
        </w:sdtPr>
        <w:sdtEndPr/>
        <w:sdtContent>
          <w:r w:rsidR="00F0465D" w:rsidRPr="007C70A3">
            <w:rPr>
              <w:rFonts w:ascii="Times New Roman" w:hAnsi="Times New Roman" w:cs="Times New Roman"/>
              <w:color w:val="000000"/>
            </w:rPr>
            <w:t>(Lim and Oh, 2025; UK Legislation, 2019)</w:t>
          </w:r>
        </w:sdtContent>
      </w:sdt>
      <w:r w:rsidRPr="007C70A3">
        <w:rPr>
          <w:rFonts w:ascii="Times New Roman" w:hAnsi="Times New Roman" w:cs="Times New Roman"/>
        </w:rPr>
        <w:t>.</w:t>
      </w:r>
    </w:p>
    <w:p w14:paraId="2CB93300" w14:textId="77777777" w:rsidR="00E41CED" w:rsidRPr="007C70A3" w:rsidRDefault="00E41CED" w:rsidP="007C70A3">
      <w:pPr>
        <w:rPr>
          <w:rFonts w:ascii="Times New Roman" w:hAnsi="Times New Roman" w:cs="Times New Roman"/>
        </w:rPr>
      </w:pPr>
      <w:r w:rsidRPr="007C70A3">
        <w:rPr>
          <w:rFonts w:ascii="Times New Roman" w:hAnsi="Times New Roman" w:cs="Times New Roman"/>
        </w:rPr>
        <w:t>Bring-your-own-device (BYOD) policies, cloud computing, and social-media marketing intersect, and this makes the traditional perimeter-based defences of NG irrelevant. Since 95</w:t>
      </w:r>
      <w:r w:rsidR="00F71B79" w:rsidRPr="007C70A3">
        <w:rPr>
          <w:rFonts w:ascii="Times New Roman" w:hAnsi="Times New Roman" w:cs="Times New Roman"/>
        </w:rPr>
        <w:t xml:space="preserve">% </w:t>
      </w:r>
      <w:r w:rsidRPr="007C70A3">
        <w:rPr>
          <w:rFonts w:ascii="Times New Roman" w:hAnsi="Times New Roman" w:cs="Times New Roman"/>
        </w:rPr>
        <w:t xml:space="preserve">of traffic flows through wireless and personal endpoints, confidentiality and integrity rely on whether devices comply with the protocol, verify identities, and provide real-time risk analytics instead of fixed network boundaries </w:t>
      </w:r>
      <w:sdt>
        <w:sdtPr>
          <w:rPr>
            <w:rFonts w:ascii="Times New Roman" w:hAnsi="Times New Roman" w:cs="Times New Roman"/>
            <w:color w:val="000000"/>
          </w:rPr>
          <w:tag w:val="MENDELEY_CITATION_v3_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"/>
          <w:id w:val="141473090"/>
          <w:placeholder>
            <w:docPart w:val="DefaultPlaceholder_-1854013440"/>
          </w:placeholder>
        </w:sdtPr>
        <w:sdtEndPr/>
        <w:sdtContent>
          <w:r w:rsidR="00F0465D" w:rsidRPr="007C70A3">
            <w:rPr>
              <w:rFonts w:ascii="Times New Roman" w:eastAsia="Times New Roman" w:hAnsi="Times New Roman" w:cs="Times New Roman"/>
              <w:color w:val="000000"/>
            </w:rPr>
            <w:t xml:space="preserve">(Rose </w:t>
          </w:r>
          <w:r w:rsidR="00F0465D" w:rsidRPr="007C70A3">
            <w:rPr>
              <w:rFonts w:ascii="Times New Roman" w:eastAsia="Times New Roman" w:hAnsi="Times New Roman" w:cs="Times New Roman"/>
              <w:i/>
              <w:iCs/>
              <w:color w:val="000000"/>
            </w:rPr>
            <w:t>et al.</w:t>
          </w:r>
          <w:r w:rsidR="00F0465D" w:rsidRPr="007C70A3">
            <w:rPr>
              <w:rFonts w:ascii="Times New Roman" w:eastAsia="Times New Roman" w:hAnsi="Times New Roman" w:cs="Times New Roman"/>
              <w:color w:val="000000"/>
            </w:rPr>
            <w:t>, 2020)</w:t>
          </w:r>
        </w:sdtContent>
      </w:sdt>
      <w:r w:rsidRPr="007C70A3">
        <w:rPr>
          <w:rFonts w:ascii="Times New Roman" w:hAnsi="Times New Roman" w:cs="Times New Roman"/>
        </w:rPr>
        <w:t>. In addition, the lack of a cohesive Information Security Management System (ISMS) and corporate security policy will put NG in the path of regulatory fines, business disruption, and brand erosion.</w:t>
      </w:r>
    </w:p>
    <w:p w14:paraId="57E65BAB" w14:textId="77777777" w:rsidR="004B3D1B" w:rsidRPr="007C70A3" w:rsidRDefault="00F71B79" w:rsidP="007C70A3">
      <w:pPr>
        <w:rPr>
          <w:rFonts w:ascii="Times New Roman" w:hAnsi="Times New Roman" w:cs="Times New Roman"/>
        </w:rPr>
      </w:pPr>
      <w:r w:rsidRPr="007C70A3">
        <w:rPr>
          <w:rFonts w:ascii="Times New Roman" w:hAnsi="Times New Roman" w:cs="Times New Roman"/>
        </w:rPr>
        <w:t>T</w:t>
      </w:r>
      <w:r w:rsidR="00E41CED" w:rsidRPr="007C70A3">
        <w:rPr>
          <w:rFonts w:ascii="Times New Roman" w:hAnsi="Times New Roman" w:cs="Times New Roman"/>
        </w:rPr>
        <w:t>he analysis work goes beyond technical hardening; it requires critical analysis of governance, risk and compliance (GRC) doctrines that institutionalise accountability. Contemporary research interprets cybersecurity as not only just a set of technical controls but as an adaptive socio-technical apparatus that must be overseen by a board and potentially guarantee the measurement of assurance</w:t>
      </w:r>
      <w:r w:rsidR="00F45DC5" w:rsidRPr="007C70A3">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"/>
          <w:id w:val="915747118"/>
          <w:placeholder>
            <w:docPart w:val="DefaultPlaceholder_-1854013440"/>
          </w:placeholder>
        </w:sdtPr>
        <w:sdtEndPr/>
        <w:sdtContent>
          <w:r w:rsidR="00F0465D" w:rsidRPr="007C70A3">
            <w:rPr>
              <w:rFonts w:ascii="Times New Roman" w:hAnsi="Times New Roman" w:cs="Times New Roman"/>
              <w:color w:val="000000"/>
            </w:rPr>
            <w:t>(Peltier, 2016)</w:t>
          </w:r>
        </w:sdtContent>
      </w:sdt>
      <w:r w:rsidR="00E41CED" w:rsidRPr="007C70A3">
        <w:rPr>
          <w:rFonts w:ascii="Times New Roman" w:hAnsi="Times New Roman" w:cs="Times New Roman"/>
        </w:rPr>
        <w:t xml:space="preserve">. </w:t>
      </w:r>
    </w:p>
    <w:p w14:paraId="3B5792B4" w14:textId="77777777" w:rsidR="00E41CED" w:rsidRPr="007C70A3" w:rsidRDefault="00E41CED" w:rsidP="007C70A3">
      <w:pPr>
        <w:rPr>
          <w:rFonts w:ascii="Times New Roman" w:hAnsi="Times New Roman" w:cs="Times New Roman"/>
        </w:rPr>
      </w:pPr>
      <w:r w:rsidRPr="007C70A3">
        <w:rPr>
          <w:rFonts w:ascii="Times New Roman" w:hAnsi="Times New Roman" w:cs="Times New Roman"/>
        </w:rPr>
        <w:t>The three objectives of this report are therefore inter-linked:</w:t>
      </w:r>
    </w:p>
    <w:p w14:paraId="29A3C63A" w14:textId="77777777" w:rsidR="00E41CED" w:rsidRPr="007C70A3" w:rsidRDefault="00E41CED" w:rsidP="007C70A3">
      <w:pPr>
        <w:pStyle w:val="ListParagraph"/>
        <w:numPr>
          <w:ilvl w:val="0"/>
          <w:numId w:val="3"/>
        </w:numPr>
        <w:rPr>
          <w:rFonts w:ascii="Times New Roman" w:hAnsi="Times New Roman" w:cs="Times New Roman"/>
        </w:rPr>
      </w:pPr>
      <w:r w:rsidRPr="007C70A3">
        <w:rPr>
          <w:rFonts w:ascii="Times New Roman" w:hAnsi="Times New Roman" w:cs="Times New Roman"/>
        </w:rPr>
        <w:t>To assess current security frameworks and models: ISO/IEC 27001:2022</w:t>
      </w:r>
      <w:r w:rsidR="00F45DC5" w:rsidRPr="007C70A3">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"/>
          <w:id w:val="-526019740"/>
          <w:placeholder>
            <w:docPart w:val="DefaultPlaceholder_-1854013440"/>
          </w:placeholder>
        </w:sdtPr>
        <w:sdtEndPr/>
        <w:sdtContent>
          <w:r w:rsidR="00F0465D" w:rsidRPr="007C70A3">
            <w:rPr>
              <w:rFonts w:ascii="Times New Roman" w:hAnsi="Times New Roman" w:cs="Times New Roman"/>
              <w:color w:val="000000"/>
            </w:rPr>
            <w:t>(ISO, 2022)</w:t>
          </w:r>
        </w:sdtContent>
      </w:sdt>
      <w:r w:rsidRPr="007C70A3">
        <w:rPr>
          <w:rFonts w:ascii="Times New Roman" w:hAnsi="Times New Roman" w:cs="Times New Roman"/>
        </w:rPr>
        <w:t>, NIST Cybersecurity Framework (CSF 2.0)</w:t>
      </w:r>
      <w:r w:rsidR="00F45DC5" w:rsidRPr="007C70A3">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"/>
          <w:id w:val="592821407"/>
          <w:placeholder>
            <w:docPart w:val="DefaultPlaceholder_-1854013440"/>
          </w:placeholder>
        </w:sdtPr>
        <w:sdtEndPr/>
        <w:sdtContent>
          <w:r w:rsidR="00F0465D" w:rsidRPr="007C70A3">
            <w:rPr>
              <w:rFonts w:ascii="Times New Roman" w:hAnsi="Times New Roman" w:cs="Times New Roman"/>
              <w:color w:val="000000"/>
            </w:rPr>
            <w:t>(NIST, 2025)</w:t>
          </w:r>
        </w:sdtContent>
      </w:sdt>
      <w:r w:rsidRPr="007C70A3">
        <w:rPr>
          <w:rFonts w:ascii="Times New Roman" w:hAnsi="Times New Roman" w:cs="Times New Roman"/>
        </w:rPr>
        <w:t>, COBIT 2019</w:t>
      </w:r>
      <w:r w:rsidR="00F45DC5" w:rsidRPr="007C70A3">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"/>
          <w:id w:val="-575971454"/>
          <w:placeholder>
            <w:docPart w:val="DefaultPlaceholder_-1854013440"/>
          </w:placeholder>
        </w:sdtPr>
        <w:sdtEndPr/>
        <w:sdtContent>
          <w:r w:rsidR="00F0465D" w:rsidRPr="007C70A3">
            <w:rPr>
              <w:rFonts w:ascii="Times New Roman" w:hAnsi="Times New Roman" w:cs="Times New Roman"/>
              <w:color w:val="000000"/>
            </w:rPr>
            <w:t>(Rafeq, CISA and FCA, 2021)</w:t>
          </w:r>
        </w:sdtContent>
      </w:sdt>
      <w:r w:rsidRPr="007C70A3">
        <w:rPr>
          <w:rFonts w:ascii="Times New Roman" w:hAnsi="Times New Roman" w:cs="Times New Roman"/>
        </w:rPr>
        <w:t xml:space="preserve">,  </w:t>
      </w:r>
      <w:r w:rsidR="00F45DC5" w:rsidRPr="007C70A3">
        <w:rPr>
          <w:rFonts w:ascii="Times New Roman" w:hAnsi="Times New Roman" w:cs="Times New Roman"/>
        </w:rPr>
        <w:t xml:space="preserve">ITIL </w:t>
      </w:r>
      <w:r w:rsidRPr="007C70A3">
        <w:rPr>
          <w:rFonts w:ascii="Times New Roman" w:hAnsi="Times New Roman" w:cs="Times New Roman"/>
        </w:rPr>
        <w:t>4, and Zero-Trust Architecture</w:t>
      </w:r>
      <w:r w:rsidR="00F45DC5" w:rsidRPr="007C70A3">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"/>
          <w:id w:val="1159114334"/>
          <w:placeholder>
            <w:docPart w:val="DefaultPlaceholder_-1854013440"/>
          </w:placeholder>
        </w:sdtPr>
        <w:sdtEndPr/>
        <w:sdtContent>
          <w:r w:rsidR="00F0465D" w:rsidRPr="007C70A3">
            <w:rPr>
              <w:rFonts w:ascii="Times New Roman" w:eastAsia="Times New Roman" w:hAnsi="Times New Roman" w:cs="Times New Roman"/>
              <w:color w:val="000000"/>
            </w:rPr>
            <w:t xml:space="preserve">(Rose </w:t>
          </w:r>
          <w:r w:rsidR="00F0465D" w:rsidRPr="007C70A3">
            <w:rPr>
              <w:rFonts w:ascii="Times New Roman" w:eastAsia="Times New Roman" w:hAnsi="Times New Roman" w:cs="Times New Roman"/>
              <w:i/>
              <w:iCs/>
              <w:color w:val="000000"/>
            </w:rPr>
            <w:t>et al.</w:t>
          </w:r>
          <w:r w:rsidR="00F0465D" w:rsidRPr="007C70A3">
            <w:rPr>
              <w:rFonts w:ascii="Times New Roman" w:eastAsia="Times New Roman" w:hAnsi="Times New Roman" w:cs="Times New Roman"/>
              <w:color w:val="000000"/>
            </w:rPr>
            <w:t>, 2020)</w:t>
          </w:r>
        </w:sdtContent>
      </w:sdt>
      <w:r w:rsidRPr="007C70A3">
        <w:rPr>
          <w:rFonts w:ascii="Times New Roman" w:hAnsi="Times New Roman" w:cs="Times New Roman"/>
        </w:rPr>
        <w:t xml:space="preserve"> with regard to the cloud-BYOD ecosystem of NG.</w:t>
      </w:r>
    </w:p>
    <w:p w14:paraId="0AF879D0" w14:textId="77777777" w:rsidR="00E41CED" w:rsidRPr="007C70A3" w:rsidRDefault="00E41CED" w:rsidP="007C70A3">
      <w:pPr>
        <w:pStyle w:val="ListParagraph"/>
        <w:numPr>
          <w:ilvl w:val="0"/>
          <w:numId w:val="3"/>
        </w:numPr>
        <w:rPr>
          <w:rFonts w:ascii="Times New Roman" w:hAnsi="Times New Roman" w:cs="Times New Roman"/>
        </w:rPr>
      </w:pPr>
      <w:r w:rsidRPr="007C70A3">
        <w:rPr>
          <w:rFonts w:ascii="Times New Roman" w:hAnsi="Times New Roman" w:cs="Times New Roman"/>
        </w:rPr>
        <w:t>To formulate a custom governance and compliance strategy that would integrate these frameworks into the context of NG.</w:t>
      </w:r>
    </w:p>
    <w:p w14:paraId="7965D2C3" w14:textId="77777777" w:rsidR="00E41CED" w:rsidRPr="007C70A3" w:rsidRDefault="00E41CED" w:rsidP="007C70A3">
      <w:pPr>
        <w:pStyle w:val="ListParagraph"/>
        <w:numPr>
          <w:ilvl w:val="0"/>
          <w:numId w:val="3"/>
        </w:numPr>
        <w:rPr>
          <w:rFonts w:ascii="Times New Roman" w:hAnsi="Times New Roman" w:cs="Times New Roman"/>
        </w:rPr>
      </w:pPr>
      <w:r w:rsidRPr="007C70A3">
        <w:rPr>
          <w:rFonts w:ascii="Times New Roman" w:hAnsi="Times New Roman" w:cs="Times New Roman"/>
        </w:rPr>
        <w:t>To critically evaluate the need to constantly update regulatory and standards in the face of the dynamic cyber-threat environment.</w:t>
      </w:r>
    </w:p>
    <w:p w14:paraId="52537781" w14:textId="77777777" w:rsidR="004B3D1B" w:rsidRDefault="004B3D1B" w:rsidP="007C70A3">
      <w:pPr>
        <w:rPr>
          <w:rFonts w:ascii="Times New Roman" w:hAnsi="Times New Roman" w:cs="Times New Roman"/>
        </w:rPr>
      </w:pPr>
    </w:p>
    <w:p w14:paraId="671C62A8" w14:textId="77777777" w:rsidR="007C70A3" w:rsidRDefault="007C70A3" w:rsidP="007C70A3">
      <w:pPr>
        <w:rPr>
          <w:rFonts w:ascii="Times New Roman" w:hAnsi="Times New Roman" w:cs="Times New Roman"/>
        </w:rPr>
      </w:pPr>
    </w:p>
    <w:p w14:paraId="4701BC38" w14:textId="77777777" w:rsidR="007C70A3" w:rsidRPr="007C70A3" w:rsidRDefault="007C70A3" w:rsidP="007C70A3">
      <w:pPr>
        <w:rPr>
          <w:rFonts w:ascii="Times New Roman" w:hAnsi="Times New Roman" w:cs="Times New Roman"/>
        </w:rPr>
      </w:pPr>
    </w:p>
    <w:p w14:paraId="289E8D7B" w14:textId="77777777" w:rsidR="00E41CED" w:rsidRPr="007C70A3" w:rsidRDefault="00E41CED" w:rsidP="007C70A3">
      <w:pPr>
        <w:pStyle w:val="Heading1"/>
        <w:rPr>
          <w:rFonts w:ascii="Times New Roman" w:hAnsi="Times New Roman" w:cs="Times New Roman"/>
        </w:rPr>
      </w:pPr>
      <w:bookmarkStart w:id="1" w:name="_Toc213350665"/>
      <w:r w:rsidRPr="007C70A3">
        <w:rPr>
          <w:rFonts w:ascii="Times New Roman" w:hAnsi="Times New Roman" w:cs="Times New Roman"/>
        </w:rPr>
        <w:lastRenderedPageBreak/>
        <w:t>Literature Review and Framework Analysis</w:t>
      </w:r>
      <w:bookmarkEnd w:id="1"/>
    </w:p>
    <w:p w14:paraId="65A6790E" w14:textId="77777777" w:rsidR="00E41CED" w:rsidRPr="007C70A3" w:rsidRDefault="00CB596A" w:rsidP="007C70A3">
      <w:pPr>
        <w:pStyle w:val="Heading2"/>
        <w:rPr>
          <w:rFonts w:ascii="Times New Roman" w:hAnsi="Times New Roman" w:cs="Times New Roman"/>
        </w:rPr>
      </w:pPr>
      <w:bookmarkStart w:id="2" w:name="_Toc213350666"/>
      <w:r w:rsidRPr="007C70A3">
        <w:rPr>
          <w:rFonts w:ascii="Times New Roman" w:hAnsi="Times New Roman" w:cs="Times New Roman"/>
        </w:rPr>
        <w:t>Conceptual Foundations of Data-Security Governance</w:t>
      </w:r>
      <w:bookmarkEnd w:id="2"/>
    </w:p>
    <w:p w14:paraId="3E7EF1F7" w14:textId="77777777" w:rsidR="00E41CED" w:rsidRPr="007C70A3" w:rsidRDefault="00E41CED" w:rsidP="007C70A3">
      <w:pPr>
        <w:rPr>
          <w:rFonts w:ascii="Times New Roman" w:hAnsi="Times New Roman" w:cs="Times New Roman"/>
        </w:rPr>
      </w:pPr>
      <w:r w:rsidRPr="007C70A3">
        <w:rPr>
          <w:rFonts w:ascii="Times New Roman" w:hAnsi="Times New Roman" w:cs="Times New Roman"/>
        </w:rPr>
        <w:t xml:space="preserve">Data-security governance is the alignment of corporate goals with risk appetite, regulatory responsibilities, and technical controls </w:t>
      </w:r>
      <w:sdt>
        <w:sdtPr>
          <w:rPr>
            <w:rFonts w:ascii="Times New Roman" w:hAnsi="Times New Roman" w:cs="Times New Roman"/>
            <w:color w:val="000000"/>
          </w:rPr>
          <w:tag w:val="MENDELEY_CITATION_v3_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"/>
          <w:id w:val="-1610192904"/>
          <w:placeholder>
            <w:docPart w:val="DefaultPlaceholder_-1854013440"/>
          </w:placeholder>
        </w:sdtPr>
        <w:sdtEndPr/>
        <w:sdtContent>
          <w:r w:rsidR="00F0465D" w:rsidRPr="007C70A3">
            <w:rPr>
              <w:rFonts w:ascii="Times New Roman" w:hAnsi="Times New Roman" w:cs="Times New Roman"/>
              <w:color w:val="000000"/>
            </w:rPr>
            <w:t>(Von Solms and Van Niekerk, 2013)</w:t>
          </w:r>
        </w:sdtContent>
      </w:sdt>
      <w:r w:rsidRPr="007C70A3">
        <w:rPr>
          <w:rFonts w:ascii="Times New Roman" w:hAnsi="Times New Roman" w:cs="Times New Roman"/>
        </w:rPr>
        <w:t xml:space="preserve">. It summarizes the three-pillar of confidentiality, integrity, and availability (CIA) which have been extended by the Parkerian Hexad to incorporate possession, authenticity, and utility </w:t>
      </w:r>
      <w:sdt>
        <w:sdtPr>
          <w:rPr>
            <w:rFonts w:ascii="Times New Roman" w:hAnsi="Times New Roman" w:cs="Times New Roman"/>
            <w:color w:val="000000"/>
          </w:rPr>
          <w:tag w:val="MENDELEY_CITATION_v3_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"/>
          <w:id w:val="985749379"/>
          <w:placeholder>
            <w:docPart w:val="DefaultPlaceholder_-1854013440"/>
          </w:placeholder>
        </w:sdtPr>
        <w:sdtEndPr/>
        <w:sdtContent>
          <w:r w:rsidR="00F0465D" w:rsidRPr="007C70A3">
            <w:rPr>
              <w:rFonts w:ascii="Times New Roman" w:hAnsi="Times New Roman" w:cs="Times New Roman"/>
              <w:color w:val="000000"/>
            </w:rPr>
            <w:t>(Leeson, 2024)</w:t>
          </w:r>
        </w:sdtContent>
      </w:sdt>
      <w:r w:rsidRPr="007C70A3">
        <w:rPr>
          <w:rFonts w:ascii="Times New Roman" w:hAnsi="Times New Roman" w:cs="Times New Roman"/>
        </w:rPr>
        <w:t xml:space="preserve">. Although the conceptual nucleus is the CIA triad, governance literature emphasizes entrenching it in policy, accountability, and audit frameworks </w:t>
      </w:r>
      <w:sdt>
        <w:sdtPr>
          <w:rPr>
            <w:rFonts w:ascii="Times New Roman" w:hAnsi="Times New Roman" w:cs="Times New Roman"/>
            <w:color w:val="000000"/>
          </w:rPr>
          <w:tag w:val="MENDELEY_CITATION_v3_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"/>
          <w:id w:val="-1405986421"/>
          <w:placeholder>
            <w:docPart w:val="DefaultPlaceholder_-1854013440"/>
          </w:placeholder>
        </w:sdtPr>
        <w:sdtEndPr/>
        <w:sdtContent>
          <w:r w:rsidR="00F0465D" w:rsidRPr="007C70A3">
            <w:rPr>
              <w:rFonts w:ascii="Times New Roman" w:hAnsi="Times New Roman" w:cs="Times New Roman"/>
              <w:color w:val="000000"/>
            </w:rPr>
            <w:t>(Da Veiga and Eloff, 2010)</w:t>
          </w:r>
        </w:sdtContent>
      </w:sdt>
      <w:r w:rsidR="004B3D1B" w:rsidRPr="007C70A3">
        <w:rPr>
          <w:rFonts w:ascii="Times New Roman" w:hAnsi="Times New Roman" w:cs="Times New Roman"/>
        </w:rPr>
        <w:t>.</w:t>
      </w:r>
      <w:r w:rsidRPr="007C70A3">
        <w:rPr>
          <w:rFonts w:ascii="Times New Roman" w:hAnsi="Times New Roman" w:cs="Times New Roman"/>
        </w:rPr>
        <w:t xml:space="preserve"> The institutionalisation of this paradigm is manifested in the maturing of standards like ISO/IEC 27001 and the NIST CSF.</w:t>
      </w:r>
    </w:p>
    <w:p w14:paraId="27156F71" w14:textId="77777777" w:rsidR="00E41CED" w:rsidRPr="007C70A3" w:rsidRDefault="00E65338" w:rsidP="007C70A3">
      <w:pPr>
        <w:pStyle w:val="Heading2"/>
        <w:rPr>
          <w:rFonts w:ascii="Times New Roman" w:hAnsi="Times New Roman" w:cs="Times New Roman"/>
        </w:rPr>
      </w:pPr>
      <w:bookmarkStart w:id="3" w:name="_Toc213350667"/>
      <w:r w:rsidRPr="007C70A3">
        <w:rPr>
          <w:rFonts w:ascii="Times New Roman" w:hAnsi="Times New Roman" w:cs="Times New Roman"/>
        </w:rPr>
        <mc:AlternateContent>
          <mc:Choice Requires="wps">
            <w:drawing>
              <wp:anchor distT="0" distB="0" distL="114300" distR="114300" simplePos="0" relativeHeight="251687936" behindDoc="0" locked="0" layoutInCell="1" allowOverlap="1" wp14:anchorId="0514CC47" wp14:editId="09ED749F">
                <wp:simplePos x="0" y="0"/>
                <wp:positionH relativeFrom="column">
                  <wp:posOffset>-586409</wp:posOffset>
                </wp:positionH>
                <wp:positionV relativeFrom="paragraph">
                  <wp:posOffset>3782779</wp:posOffset>
                </wp:positionV>
                <wp:extent cx="5140960" cy="454562"/>
                <wp:effectExtent l="0" t="0" r="2540" b="3175"/>
                <wp:wrapSquare wrapText="bothSides"/>
                <wp:docPr id="2074457218" name="Text Box 1"/>
                <wp:cNvGraphicFramePr/>
                <a:graphic xmlns:a="http://schemas.openxmlformats.org/drawingml/2006/main">
                  <a:graphicData uri="http://schemas.microsoft.com/office/word/2010/wordprocessingShape">
                    <wps:wsp>
                      <wps:cNvSpPr txBox="1"/>
                      <wps:spPr>
                        <a:xfrm>
                          <a:off x="0" y="0"/>
                          <a:ext cx="5140960" cy="454562"/>
                        </a:xfrm>
                        <a:prstGeom prst="rect">
                          <a:avLst/>
                        </a:prstGeom>
                        <a:solidFill>
                          <a:prstClr val="white"/>
                        </a:solidFill>
                        <a:ln>
                          <a:noFill/>
                        </a:ln>
                      </wps:spPr>
                      <wps:txbx>
                        <w:txbxContent>
                          <w:p w14:paraId="5058D93A" w14:textId="77777777" w:rsidR="00E65338" w:rsidRDefault="00E65338" w:rsidP="00E65338">
                            <w:pPr>
                              <w:pStyle w:val="Caption"/>
                            </w:pPr>
                            <w:bookmarkStart w:id="4" w:name="_Toc213351025"/>
                            <w:r>
                              <w:t xml:space="preserve">Figure </w:t>
                            </w:r>
                            <w:r>
                              <w:fldChar w:fldCharType="begin"/>
                            </w:r>
                            <w:r>
                              <w:instrText xml:space="preserve"> SEQ Figure \* ARABIC </w:instrText>
                            </w:r>
                            <w:r>
                              <w:fldChar w:fldCharType="separate"/>
                            </w:r>
                            <w:r w:rsidR="00C97291">
                              <w:t>1</w:t>
                            </w:r>
                            <w:r>
                              <w:fldChar w:fldCharType="end"/>
                            </w:r>
                            <w:r>
                              <w:rPr>
                                <w:lang w:val="en-US"/>
                              </w:rPr>
                              <w:t xml:space="preserve">: Main Changes in </w:t>
                            </w:r>
                            <w:r>
                              <w:t>ISO/IEC 27001:2022</w:t>
                            </w:r>
                            <w:bookmarkEnd w:id="4"/>
                          </w:p>
                          <w:p w14:paraId="7B927902" w14:textId="77777777" w:rsidR="00E65338" w:rsidRPr="00E65338" w:rsidRDefault="00E65338" w:rsidP="00E65338">
                            <w:r>
                              <w:t xml:space="preserve">Source: </w:t>
                            </w:r>
                            <w:sdt>
                              <w:sdtPr>
                                <w:rPr>
                                  <w:color w:val="000000"/>
                                </w:rPr>
                                <w:tag w:val="MENDELEY_CITATION_v3_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"/>
                                <w:id w:val="1090581602"/>
                                <w:placeholder>
                                  <w:docPart w:val="DefaultPlaceholder_-1854013440"/>
                                </w:placeholder>
                              </w:sdtPr>
                              <w:sdtEndPr/>
                              <w:sdtContent>
                                <w:r w:rsidRPr="00E65338">
                                  <w:rPr>
                                    <w:color w:val="000000"/>
                                  </w:rPr>
                                  <w:t>(PECB, 2025)</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14CC47" id="_x0000_t202" coordsize="21600,21600" o:spt="202" path="m,l,21600r21600,l21600,xe">
                <v:stroke joinstyle="miter"/>
                <v:path gradientshapeok="t" o:connecttype="rect"/>
              </v:shapetype>
              <v:shape id="Text Box 1" o:spid="_x0000_s1026" type="#_x0000_t202" style="position:absolute;left:0;text-align:left;margin-left:-46.15pt;margin-top:297.85pt;width:404.8pt;height:35.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" stroked="f">
                <v:textbox inset="0,0,0,0">
                  <w:txbxContent>
                    <w:p w14:paraId="5058D93A" w14:textId="77777777" w:rsidR="00E65338" w:rsidRDefault="00E65338" w:rsidP="00E65338">
                      <w:pPr>
                        <w:pStyle w:val="Caption"/>
                      </w:pPr>
                      <w:bookmarkStart w:id="5" w:name="_Toc213351025"/>
                      <w:r>
                        <w:t xml:space="preserve">Figure </w:t>
                      </w:r>
                      <w:r>
                        <w:fldChar w:fldCharType="begin"/>
                      </w:r>
                      <w:r>
                        <w:instrText xml:space="preserve"> SEQ Figure \* ARABIC </w:instrText>
                      </w:r>
                      <w:r>
                        <w:fldChar w:fldCharType="separate"/>
                      </w:r>
                      <w:r w:rsidR="00C97291">
                        <w:t>1</w:t>
                      </w:r>
                      <w:r>
                        <w:fldChar w:fldCharType="end"/>
                      </w:r>
                      <w:r>
                        <w:rPr>
                          <w:lang w:val="en-US"/>
                        </w:rPr>
                        <w:t xml:space="preserve">: Main Changes in </w:t>
                      </w:r>
                      <w:r>
                        <w:t>ISO/IEC 27001:2022</w:t>
                      </w:r>
                      <w:bookmarkEnd w:id="5"/>
                    </w:p>
                    <w:p w14:paraId="7B927902" w14:textId="77777777" w:rsidR="00E65338" w:rsidRPr="00E65338" w:rsidRDefault="00E65338" w:rsidP="00E65338">
                      <w:r>
                        <w:t xml:space="preserve">Source: </w:t>
                      </w:r>
                      <w:sdt>
                        <w:sdtPr>
                          <w:rPr>
                            <w:color w:val="000000"/>
                          </w:rPr>
                          <w:tag w:val="MENDELEY_CITATION_v3_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"/>
                          <w:id w:val="1090581602"/>
                          <w:placeholder>
                            <w:docPart w:val="DefaultPlaceholder_-1854013440"/>
                          </w:placeholder>
                        </w:sdtPr>
                        <w:sdtEndPr/>
                        <w:sdtContent>
                          <w:r w:rsidRPr="00E65338">
                            <w:rPr>
                              <w:color w:val="000000"/>
                            </w:rPr>
                            <w:t>(PECB, 2025)</w:t>
                          </w:r>
                        </w:sdtContent>
                      </w:sdt>
                    </w:p>
                  </w:txbxContent>
                </v:textbox>
                <w10:wrap type="square"/>
              </v:shape>
            </w:pict>
          </mc:Fallback>
        </mc:AlternateContent>
      </w:r>
      <w:r w:rsidR="006D3C8F" w:rsidRPr="007C70A3">
        <w:rPr>
          <w:rFonts w:ascii="Times New Roman" w:hAnsi="Times New Roman" w:cs="Times New Roman"/>
        </w:rPr>
        <w:drawing>
          <wp:anchor distT="0" distB="0" distL="114300" distR="114300" simplePos="0" relativeHeight="251658240" behindDoc="0" locked="0" layoutInCell="1" allowOverlap="1" wp14:anchorId="759FAD68" wp14:editId="09CC7116">
            <wp:simplePos x="0" y="0"/>
            <wp:positionH relativeFrom="column">
              <wp:posOffset>0</wp:posOffset>
            </wp:positionH>
            <wp:positionV relativeFrom="paragraph">
              <wp:posOffset>343535</wp:posOffset>
            </wp:positionV>
            <wp:extent cx="4551680" cy="3477260"/>
            <wp:effectExtent l="0" t="0" r="0" b="2540"/>
            <wp:wrapSquare wrapText="bothSides"/>
            <wp:docPr id="660988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a:extLst>
                        <a:ext uri="{28A0092B-C50C-407E-A947-70E740481C1C}">
                          <a14:useLocalDpi xmlns:a14="http://schemas.microsoft.com/office/drawing/2010/main" val="0"/>
                        </a:ext>
                      </a:extLst>
                    </a:blip>
                    <a:srcRect t="4363" b="4246"/>
                    <a:stretch/>
                  </pic:blipFill>
                  <pic:spPr bwMode="auto">
                    <a:xfrm>
                      <a:off x="0" y="0"/>
                      <a:ext cx="4551680" cy="34772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596A" w:rsidRPr="007C70A3">
        <w:rPr>
          <w:rFonts w:ascii="Times New Roman" w:hAnsi="Times New Roman" w:cs="Times New Roman"/>
        </w:rPr>
        <w:t>ISO/IEC 27001:2022</w:t>
      </w:r>
      <w:bookmarkEnd w:id="3"/>
      <w:r w:rsidR="00CB596A" w:rsidRPr="007C70A3">
        <w:rPr>
          <w:rFonts w:ascii="Times New Roman" w:hAnsi="Times New Roman" w:cs="Times New Roman"/>
        </w:rPr>
        <w:t xml:space="preserve"> </w:t>
      </w:r>
    </w:p>
    <w:p w14:paraId="7C610C4D" w14:textId="77777777" w:rsidR="00613A2B" w:rsidRPr="007C70A3" w:rsidRDefault="00E41CED" w:rsidP="007C70A3">
      <w:pPr>
        <w:rPr>
          <w:rFonts w:ascii="Times New Roman" w:hAnsi="Times New Roman" w:cs="Times New Roman"/>
        </w:rPr>
      </w:pPr>
      <w:r w:rsidRPr="007C70A3">
        <w:rPr>
          <w:rFonts w:ascii="Times New Roman" w:hAnsi="Times New Roman" w:cs="Times New Roman"/>
        </w:rPr>
        <w:t xml:space="preserve">In the ISO/IEC 27001:2022 revision, the Annex A is re-structured in 93 controls that are spread across organisational, people, physical, and technological topics, revising the clauses to accommodate cloud use (5.23) and user-endpoint devices (8.1) </w:t>
      </w:r>
      <w:sdt>
        <w:sdtPr>
          <w:rPr>
            <w:rFonts w:ascii="Times New Roman" w:hAnsi="Times New Roman" w:cs="Times New Roman"/>
            <w:color w:val="000000"/>
          </w:rPr>
          <w:tag w:val="MENDELEY_CITATION_v3_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"/>
          <w:id w:val="1169138367"/>
          <w:placeholder>
            <w:docPart w:val="DefaultPlaceholder_-1854013440"/>
          </w:placeholder>
        </w:sdtPr>
        <w:sdtEndPr/>
        <w:sdtContent>
          <w:r w:rsidR="00F0465D" w:rsidRPr="007C70A3">
            <w:rPr>
              <w:rFonts w:ascii="Times New Roman" w:hAnsi="Times New Roman" w:cs="Times New Roman"/>
              <w:color w:val="000000"/>
            </w:rPr>
            <w:t>(IT Governance, 2024)</w:t>
          </w:r>
        </w:sdtContent>
      </w:sdt>
      <w:r w:rsidR="00613A2B" w:rsidRPr="007C70A3">
        <w:rPr>
          <w:rFonts w:ascii="Times New Roman" w:hAnsi="Times New Roman" w:cs="Times New Roman"/>
        </w:rPr>
        <w:t xml:space="preserve"> </w:t>
      </w:r>
      <w:r w:rsidRPr="007C70A3">
        <w:rPr>
          <w:rFonts w:ascii="Times New Roman" w:hAnsi="Times New Roman" w:cs="Times New Roman"/>
        </w:rPr>
        <w:t xml:space="preserve">. Empirical evidence indicates that the presence of ISO-certified firms reflects significantly stronger incident-response preparedness and board responsibility </w:t>
      </w:r>
      <w:sdt>
        <w:sdtPr>
          <w:rPr>
            <w:rFonts w:ascii="Times New Roman" w:hAnsi="Times New Roman" w:cs="Times New Roman"/>
            <w:color w:val="000000"/>
          </w:rPr>
          <w:tag w:val="MENDELEY_CITATION_v3_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"/>
          <w:id w:val="325484596"/>
          <w:placeholder>
            <w:docPart w:val="DefaultPlaceholder_-1854013440"/>
          </w:placeholder>
        </w:sdtPr>
        <w:sdtEndPr/>
        <w:sdtContent>
          <w:r w:rsidR="00F0465D" w:rsidRPr="007C70A3">
            <w:rPr>
              <w:rFonts w:ascii="Times New Roman" w:hAnsi="Times New Roman" w:cs="Times New Roman"/>
              <w:color w:val="000000"/>
            </w:rPr>
            <w:t>(Siponen and Willison, 2009)</w:t>
          </w:r>
        </w:sdtContent>
      </w:sdt>
      <w:r w:rsidRPr="007C70A3">
        <w:rPr>
          <w:rFonts w:ascii="Times New Roman" w:hAnsi="Times New Roman" w:cs="Times New Roman"/>
        </w:rPr>
        <w:t xml:space="preserve">. Nevertheless, critics state that the audit-focused orientation of ISO can solidify controls into compliance checklists unlinked to the current threat intelligence </w:t>
      </w:r>
      <w:sdt>
        <w:sdtPr>
          <w:rPr>
            <w:rFonts w:ascii="Times New Roman" w:hAnsi="Times New Roman" w:cs="Times New Roman"/>
            <w:color w:val="000000"/>
          </w:rPr>
          <w:tag w:val="MENDELEY_CITATION_v3_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"/>
          <w:id w:val="-1775158808"/>
          <w:placeholder>
            <w:docPart w:val="DefaultPlaceholder_-1854013440"/>
          </w:placeholder>
        </w:sdtPr>
        <w:sdtEndPr/>
        <w:sdtContent>
          <w:r w:rsidR="00F0465D" w:rsidRPr="007C70A3">
            <w:rPr>
              <w:rFonts w:ascii="Times New Roman" w:eastAsia="Times New Roman" w:hAnsi="Times New Roman" w:cs="Times New Roman"/>
              <w:color w:val="000000"/>
            </w:rPr>
            <w:t xml:space="preserve">(Culot </w:t>
          </w:r>
          <w:r w:rsidR="00F0465D" w:rsidRPr="007C70A3">
            <w:rPr>
              <w:rFonts w:ascii="Times New Roman" w:eastAsia="Times New Roman" w:hAnsi="Times New Roman" w:cs="Times New Roman"/>
              <w:i/>
              <w:iCs/>
              <w:color w:val="000000"/>
            </w:rPr>
            <w:t>et al.</w:t>
          </w:r>
          <w:r w:rsidR="00F0465D" w:rsidRPr="007C70A3">
            <w:rPr>
              <w:rFonts w:ascii="Times New Roman" w:eastAsia="Times New Roman" w:hAnsi="Times New Roman" w:cs="Times New Roman"/>
              <w:color w:val="000000"/>
            </w:rPr>
            <w:t>, 2021)</w:t>
          </w:r>
        </w:sdtContent>
      </w:sdt>
      <w:r w:rsidRPr="007C70A3">
        <w:rPr>
          <w:rFonts w:ascii="Times New Roman" w:hAnsi="Times New Roman" w:cs="Times New Roman"/>
        </w:rPr>
        <w:t>. To achieve a dynamic BYOD and cloud environment, the ISO 27001 should thus be complemented with dynamic frameworks that operationalise ongoing monitoring.</w:t>
      </w:r>
      <w:r w:rsidR="00613A2B" w:rsidRPr="007C70A3">
        <w:rPr>
          <w:rFonts w:ascii="Times New Roman" w:hAnsi="Times New Roman" w:cs="Times New Roman"/>
        </w:rPr>
        <w:fldChar w:fldCharType="begin"/>
      </w:r>
      <w:r w:rsidR="00613A2B" w:rsidRPr="007C70A3">
        <w:rPr>
          <w:rFonts w:ascii="Times New Roman" w:hAnsi="Times New Roman" w:cs="Times New Roman"/>
        </w:rPr>
        <w:instrText xml:space="preserve"> INCLUDEPICTURE "https://pecb.com/wp-content/uploads/2025/07/expected-changes-in-iso-iec-270012022-infographic.png" \* MERGEFORMATINET </w:instrText>
      </w:r>
      <w:r w:rsidR="00613A2B" w:rsidRPr="007C70A3">
        <w:rPr>
          <w:rFonts w:ascii="Times New Roman" w:hAnsi="Times New Roman" w:cs="Times New Roman"/>
        </w:rPr>
        <w:fldChar w:fldCharType="separate"/>
      </w:r>
      <w:r w:rsidR="00613A2B" w:rsidRPr="007C70A3">
        <w:rPr>
          <w:rFonts w:ascii="Times New Roman" w:hAnsi="Times New Roman" w:cs="Times New Roman"/>
        </w:rPr>
        <w:fldChar w:fldCharType="end"/>
      </w:r>
    </w:p>
    <w:p w14:paraId="3221E667" w14:textId="77777777" w:rsidR="00E41CED" w:rsidRPr="007C70A3" w:rsidRDefault="00E65338" w:rsidP="007C70A3">
      <w:pPr>
        <w:pStyle w:val="Heading2"/>
        <w:rPr>
          <w:rFonts w:ascii="Times New Roman" w:hAnsi="Times New Roman" w:cs="Times New Roman"/>
        </w:rPr>
      </w:pPr>
      <w:bookmarkStart w:id="6" w:name="_Toc213350668"/>
      <w:r w:rsidRPr="007C70A3">
        <w:rPr>
          <w:rFonts w:ascii="Times New Roman" w:hAnsi="Times New Roman" w:cs="Times New Roman"/>
        </w:rPr>
        <w:lastRenderedPageBreak/>
        <w:drawing>
          <wp:anchor distT="0" distB="0" distL="114300" distR="114300" simplePos="0" relativeHeight="251661312" behindDoc="0" locked="0" layoutInCell="1" allowOverlap="1" wp14:anchorId="031B07AD" wp14:editId="3F02318B">
            <wp:simplePos x="0" y="0"/>
            <wp:positionH relativeFrom="column">
              <wp:posOffset>-635</wp:posOffset>
            </wp:positionH>
            <wp:positionV relativeFrom="paragraph">
              <wp:posOffset>436880</wp:posOffset>
            </wp:positionV>
            <wp:extent cx="2772410" cy="2787015"/>
            <wp:effectExtent l="0" t="0" r="0" b="0"/>
            <wp:wrapSquare wrapText="bothSides"/>
            <wp:docPr id="15762154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215418" name="Picture 1576215418"/>
                    <pic:cNvPicPr/>
                  </pic:nvPicPr>
                  <pic:blipFill rotWithShape="1">
                    <a:blip r:embed="rId19">
                      <a:extLst>
                        <a:ext uri="{28A0092B-C50C-407E-A947-70E740481C1C}">
                          <a14:useLocalDpi xmlns:a14="http://schemas.microsoft.com/office/drawing/2010/main" val="0"/>
                        </a:ext>
                      </a:extLst>
                    </a:blip>
                    <a:srcRect l="14011" r="13527"/>
                    <a:stretch/>
                  </pic:blipFill>
                  <pic:spPr bwMode="auto">
                    <a:xfrm>
                      <a:off x="0" y="0"/>
                      <a:ext cx="2772410" cy="2787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596A" w:rsidRPr="007C70A3">
        <w:rPr>
          <w:rFonts w:ascii="Times New Roman" w:hAnsi="Times New Roman" w:cs="Times New Roman"/>
        </w:rPr>
        <w:t>NIST Cybersecurity Framework 2.0</w:t>
      </w:r>
      <w:bookmarkEnd w:id="6"/>
      <w:r w:rsidR="00CB596A" w:rsidRPr="007C70A3">
        <w:rPr>
          <w:rFonts w:ascii="Times New Roman" w:hAnsi="Times New Roman" w:cs="Times New Roman"/>
        </w:rPr>
        <w:t xml:space="preserve"> </w:t>
      </w:r>
    </w:p>
    <w:p w14:paraId="5990BDC8" w14:textId="77777777" w:rsidR="00613A2B" w:rsidRPr="007C70A3" w:rsidRDefault="00E65338" w:rsidP="007C70A3">
      <w:pPr>
        <w:rPr>
          <w:rFonts w:ascii="Times New Roman" w:hAnsi="Times New Roman" w:cs="Times New Roman"/>
        </w:rPr>
      </w:pPr>
      <w:r w:rsidRPr="007C70A3">
        <w:rPr>
          <w:rFonts w:ascii="Times New Roman" w:hAnsi="Times New Roman" w:cs="Times New Roman"/>
        </w:rPr>
        <mc:AlternateContent>
          <mc:Choice Requires="wps">
            <w:drawing>
              <wp:anchor distT="0" distB="0" distL="114300" distR="114300" simplePos="0" relativeHeight="251689984" behindDoc="0" locked="0" layoutInCell="1" allowOverlap="1" wp14:anchorId="52337617" wp14:editId="1B4643F9">
                <wp:simplePos x="0" y="0"/>
                <wp:positionH relativeFrom="column">
                  <wp:posOffset>0</wp:posOffset>
                </wp:positionH>
                <wp:positionV relativeFrom="paragraph">
                  <wp:posOffset>2634312</wp:posOffset>
                </wp:positionV>
                <wp:extent cx="2772962" cy="454562"/>
                <wp:effectExtent l="0" t="0" r="0" b="3175"/>
                <wp:wrapSquare wrapText="bothSides"/>
                <wp:docPr id="470069267" name="Text Box 1"/>
                <wp:cNvGraphicFramePr/>
                <a:graphic xmlns:a="http://schemas.openxmlformats.org/drawingml/2006/main">
                  <a:graphicData uri="http://schemas.microsoft.com/office/word/2010/wordprocessingShape">
                    <wps:wsp>
                      <wps:cNvSpPr txBox="1"/>
                      <wps:spPr>
                        <a:xfrm>
                          <a:off x="0" y="0"/>
                          <a:ext cx="2772962" cy="454562"/>
                        </a:xfrm>
                        <a:prstGeom prst="rect">
                          <a:avLst/>
                        </a:prstGeom>
                        <a:solidFill>
                          <a:prstClr val="white"/>
                        </a:solidFill>
                        <a:ln>
                          <a:noFill/>
                        </a:ln>
                      </wps:spPr>
                      <wps:txbx>
                        <w:txbxContent>
                          <w:p w14:paraId="568C7143" w14:textId="77777777" w:rsidR="00E65338" w:rsidRDefault="00E65338" w:rsidP="007C70A3">
                            <w:pPr>
                              <w:pStyle w:val="Caption"/>
                              <w:spacing w:line="240" w:lineRule="auto"/>
                              <w:jc w:val="center"/>
                              <w:rPr>
                                <w:lang w:val="en-US"/>
                              </w:rPr>
                            </w:pPr>
                            <w:bookmarkStart w:id="7" w:name="_Toc213351026"/>
                            <w:r>
                              <w:t xml:space="preserve">Figure </w:t>
                            </w:r>
                            <w:r>
                              <w:fldChar w:fldCharType="begin"/>
                            </w:r>
                            <w:r>
                              <w:instrText xml:space="preserve"> SEQ Figure \* ARABIC </w:instrText>
                            </w:r>
                            <w:r>
                              <w:fldChar w:fldCharType="separate"/>
                            </w:r>
                            <w:r w:rsidR="00C97291">
                              <w:t>2</w:t>
                            </w:r>
                            <w:r>
                              <w:fldChar w:fldCharType="end"/>
                            </w:r>
                            <w:r>
                              <w:rPr>
                                <w:lang w:val="en-US"/>
                              </w:rPr>
                              <w:t>: Functions of NSF</w:t>
                            </w:r>
                            <w:bookmarkEnd w:id="7"/>
                          </w:p>
                          <w:p w14:paraId="64E1F6F2" w14:textId="77777777" w:rsidR="00E65338" w:rsidRPr="00E65338" w:rsidRDefault="00E65338" w:rsidP="00E65338">
                            <w:pPr>
                              <w:spacing w:line="240" w:lineRule="auto"/>
                              <w:rPr>
                                <w:lang w:val="en-US"/>
                              </w:rPr>
                            </w:pPr>
                            <w:r>
                              <w:rPr>
                                <w:lang w:val="en-US"/>
                              </w:rPr>
                              <w:t xml:space="preserve">Source: </w:t>
                            </w:r>
                            <w:sdt>
                              <w:sdtPr>
                                <w:rPr>
                                  <w:color w:val="000000"/>
                                  <w:lang w:val="en-US"/>
                                </w:rPr>
                                <w:tag w:val="MENDELEY_CITATION_v3_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"/>
                                <w:id w:val="-801313149"/>
                                <w:placeholder>
                                  <w:docPart w:val="DefaultPlaceholder_-1854013440"/>
                                </w:placeholder>
                              </w:sdtPr>
                              <w:sdtEndPr/>
                              <w:sdtContent>
                                <w:r w:rsidRPr="00E65338">
                                  <w:rPr>
                                    <w:color w:val="000000"/>
                                    <w:lang w:val="en-US"/>
                                  </w:rPr>
                                  <w:t>(NIST, 2025)</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337617" id="_x0000_s1027" type="#_x0000_t202" style="position:absolute;left:0;text-align:left;margin-left:0;margin-top:207.45pt;width:218.35pt;height:35.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" stroked="f">
                <v:textbox inset="0,0,0,0">
                  <w:txbxContent>
                    <w:p w14:paraId="568C7143" w14:textId="77777777" w:rsidR="00E65338" w:rsidRDefault="00E65338" w:rsidP="007C70A3">
                      <w:pPr>
                        <w:pStyle w:val="Caption"/>
                        <w:spacing w:line="240" w:lineRule="auto"/>
                        <w:jc w:val="center"/>
                        <w:rPr>
                          <w:lang w:val="en-US"/>
                        </w:rPr>
                      </w:pPr>
                      <w:bookmarkStart w:id="8" w:name="_Toc213351026"/>
                      <w:r>
                        <w:t xml:space="preserve">Figure </w:t>
                      </w:r>
                      <w:r>
                        <w:fldChar w:fldCharType="begin"/>
                      </w:r>
                      <w:r>
                        <w:instrText xml:space="preserve"> SEQ Figure \* ARABIC </w:instrText>
                      </w:r>
                      <w:r>
                        <w:fldChar w:fldCharType="separate"/>
                      </w:r>
                      <w:r w:rsidR="00C97291">
                        <w:t>2</w:t>
                      </w:r>
                      <w:r>
                        <w:fldChar w:fldCharType="end"/>
                      </w:r>
                      <w:r>
                        <w:rPr>
                          <w:lang w:val="en-US"/>
                        </w:rPr>
                        <w:t>: Functions of NSF</w:t>
                      </w:r>
                      <w:bookmarkEnd w:id="8"/>
                    </w:p>
                    <w:p w14:paraId="64E1F6F2" w14:textId="77777777" w:rsidR="00E65338" w:rsidRPr="00E65338" w:rsidRDefault="00E65338" w:rsidP="00E65338">
                      <w:pPr>
                        <w:spacing w:line="240" w:lineRule="auto"/>
                        <w:rPr>
                          <w:lang w:val="en-US"/>
                        </w:rPr>
                      </w:pPr>
                      <w:r>
                        <w:rPr>
                          <w:lang w:val="en-US"/>
                        </w:rPr>
                        <w:t xml:space="preserve">Source: </w:t>
                      </w:r>
                      <w:sdt>
                        <w:sdtPr>
                          <w:rPr>
                            <w:color w:val="000000"/>
                            <w:lang w:val="en-US"/>
                          </w:rPr>
                          <w:tag w:val="MENDELEY_CITATION_v3_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"/>
                          <w:id w:val="-801313149"/>
                          <w:placeholder>
                            <w:docPart w:val="DefaultPlaceholder_-1854013440"/>
                          </w:placeholder>
                        </w:sdtPr>
                        <w:sdtEndPr/>
                        <w:sdtContent>
                          <w:r w:rsidRPr="00E65338">
                            <w:rPr>
                              <w:color w:val="000000"/>
                              <w:lang w:val="en-US"/>
                            </w:rPr>
                            <w:t>(NIST, 2025)</w:t>
                          </w:r>
                        </w:sdtContent>
                      </w:sdt>
                    </w:p>
                  </w:txbxContent>
                </v:textbox>
                <w10:wrap type="square"/>
              </v:shape>
            </w:pict>
          </mc:Fallback>
        </mc:AlternateContent>
      </w:r>
      <w:r w:rsidR="00E41CED" w:rsidRPr="007C70A3">
        <w:rPr>
          <w:rFonts w:ascii="Times New Roman" w:hAnsi="Times New Roman" w:cs="Times New Roman"/>
        </w:rPr>
        <w:t xml:space="preserve">In 2024, NIST published NIST CSF 2.0, which added a sixth function, Govern, to the canonical Identify-Protect-Detect-Respond-Recover </w:t>
      </w:r>
      <w:sdt>
        <w:sdtPr>
          <w:rPr>
            <w:rFonts w:ascii="Times New Roman" w:hAnsi="Times New Roman" w:cs="Times New Roman"/>
            <w:color w:val="000000"/>
          </w:rPr>
          <w:tag w:val="MENDELEY_CITATION_v3_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"/>
          <w:id w:val="-1773457946"/>
          <w:placeholder>
            <w:docPart w:val="DefaultPlaceholder_-1854013440"/>
          </w:placeholder>
        </w:sdtPr>
        <w:sdtEndPr/>
        <w:sdtContent>
          <w:r w:rsidR="00F0465D" w:rsidRPr="007C70A3">
            <w:rPr>
              <w:rFonts w:ascii="Times New Roman" w:hAnsi="Times New Roman" w:cs="Times New Roman"/>
              <w:color w:val="000000"/>
            </w:rPr>
            <w:t>(NIST, 2025)</w:t>
          </w:r>
        </w:sdtContent>
      </w:sdt>
      <w:r w:rsidR="00613A2B" w:rsidRPr="007C70A3">
        <w:rPr>
          <w:rFonts w:ascii="Times New Roman" w:hAnsi="Times New Roman" w:cs="Times New Roman"/>
          <w:color w:val="000000"/>
        </w:rPr>
        <w:t>.</w:t>
      </w:r>
      <w:r w:rsidR="00E41CED" w:rsidRPr="007C70A3">
        <w:rPr>
          <w:rFonts w:ascii="Times New Roman" w:hAnsi="Times New Roman" w:cs="Times New Roman"/>
        </w:rPr>
        <w:t xml:space="preserve"> This addition institutionalises leadership accountability as it requires specified roles, policies, risk-communication procedures. Scholarly reviews note the practical mapping of CSF to current controls (e.g., SP 800-53, ISO 27001) and its applicability across industries </w:t>
      </w:r>
      <w:sdt>
        <w:sdtPr>
          <w:rPr>
            <w:rFonts w:ascii="Times New Roman" w:hAnsi="Times New Roman" w:cs="Times New Roman"/>
            <w:color w:val="000000"/>
          </w:rPr>
          <w:tag w:val="MENDELEY_CITATION_v3_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"/>
          <w:id w:val="-1019465975"/>
          <w:placeholder>
            <w:docPart w:val="DefaultPlaceholder_-1854013440"/>
          </w:placeholder>
        </w:sdtPr>
        <w:sdtEndPr/>
        <w:sdtContent>
          <w:r w:rsidR="00F0465D" w:rsidRPr="007C70A3">
            <w:rPr>
              <w:rFonts w:ascii="Times New Roman" w:eastAsia="Times New Roman" w:hAnsi="Times New Roman" w:cs="Times New Roman"/>
              <w:color w:val="000000"/>
            </w:rPr>
            <w:t xml:space="preserve">(NIST, 2024; Rose </w:t>
          </w:r>
          <w:r w:rsidR="00F0465D" w:rsidRPr="007C70A3">
            <w:rPr>
              <w:rFonts w:ascii="Times New Roman" w:eastAsia="Times New Roman" w:hAnsi="Times New Roman" w:cs="Times New Roman"/>
              <w:i/>
              <w:iCs/>
              <w:color w:val="000000"/>
            </w:rPr>
            <w:t>et al.</w:t>
          </w:r>
          <w:r w:rsidR="00F0465D" w:rsidRPr="007C70A3">
            <w:rPr>
              <w:rFonts w:ascii="Times New Roman" w:eastAsia="Times New Roman" w:hAnsi="Times New Roman" w:cs="Times New Roman"/>
              <w:color w:val="000000"/>
            </w:rPr>
            <w:t>, 2020; Shen, 2014)</w:t>
          </w:r>
        </w:sdtContent>
      </w:sdt>
      <w:r w:rsidR="00E41CED" w:rsidRPr="007C70A3">
        <w:rPr>
          <w:rFonts w:ascii="Times New Roman" w:hAnsi="Times New Roman" w:cs="Times New Roman"/>
        </w:rPr>
        <w:t>. However, its voluntary aspect and non-certification might impede external assurance, which is of specific importance to NG, as its international clients might demand proving its compliance credentials.</w:t>
      </w:r>
    </w:p>
    <w:p w14:paraId="20CD7C9F" w14:textId="77777777" w:rsidR="00E41CED" w:rsidRPr="007C70A3" w:rsidRDefault="00E65338" w:rsidP="007C70A3">
      <w:pPr>
        <w:pStyle w:val="Heading2"/>
        <w:rPr>
          <w:rFonts w:ascii="Times New Roman" w:hAnsi="Times New Roman" w:cs="Times New Roman"/>
        </w:rPr>
      </w:pPr>
      <w:bookmarkStart w:id="9" w:name="_Toc213350669"/>
      <w:r w:rsidRPr="007C70A3">
        <w:rPr>
          <w:rFonts w:ascii="Times New Roman" w:hAnsi="Times New Roman" w:cs="Times New Roman"/>
        </w:rPr>
        <w:drawing>
          <wp:anchor distT="0" distB="0" distL="114300" distR="114300" simplePos="0" relativeHeight="251664384" behindDoc="0" locked="0" layoutInCell="1" allowOverlap="1" wp14:anchorId="71AA6558" wp14:editId="30FEE285">
            <wp:simplePos x="0" y="0"/>
            <wp:positionH relativeFrom="column">
              <wp:posOffset>0</wp:posOffset>
            </wp:positionH>
            <wp:positionV relativeFrom="paragraph">
              <wp:posOffset>302895</wp:posOffset>
            </wp:positionV>
            <wp:extent cx="4044950" cy="2066925"/>
            <wp:effectExtent l="0" t="0" r="6350" b="3175"/>
            <wp:wrapSquare wrapText="bothSides"/>
            <wp:docPr id="1335386656" name="Picture 3" descr="COBIT 2019 Framework – ITSM Docs - ITSM Documents &amp;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BIT 2019 Framework – ITSM Docs - ITSM Documents &amp; Template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44950"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sidR="00CB596A" w:rsidRPr="007C70A3">
        <w:rPr>
          <w:rFonts w:ascii="Times New Roman" w:hAnsi="Times New Roman" w:cs="Times New Roman"/>
        </w:rPr>
        <w:t>COBIT 2019 and ITIL 4</w:t>
      </w:r>
      <w:bookmarkEnd w:id="9"/>
      <w:r w:rsidR="00CB596A" w:rsidRPr="007C70A3">
        <w:rPr>
          <w:rFonts w:ascii="Times New Roman" w:hAnsi="Times New Roman" w:cs="Times New Roman"/>
        </w:rPr>
        <w:t xml:space="preserve"> </w:t>
      </w:r>
    </w:p>
    <w:p w14:paraId="0632A6DF" w14:textId="77777777" w:rsidR="007C70A3" w:rsidRDefault="00E65338" w:rsidP="007C70A3">
      <w:pPr>
        <w:rPr>
          <w:rFonts w:ascii="Times New Roman" w:hAnsi="Times New Roman" w:cs="Times New Roman"/>
        </w:rPr>
      </w:pPr>
      <w:r w:rsidRPr="007C70A3">
        <w:rPr>
          <w:rFonts w:ascii="Times New Roman" w:hAnsi="Times New Roman" w:cs="Times New Roman"/>
        </w:rPr>
        <mc:AlternateContent>
          <mc:Choice Requires="wps">
            <w:drawing>
              <wp:anchor distT="0" distB="0" distL="114300" distR="114300" simplePos="0" relativeHeight="251692032" behindDoc="0" locked="0" layoutInCell="1" allowOverlap="1" wp14:anchorId="3D44E467" wp14:editId="16FB2653">
                <wp:simplePos x="0" y="0"/>
                <wp:positionH relativeFrom="column">
                  <wp:posOffset>0</wp:posOffset>
                </wp:positionH>
                <wp:positionV relativeFrom="paragraph">
                  <wp:posOffset>1933437</wp:posOffset>
                </wp:positionV>
                <wp:extent cx="4044950" cy="370105"/>
                <wp:effectExtent l="0" t="0" r="6350" b="0"/>
                <wp:wrapSquare wrapText="bothSides"/>
                <wp:docPr id="1823352143" name="Text Box 1"/>
                <wp:cNvGraphicFramePr/>
                <a:graphic xmlns:a="http://schemas.openxmlformats.org/drawingml/2006/main">
                  <a:graphicData uri="http://schemas.microsoft.com/office/word/2010/wordprocessingShape">
                    <wps:wsp>
                      <wps:cNvSpPr txBox="1"/>
                      <wps:spPr>
                        <a:xfrm>
                          <a:off x="0" y="0"/>
                          <a:ext cx="4044950" cy="370105"/>
                        </a:xfrm>
                        <a:prstGeom prst="rect">
                          <a:avLst/>
                        </a:prstGeom>
                        <a:solidFill>
                          <a:prstClr val="white"/>
                        </a:solidFill>
                        <a:ln>
                          <a:noFill/>
                        </a:ln>
                      </wps:spPr>
                      <wps:txbx>
                        <w:txbxContent>
                          <w:p w14:paraId="5CC9B992" w14:textId="77777777" w:rsidR="00E65338" w:rsidRDefault="00E65338" w:rsidP="00E65338">
                            <w:pPr>
                              <w:pStyle w:val="Caption"/>
                              <w:spacing w:after="0"/>
                              <w:rPr>
                                <w:lang w:val="en-US"/>
                              </w:rPr>
                            </w:pPr>
                            <w:bookmarkStart w:id="10" w:name="_Toc213351027"/>
                            <w:r>
                              <w:t xml:space="preserve">Figure </w:t>
                            </w:r>
                            <w:r>
                              <w:fldChar w:fldCharType="begin"/>
                            </w:r>
                            <w:r>
                              <w:instrText xml:space="preserve"> SEQ Figure \* ARABIC </w:instrText>
                            </w:r>
                            <w:r>
                              <w:fldChar w:fldCharType="separate"/>
                            </w:r>
                            <w:r w:rsidR="00C97291">
                              <w:t>3</w:t>
                            </w:r>
                            <w:r>
                              <w:fldChar w:fldCharType="end"/>
                            </w:r>
                            <w:r>
                              <w:rPr>
                                <w:lang w:val="en-US"/>
                              </w:rPr>
                              <w:t xml:space="preserve">: Key Components of </w:t>
                            </w:r>
                            <w:r w:rsidRPr="005F39EF">
                              <w:rPr>
                                <w:lang w:val="en-US"/>
                              </w:rPr>
                              <w:t>COBIT 2019</w:t>
                            </w:r>
                            <w:bookmarkEnd w:id="10"/>
                          </w:p>
                          <w:p w14:paraId="41E1011D" w14:textId="77777777" w:rsidR="00E65338" w:rsidRPr="00E65338" w:rsidRDefault="00E65338" w:rsidP="00E65338">
                            <w:pPr>
                              <w:spacing w:after="0"/>
                              <w:rPr>
                                <w:lang w:val="en-US"/>
                              </w:rPr>
                            </w:pPr>
                            <w:r>
                              <w:rPr>
                                <w:lang w:val="en-US"/>
                              </w:rPr>
                              <w:t xml:space="preserve">Source: </w:t>
                            </w:r>
                            <w:sdt>
                              <w:sdtPr>
                                <w:rPr>
                                  <w:color w:val="000000"/>
                                  <w:lang w:val="en-US"/>
                                </w:rPr>
                                <w:tag w:val="MENDELEY_CITATION_v3_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"/>
                                <w:id w:val="-1987537981"/>
                                <w:placeholder>
                                  <w:docPart w:val="DefaultPlaceholder_-1854013440"/>
                                </w:placeholder>
                              </w:sdtPr>
                              <w:sdtEndPr/>
                              <w:sdtContent>
                                <w:r w:rsidRPr="00E65338">
                                  <w:rPr>
                                    <w:color w:val="000000"/>
                                    <w:lang w:val="en-US"/>
                                  </w:rPr>
                                  <w:t>(Hurkadli, 2023)</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44E467" id="_x0000_s1028" type="#_x0000_t202" style="position:absolute;left:0;text-align:left;margin-left:0;margin-top:152.25pt;width:318.5pt;height:29.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" stroked="f">
                <v:textbox inset="0,0,0,0">
                  <w:txbxContent>
                    <w:p w14:paraId="5CC9B992" w14:textId="77777777" w:rsidR="00E65338" w:rsidRDefault="00E65338" w:rsidP="00E65338">
                      <w:pPr>
                        <w:pStyle w:val="Caption"/>
                        <w:spacing w:after="0"/>
                        <w:rPr>
                          <w:lang w:val="en-US"/>
                        </w:rPr>
                      </w:pPr>
                      <w:bookmarkStart w:id="11" w:name="_Toc213351027"/>
                      <w:r>
                        <w:t xml:space="preserve">Figure </w:t>
                      </w:r>
                      <w:r>
                        <w:fldChar w:fldCharType="begin"/>
                      </w:r>
                      <w:r>
                        <w:instrText xml:space="preserve"> SEQ Figure \* ARABIC </w:instrText>
                      </w:r>
                      <w:r>
                        <w:fldChar w:fldCharType="separate"/>
                      </w:r>
                      <w:r w:rsidR="00C97291">
                        <w:t>3</w:t>
                      </w:r>
                      <w:r>
                        <w:fldChar w:fldCharType="end"/>
                      </w:r>
                      <w:r>
                        <w:rPr>
                          <w:lang w:val="en-US"/>
                        </w:rPr>
                        <w:t xml:space="preserve">: Key Components of </w:t>
                      </w:r>
                      <w:r w:rsidRPr="005F39EF">
                        <w:rPr>
                          <w:lang w:val="en-US"/>
                        </w:rPr>
                        <w:t>COBIT 2019</w:t>
                      </w:r>
                      <w:bookmarkEnd w:id="11"/>
                    </w:p>
                    <w:p w14:paraId="41E1011D" w14:textId="77777777" w:rsidR="00E65338" w:rsidRPr="00E65338" w:rsidRDefault="00E65338" w:rsidP="00E65338">
                      <w:pPr>
                        <w:spacing w:after="0"/>
                        <w:rPr>
                          <w:lang w:val="en-US"/>
                        </w:rPr>
                      </w:pPr>
                      <w:r>
                        <w:rPr>
                          <w:lang w:val="en-US"/>
                        </w:rPr>
                        <w:t xml:space="preserve">Source: </w:t>
                      </w:r>
                      <w:sdt>
                        <w:sdtPr>
                          <w:rPr>
                            <w:color w:val="000000"/>
                            <w:lang w:val="en-US"/>
                          </w:rPr>
                          <w:tag w:val="MENDELEY_CITATION_v3_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"/>
                          <w:id w:val="-1987537981"/>
                          <w:placeholder>
                            <w:docPart w:val="DefaultPlaceholder_-1854013440"/>
                          </w:placeholder>
                        </w:sdtPr>
                        <w:sdtEndPr/>
                        <w:sdtContent>
                          <w:r w:rsidRPr="00E65338">
                            <w:rPr>
                              <w:color w:val="000000"/>
                              <w:lang w:val="en-US"/>
                            </w:rPr>
                            <w:t>(Hurkadli, 2023)</w:t>
                          </w:r>
                        </w:sdtContent>
                      </w:sdt>
                    </w:p>
                  </w:txbxContent>
                </v:textbox>
                <w10:wrap type="square"/>
              </v:shape>
            </w:pict>
          </mc:Fallback>
        </mc:AlternateContent>
      </w:r>
      <w:r w:rsidR="00E41CED" w:rsidRPr="007C70A3">
        <w:rPr>
          <w:rFonts w:ascii="Times New Roman" w:hAnsi="Times New Roman" w:cs="Times New Roman"/>
        </w:rPr>
        <w:t xml:space="preserve">COBIT 2019 expands the scope of governance past security to comprehensive Information &amp; Technology (I&amp;T) value delivery. Its design considerations and performance-management goals permit quantitative maturity evaluation </w:t>
      </w:r>
      <w:sdt>
        <w:sdtPr>
          <w:rPr>
            <w:rFonts w:ascii="Times New Roman" w:hAnsi="Times New Roman" w:cs="Times New Roman"/>
            <w:color w:val="000000"/>
          </w:rPr>
          <w:tag w:val="MENDELEY_CITATION_v3_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"/>
          <w:id w:val="-805542712"/>
          <w:placeholder>
            <w:docPart w:val="DefaultPlaceholder_-1854013440"/>
          </w:placeholder>
        </w:sdtPr>
        <w:sdtEndPr/>
        <w:sdtContent>
          <w:r w:rsidR="00F0465D" w:rsidRPr="007C70A3">
            <w:rPr>
              <w:rFonts w:ascii="Times New Roman" w:hAnsi="Times New Roman" w:cs="Times New Roman"/>
              <w:color w:val="000000"/>
            </w:rPr>
            <w:t>(Antariksa, Angin and Widodo, 2025)</w:t>
          </w:r>
        </w:sdtContent>
      </w:sdt>
      <w:r w:rsidR="00E41CED" w:rsidRPr="007C70A3">
        <w:rPr>
          <w:rFonts w:ascii="Times New Roman" w:hAnsi="Times New Roman" w:cs="Times New Roman"/>
        </w:rPr>
        <w:t>. In the case of NG, COBIT offers the strategic management and key-performance-indicator (KPI) framework that technical standards lack</w:t>
      </w:r>
      <w:r w:rsidR="009049EC" w:rsidRPr="007C70A3">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"/>
          <w:id w:val="615565964"/>
          <w:placeholder>
            <w:docPart w:val="DefaultPlaceholder_-1854013440"/>
          </w:placeholder>
        </w:sdtPr>
        <w:sdtEndPr/>
        <w:sdtContent>
          <w:r w:rsidR="00F0465D" w:rsidRPr="007C70A3">
            <w:rPr>
              <w:rFonts w:ascii="Times New Roman" w:hAnsi="Times New Roman" w:cs="Times New Roman"/>
              <w:color w:val="000000"/>
            </w:rPr>
            <w:t>(Hurkadli, 2023)</w:t>
          </w:r>
        </w:sdtContent>
      </w:sdt>
      <w:r w:rsidR="00E41CED" w:rsidRPr="007C70A3">
        <w:rPr>
          <w:rFonts w:ascii="Times New Roman" w:hAnsi="Times New Roman" w:cs="Times New Roman"/>
        </w:rPr>
        <w:t xml:space="preserve">. ITIL 4, in its turn, integrates information-security management into the Service Value System, providing process discipline of change, incident, and problem management </w:t>
      </w:r>
      <w:sdt>
        <w:sdtPr>
          <w:rPr>
            <w:rFonts w:ascii="Times New Roman" w:hAnsi="Times New Roman" w:cs="Times New Roman"/>
            <w:color w:val="000000"/>
          </w:rPr>
          <w:tag w:val="MENDELEY_CITATION_v3_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"/>
          <w:id w:val="-1948994792"/>
          <w:placeholder>
            <w:docPart w:val="DefaultPlaceholder_-1854013440"/>
          </w:placeholder>
        </w:sdtPr>
        <w:sdtEndPr/>
        <w:sdtContent>
          <w:r w:rsidR="00F0465D" w:rsidRPr="007C70A3">
            <w:rPr>
              <w:rFonts w:ascii="Times New Roman" w:eastAsia="Times New Roman" w:hAnsi="Times New Roman" w:cs="Times New Roman"/>
              <w:color w:val="000000"/>
            </w:rPr>
            <w:t xml:space="preserve">(Informit, 2024; Ishlahuddin </w:t>
          </w:r>
          <w:r w:rsidR="00F0465D" w:rsidRPr="007C70A3">
            <w:rPr>
              <w:rFonts w:ascii="Times New Roman" w:eastAsia="Times New Roman" w:hAnsi="Times New Roman" w:cs="Times New Roman"/>
              <w:i/>
              <w:iCs/>
              <w:color w:val="000000"/>
            </w:rPr>
            <w:t>et al.</w:t>
          </w:r>
          <w:r w:rsidR="00F0465D" w:rsidRPr="007C70A3">
            <w:rPr>
              <w:rFonts w:ascii="Times New Roman" w:eastAsia="Times New Roman" w:hAnsi="Times New Roman" w:cs="Times New Roman"/>
              <w:color w:val="000000"/>
            </w:rPr>
            <w:t>, 2020)</w:t>
          </w:r>
        </w:sdtContent>
      </w:sdt>
      <w:r w:rsidR="00E41CED" w:rsidRPr="007C70A3">
        <w:rPr>
          <w:rFonts w:ascii="Times New Roman" w:hAnsi="Times New Roman" w:cs="Times New Roman"/>
        </w:rPr>
        <w:t>. However, both of these frameworks are prescriptive and heavy on process, which can hinder agility unless right-sized.</w:t>
      </w:r>
    </w:p>
    <w:p w14:paraId="60387AF2" w14:textId="77777777" w:rsidR="007C70A3" w:rsidRDefault="007C70A3" w:rsidP="007C70A3">
      <w:pPr>
        <w:rPr>
          <w:rFonts w:ascii="Times New Roman" w:hAnsi="Times New Roman" w:cs="Times New Roman"/>
        </w:rPr>
      </w:pPr>
    </w:p>
    <w:p w14:paraId="71D1901F" w14:textId="77777777" w:rsidR="007C70A3" w:rsidRDefault="007C70A3" w:rsidP="007C70A3">
      <w:pPr>
        <w:rPr>
          <w:rFonts w:ascii="Times New Roman" w:hAnsi="Times New Roman" w:cs="Times New Roman"/>
        </w:rPr>
      </w:pPr>
    </w:p>
    <w:p w14:paraId="0F92D8EB" w14:textId="77777777" w:rsidR="007C70A3" w:rsidRDefault="007C70A3" w:rsidP="007C70A3">
      <w:pPr>
        <w:rPr>
          <w:rFonts w:ascii="Times New Roman" w:hAnsi="Times New Roman" w:cs="Times New Roman"/>
        </w:rPr>
      </w:pPr>
    </w:p>
    <w:p w14:paraId="0F987954" w14:textId="77777777" w:rsidR="009049EC" w:rsidRPr="007C70A3" w:rsidRDefault="009049EC" w:rsidP="007C70A3">
      <w:pPr>
        <w:rPr>
          <w:rFonts w:ascii="Times New Roman" w:hAnsi="Times New Roman" w:cs="Times New Roman"/>
        </w:rPr>
      </w:pPr>
      <w:r w:rsidRPr="007C70A3">
        <w:rPr>
          <w:rFonts w:ascii="Times New Roman" w:hAnsi="Times New Roman" w:cs="Times New Roman"/>
        </w:rPr>
        <w:fldChar w:fldCharType="begin"/>
      </w:r>
      <w:r w:rsidRPr="007C70A3">
        <w:rPr>
          <w:rFonts w:ascii="Times New Roman" w:hAnsi="Times New Roman" w:cs="Times New Roman"/>
        </w:rPr>
        <w:instrText xml:space="preserve"> INCLUDEPICTURE "https://cdn.shopify.com/s/files/1/0576/7063/1573/files/111_a6bb5198-3e61-44f1-875c-0c4fee20d348_600x600.png?v=1693243402" \* MERGEFORMATINET </w:instrText>
      </w:r>
      <w:r w:rsidRPr="007C70A3">
        <w:rPr>
          <w:rFonts w:ascii="Times New Roman" w:hAnsi="Times New Roman" w:cs="Times New Roman"/>
        </w:rPr>
        <w:fldChar w:fldCharType="separate"/>
      </w:r>
      <w:r w:rsidRPr="007C70A3">
        <w:rPr>
          <w:rFonts w:ascii="Times New Roman" w:hAnsi="Times New Roman" w:cs="Times New Roman"/>
        </w:rPr>
        <w:fldChar w:fldCharType="end"/>
      </w:r>
    </w:p>
    <w:p w14:paraId="677349B4" w14:textId="77777777" w:rsidR="00E41CED" w:rsidRPr="007C70A3" w:rsidRDefault="00CB596A" w:rsidP="007C70A3">
      <w:pPr>
        <w:pStyle w:val="Heading2"/>
        <w:rPr>
          <w:rFonts w:ascii="Times New Roman" w:hAnsi="Times New Roman" w:cs="Times New Roman"/>
        </w:rPr>
      </w:pPr>
      <w:bookmarkStart w:id="12" w:name="_Toc213350670"/>
      <w:r w:rsidRPr="007C70A3">
        <w:rPr>
          <w:rFonts w:ascii="Times New Roman" w:hAnsi="Times New Roman" w:cs="Times New Roman"/>
        </w:rPr>
        <w:lastRenderedPageBreak/>
        <w:t>Zero Trust Architecture (ZTA)</w:t>
      </w:r>
      <w:bookmarkEnd w:id="12"/>
      <w:r w:rsidRPr="007C70A3">
        <w:rPr>
          <w:rFonts w:ascii="Times New Roman" w:hAnsi="Times New Roman" w:cs="Times New Roman"/>
        </w:rPr>
        <w:t xml:space="preserve"> </w:t>
      </w:r>
    </w:p>
    <w:p w14:paraId="4CDF7574" w14:textId="77777777" w:rsidR="00E41CED" w:rsidRPr="007C70A3" w:rsidRDefault="00E41CED" w:rsidP="007C70A3">
      <w:pPr>
        <w:rPr>
          <w:rFonts w:ascii="Times New Roman" w:hAnsi="Times New Roman" w:cs="Times New Roman"/>
        </w:rPr>
      </w:pPr>
      <w:r w:rsidRPr="007C70A3">
        <w:rPr>
          <w:rFonts w:ascii="Times New Roman" w:hAnsi="Times New Roman" w:cs="Times New Roman"/>
        </w:rPr>
        <w:t xml:space="preserve">Zero Trust, which is codified in NIST SP 800-207, does not trust implicitly but requires ongoing posture verification of users, devices, and sessions </w:t>
      </w:r>
      <w:sdt>
        <w:sdtPr>
          <w:rPr>
            <w:rFonts w:ascii="Times New Roman" w:hAnsi="Times New Roman" w:cs="Times New Roman"/>
            <w:color w:val="000000"/>
          </w:rPr>
          <w:tag w:val="MENDELEY_CITATION_v3_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"/>
          <w:id w:val="1807049930"/>
          <w:placeholder>
            <w:docPart w:val="DefaultPlaceholder_-1854013440"/>
          </w:placeholder>
        </w:sdtPr>
        <w:sdtEndPr/>
        <w:sdtContent>
          <w:r w:rsidR="00F0465D" w:rsidRPr="007C70A3">
            <w:rPr>
              <w:rFonts w:ascii="Times New Roman" w:eastAsia="Times New Roman" w:hAnsi="Times New Roman" w:cs="Times New Roman"/>
              <w:color w:val="000000"/>
            </w:rPr>
            <w:t xml:space="preserve">(Rose </w:t>
          </w:r>
          <w:r w:rsidR="00F0465D" w:rsidRPr="007C70A3">
            <w:rPr>
              <w:rFonts w:ascii="Times New Roman" w:eastAsia="Times New Roman" w:hAnsi="Times New Roman" w:cs="Times New Roman"/>
              <w:i/>
              <w:iCs/>
              <w:color w:val="000000"/>
            </w:rPr>
            <w:t>et al.</w:t>
          </w:r>
          <w:r w:rsidR="00F0465D" w:rsidRPr="007C70A3">
            <w:rPr>
              <w:rFonts w:ascii="Times New Roman" w:eastAsia="Times New Roman" w:hAnsi="Times New Roman" w:cs="Times New Roman"/>
              <w:color w:val="000000"/>
            </w:rPr>
            <w:t>, 2020)</w:t>
          </w:r>
        </w:sdtContent>
      </w:sdt>
      <w:r w:rsidR="009049EC" w:rsidRPr="007C70A3">
        <w:rPr>
          <w:rFonts w:ascii="Times New Roman" w:hAnsi="Times New Roman" w:cs="Times New Roman"/>
          <w:color w:val="000000"/>
        </w:rPr>
        <w:t>.</w:t>
      </w:r>
      <w:r w:rsidRPr="007C70A3">
        <w:rPr>
          <w:rFonts w:ascii="Times New Roman" w:hAnsi="Times New Roman" w:cs="Times New Roman"/>
        </w:rPr>
        <w:t xml:space="preserve"> Its usefulness is supported by </w:t>
      </w:r>
      <w:r w:rsidR="00E65338" w:rsidRPr="007C70A3">
        <w:rPr>
          <w:rFonts w:ascii="Times New Roman" w:hAnsi="Times New Roman" w:cs="Times New Roman"/>
        </w:rPr>
        <mc:AlternateContent>
          <mc:Choice Requires="wps">
            <w:drawing>
              <wp:anchor distT="0" distB="0" distL="114300" distR="114300" simplePos="0" relativeHeight="251694080" behindDoc="0" locked="0" layoutInCell="1" allowOverlap="1" wp14:anchorId="3BFA0F00" wp14:editId="031E4C78">
                <wp:simplePos x="0" y="0"/>
                <wp:positionH relativeFrom="column">
                  <wp:posOffset>69574</wp:posOffset>
                </wp:positionH>
                <wp:positionV relativeFrom="paragraph">
                  <wp:posOffset>3081130</wp:posOffset>
                </wp:positionV>
                <wp:extent cx="3766820" cy="626166"/>
                <wp:effectExtent l="0" t="0" r="5080" b="0"/>
                <wp:wrapSquare wrapText="bothSides"/>
                <wp:docPr id="1857513358" name="Text Box 1"/>
                <wp:cNvGraphicFramePr/>
                <a:graphic xmlns:a="http://schemas.openxmlformats.org/drawingml/2006/main">
                  <a:graphicData uri="http://schemas.microsoft.com/office/word/2010/wordprocessingShape">
                    <wps:wsp>
                      <wps:cNvSpPr txBox="1"/>
                      <wps:spPr>
                        <a:xfrm>
                          <a:off x="0" y="0"/>
                          <a:ext cx="3766820" cy="626166"/>
                        </a:xfrm>
                        <a:prstGeom prst="rect">
                          <a:avLst/>
                        </a:prstGeom>
                        <a:solidFill>
                          <a:prstClr val="white"/>
                        </a:solidFill>
                        <a:ln>
                          <a:noFill/>
                        </a:ln>
                      </wps:spPr>
                      <wps:txbx>
                        <w:txbxContent>
                          <w:p w14:paraId="11AC2464" w14:textId="77777777" w:rsidR="00E65338" w:rsidRDefault="00E65338" w:rsidP="00E65338">
                            <w:pPr>
                              <w:pStyle w:val="Caption"/>
                              <w:rPr>
                                <w:lang w:val="en-US"/>
                              </w:rPr>
                            </w:pPr>
                            <w:bookmarkStart w:id="13" w:name="_Toc213351028"/>
                            <w:r>
                              <w:t xml:space="preserve">Figure </w:t>
                            </w:r>
                            <w:r>
                              <w:fldChar w:fldCharType="begin"/>
                            </w:r>
                            <w:r>
                              <w:instrText xml:space="preserve"> SEQ Figure \* ARABIC </w:instrText>
                            </w:r>
                            <w:r>
                              <w:fldChar w:fldCharType="separate"/>
                            </w:r>
                            <w:r w:rsidR="00C97291">
                              <w:t>4</w:t>
                            </w:r>
                            <w:r>
                              <w:fldChar w:fldCharType="end"/>
                            </w:r>
                            <w:r>
                              <w:rPr>
                                <w:lang w:val="en-US"/>
                              </w:rPr>
                              <w:t>: KEy Components of Zero Trust Architecture</w:t>
                            </w:r>
                            <w:bookmarkEnd w:id="13"/>
                          </w:p>
                          <w:p w14:paraId="13FCC1B5" w14:textId="77777777" w:rsidR="00E65338" w:rsidRPr="00E65338" w:rsidRDefault="00E65338" w:rsidP="00E65338">
                            <w:pPr>
                              <w:rPr>
                                <w:lang w:val="en-US"/>
                              </w:rPr>
                            </w:pPr>
                            <w:r>
                              <w:rPr>
                                <w:lang w:val="en-US"/>
                              </w:rPr>
                              <w:t xml:space="preserve">Source: </w:t>
                            </w:r>
                            <w:sdt>
                              <w:sdtPr>
                                <w:rPr>
                                  <w:color w:val="000000"/>
                                  <w:lang w:val="en-US"/>
                                </w:rPr>
                                <w:tag w:val="MENDELEY_CITATION_v3_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"/>
                                <w:id w:val="1745683919"/>
                                <w:placeholder>
                                  <w:docPart w:val="DefaultPlaceholder_-1854013440"/>
                                </w:placeholder>
                              </w:sdtPr>
                              <w:sdtEndPr/>
                              <w:sdtContent>
                                <w:r w:rsidRPr="00E65338">
                                  <w:rPr>
                                    <w:color w:val="000000"/>
                                    <w:lang w:val="en-US"/>
                                  </w:rPr>
                                  <w:t>(Kumar, 2024)</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FA0F00" id="_x0000_s1029" type="#_x0000_t202" style="position:absolute;left:0;text-align:left;margin-left:5.5pt;margin-top:242.6pt;width:296.6pt;height:49.3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" stroked="f">
                <v:textbox inset="0,0,0,0">
                  <w:txbxContent>
                    <w:p w14:paraId="11AC2464" w14:textId="77777777" w:rsidR="00E65338" w:rsidRDefault="00E65338" w:rsidP="00E65338">
                      <w:pPr>
                        <w:pStyle w:val="Caption"/>
                        <w:rPr>
                          <w:lang w:val="en-US"/>
                        </w:rPr>
                      </w:pPr>
                      <w:bookmarkStart w:id="14" w:name="_Toc213351028"/>
                      <w:r>
                        <w:t xml:space="preserve">Figure </w:t>
                      </w:r>
                      <w:r>
                        <w:fldChar w:fldCharType="begin"/>
                      </w:r>
                      <w:r>
                        <w:instrText xml:space="preserve"> SEQ Figure \* ARABIC </w:instrText>
                      </w:r>
                      <w:r>
                        <w:fldChar w:fldCharType="separate"/>
                      </w:r>
                      <w:r w:rsidR="00C97291">
                        <w:t>4</w:t>
                      </w:r>
                      <w:r>
                        <w:fldChar w:fldCharType="end"/>
                      </w:r>
                      <w:r>
                        <w:rPr>
                          <w:lang w:val="en-US"/>
                        </w:rPr>
                        <w:t>: KEy Components of Zero Trust Architecture</w:t>
                      </w:r>
                      <w:bookmarkEnd w:id="14"/>
                    </w:p>
                    <w:p w14:paraId="13FCC1B5" w14:textId="77777777" w:rsidR="00E65338" w:rsidRPr="00E65338" w:rsidRDefault="00E65338" w:rsidP="00E65338">
                      <w:pPr>
                        <w:rPr>
                          <w:lang w:val="en-US"/>
                        </w:rPr>
                      </w:pPr>
                      <w:r>
                        <w:rPr>
                          <w:lang w:val="en-US"/>
                        </w:rPr>
                        <w:t xml:space="preserve">Source: </w:t>
                      </w:r>
                      <w:sdt>
                        <w:sdtPr>
                          <w:rPr>
                            <w:color w:val="000000"/>
                            <w:lang w:val="en-US"/>
                          </w:rPr>
                          <w:tag w:val="MENDELEY_CITATION_v3_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"/>
                          <w:id w:val="1745683919"/>
                          <w:placeholder>
                            <w:docPart w:val="DefaultPlaceholder_-1854013440"/>
                          </w:placeholder>
                        </w:sdtPr>
                        <w:sdtEndPr/>
                        <w:sdtContent>
                          <w:r w:rsidRPr="00E65338">
                            <w:rPr>
                              <w:color w:val="000000"/>
                              <w:lang w:val="en-US"/>
                            </w:rPr>
                            <w:t>(Kumar, 2024)</w:t>
                          </w:r>
                        </w:sdtContent>
                      </w:sdt>
                    </w:p>
                  </w:txbxContent>
                </v:textbox>
                <w10:wrap type="square"/>
              </v:shape>
            </w:pict>
          </mc:Fallback>
        </mc:AlternateContent>
      </w:r>
      <w:r w:rsidR="009C4768" w:rsidRPr="007C70A3">
        <w:rPr>
          <w:rFonts w:ascii="Times New Roman" w:hAnsi="Times New Roman" w:cs="Times New Roman"/>
        </w:rPr>
        <w:drawing>
          <wp:anchor distT="0" distB="0" distL="114300" distR="114300" simplePos="0" relativeHeight="251667456" behindDoc="0" locked="0" layoutInCell="1" allowOverlap="1" wp14:anchorId="3C68466D" wp14:editId="07628B3C">
            <wp:simplePos x="0" y="0"/>
            <wp:positionH relativeFrom="column">
              <wp:posOffset>69215</wp:posOffset>
            </wp:positionH>
            <wp:positionV relativeFrom="paragraph">
              <wp:posOffset>0</wp:posOffset>
            </wp:positionV>
            <wp:extent cx="3766820" cy="3025140"/>
            <wp:effectExtent l="0" t="0" r="5080" b="0"/>
            <wp:wrapSquare wrapText="bothSides"/>
            <wp:docPr id="9823296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329623" name="Picture 982329623"/>
                    <pic:cNvPicPr/>
                  </pic:nvPicPr>
                  <pic:blipFill>
                    <a:blip r:embed="rId21">
                      <a:extLst>
                        <a:ext uri="{28A0092B-C50C-407E-A947-70E740481C1C}">
                          <a14:useLocalDpi xmlns:a14="http://schemas.microsoft.com/office/drawing/2010/main" val="0"/>
                        </a:ext>
                      </a:extLst>
                    </a:blip>
                    <a:stretch>
                      <a:fillRect/>
                    </a:stretch>
                  </pic:blipFill>
                  <pic:spPr>
                    <a:xfrm>
                      <a:off x="0" y="0"/>
                      <a:ext cx="3766820" cy="3025140"/>
                    </a:xfrm>
                    <a:prstGeom prst="rect">
                      <a:avLst/>
                    </a:prstGeom>
                  </pic:spPr>
                </pic:pic>
              </a:graphicData>
            </a:graphic>
            <wp14:sizeRelH relativeFrom="margin">
              <wp14:pctWidth>0</wp14:pctWidth>
            </wp14:sizeRelH>
            <wp14:sizeRelV relativeFrom="margin">
              <wp14:pctHeight>0</wp14:pctHeight>
            </wp14:sizeRelV>
          </wp:anchor>
        </w:drawing>
      </w:r>
      <w:r w:rsidRPr="007C70A3">
        <w:rPr>
          <w:rFonts w:ascii="Times New Roman" w:hAnsi="Times New Roman" w:cs="Times New Roman"/>
        </w:rPr>
        <w:t xml:space="preserve">academic evidence of countering lateral-movement and credential-theft attacks that are prevalent in hybrid networks </w:t>
      </w:r>
      <w:sdt>
        <w:sdtPr>
          <w:rPr>
            <w:rFonts w:ascii="Times New Roman" w:hAnsi="Times New Roman" w:cs="Times New Roman"/>
            <w:color w:val="000000"/>
          </w:rPr>
          <w:tag w:val="MENDELEY_CITATION_v3_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"/>
          <w:id w:val="-1079206025"/>
          <w:placeholder>
            <w:docPart w:val="DefaultPlaceholder_-1854013440"/>
          </w:placeholder>
        </w:sdtPr>
        <w:sdtEndPr/>
        <w:sdtContent>
          <w:r w:rsidR="00F0465D" w:rsidRPr="007C70A3">
            <w:rPr>
              <w:rFonts w:ascii="Times New Roman" w:hAnsi="Times New Roman" w:cs="Times New Roman"/>
              <w:color w:val="000000"/>
            </w:rPr>
            <w:t>(Gambo and Almulhem, 2025)</w:t>
          </w:r>
        </w:sdtContent>
      </w:sdt>
      <w:r w:rsidRPr="007C70A3">
        <w:rPr>
          <w:rFonts w:ascii="Times New Roman" w:hAnsi="Times New Roman" w:cs="Times New Roman"/>
        </w:rPr>
        <w:t>. In the</w:t>
      </w:r>
      <w:r w:rsidR="009049EC" w:rsidRPr="007C70A3">
        <w:rPr>
          <w:rFonts w:ascii="Times New Roman" w:hAnsi="Times New Roman" w:cs="Times New Roman"/>
        </w:rPr>
        <w:t xml:space="preserve"> </w:t>
      </w:r>
      <w:r w:rsidRPr="007C70A3">
        <w:rPr>
          <w:rFonts w:ascii="Times New Roman" w:hAnsi="Times New Roman" w:cs="Times New Roman"/>
        </w:rPr>
        <w:t>95</w:t>
      </w:r>
      <w:r w:rsidR="00F71B79" w:rsidRPr="007C70A3">
        <w:rPr>
          <w:rFonts w:ascii="Times New Roman" w:hAnsi="Times New Roman" w:cs="Times New Roman"/>
        </w:rPr>
        <w:t>%</w:t>
      </w:r>
      <w:r w:rsidR="009049EC" w:rsidRPr="007C70A3">
        <w:rPr>
          <w:rFonts w:ascii="Times New Roman" w:hAnsi="Times New Roman" w:cs="Times New Roman"/>
        </w:rPr>
        <w:t xml:space="preserve"> </w:t>
      </w:r>
      <w:r w:rsidRPr="007C70A3">
        <w:rPr>
          <w:rFonts w:ascii="Times New Roman" w:hAnsi="Times New Roman" w:cs="Times New Roman"/>
        </w:rPr>
        <w:t>wireless, BYOD ecosystem of NG, endpoint heterogeneity is directly addressed using the micro-segmentation and conditional-access principles of Zero Trust</w:t>
      </w:r>
      <w:r w:rsidR="009049EC" w:rsidRPr="007C70A3">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"/>
          <w:id w:val="130064731"/>
          <w:placeholder>
            <w:docPart w:val="DefaultPlaceholder_-1854013440"/>
          </w:placeholder>
        </w:sdtPr>
        <w:sdtEndPr/>
        <w:sdtContent>
          <w:r w:rsidR="00F0465D" w:rsidRPr="007C70A3">
            <w:rPr>
              <w:rFonts w:ascii="Times New Roman" w:eastAsia="Times New Roman" w:hAnsi="Times New Roman" w:cs="Times New Roman"/>
              <w:color w:val="000000"/>
            </w:rPr>
            <w:t xml:space="preserve">(Rose </w:t>
          </w:r>
          <w:r w:rsidR="00F0465D" w:rsidRPr="007C70A3">
            <w:rPr>
              <w:rFonts w:ascii="Times New Roman" w:eastAsia="Times New Roman" w:hAnsi="Times New Roman" w:cs="Times New Roman"/>
              <w:i/>
              <w:iCs/>
              <w:color w:val="000000"/>
            </w:rPr>
            <w:t>et al.</w:t>
          </w:r>
          <w:r w:rsidR="00F0465D" w:rsidRPr="007C70A3">
            <w:rPr>
              <w:rFonts w:ascii="Times New Roman" w:eastAsia="Times New Roman" w:hAnsi="Times New Roman" w:cs="Times New Roman"/>
              <w:color w:val="000000"/>
            </w:rPr>
            <w:t>, 2020)</w:t>
          </w:r>
        </w:sdtContent>
      </w:sdt>
      <w:r w:rsidRPr="007C70A3">
        <w:rPr>
          <w:rFonts w:ascii="Times New Roman" w:hAnsi="Times New Roman" w:cs="Times New Roman"/>
        </w:rPr>
        <w:t>. However, it cannot be fully implemented without evolved identity administration and telemetry streams, which are not commonly developed in middle-tier corporations.</w:t>
      </w:r>
    </w:p>
    <w:p w14:paraId="33A9AEAB" w14:textId="77777777" w:rsidR="00E41CED" w:rsidRPr="007C70A3" w:rsidRDefault="00CB596A" w:rsidP="007C70A3">
      <w:pPr>
        <w:pStyle w:val="Heading2"/>
        <w:rPr>
          <w:rFonts w:ascii="Times New Roman" w:hAnsi="Times New Roman" w:cs="Times New Roman"/>
        </w:rPr>
      </w:pPr>
      <w:bookmarkStart w:id="15" w:name="_Toc213350671"/>
      <w:r w:rsidRPr="007C70A3">
        <w:rPr>
          <w:rFonts w:ascii="Times New Roman" w:hAnsi="Times New Roman" w:cs="Times New Roman"/>
        </w:rPr>
        <w:t>ISO/IEC 27701 and ISO 22301</w:t>
      </w:r>
      <w:bookmarkEnd w:id="15"/>
      <w:r w:rsidRPr="007C70A3">
        <w:rPr>
          <w:rFonts w:ascii="Times New Roman" w:hAnsi="Times New Roman" w:cs="Times New Roman"/>
        </w:rPr>
        <w:t xml:space="preserve"> </w:t>
      </w:r>
    </w:p>
    <w:p w14:paraId="0F9EB38F" w14:textId="77777777" w:rsidR="00E41CED" w:rsidRPr="007C70A3" w:rsidRDefault="00E41CED" w:rsidP="007C70A3">
      <w:pPr>
        <w:rPr>
          <w:rFonts w:ascii="Times New Roman" w:hAnsi="Times New Roman" w:cs="Times New Roman"/>
        </w:rPr>
      </w:pPr>
      <w:r w:rsidRPr="007C70A3">
        <w:rPr>
          <w:rFonts w:ascii="Times New Roman" w:hAnsi="Times New Roman" w:cs="Times New Roman"/>
        </w:rPr>
        <w:t>The privacy extension ISO/IEC 27701:2019 operationalises the GDPR principles in an ISMS, establishing the roles of controllers and processors, rights of data-subjects and impacts-assessment of data-protection (Perrin, 2021). Considering NG is exposed to consumer-data, the inclusion of 27701 would guarantee legal processing and auditability. Simultaneously, ISO 22301:2019 introduces a Business Continuity Management System (BCMS) as an important protection against ransomware-caused downtime (ISO, 2019). The literature associates BCMS maturity with better indicators of cyber-resilience and the level of confidence among stakeholders (Herbane, 2022).</w:t>
      </w:r>
    </w:p>
    <w:p w14:paraId="565B3BD5" w14:textId="77777777" w:rsidR="00E41CED" w:rsidRPr="007C70A3" w:rsidRDefault="00CB596A" w:rsidP="007C70A3">
      <w:pPr>
        <w:pStyle w:val="Heading2"/>
        <w:rPr>
          <w:rFonts w:ascii="Times New Roman" w:hAnsi="Times New Roman" w:cs="Times New Roman"/>
        </w:rPr>
      </w:pPr>
      <w:bookmarkStart w:id="16" w:name="_Toc213350672"/>
      <w:r w:rsidRPr="007C70A3">
        <w:rPr>
          <w:rFonts w:ascii="Times New Roman" w:hAnsi="Times New Roman" w:cs="Times New Roman"/>
        </w:rPr>
        <w:t>Comparative critique of frameworks</w:t>
      </w:r>
      <w:bookmarkEnd w:id="16"/>
    </w:p>
    <w:p w14:paraId="05132DC7" w14:textId="77777777" w:rsidR="00E41CED" w:rsidRPr="007C70A3" w:rsidRDefault="00E41CED" w:rsidP="007C70A3">
      <w:pPr>
        <w:rPr>
          <w:rFonts w:ascii="Times New Roman" w:hAnsi="Times New Roman" w:cs="Times New Roman"/>
        </w:rPr>
      </w:pPr>
      <w:r w:rsidRPr="007C70A3">
        <w:rPr>
          <w:rFonts w:ascii="Times New Roman" w:hAnsi="Times New Roman" w:cs="Times New Roman"/>
        </w:rPr>
        <w:t>Table 1 compares the relative strengths of the frameworks to the context of NG.</w:t>
      </w:r>
    </w:p>
    <w:p w14:paraId="4BCFE523" w14:textId="77777777" w:rsidR="009A44DE" w:rsidRPr="007C70A3" w:rsidRDefault="009A44DE" w:rsidP="007C70A3">
      <w:pPr>
        <w:pStyle w:val="Caption"/>
        <w:keepNext/>
        <w:rPr>
          <w:rFonts w:ascii="Times New Roman" w:hAnsi="Times New Roman" w:cs="Times New Roman"/>
        </w:rPr>
      </w:pPr>
      <w:bookmarkStart w:id="17" w:name="_Toc213350710"/>
      <w:r w:rsidRPr="007C70A3">
        <w:rPr>
          <w:rFonts w:ascii="Times New Roman" w:hAnsi="Times New Roman" w:cs="Times New Roman"/>
        </w:rPr>
        <w:t xml:space="preserve">Table </w:t>
      </w:r>
      <w:r w:rsidRPr="007C70A3">
        <w:rPr>
          <w:rFonts w:ascii="Times New Roman" w:hAnsi="Times New Roman" w:cs="Times New Roman"/>
        </w:rPr>
        <w:fldChar w:fldCharType="begin"/>
      </w:r>
      <w:r w:rsidRPr="007C70A3">
        <w:rPr>
          <w:rFonts w:ascii="Times New Roman" w:hAnsi="Times New Roman" w:cs="Times New Roman"/>
        </w:rPr>
        <w:instrText xml:space="preserve"> SEQ Table \* ARABIC </w:instrText>
      </w:r>
      <w:r w:rsidRPr="007C70A3">
        <w:rPr>
          <w:rFonts w:ascii="Times New Roman" w:hAnsi="Times New Roman" w:cs="Times New Roman"/>
        </w:rPr>
        <w:fldChar w:fldCharType="separate"/>
      </w:r>
      <w:r w:rsidR="00C97291" w:rsidRPr="007C70A3">
        <w:rPr>
          <w:rFonts w:ascii="Times New Roman" w:hAnsi="Times New Roman" w:cs="Times New Roman"/>
        </w:rPr>
        <w:t>1</w:t>
      </w:r>
      <w:r w:rsidRPr="007C70A3">
        <w:rPr>
          <w:rFonts w:ascii="Times New Roman" w:hAnsi="Times New Roman" w:cs="Times New Roman"/>
        </w:rPr>
        <w:fldChar w:fldCharType="end"/>
      </w:r>
      <w:r w:rsidRPr="007C70A3">
        <w:rPr>
          <w:rFonts w:ascii="Times New Roman" w:hAnsi="Times New Roman" w:cs="Times New Roman"/>
          <w:lang w:val="en-US"/>
        </w:rPr>
        <w:t>: Comparative Analysis of Major Frameworks</w:t>
      </w:r>
      <w:bookmarkEnd w:id="17"/>
    </w:p>
    <w:tbl>
      <w:tblPr>
        <w:tblStyle w:val="TableGridLight"/>
        <w:tblW w:w="0" w:type="auto"/>
        <w:tblLook w:val="04A0" w:firstRow="1" w:lastRow="0" w:firstColumn="1" w:lastColumn="0" w:noHBand="0" w:noVBand="1"/>
      </w:tblPr>
      <w:tblGrid>
        <w:gridCol w:w="1555"/>
        <w:gridCol w:w="2938"/>
        <w:gridCol w:w="2873"/>
        <w:gridCol w:w="2364"/>
      </w:tblGrid>
      <w:tr w:rsidR="009A44DE" w:rsidRPr="007C70A3" w14:paraId="2EFDA063" w14:textId="77777777" w:rsidTr="009A44DE">
        <w:tc>
          <w:tcPr>
            <w:tcW w:w="1555" w:type="dxa"/>
            <w:vAlign w:val="center"/>
            <w:hideMark/>
          </w:tcPr>
          <w:p w14:paraId="01965240" w14:textId="77777777" w:rsidR="00E41CED" w:rsidRPr="007C70A3" w:rsidRDefault="00E41CED" w:rsidP="007C70A3">
            <w:pPr>
              <w:jc w:val="left"/>
              <w:rPr>
                <w:rFonts w:ascii="Times New Roman" w:hAnsi="Times New Roman" w:cs="Times New Roman"/>
              </w:rPr>
            </w:pPr>
            <w:r w:rsidRPr="007C70A3">
              <w:rPr>
                <w:rFonts w:ascii="Times New Roman" w:hAnsi="Times New Roman" w:cs="Times New Roman"/>
              </w:rPr>
              <w:t>Framework</w:t>
            </w:r>
          </w:p>
        </w:tc>
        <w:tc>
          <w:tcPr>
            <w:tcW w:w="2938" w:type="dxa"/>
            <w:vAlign w:val="center"/>
            <w:hideMark/>
          </w:tcPr>
          <w:p w14:paraId="7EDE0F41" w14:textId="77777777" w:rsidR="00E41CED" w:rsidRPr="007C70A3" w:rsidRDefault="00E41CED" w:rsidP="007C70A3">
            <w:pPr>
              <w:jc w:val="left"/>
              <w:rPr>
                <w:rFonts w:ascii="Times New Roman" w:hAnsi="Times New Roman" w:cs="Times New Roman"/>
              </w:rPr>
            </w:pPr>
            <w:r w:rsidRPr="007C70A3">
              <w:rPr>
                <w:rFonts w:ascii="Times New Roman" w:hAnsi="Times New Roman" w:cs="Times New Roman"/>
              </w:rPr>
              <w:t>Core Strengths</w:t>
            </w:r>
          </w:p>
        </w:tc>
        <w:tc>
          <w:tcPr>
            <w:tcW w:w="2873" w:type="dxa"/>
            <w:vAlign w:val="center"/>
            <w:hideMark/>
          </w:tcPr>
          <w:p w14:paraId="27FC1EB0" w14:textId="77777777" w:rsidR="00E41CED" w:rsidRPr="007C70A3" w:rsidRDefault="00E41CED" w:rsidP="007C70A3">
            <w:pPr>
              <w:jc w:val="left"/>
              <w:rPr>
                <w:rFonts w:ascii="Times New Roman" w:hAnsi="Times New Roman" w:cs="Times New Roman"/>
              </w:rPr>
            </w:pPr>
            <w:r w:rsidRPr="007C70A3">
              <w:rPr>
                <w:rFonts w:ascii="Times New Roman" w:hAnsi="Times New Roman" w:cs="Times New Roman"/>
              </w:rPr>
              <w:t>Principal Limitations</w:t>
            </w:r>
          </w:p>
        </w:tc>
        <w:tc>
          <w:tcPr>
            <w:tcW w:w="2364" w:type="dxa"/>
            <w:vAlign w:val="center"/>
            <w:hideMark/>
          </w:tcPr>
          <w:p w14:paraId="0E31FE83" w14:textId="77777777" w:rsidR="00E41CED" w:rsidRPr="007C70A3" w:rsidRDefault="00E41CED" w:rsidP="007C70A3">
            <w:pPr>
              <w:jc w:val="left"/>
              <w:rPr>
                <w:rFonts w:ascii="Times New Roman" w:hAnsi="Times New Roman" w:cs="Times New Roman"/>
              </w:rPr>
            </w:pPr>
            <w:r w:rsidRPr="007C70A3">
              <w:rPr>
                <w:rFonts w:ascii="Times New Roman" w:hAnsi="Times New Roman" w:cs="Times New Roman"/>
              </w:rPr>
              <w:t>Relevance to NG</w:t>
            </w:r>
          </w:p>
        </w:tc>
      </w:tr>
      <w:tr w:rsidR="009A44DE" w:rsidRPr="007C70A3" w14:paraId="66EF8E19" w14:textId="77777777" w:rsidTr="009A44DE">
        <w:tc>
          <w:tcPr>
            <w:tcW w:w="1555" w:type="dxa"/>
            <w:vAlign w:val="center"/>
            <w:hideMark/>
          </w:tcPr>
          <w:p w14:paraId="52FEC3AA" w14:textId="77777777" w:rsidR="00E41CED" w:rsidRPr="007C70A3" w:rsidRDefault="00E41CED" w:rsidP="007C70A3">
            <w:pPr>
              <w:jc w:val="left"/>
              <w:rPr>
                <w:rFonts w:ascii="Times New Roman" w:hAnsi="Times New Roman" w:cs="Times New Roman"/>
              </w:rPr>
            </w:pPr>
            <w:r w:rsidRPr="007C70A3">
              <w:rPr>
                <w:rFonts w:ascii="Times New Roman" w:hAnsi="Times New Roman" w:cs="Times New Roman"/>
              </w:rPr>
              <w:lastRenderedPageBreak/>
              <w:t>ISO/IEC 27001 (2022)</w:t>
            </w:r>
          </w:p>
        </w:tc>
        <w:tc>
          <w:tcPr>
            <w:tcW w:w="2938" w:type="dxa"/>
            <w:vAlign w:val="center"/>
            <w:hideMark/>
          </w:tcPr>
          <w:p w14:paraId="12A53876" w14:textId="77777777" w:rsidR="00E41CED" w:rsidRPr="007C70A3" w:rsidRDefault="00E41CED" w:rsidP="007C70A3">
            <w:pPr>
              <w:jc w:val="left"/>
              <w:rPr>
                <w:rFonts w:ascii="Times New Roman" w:hAnsi="Times New Roman" w:cs="Times New Roman"/>
              </w:rPr>
            </w:pPr>
            <w:r w:rsidRPr="007C70A3">
              <w:rPr>
                <w:rFonts w:ascii="Times New Roman" w:hAnsi="Times New Roman" w:cs="Times New Roman"/>
              </w:rPr>
              <w:t>Certifiable ISMS; structured controls incl. cloud/BYOD</w:t>
            </w:r>
          </w:p>
        </w:tc>
        <w:tc>
          <w:tcPr>
            <w:tcW w:w="2873" w:type="dxa"/>
            <w:vAlign w:val="center"/>
            <w:hideMark/>
          </w:tcPr>
          <w:p w14:paraId="6773C954" w14:textId="77777777" w:rsidR="00E41CED" w:rsidRPr="007C70A3" w:rsidRDefault="00E41CED" w:rsidP="007C70A3">
            <w:pPr>
              <w:jc w:val="left"/>
              <w:rPr>
                <w:rFonts w:ascii="Times New Roman" w:hAnsi="Times New Roman" w:cs="Times New Roman"/>
              </w:rPr>
            </w:pPr>
            <w:r w:rsidRPr="007C70A3">
              <w:rPr>
                <w:rFonts w:ascii="Times New Roman" w:hAnsi="Times New Roman" w:cs="Times New Roman"/>
              </w:rPr>
              <w:t>Static, audit-centric; limited real-time adaptability</w:t>
            </w:r>
          </w:p>
        </w:tc>
        <w:tc>
          <w:tcPr>
            <w:tcW w:w="2364" w:type="dxa"/>
            <w:vAlign w:val="center"/>
            <w:hideMark/>
          </w:tcPr>
          <w:p w14:paraId="5FFF79C6" w14:textId="77777777" w:rsidR="00E41CED" w:rsidRPr="007C70A3" w:rsidRDefault="00E41CED" w:rsidP="007C70A3">
            <w:pPr>
              <w:jc w:val="left"/>
              <w:rPr>
                <w:rFonts w:ascii="Times New Roman" w:hAnsi="Times New Roman" w:cs="Times New Roman"/>
              </w:rPr>
            </w:pPr>
            <w:r w:rsidRPr="007C70A3">
              <w:rPr>
                <w:rFonts w:ascii="Times New Roman" w:hAnsi="Times New Roman" w:cs="Times New Roman"/>
              </w:rPr>
              <w:t>High—forms compliance backbone</w:t>
            </w:r>
          </w:p>
        </w:tc>
      </w:tr>
      <w:tr w:rsidR="009A44DE" w:rsidRPr="007C70A3" w14:paraId="752EB73E" w14:textId="77777777" w:rsidTr="009A44DE">
        <w:tc>
          <w:tcPr>
            <w:tcW w:w="1555" w:type="dxa"/>
            <w:vAlign w:val="center"/>
            <w:hideMark/>
          </w:tcPr>
          <w:p w14:paraId="0F2B47E0" w14:textId="77777777" w:rsidR="00E41CED" w:rsidRPr="007C70A3" w:rsidRDefault="00E41CED" w:rsidP="007C70A3">
            <w:pPr>
              <w:jc w:val="left"/>
              <w:rPr>
                <w:rFonts w:ascii="Times New Roman" w:hAnsi="Times New Roman" w:cs="Times New Roman"/>
              </w:rPr>
            </w:pPr>
            <w:r w:rsidRPr="007C70A3">
              <w:rPr>
                <w:rFonts w:ascii="Times New Roman" w:hAnsi="Times New Roman" w:cs="Times New Roman"/>
              </w:rPr>
              <w:t>NIST CSF 2.0</w:t>
            </w:r>
          </w:p>
        </w:tc>
        <w:tc>
          <w:tcPr>
            <w:tcW w:w="2938" w:type="dxa"/>
            <w:vAlign w:val="center"/>
            <w:hideMark/>
          </w:tcPr>
          <w:p w14:paraId="0A711A58" w14:textId="77777777" w:rsidR="00E41CED" w:rsidRPr="007C70A3" w:rsidRDefault="00E41CED" w:rsidP="007C70A3">
            <w:pPr>
              <w:jc w:val="left"/>
              <w:rPr>
                <w:rFonts w:ascii="Times New Roman" w:hAnsi="Times New Roman" w:cs="Times New Roman"/>
              </w:rPr>
            </w:pPr>
            <w:r w:rsidRPr="007C70A3">
              <w:rPr>
                <w:rFonts w:ascii="Times New Roman" w:hAnsi="Times New Roman" w:cs="Times New Roman"/>
              </w:rPr>
              <w:t>Dynamic, outcome-based; new “Govern” function</w:t>
            </w:r>
          </w:p>
        </w:tc>
        <w:tc>
          <w:tcPr>
            <w:tcW w:w="2873" w:type="dxa"/>
            <w:vAlign w:val="center"/>
            <w:hideMark/>
          </w:tcPr>
          <w:p w14:paraId="300C5DC3" w14:textId="77777777" w:rsidR="00E41CED" w:rsidRPr="007C70A3" w:rsidRDefault="00E41CED" w:rsidP="007C70A3">
            <w:pPr>
              <w:jc w:val="left"/>
              <w:rPr>
                <w:rFonts w:ascii="Times New Roman" w:hAnsi="Times New Roman" w:cs="Times New Roman"/>
              </w:rPr>
            </w:pPr>
            <w:r w:rsidRPr="007C70A3">
              <w:rPr>
                <w:rFonts w:ascii="Times New Roman" w:hAnsi="Times New Roman" w:cs="Times New Roman"/>
              </w:rPr>
              <w:t>Non-certifiable; voluntary uptake</w:t>
            </w:r>
          </w:p>
        </w:tc>
        <w:tc>
          <w:tcPr>
            <w:tcW w:w="2364" w:type="dxa"/>
            <w:vAlign w:val="center"/>
            <w:hideMark/>
          </w:tcPr>
          <w:p w14:paraId="6575D9BB" w14:textId="77777777" w:rsidR="00E41CED" w:rsidRPr="007C70A3" w:rsidRDefault="00E41CED" w:rsidP="007C70A3">
            <w:pPr>
              <w:jc w:val="left"/>
              <w:rPr>
                <w:rFonts w:ascii="Times New Roman" w:hAnsi="Times New Roman" w:cs="Times New Roman"/>
              </w:rPr>
            </w:pPr>
            <w:r w:rsidRPr="007C70A3">
              <w:rPr>
                <w:rFonts w:ascii="Times New Roman" w:hAnsi="Times New Roman" w:cs="Times New Roman"/>
              </w:rPr>
              <w:t>High—operational governance overlay</w:t>
            </w:r>
          </w:p>
        </w:tc>
      </w:tr>
      <w:tr w:rsidR="009A44DE" w:rsidRPr="007C70A3" w14:paraId="2369A86D" w14:textId="77777777" w:rsidTr="009A44DE">
        <w:tc>
          <w:tcPr>
            <w:tcW w:w="1555" w:type="dxa"/>
            <w:vAlign w:val="center"/>
            <w:hideMark/>
          </w:tcPr>
          <w:p w14:paraId="1C38BD56" w14:textId="77777777" w:rsidR="00E41CED" w:rsidRPr="007C70A3" w:rsidRDefault="00E41CED" w:rsidP="007C70A3">
            <w:pPr>
              <w:jc w:val="left"/>
              <w:rPr>
                <w:rFonts w:ascii="Times New Roman" w:hAnsi="Times New Roman" w:cs="Times New Roman"/>
              </w:rPr>
            </w:pPr>
            <w:r w:rsidRPr="007C70A3">
              <w:rPr>
                <w:rFonts w:ascii="Times New Roman" w:hAnsi="Times New Roman" w:cs="Times New Roman"/>
              </w:rPr>
              <w:t>COBIT 2019</w:t>
            </w:r>
          </w:p>
        </w:tc>
        <w:tc>
          <w:tcPr>
            <w:tcW w:w="2938" w:type="dxa"/>
            <w:vAlign w:val="center"/>
            <w:hideMark/>
          </w:tcPr>
          <w:p w14:paraId="47C450CD" w14:textId="77777777" w:rsidR="00E41CED" w:rsidRPr="007C70A3" w:rsidRDefault="00E41CED" w:rsidP="007C70A3">
            <w:pPr>
              <w:jc w:val="left"/>
              <w:rPr>
                <w:rFonts w:ascii="Times New Roman" w:hAnsi="Times New Roman" w:cs="Times New Roman"/>
              </w:rPr>
            </w:pPr>
            <w:r w:rsidRPr="007C70A3">
              <w:rPr>
                <w:rFonts w:ascii="Times New Roman" w:hAnsi="Times New Roman" w:cs="Times New Roman"/>
              </w:rPr>
              <w:t>Board-level metrics, maturity modelling</w:t>
            </w:r>
          </w:p>
        </w:tc>
        <w:tc>
          <w:tcPr>
            <w:tcW w:w="2873" w:type="dxa"/>
            <w:vAlign w:val="center"/>
            <w:hideMark/>
          </w:tcPr>
          <w:p w14:paraId="515CAA07" w14:textId="77777777" w:rsidR="00E41CED" w:rsidRPr="007C70A3" w:rsidRDefault="00E41CED" w:rsidP="007C70A3">
            <w:pPr>
              <w:jc w:val="left"/>
              <w:rPr>
                <w:rFonts w:ascii="Times New Roman" w:hAnsi="Times New Roman" w:cs="Times New Roman"/>
              </w:rPr>
            </w:pPr>
            <w:r w:rsidRPr="007C70A3">
              <w:rPr>
                <w:rFonts w:ascii="Times New Roman" w:hAnsi="Times New Roman" w:cs="Times New Roman"/>
              </w:rPr>
              <w:t>Abstract; limited security depth</w:t>
            </w:r>
          </w:p>
        </w:tc>
        <w:tc>
          <w:tcPr>
            <w:tcW w:w="2364" w:type="dxa"/>
            <w:vAlign w:val="center"/>
            <w:hideMark/>
          </w:tcPr>
          <w:p w14:paraId="6AF3BB69" w14:textId="77777777" w:rsidR="00E41CED" w:rsidRPr="007C70A3" w:rsidRDefault="00E41CED" w:rsidP="007C70A3">
            <w:pPr>
              <w:jc w:val="left"/>
              <w:rPr>
                <w:rFonts w:ascii="Times New Roman" w:hAnsi="Times New Roman" w:cs="Times New Roman"/>
              </w:rPr>
            </w:pPr>
            <w:r w:rsidRPr="007C70A3">
              <w:rPr>
                <w:rFonts w:ascii="Times New Roman" w:hAnsi="Times New Roman" w:cs="Times New Roman"/>
              </w:rPr>
              <w:t>Medium—executive oversight tool</w:t>
            </w:r>
          </w:p>
        </w:tc>
      </w:tr>
      <w:tr w:rsidR="009A44DE" w:rsidRPr="007C70A3" w14:paraId="47F1A0FE" w14:textId="77777777" w:rsidTr="009A44DE">
        <w:tc>
          <w:tcPr>
            <w:tcW w:w="1555" w:type="dxa"/>
            <w:vAlign w:val="center"/>
            <w:hideMark/>
          </w:tcPr>
          <w:p w14:paraId="276F2C0D" w14:textId="77777777" w:rsidR="00E41CED" w:rsidRPr="007C70A3" w:rsidRDefault="00E41CED" w:rsidP="007C70A3">
            <w:pPr>
              <w:jc w:val="left"/>
              <w:rPr>
                <w:rFonts w:ascii="Times New Roman" w:hAnsi="Times New Roman" w:cs="Times New Roman"/>
              </w:rPr>
            </w:pPr>
            <w:r w:rsidRPr="007C70A3">
              <w:rPr>
                <w:rFonts w:ascii="Times New Roman" w:hAnsi="Times New Roman" w:cs="Times New Roman"/>
              </w:rPr>
              <w:t>ITIL 4</w:t>
            </w:r>
          </w:p>
        </w:tc>
        <w:tc>
          <w:tcPr>
            <w:tcW w:w="2938" w:type="dxa"/>
            <w:vAlign w:val="center"/>
            <w:hideMark/>
          </w:tcPr>
          <w:p w14:paraId="6EF9A904" w14:textId="77777777" w:rsidR="00E41CED" w:rsidRPr="007C70A3" w:rsidRDefault="00E41CED" w:rsidP="007C70A3">
            <w:pPr>
              <w:jc w:val="left"/>
              <w:rPr>
                <w:rFonts w:ascii="Times New Roman" w:hAnsi="Times New Roman" w:cs="Times New Roman"/>
              </w:rPr>
            </w:pPr>
            <w:r w:rsidRPr="007C70A3">
              <w:rPr>
                <w:rFonts w:ascii="Times New Roman" w:hAnsi="Times New Roman" w:cs="Times New Roman"/>
              </w:rPr>
              <w:t>Service-management discipline; change control</w:t>
            </w:r>
          </w:p>
        </w:tc>
        <w:tc>
          <w:tcPr>
            <w:tcW w:w="2873" w:type="dxa"/>
            <w:vAlign w:val="center"/>
            <w:hideMark/>
          </w:tcPr>
          <w:p w14:paraId="7AD5E46D" w14:textId="77777777" w:rsidR="00E41CED" w:rsidRPr="007C70A3" w:rsidRDefault="00E41CED" w:rsidP="007C70A3">
            <w:pPr>
              <w:jc w:val="left"/>
              <w:rPr>
                <w:rFonts w:ascii="Times New Roman" w:hAnsi="Times New Roman" w:cs="Times New Roman"/>
              </w:rPr>
            </w:pPr>
            <w:r w:rsidRPr="007C70A3">
              <w:rPr>
                <w:rFonts w:ascii="Times New Roman" w:hAnsi="Times New Roman" w:cs="Times New Roman"/>
              </w:rPr>
              <w:t>Process overhead; generic security focus</w:t>
            </w:r>
          </w:p>
        </w:tc>
        <w:tc>
          <w:tcPr>
            <w:tcW w:w="2364" w:type="dxa"/>
            <w:vAlign w:val="center"/>
            <w:hideMark/>
          </w:tcPr>
          <w:p w14:paraId="7AA9320A" w14:textId="77777777" w:rsidR="00E41CED" w:rsidRPr="007C70A3" w:rsidRDefault="00E41CED" w:rsidP="007C70A3">
            <w:pPr>
              <w:jc w:val="left"/>
              <w:rPr>
                <w:rFonts w:ascii="Times New Roman" w:hAnsi="Times New Roman" w:cs="Times New Roman"/>
              </w:rPr>
            </w:pPr>
            <w:r w:rsidRPr="007C70A3">
              <w:rPr>
                <w:rFonts w:ascii="Times New Roman" w:hAnsi="Times New Roman" w:cs="Times New Roman"/>
              </w:rPr>
              <w:t>Supportive—incident/continuity linkage</w:t>
            </w:r>
          </w:p>
        </w:tc>
      </w:tr>
      <w:tr w:rsidR="009A44DE" w:rsidRPr="007C70A3" w14:paraId="5DC158AE" w14:textId="77777777" w:rsidTr="009A44DE">
        <w:tc>
          <w:tcPr>
            <w:tcW w:w="1555" w:type="dxa"/>
            <w:vAlign w:val="center"/>
            <w:hideMark/>
          </w:tcPr>
          <w:p w14:paraId="1BBA17C0" w14:textId="77777777" w:rsidR="00E41CED" w:rsidRPr="007C70A3" w:rsidRDefault="00E41CED" w:rsidP="007C70A3">
            <w:pPr>
              <w:jc w:val="left"/>
              <w:rPr>
                <w:rFonts w:ascii="Times New Roman" w:hAnsi="Times New Roman" w:cs="Times New Roman"/>
              </w:rPr>
            </w:pPr>
            <w:r w:rsidRPr="007C70A3">
              <w:rPr>
                <w:rFonts w:ascii="Times New Roman" w:hAnsi="Times New Roman" w:cs="Times New Roman"/>
              </w:rPr>
              <w:t>Zero Trust (SP 800-207)</w:t>
            </w:r>
          </w:p>
        </w:tc>
        <w:tc>
          <w:tcPr>
            <w:tcW w:w="2938" w:type="dxa"/>
            <w:vAlign w:val="center"/>
            <w:hideMark/>
          </w:tcPr>
          <w:p w14:paraId="4D2DF4AB" w14:textId="77777777" w:rsidR="00E41CED" w:rsidRPr="007C70A3" w:rsidRDefault="00E41CED" w:rsidP="007C70A3">
            <w:pPr>
              <w:jc w:val="left"/>
              <w:rPr>
                <w:rFonts w:ascii="Times New Roman" w:hAnsi="Times New Roman" w:cs="Times New Roman"/>
              </w:rPr>
            </w:pPr>
            <w:r w:rsidRPr="007C70A3">
              <w:rPr>
                <w:rFonts w:ascii="Times New Roman" w:hAnsi="Times New Roman" w:cs="Times New Roman"/>
              </w:rPr>
              <w:t>Device-identity centric; continuous verification</w:t>
            </w:r>
          </w:p>
        </w:tc>
        <w:tc>
          <w:tcPr>
            <w:tcW w:w="2873" w:type="dxa"/>
            <w:vAlign w:val="center"/>
            <w:hideMark/>
          </w:tcPr>
          <w:p w14:paraId="77102EBE" w14:textId="77777777" w:rsidR="00E41CED" w:rsidRPr="007C70A3" w:rsidRDefault="00E41CED" w:rsidP="007C70A3">
            <w:pPr>
              <w:jc w:val="left"/>
              <w:rPr>
                <w:rFonts w:ascii="Times New Roman" w:hAnsi="Times New Roman" w:cs="Times New Roman"/>
              </w:rPr>
            </w:pPr>
            <w:r w:rsidRPr="007C70A3">
              <w:rPr>
                <w:rFonts w:ascii="Times New Roman" w:hAnsi="Times New Roman" w:cs="Times New Roman"/>
              </w:rPr>
              <w:t>Requires telemetry &amp; identity maturity</w:t>
            </w:r>
          </w:p>
        </w:tc>
        <w:tc>
          <w:tcPr>
            <w:tcW w:w="2364" w:type="dxa"/>
            <w:vAlign w:val="center"/>
            <w:hideMark/>
          </w:tcPr>
          <w:p w14:paraId="42DE1B12" w14:textId="77777777" w:rsidR="00E41CED" w:rsidRPr="007C70A3" w:rsidRDefault="00E41CED" w:rsidP="007C70A3">
            <w:pPr>
              <w:jc w:val="left"/>
              <w:rPr>
                <w:rFonts w:ascii="Times New Roman" w:hAnsi="Times New Roman" w:cs="Times New Roman"/>
              </w:rPr>
            </w:pPr>
            <w:r w:rsidRPr="007C70A3">
              <w:rPr>
                <w:rFonts w:ascii="Times New Roman" w:hAnsi="Times New Roman" w:cs="Times New Roman"/>
              </w:rPr>
              <w:t>Critical—BYOD and wireless risk mitigation</w:t>
            </w:r>
          </w:p>
        </w:tc>
      </w:tr>
      <w:tr w:rsidR="009A44DE" w:rsidRPr="007C70A3" w14:paraId="3705612D" w14:textId="77777777" w:rsidTr="009A44DE">
        <w:tc>
          <w:tcPr>
            <w:tcW w:w="1555" w:type="dxa"/>
            <w:vAlign w:val="center"/>
            <w:hideMark/>
          </w:tcPr>
          <w:p w14:paraId="5D73EE90" w14:textId="77777777" w:rsidR="00E41CED" w:rsidRPr="007C70A3" w:rsidRDefault="00E41CED" w:rsidP="007C70A3">
            <w:pPr>
              <w:jc w:val="left"/>
              <w:rPr>
                <w:rFonts w:ascii="Times New Roman" w:hAnsi="Times New Roman" w:cs="Times New Roman"/>
              </w:rPr>
            </w:pPr>
            <w:r w:rsidRPr="007C70A3">
              <w:rPr>
                <w:rFonts w:ascii="Times New Roman" w:hAnsi="Times New Roman" w:cs="Times New Roman"/>
              </w:rPr>
              <w:t>ISO 27701 / 22301</w:t>
            </w:r>
          </w:p>
        </w:tc>
        <w:tc>
          <w:tcPr>
            <w:tcW w:w="2938" w:type="dxa"/>
            <w:vAlign w:val="center"/>
            <w:hideMark/>
          </w:tcPr>
          <w:p w14:paraId="439404F8" w14:textId="77777777" w:rsidR="00E41CED" w:rsidRPr="007C70A3" w:rsidRDefault="00E41CED" w:rsidP="007C70A3">
            <w:pPr>
              <w:jc w:val="left"/>
              <w:rPr>
                <w:rFonts w:ascii="Times New Roman" w:hAnsi="Times New Roman" w:cs="Times New Roman"/>
              </w:rPr>
            </w:pPr>
            <w:r w:rsidRPr="007C70A3">
              <w:rPr>
                <w:rFonts w:ascii="Times New Roman" w:hAnsi="Times New Roman" w:cs="Times New Roman"/>
              </w:rPr>
              <w:t>GDPR compliance &amp; continuity assurance</w:t>
            </w:r>
          </w:p>
        </w:tc>
        <w:tc>
          <w:tcPr>
            <w:tcW w:w="2873" w:type="dxa"/>
            <w:vAlign w:val="center"/>
            <w:hideMark/>
          </w:tcPr>
          <w:p w14:paraId="208F8533" w14:textId="77777777" w:rsidR="00E41CED" w:rsidRPr="007C70A3" w:rsidRDefault="00E41CED" w:rsidP="007C70A3">
            <w:pPr>
              <w:jc w:val="left"/>
              <w:rPr>
                <w:rFonts w:ascii="Times New Roman" w:hAnsi="Times New Roman" w:cs="Times New Roman"/>
              </w:rPr>
            </w:pPr>
            <w:r w:rsidRPr="007C70A3">
              <w:rPr>
                <w:rFonts w:ascii="Times New Roman" w:hAnsi="Times New Roman" w:cs="Times New Roman"/>
              </w:rPr>
              <w:t>Additional audit overhead</w:t>
            </w:r>
          </w:p>
        </w:tc>
        <w:tc>
          <w:tcPr>
            <w:tcW w:w="2364" w:type="dxa"/>
            <w:vAlign w:val="center"/>
            <w:hideMark/>
          </w:tcPr>
          <w:p w14:paraId="3CF5A69B" w14:textId="77777777" w:rsidR="00E41CED" w:rsidRPr="007C70A3" w:rsidRDefault="00E41CED" w:rsidP="007C70A3">
            <w:pPr>
              <w:jc w:val="left"/>
              <w:rPr>
                <w:rFonts w:ascii="Times New Roman" w:hAnsi="Times New Roman" w:cs="Times New Roman"/>
              </w:rPr>
            </w:pPr>
            <w:r w:rsidRPr="007C70A3">
              <w:rPr>
                <w:rFonts w:ascii="Times New Roman" w:hAnsi="Times New Roman" w:cs="Times New Roman"/>
              </w:rPr>
              <w:t>High—privacy + resilience complement</w:t>
            </w:r>
          </w:p>
        </w:tc>
      </w:tr>
    </w:tbl>
    <w:p w14:paraId="646DBF28" w14:textId="77777777" w:rsidR="00E41CED" w:rsidRPr="007C70A3" w:rsidRDefault="00E41CED" w:rsidP="007C70A3">
      <w:pPr>
        <w:spacing w:before="240"/>
        <w:rPr>
          <w:rFonts w:ascii="Times New Roman" w:hAnsi="Times New Roman" w:cs="Times New Roman"/>
        </w:rPr>
      </w:pPr>
      <w:r w:rsidRPr="007C70A3">
        <w:rPr>
          <w:rFonts w:ascii="Times New Roman" w:hAnsi="Times New Roman" w:cs="Times New Roman"/>
        </w:rPr>
        <w:t xml:space="preserve">Importantly, the literature is convergent towards integration and not substitution. According to </w:t>
      </w:r>
      <w:sdt>
        <w:sdtPr>
          <w:rPr>
            <w:rFonts w:ascii="Times New Roman" w:hAnsi="Times New Roman" w:cs="Times New Roman"/>
            <w:color w:val="000000"/>
          </w:rPr>
          <w:tag w:val="MENDELEY_CITATION_v3_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"/>
          <w:id w:val="-157146592"/>
          <w:placeholder>
            <w:docPart w:val="DefaultPlaceholder_-1854013440"/>
          </w:placeholder>
        </w:sdtPr>
        <w:sdtEndPr/>
        <w:sdtContent>
          <w:r w:rsidR="00F0465D" w:rsidRPr="007C70A3">
            <w:rPr>
              <w:rFonts w:ascii="Times New Roman" w:eastAsia="Times New Roman" w:hAnsi="Times New Roman" w:cs="Times New Roman"/>
              <w:color w:val="000000"/>
            </w:rPr>
            <w:t>Wu et al. (2024)</w:t>
          </w:r>
        </w:sdtContent>
      </w:sdt>
      <w:r w:rsidRPr="007C70A3">
        <w:rPr>
          <w:rFonts w:ascii="Times New Roman" w:hAnsi="Times New Roman" w:cs="Times New Roman"/>
        </w:rPr>
        <w:t xml:space="preserve">, hybrid governance architectures, which consider the formalism of ISO and the agility of NIST, are more effective than monolithic adoption regarding compliance and detection-response measures. </w:t>
      </w:r>
      <w:r w:rsidR="009A44DE" w:rsidRPr="007C70A3">
        <w:rPr>
          <w:rFonts w:ascii="Times New Roman" w:hAnsi="Times New Roman" w:cs="Times New Roman"/>
        </w:rPr>
        <w:t xml:space="preserve"> </w:t>
      </w:r>
      <w:r w:rsidRPr="007C70A3">
        <w:rPr>
          <w:rFonts w:ascii="Times New Roman" w:hAnsi="Times New Roman" w:cs="Times New Roman"/>
        </w:rPr>
        <w:t>In the case of NG, the evidence suggests that the triad of the most defensible is ISO 27001 + NIST CSF + Zero Trust. The external assurance and formal risk management in ISO 27001, agile governance in NIST CSF, and the 95</w:t>
      </w:r>
      <w:r w:rsidR="00F71B79" w:rsidRPr="007C70A3">
        <w:rPr>
          <w:rFonts w:ascii="Times New Roman" w:hAnsi="Times New Roman" w:cs="Times New Roman"/>
        </w:rPr>
        <w:t>%</w:t>
      </w:r>
      <w:r w:rsidR="009A44DE" w:rsidRPr="007C70A3">
        <w:rPr>
          <w:rFonts w:ascii="Times New Roman" w:hAnsi="Times New Roman" w:cs="Times New Roman"/>
        </w:rPr>
        <w:t xml:space="preserve"> </w:t>
      </w:r>
      <w:r w:rsidRPr="007C70A3">
        <w:rPr>
          <w:rFonts w:ascii="Times New Roman" w:hAnsi="Times New Roman" w:cs="Times New Roman"/>
        </w:rPr>
        <w:t>wireless and multi-device perimeter in Zero Trust all are insured</w:t>
      </w:r>
      <w:r w:rsidR="009C4768" w:rsidRPr="007C70A3">
        <w:rPr>
          <w:rFonts w:ascii="Times New Roman" w:hAnsi="Times New Roman" w:cs="Times New Roman"/>
        </w:rPr>
        <w:t xml:space="preserve"> (Table 1)</w:t>
      </w:r>
      <w:r w:rsidRPr="007C70A3">
        <w:rPr>
          <w:rFonts w:ascii="Times New Roman" w:hAnsi="Times New Roman" w:cs="Times New Roman"/>
        </w:rPr>
        <w:t>. COBIT 2019 and ITIL 4 provide additional governance and service-continuity frameworks, and ISO 27701 guarantees GDPR compliance and ISO 22301 grounds resiliency</w:t>
      </w:r>
      <w:r w:rsidR="009A44DE" w:rsidRPr="007C70A3">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"/>
          <w:id w:val="730119534"/>
          <w:placeholder>
            <w:docPart w:val="DefaultPlaceholder_-1854013440"/>
          </w:placeholder>
        </w:sdtPr>
        <w:sdtEndPr/>
        <w:sdtContent>
          <w:r w:rsidR="00F0465D" w:rsidRPr="007C70A3">
            <w:rPr>
              <w:rFonts w:ascii="Times New Roman" w:hAnsi="Times New Roman" w:cs="Times New Roman"/>
              <w:color w:val="000000"/>
            </w:rPr>
            <w:t>(Kostopoulos, 2017)</w:t>
          </w:r>
        </w:sdtContent>
      </w:sdt>
      <w:r w:rsidRPr="007C70A3">
        <w:rPr>
          <w:rFonts w:ascii="Times New Roman" w:hAnsi="Times New Roman" w:cs="Times New Roman"/>
        </w:rPr>
        <w:t>. The following part will then design a hybrid governance-security system, which realises these standards in concrete forms of control and responsibility as well as assurance metrics, which are specific to the hybrid environment of NG.</w:t>
      </w:r>
    </w:p>
    <w:p w14:paraId="614B4A21" w14:textId="77777777" w:rsidR="00CB596A" w:rsidRPr="007C70A3" w:rsidRDefault="00CB596A" w:rsidP="007C70A3">
      <w:pPr>
        <w:pStyle w:val="Heading1"/>
        <w:rPr>
          <w:rFonts w:ascii="Times New Roman" w:hAnsi="Times New Roman" w:cs="Times New Roman"/>
          <w:noProof w:val="0"/>
          <w:sz w:val="36"/>
          <w:szCs w:val="36"/>
        </w:rPr>
      </w:pPr>
      <w:bookmarkStart w:id="18" w:name="_Toc213350673"/>
      <w:r w:rsidRPr="007C70A3">
        <w:rPr>
          <w:rStyle w:val="Strong"/>
          <w:rFonts w:ascii="Times New Roman" w:hAnsi="Times New Roman" w:cs="Times New Roman"/>
          <w:b/>
          <w:bCs/>
        </w:rPr>
        <w:t>Design Approach for NatureGreen</w:t>
      </w:r>
      <w:bookmarkEnd w:id="18"/>
    </w:p>
    <w:p w14:paraId="2067C3B5" w14:textId="77777777" w:rsidR="00E41CED" w:rsidRPr="007C70A3" w:rsidRDefault="00E41CED" w:rsidP="007C70A3">
      <w:pPr>
        <w:rPr>
          <w:rFonts w:ascii="Times New Roman" w:hAnsi="Times New Roman" w:cs="Times New Roman"/>
        </w:rPr>
      </w:pPr>
      <w:r w:rsidRPr="007C70A3">
        <w:rPr>
          <w:rFonts w:ascii="Times New Roman" w:hAnsi="Times New Roman" w:cs="Times New Roman"/>
        </w:rPr>
        <w:t>The reviewed literature proves that there is no single framework that would provide adequate security to such a hyper-connected enterprise as NG. The proposed design thus adheres to an integrated design architecture that integrates the auditable discipline of ISO 27001, the governance agility of the NIST CSF 2.0 and the Zero Trust paradigm of pervasive verification of devices and identity. This tri-model architecture is supported operationally by the incident- and change-management processes of ITIL 4 and has its basis in the strategic oversight of COBIT 2019.</w:t>
      </w:r>
    </w:p>
    <w:p w14:paraId="47CBC9ED" w14:textId="77777777" w:rsidR="00E41CED" w:rsidRPr="007C70A3" w:rsidRDefault="00E41CED" w:rsidP="007C70A3">
      <w:pPr>
        <w:rPr>
          <w:rFonts w:ascii="Times New Roman" w:hAnsi="Times New Roman" w:cs="Times New Roman"/>
        </w:rPr>
      </w:pPr>
      <w:r w:rsidRPr="007C70A3">
        <w:rPr>
          <w:rFonts w:ascii="Times New Roman" w:hAnsi="Times New Roman" w:cs="Times New Roman"/>
        </w:rPr>
        <w:lastRenderedPageBreak/>
        <w:t>The proposed model is based on four design principles:</w:t>
      </w:r>
    </w:p>
    <w:p w14:paraId="700E5466" w14:textId="77777777" w:rsidR="00E41CED" w:rsidRPr="007C70A3" w:rsidRDefault="00CB596A" w:rsidP="007C70A3">
      <w:pPr>
        <w:pStyle w:val="ListParagraph"/>
        <w:numPr>
          <w:ilvl w:val="0"/>
          <w:numId w:val="14"/>
        </w:numPr>
        <w:rPr>
          <w:rFonts w:ascii="Times New Roman" w:hAnsi="Times New Roman" w:cs="Times New Roman"/>
        </w:rPr>
      </w:pPr>
      <w:r w:rsidRPr="007C70A3">
        <w:rPr>
          <w:rFonts w:ascii="Times New Roman" w:hAnsi="Times New Roman" w:cs="Times New Roman"/>
        </w:rPr>
        <w:t xml:space="preserve">Risk based </w:t>
      </w:r>
      <w:r w:rsidR="00E41CED" w:rsidRPr="007C70A3">
        <w:rPr>
          <w:rFonts w:ascii="Times New Roman" w:hAnsi="Times New Roman" w:cs="Times New Roman"/>
        </w:rPr>
        <w:t>Proportionality - there should be a commensurateness between the criticality of data assets and the probability of exploitation (Tuma et al., 2021).</w:t>
      </w:r>
    </w:p>
    <w:p w14:paraId="70C8BBF2" w14:textId="77777777" w:rsidR="00E41CED" w:rsidRPr="007C70A3" w:rsidRDefault="00E41CED" w:rsidP="007C70A3">
      <w:pPr>
        <w:pStyle w:val="ListParagraph"/>
        <w:numPr>
          <w:ilvl w:val="0"/>
          <w:numId w:val="14"/>
        </w:numPr>
        <w:rPr>
          <w:rFonts w:ascii="Times New Roman" w:hAnsi="Times New Roman" w:cs="Times New Roman"/>
        </w:rPr>
      </w:pPr>
      <w:r w:rsidRPr="007C70A3">
        <w:rPr>
          <w:rFonts w:ascii="Times New Roman" w:hAnsi="Times New Roman" w:cs="Times New Roman"/>
        </w:rPr>
        <w:t xml:space="preserve">Zero Trust </w:t>
      </w:r>
      <w:r w:rsidR="00CB596A" w:rsidRPr="007C70A3">
        <w:rPr>
          <w:rFonts w:ascii="Times New Roman" w:hAnsi="Times New Roman" w:cs="Times New Roman"/>
        </w:rPr>
        <w:t>by default -</w:t>
      </w:r>
      <w:r w:rsidRPr="007C70A3">
        <w:rPr>
          <w:rFonts w:ascii="Times New Roman" w:hAnsi="Times New Roman" w:cs="Times New Roman"/>
        </w:rPr>
        <w:t xml:space="preserve"> everything is authenticated, authorised, and constantly verified (Rose et al., 2020).</w:t>
      </w:r>
    </w:p>
    <w:p w14:paraId="5FDF2C85" w14:textId="77777777" w:rsidR="00E41CED" w:rsidRPr="007C70A3" w:rsidRDefault="00CB596A" w:rsidP="007C70A3">
      <w:pPr>
        <w:pStyle w:val="ListParagraph"/>
        <w:numPr>
          <w:ilvl w:val="0"/>
          <w:numId w:val="14"/>
        </w:numPr>
        <w:rPr>
          <w:rFonts w:ascii="Times New Roman" w:hAnsi="Times New Roman" w:cs="Times New Roman"/>
        </w:rPr>
      </w:pPr>
      <w:r w:rsidRPr="007C70A3">
        <w:rPr>
          <w:rFonts w:ascii="Times New Roman" w:hAnsi="Times New Roman" w:cs="Times New Roman"/>
        </w:rPr>
        <w:t xml:space="preserve">Compliance-driven assurance - </w:t>
      </w:r>
      <w:r w:rsidR="00E41CED" w:rsidRPr="007C70A3">
        <w:rPr>
          <w:rFonts w:ascii="Times New Roman" w:hAnsi="Times New Roman" w:cs="Times New Roman"/>
        </w:rPr>
        <w:t>all policies are in line with ISO 27001 (Clauses 4-10), ISO 27701 (privacy) and ISO 22301 (continuity).</w:t>
      </w:r>
    </w:p>
    <w:p w14:paraId="0FBBE307" w14:textId="77777777" w:rsidR="00E41CED" w:rsidRPr="007C70A3" w:rsidRDefault="00BD2ADA" w:rsidP="007C70A3">
      <w:pPr>
        <w:pStyle w:val="ListParagraph"/>
        <w:numPr>
          <w:ilvl w:val="0"/>
          <w:numId w:val="14"/>
        </w:numPr>
        <w:rPr>
          <w:rFonts w:ascii="Times New Roman" w:hAnsi="Times New Roman" w:cs="Times New Roman"/>
        </w:rPr>
      </w:pPr>
      <w:r w:rsidRPr="007C70A3">
        <w:rPr>
          <w:rFonts w:ascii="Times New Roman" w:hAnsi="Times New Roman" w:cs="Times New Roman"/>
        </w:rPr>
        <mc:AlternateContent>
          <mc:Choice Requires="wps">
            <w:drawing>
              <wp:anchor distT="0" distB="0" distL="114300" distR="114300" simplePos="0" relativeHeight="251679744" behindDoc="0" locked="0" layoutInCell="1" allowOverlap="1" wp14:anchorId="6A8439C9" wp14:editId="6DA9CEAD">
                <wp:simplePos x="0" y="0"/>
                <wp:positionH relativeFrom="column">
                  <wp:posOffset>208722</wp:posOffset>
                </wp:positionH>
                <wp:positionV relativeFrom="paragraph">
                  <wp:posOffset>3389243</wp:posOffset>
                </wp:positionV>
                <wp:extent cx="2445026" cy="278295"/>
                <wp:effectExtent l="0" t="0" r="19050" b="13970"/>
                <wp:wrapNone/>
                <wp:docPr id="980245514" name="Text Box 8"/>
                <wp:cNvGraphicFramePr/>
                <a:graphic xmlns:a="http://schemas.openxmlformats.org/drawingml/2006/main">
                  <a:graphicData uri="http://schemas.microsoft.com/office/word/2010/wordprocessingShape">
                    <wps:wsp>
                      <wps:cNvSpPr txBox="1"/>
                      <wps:spPr>
                        <a:xfrm>
                          <a:off x="0" y="0"/>
                          <a:ext cx="2445026" cy="278295"/>
                        </a:xfrm>
                        <a:prstGeom prst="rect">
                          <a:avLst/>
                        </a:prstGeom>
                        <a:solidFill>
                          <a:schemeClr val="lt1"/>
                        </a:solidFill>
                        <a:ln w="6350">
                          <a:solidFill>
                            <a:prstClr val="black"/>
                          </a:solidFill>
                        </a:ln>
                      </wps:spPr>
                      <wps:txbx>
                        <w:txbxContent>
                          <w:p w14:paraId="30D7CAAE" w14:textId="77777777" w:rsidR="00BD2ADA" w:rsidRPr="0004363C" w:rsidRDefault="00BD2ADA" w:rsidP="00BD2ADA">
                            <w:pPr>
                              <w:jc w:val="left"/>
                              <w:rPr>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D2ADA">
                              <w:rPr>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Zero Trust Enforcement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8439C9" id="Text Box 8" o:spid="_x0000_s1030" type="#_x0000_t202" style="position:absolute;left:0;text-align:left;margin-left:16.45pt;margin-top:266.85pt;width:192.5pt;height:21.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" fillcolor="white [3201]" strokeweight=".5pt">
                <v:textbox>
                  <w:txbxContent>
                    <w:p w14:paraId="30D7CAAE" w14:textId="77777777" w:rsidR="00BD2ADA" w:rsidRPr="0004363C" w:rsidRDefault="00BD2ADA" w:rsidP="00BD2ADA">
                      <w:pPr>
                        <w:jc w:val="left"/>
                        <w:rPr>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D2ADA">
                        <w:rPr>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Zero Trust Enforcement</w:t>
                      </w:r>
                    </w:p>
                  </w:txbxContent>
                </v:textbox>
              </v:shape>
            </w:pict>
          </mc:Fallback>
        </mc:AlternateContent>
      </w:r>
      <w:r w:rsidR="0004363C" w:rsidRPr="007C70A3">
        <w:rPr>
          <w:rFonts w:ascii="Times New Roman" w:hAnsi="Times New Roman" w:cs="Times New Roman"/>
        </w:rPr>
        <mc:AlternateContent>
          <mc:Choice Requires="wps">
            <w:drawing>
              <wp:anchor distT="0" distB="0" distL="114300" distR="114300" simplePos="0" relativeHeight="251677696" behindDoc="0" locked="0" layoutInCell="1" allowOverlap="1" wp14:anchorId="266AA9F3" wp14:editId="6506A6B7">
                <wp:simplePos x="0" y="0"/>
                <wp:positionH relativeFrom="column">
                  <wp:posOffset>3935896</wp:posOffset>
                </wp:positionH>
                <wp:positionV relativeFrom="paragraph">
                  <wp:posOffset>2842591</wp:posOffset>
                </wp:positionV>
                <wp:extent cx="2315099" cy="278295"/>
                <wp:effectExtent l="0" t="0" r="9525" b="13970"/>
                <wp:wrapNone/>
                <wp:docPr id="2123886231" name="Text Box 8"/>
                <wp:cNvGraphicFramePr/>
                <a:graphic xmlns:a="http://schemas.openxmlformats.org/drawingml/2006/main">
                  <a:graphicData uri="http://schemas.microsoft.com/office/word/2010/wordprocessingShape">
                    <wps:wsp>
                      <wps:cNvSpPr txBox="1"/>
                      <wps:spPr>
                        <a:xfrm>
                          <a:off x="0" y="0"/>
                          <a:ext cx="2315099" cy="278295"/>
                        </a:xfrm>
                        <a:prstGeom prst="rect">
                          <a:avLst/>
                        </a:prstGeom>
                        <a:solidFill>
                          <a:schemeClr val="lt1"/>
                        </a:solidFill>
                        <a:ln w="6350">
                          <a:solidFill>
                            <a:prstClr val="black"/>
                          </a:solidFill>
                        </a:ln>
                      </wps:spPr>
                      <wps:txbx>
                        <w:txbxContent>
                          <w:p w14:paraId="1BA07D8C" w14:textId="77777777" w:rsidR="0004363C" w:rsidRPr="0004363C" w:rsidRDefault="00BD2ADA" w:rsidP="0004363C">
                            <w:pPr>
                              <w:jc w:val="right"/>
                              <w:rPr>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D2ADA">
                              <w:rPr>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NIST CSF Core Functions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AA9F3" id="_x0000_s1031" type="#_x0000_t202" style="position:absolute;left:0;text-align:left;margin-left:309.9pt;margin-top:223.85pt;width:182.3pt;height:2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" fillcolor="white [3201]" strokeweight=".5pt">
                <v:textbox>
                  <w:txbxContent>
                    <w:p w14:paraId="1BA07D8C" w14:textId="77777777" w:rsidR="0004363C" w:rsidRPr="0004363C" w:rsidRDefault="00BD2ADA" w:rsidP="0004363C">
                      <w:pPr>
                        <w:jc w:val="right"/>
                        <w:rPr>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D2ADA">
                        <w:rPr>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NIST CSF Core Functions</w:t>
                      </w:r>
                    </w:p>
                  </w:txbxContent>
                </v:textbox>
              </v:shape>
            </w:pict>
          </mc:Fallback>
        </mc:AlternateContent>
      </w:r>
      <w:r w:rsidR="0004363C" w:rsidRPr="007C70A3">
        <w:rPr>
          <w:rFonts w:ascii="Times New Roman" w:hAnsi="Times New Roman" w:cs="Times New Roman"/>
        </w:rPr>
        <mc:AlternateContent>
          <mc:Choice Requires="wps">
            <w:drawing>
              <wp:anchor distT="0" distB="0" distL="114300" distR="114300" simplePos="0" relativeHeight="251675648" behindDoc="0" locked="0" layoutInCell="1" allowOverlap="1" wp14:anchorId="4B36B9B5" wp14:editId="0D7F3EEE">
                <wp:simplePos x="0" y="0"/>
                <wp:positionH relativeFrom="column">
                  <wp:posOffset>211980</wp:posOffset>
                </wp:positionH>
                <wp:positionV relativeFrom="paragraph">
                  <wp:posOffset>1553238</wp:posOffset>
                </wp:positionV>
                <wp:extent cx="2196382" cy="496956"/>
                <wp:effectExtent l="0" t="0" r="13970" b="11430"/>
                <wp:wrapNone/>
                <wp:docPr id="935118484" name="Text Box 8"/>
                <wp:cNvGraphicFramePr/>
                <a:graphic xmlns:a="http://schemas.openxmlformats.org/drawingml/2006/main">
                  <a:graphicData uri="http://schemas.microsoft.com/office/word/2010/wordprocessingShape">
                    <wps:wsp>
                      <wps:cNvSpPr txBox="1"/>
                      <wps:spPr>
                        <a:xfrm>
                          <a:off x="0" y="0"/>
                          <a:ext cx="2196382" cy="496956"/>
                        </a:xfrm>
                        <a:prstGeom prst="rect">
                          <a:avLst/>
                        </a:prstGeom>
                        <a:solidFill>
                          <a:schemeClr val="lt1"/>
                        </a:solidFill>
                        <a:ln w="6350">
                          <a:solidFill>
                            <a:prstClr val="black"/>
                          </a:solidFill>
                        </a:ln>
                      </wps:spPr>
                      <wps:txbx>
                        <w:txbxContent>
                          <w:p w14:paraId="6A5A8309" w14:textId="77777777" w:rsidR="0004363C" w:rsidRPr="0004363C" w:rsidRDefault="0004363C" w:rsidP="0004363C">
                            <w:pPr>
                              <w:jc w:val="left"/>
                              <w:rPr>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4363C">
                              <w:rPr>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ISMS Implementation (ISO/IEC 27001 Clauses 4–10)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B36B9B5" id="_x0000_s1032" type="#_x0000_t202" style="position:absolute;left:0;text-align:left;margin-left:16.7pt;margin-top:122.3pt;width:172.95pt;height:39.1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" fillcolor="white [3201]" strokeweight=".5pt">
                <v:textbox>
                  <w:txbxContent>
                    <w:p w14:paraId="6A5A8309" w14:textId="77777777" w:rsidR="0004363C" w:rsidRPr="0004363C" w:rsidRDefault="0004363C" w:rsidP="0004363C">
                      <w:pPr>
                        <w:jc w:val="left"/>
                        <w:rPr>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4363C">
                        <w:rPr>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ISMS Implementation (ISO/IEC 27001 Clauses 4–10)</w:t>
                      </w:r>
                    </w:p>
                  </w:txbxContent>
                </v:textbox>
              </v:shape>
            </w:pict>
          </mc:Fallback>
        </mc:AlternateContent>
      </w:r>
      <w:r w:rsidR="0004363C" w:rsidRPr="007C70A3">
        <w:rPr>
          <w:rFonts w:ascii="Times New Roman" w:hAnsi="Times New Roman" w:cs="Times New Roman"/>
        </w:rPr>
        <mc:AlternateContent>
          <mc:Choice Requires="wps">
            <w:drawing>
              <wp:anchor distT="0" distB="0" distL="114300" distR="114300" simplePos="0" relativeHeight="251673600" behindDoc="0" locked="0" layoutInCell="1" allowOverlap="1" wp14:anchorId="659DF2B2" wp14:editId="77748661">
                <wp:simplePos x="0" y="0"/>
                <wp:positionH relativeFrom="column">
                  <wp:posOffset>4055165</wp:posOffset>
                </wp:positionH>
                <wp:positionV relativeFrom="paragraph">
                  <wp:posOffset>974035</wp:posOffset>
                </wp:positionV>
                <wp:extent cx="2196382" cy="496956"/>
                <wp:effectExtent l="0" t="0" r="13970" b="11430"/>
                <wp:wrapNone/>
                <wp:docPr id="1555023440" name="Text Box 8"/>
                <wp:cNvGraphicFramePr/>
                <a:graphic xmlns:a="http://schemas.openxmlformats.org/drawingml/2006/main">
                  <a:graphicData uri="http://schemas.microsoft.com/office/word/2010/wordprocessingShape">
                    <wps:wsp>
                      <wps:cNvSpPr txBox="1"/>
                      <wps:spPr>
                        <a:xfrm>
                          <a:off x="0" y="0"/>
                          <a:ext cx="2196382" cy="496956"/>
                        </a:xfrm>
                        <a:prstGeom prst="rect">
                          <a:avLst/>
                        </a:prstGeom>
                        <a:solidFill>
                          <a:schemeClr val="lt1"/>
                        </a:solidFill>
                        <a:ln w="6350">
                          <a:solidFill>
                            <a:prstClr val="black"/>
                          </a:solidFill>
                        </a:ln>
                      </wps:spPr>
                      <wps:txbx>
                        <w:txbxContent>
                          <w:p w14:paraId="1FAF7683" w14:textId="77777777" w:rsidR="0004363C" w:rsidRPr="0004363C" w:rsidRDefault="0004363C" w:rsidP="0004363C">
                            <w:pPr>
                              <w:jc w:val="right"/>
                              <w:rPr>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4363C">
                              <w:rPr>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Board Accountability &amp; Risk Appetite (COBIT / NIST CSF: Govern)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59DF2B2" id="_x0000_s1033" type="#_x0000_t202" style="position:absolute;left:0;text-align:left;margin-left:319.3pt;margin-top:76.7pt;width:172.95pt;height:39.1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" fillcolor="white [3201]" strokeweight=".5pt">
                <v:textbox>
                  <w:txbxContent>
                    <w:p w14:paraId="1FAF7683" w14:textId="77777777" w:rsidR="0004363C" w:rsidRPr="0004363C" w:rsidRDefault="0004363C" w:rsidP="0004363C">
                      <w:pPr>
                        <w:jc w:val="right"/>
                        <w:rPr>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4363C">
                        <w:rPr>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Board Accountability &amp; Risk Appetite (COBIT / NIST CSF: Govern)</w:t>
                      </w:r>
                    </w:p>
                  </w:txbxContent>
                </v:textbox>
              </v:shape>
            </w:pict>
          </mc:Fallback>
        </mc:AlternateContent>
      </w:r>
      <w:r w:rsidR="00CB596A" w:rsidRPr="007C70A3">
        <w:rPr>
          <w:rFonts w:ascii="Times New Roman" w:hAnsi="Times New Roman" w:cs="Times New Roman"/>
        </w:rPr>
        <w:t xml:space="preserve">Continuous improvement and governance accountability - </w:t>
      </w:r>
      <w:r w:rsidR="00E41CED" w:rsidRPr="007C70A3">
        <w:rPr>
          <w:rFonts w:ascii="Times New Roman" w:hAnsi="Times New Roman" w:cs="Times New Roman"/>
        </w:rPr>
        <w:t>corresponds to the new Govern function of NIST CSF, which entails board-level accountability and quantifiable KPIs (Caldwell et al., 2023).</w:t>
      </w:r>
    </w:p>
    <w:p w14:paraId="36014EEC" w14:textId="77777777" w:rsidR="00E41CED" w:rsidRPr="007C70A3" w:rsidRDefault="0004363C" w:rsidP="007C70A3">
      <w:pPr>
        <w:pStyle w:val="Heading2"/>
        <w:rPr>
          <w:rFonts w:ascii="Times New Roman" w:hAnsi="Times New Roman" w:cs="Times New Roman"/>
        </w:rPr>
      </w:pPr>
      <w:bookmarkStart w:id="19" w:name="_Toc213350674"/>
      <w:r w:rsidRPr="007C70A3">
        <w:rPr>
          <w:rFonts w:ascii="Times New Roman" w:hAnsi="Times New Roman" w:cs="Times New Roman"/>
        </w:rPr>
        <mc:AlternateContent>
          <mc:Choice Requires="wps">
            <w:drawing>
              <wp:anchor distT="0" distB="0" distL="114300" distR="114300" simplePos="0" relativeHeight="251672576" behindDoc="0" locked="0" layoutInCell="1" allowOverlap="1" wp14:anchorId="4C5430C6" wp14:editId="54DFE762">
                <wp:simplePos x="0" y="0"/>
                <wp:positionH relativeFrom="column">
                  <wp:posOffset>0</wp:posOffset>
                </wp:positionH>
                <wp:positionV relativeFrom="paragraph">
                  <wp:posOffset>3282950</wp:posOffset>
                </wp:positionV>
                <wp:extent cx="6251575" cy="635"/>
                <wp:effectExtent l="0" t="0" r="0" b="12065"/>
                <wp:wrapSquare wrapText="bothSides"/>
                <wp:docPr id="840250394" name="Text Box 1"/>
                <wp:cNvGraphicFramePr/>
                <a:graphic xmlns:a="http://schemas.openxmlformats.org/drawingml/2006/main">
                  <a:graphicData uri="http://schemas.microsoft.com/office/word/2010/wordprocessingShape">
                    <wps:wsp>
                      <wps:cNvSpPr txBox="1"/>
                      <wps:spPr>
                        <a:xfrm>
                          <a:off x="0" y="0"/>
                          <a:ext cx="6251575" cy="635"/>
                        </a:xfrm>
                        <a:prstGeom prst="rect">
                          <a:avLst/>
                        </a:prstGeom>
                        <a:solidFill>
                          <a:prstClr val="white"/>
                        </a:solidFill>
                        <a:ln>
                          <a:noFill/>
                        </a:ln>
                      </wps:spPr>
                      <wps:txbx>
                        <w:txbxContent>
                          <w:p w14:paraId="3B2AB85C" w14:textId="77777777" w:rsidR="0004363C" w:rsidRPr="00171A1A" w:rsidRDefault="0004363C" w:rsidP="007C70A3">
                            <w:pPr>
                              <w:pStyle w:val="Caption"/>
                              <w:jc w:val="center"/>
                              <w:rPr>
                                <w:sz w:val="22"/>
                                <w:szCs w:val="22"/>
                              </w:rPr>
                            </w:pPr>
                            <w:bookmarkStart w:id="20" w:name="_Toc213351029"/>
                            <w:r>
                              <w:t xml:space="preserve">Figure </w:t>
                            </w:r>
                            <w:r>
                              <w:fldChar w:fldCharType="begin"/>
                            </w:r>
                            <w:r>
                              <w:instrText xml:space="preserve"> SEQ Figure \* ARABIC </w:instrText>
                            </w:r>
                            <w:r>
                              <w:fldChar w:fldCharType="separate"/>
                            </w:r>
                            <w:r w:rsidR="00C97291">
                              <w:t>5</w:t>
                            </w:r>
                            <w:r>
                              <w:fldChar w:fldCharType="end"/>
                            </w:r>
                            <w:r>
                              <w:rPr>
                                <w:lang w:val="en-US"/>
                              </w:rPr>
                              <w:t xml:space="preserve">: </w:t>
                            </w:r>
                            <w:r w:rsidRPr="003A33C4">
                              <w:rPr>
                                <w:lang w:val="en-US"/>
                              </w:rPr>
                              <w:t>Layered “Onion” Model of Integrated Data Security, Governance, and Compliance Framework for NatureGreen (NG).</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5430C6" id="_x0000_s1034" type="#_x0000_t202" style="position:absolute;left:0;text-align:left;margin-left:0;margin-top:258.5pt;width:492.2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" stroked="f">
                <v:textbox style="mso-fit-shape-to-text:t" inset="0,0,0,0">
                  <w:txbxContent>
                    <w:p w14:paraId="3B2AB85C" w14:textId="77777777" w:rsidR="0004363C" w:rsidRPr="00171A1A" w:rsidRDefault="0004363C" w:rsidP="007C70A3">
                      <w:pPr>
                        <w:pStyle w:val="Caption"/>
                        <w:jc w:val="center"/>
                        <w:rPr>
                          <w:sz w:val="22"/>
                          <w:szCs w:val="22"/>
                        </w:rPr>
                      </w:pPr>
                      <w:bookmarkStart w:id="21" w:name="_Toc213351029"/>
                      <w:r>
                        <w:t xml:space="preserve">Figure </w:t>
                      </w:r>
                      <w:r>
                        <w:fldChar w:fldCharType="begin"/>
                      </w:r>
                      <w:r>
                        <w:instrText xml:space="preserve"> SEQ Figure \* ARABIC </w:instrText>
                      </w:r>
                      <w:r>
                        <w:fldChar w:fldCharType="separate"/>
                      </w:r>
                      <w:r w:rsidR="00C97291">
                        <w:t>5</w:t>
                      </w:r>
                      <w:r>
                        <w:fldChar w:fldCharType="end"/>
                      </w:r>
                      <w:r>
                        <w:rPr>
                          <w:lang w:val="en-US"/>
                        </w:rPr>
                        <w:t xml:space="preserve">: </w:t>
                      </w:r>
                      <w:r w:rsidRPr="003A33C4">
                        <w:rPr>
                          <w:lang w:val="en-US"/>
                        </w:rPr>
                        <w:t>Layered “Onion” Model of Integrated Data Security, Governance, and Compliance Framework for NatureGreen (NG).</w:t>
                      </w:r>
                      <w:bookmarkEnd w:id="21"/>
                    </w:p>
                  </w:txbxContent>
                </v:textbox>
                <w10:wrap type="square"/>
              </v:shape>
            </w:pict>
          </mc:Fallback>
        </mc:AlternateContent>
      </w:r>
      <w:r w:rsidR="009A44DE" w:rsidRPr="007C70A3">
        <w:rPr>
          <w:rFonts w:ascii="Times New Roman" w:hAnsi="Times New Roman" w:cs="Times New Roman"/>
        </w:rPr>
        <w:drawing>
          <wp:anchor distT="0" distB="0" distL="114300" distR="114300" simplePos="0" relativeHeight="251670528" behindDoc="0" locked="0" layoutInCell="1" allowOverlap="1" wp14:anchorId="2CBC7112" wp14:editId="544A8A8B">
            <wp:simplePos x="685800" y="1824383"/>
            <wp:positionH relativeFrom="column">
              <wp:align>left</wp:align>
            </wp:positionH>
            <wp:positionV relativeFrom="paragraph">
              <wp:align>top</wp:align>
            </wp:positionV>
            <wp:extent cx="6251713" cy="3200400"/>
            <wp:effectExtent l="0" t="57150" r="0" b="38100"/>
            <wp:wrapSquare wrapText="bothSides"/>
            <wp:docPr id="68371851"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anchor>
        </w:drawing>
      </w:r>
      <w:r w:rsidR="00CB596A" w:rsidRPr="007C70A3">
        <w:rPr>
          <w:rFonts w:ascii="Times New Roman" w:hAnsi="Times New Roman" w:cs="Times New Roman"/>
        </w:rPr>
        <w:t>Integrated Security-Governance Model</w:t>
      </w:r>
      <w:bookmarkEnd w:id="19"/>
      <w:r w:rsidR="00CB596A" w:rsidRPr="007C70A3">
        <w:rPr>
          <w:rFonts w:ascii="Times New Roman" w:hAnsi="Times New Roman" w:cs="Times New Roman"/>
        </w:rPr>
        <w:t xml:space="preserve"> </w:t>
      </w:r>
    </w:p>
    <w:p w14:paraId="6B3D833B" w14:textId="77777777" w:rsidR="00E41CED" w:rsidRPr="007C70A3" w:rsidRDefault="00E41CED" w:rsidP="007C70A3">
      <w:pPr>
        <w:rPr>
          <w:rFonts w:ascii="Times New Roman" w:hAnsi="Times New Roman" w:cs="Times New Roman"/>
        </w:rPr>
      </w:pPr>
      <w:r w:rsidRPr="007C70A3">
        <w:rPr>
          <w:rFonts w:ascii="Times New Roman" w:hAnsi="Times New Roman" w:cs="Times New Roman"/>
        </w:rPr>
        <w:t xml:space="preserve">As shown in Figure </w:t>
      </w:r>
      <w:r w:rsidR="00BD2ADA" w:rsidRPr="007C70A3">
        <w:rPr>
          <w:rFonts w:ascii="Times New Roman" w:hAnsi="Times New Roman" w:cs="Times New Roman"/>
        </w:rPr>
        <w:t>5</w:t>
      </w:r>
      <w:r w:rsidRPr="007C70A3">
        <w:rPr>
          <w:rFonts w:ascii="Times New Roman" w:hAnsi="Times New Roman" w:cs="Times New Roman"/>
        </w:rPr>
        <w:t>, a layered “onion model should consist of:</w:t>
      </w:r>
    </w:p>
    <w:p w14:paraId="31E063EC" w14:textId="77777777" w:rsidR="00E41CED" w:rsidRPr="007C70A3" w:rsidRDefault="00E41CED" w:rsidP="007C70A3">
      <w:pPr>
        <w:pStyle w:val="ListParagraph"/>
        <w:numPr>
          <w:ilvl w:val="0"/>
          <w:numId w:val="4"/>
        </w:numPr>
        <w:rPr>
          <w:rFonts w:ascii="Times New Roman" w:hAnsi="Times New Roman" w:cs="Times New Roman"/>
        </w:rPr>
      </w:pPr>
      <w:r w:rsidRPr="007C70A3">
        <w:rPr>
          <w:rFonts w:ascii="Times New Roman" w:hAnsi="Times New Roman" w:cs="Times New Roman"/>
        </w:rPr>
        <w:t>Governance Layer - Board, Chief Information Security Officer (CISO), Data Protection Officer (DPO), Risk Committee.</w:t>
      </w:r>
    </w:p>
    <w:p w14:paraId="08662762" w14:textId="77777777" w:rsidR="00E41CED" w:rsidRPr="007C70A3" w:rsidRDefault="00E41CED" w:rsidP="007C70A3">
      <w:pPr>
        <w:pStyle w:val="ListParagraph"/>
        <w:numPr>
          <w:ilvl w:val="0"/>
          <w:numId w:val="4"/>
        </w:numPr>
        <w:rPr>
          <w:rFonts w:ascii="Times New Roman" w:hAnsi="Times New Roman" w:cs="Times New Roman"/>
        </w:rPr>
      </w:pPr>
      <w:r w:rsidRPr="007C70A3">
        <w:rPr>
          <w:rFonts w:ascii="Times New Roman" w:hAnsi="Times New Roman" w:cs="Times New Roman"/>
        </w:rPr>
        <w:t>Management Layer - ISO 27001 ISMS processes, policy lifecycle, audit and continuous-improvement loop.</w:t>
      </w:r>
    </w:p>
    <w:p w14:paraId="52019B7D" w14:textId="77777777" w:rsidR="00E41CED" w:rsidRPr="007C70A3" w:rsidRDefault="00E41CED" w:rsidP="007C70A3">
      <w:pPr>
        <w:pStyle w:val="ListParagraph"/>
        <w:numPr>
          <w:ilvl w:val="0"/>
          <w:numId w:val="4"/>
        </w:numPr>
        <w:rPr>
          <w:rFonts w:ascii="Times New Roman" w:hAnsi="Times New Roman" w:cs="Times New Roman"/>
        </w:rPr>
      </w:pPr>
      <w:r w:rsidRPr="007C70A3">
        <w:rPr>
          <w:rFonts w:ascii="Times New Roman" w:hAnsi="Times New Roman" w:cs="Times New Roman"/>
        </w:rPr>
        <w:t>Operational Layer - NIST CSF operates (Identify, Protect, Detect, Respond, Recover) and has metrics positioned to ISO controls.</w:t>
      </w:r>
    </w:p>
    <w:p w14:paraId="22B6EFCA" w14:textId="77777777" w:rsidR="00E41CED" w:rsidRPr="007C70A3" w:rsidRDefault="00E41CED" w:rsidP="007C70A3">
      <w:pPr>
        <w:pStyle w:val="ListParagraph"/>
        <w:numPr>
          <w:ilvl w:val="0"/>
          <w:numId w:val="4"/>
        </w:numPr>
        <w:rPr>
          <w:rFonts w:ascii="Times New Roman" w:hAnsi="Times New Roman" w:cs="Times New Roman"/>
        </w:rPr>
      </w:pPr>
      <w:r w:rsidRPr="007C70A3">
        <w:rPr>
          <w:rFonts w:ascii="Times New Roman" w:hAnsi="Times New Roman" w:cs="Times New Roman"/>
        </w:rPr>
        <w:lastRenderedPageBreak/>
        <w:t>Technology Layer</w:t>
      </w:r>
      <w:r w:rsidR="00CB596A" w:rsidRPr="007C70A3">
        <w:rPr>
          <w:rFonts w:ascii="Times New Roman" w:hAnsi="Times New Roman" w:cs="Times New Roman"/>
        </w:rPr>
        <w:t xml:space="preserve"> -</w:t>
      </w:r>
      <w:r w:rsidRPr="007C70A3">
        <w:rPr>
          <w:rFonts w:ascii="Times New Roman" w:hAnsi="Times New Roman" w:cs="Times New Roman"/>
        </w:rPr>
        <w:t xml:space="preserve"> Identity and Access Management (IAM), Mobile Device Management (MDM), Cloud Security Posture Management (CSPM), and Extended Detection and Response (XDR) are implementation points.</w:t>
      </w:r>
    </w:p>
    <w:p w14:paraId="5F19E901" w14:textId="77777777" w:rsidR="00BD2ADA" w:rsidRPr="007C70A3" w:rsidRDefault="00E41CED" w:rsidP="007C70A3">
      <w:pPr>
        <w:rPr>
          <w:rFonts w:ascii="Times New Roman" w:hAnsi="Times New Roman" w:cs="Times New Roman"/>
        </w:rPr>
      </w:pPr>
      <w:r w:rsidRPr="007C70A3">
        <w:rPr>
          <w:rFonts w:ascii="Times New Roman" w:hAnsi="Times New Roman" w:cs="Times New Roman"/>
        </w:rPr>
        <w:t>This architecture provides traceability between strategic intent to technical control so that board level dashboards demonstrate governance maturity.</w:t>
      </w:r>
    </w:p>
    <w:p w14:paraId="000CB64A" w14:textId="77777777" w:rsidR="00CB596A" w:rsidRPr="007C70A3" w:rsidRDefault="00CB596A" w:rsidP="007C70A3">
      <w:pPr>
        <w:pStyle w:val="Heading2"/>
        <w:rPr>
          <w:rFonts w:ascii="Times New Roman" w:hAnsi="Times New Roman" w:cs="Times New Roman"/>
        </w:rPr>
      </w:pPr>
      <w:bookmarkStart w:id="22" w:name="_Toc213350675"/>
      <w:r w:rsidRPr="007C70A3">
        <w:rPr>
          <w:rFonts w:ascii="Times New Roman" w:hAnsi="Times New Roman" w:cs="Times New Roman"/>
        </w:rPr>
        <w:t xml:space="preserve">Governance and </w:t>
      </w:r>
      <w:r w:rsidR="00BD2ADA" w:rsidRPr="007C70A3">
        <w:rPr>
          <w:rFonts w:ascii="Times New Roman" w:hAnsi="Times New Roman" w:cs="Times New Roman"/>
        </w:rPr>
        <w:t>Compliance Structure</w:t>
      </w:r>
      <w:bookmarkEnd w:id="22"/>
    </w:p>
    <w:p w14:paraId="02B9F015" w14:textId="77777777" w:rsidR="00E41CED" w:rsidRPr="007C70A3" w:rsidRDefault="00CB596A" w:rsidP="007C70A3">
      <w:pPr>
        <w:pStyle w:val="Heading3"/>
        <w:rPr>
          <w:rFonts w:ascii="Times New Roman" w:hAnsi="Times New Roman" w:cs="Times New Roman"/>
        </w:rPr>
      </w:pPr>
      <w:bookmarkStart w:id="23" w:name="_Toc213350676"/>
      <w:r w:rsidRPr="007C70A3">
        <w:rPr>
          <w:rFonts w:ascii="Times New Roman" w:hAnsi="Times New Roman" w:cs="Times New Roman"/>
        </w:rPr>
        <w:t>Information Security Management System (ISMS)</w:t>
      </w:r>
      <w:bookmarkEnd w:id="23"/>
    </w:p>
    <w:p w14:paraId="323BF5C7" w14:textId="77777777" w:rsidR="00E41CED" w:rsidRPr="007C70A3" w:rsidRDefault="00E41CED" w:rsidP="007C70A3">
      <w:pPr>
        <w:rPr>
          <w:rFonts w:ascii="Times New Roman" w:hAnsi="Times New Roman" w:cs="Times New Roman"/>
        </w:rPr>
      </w:pPr>
      <w:r w:rsidRPr="007C70A3">
        <w:rPr>
          <w:rFonts w:ascii="Times New Roman" w:hAnsi="Times New Roman" w:cs="Times New Roman"/>
        </w:rPr>
        <w:t>NG needs to implement an ISMS that is in line with ISO 27001. The ISMS sets up the context (Clause 4), leadership (Clause 5), and risk assessment methodology (Clause 6)</w:t>
      </w:r>
      <w:r w:rsidR="00BD2ADA" w:rsidRPr="007C70A3">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"/>
          <w:id w:val="-2102333705"/>
          <w:placeholder>
            <w:docPart w:val="DefaultPlaceholder_-1854013440"/>
          </w:placeholder>
        </w:sdtPr>
        <w:sdtEndPr/>
        <w:sdtContent>
          <w:r w:rsidR="00F0465D" w:rsidRPr="007C70A3">
            <w:rPr>
              <w:rFonts w:ascii="Times New Roman" w:hAnsi="Times New Roman" w:cs="Times New Roman"/>
              <w:color w:val="000000"/>
            </w:rPr>
            <w:t>(Secureframe, 2025)</w:t>
          </w:r>
        </w:sdtContent>
      </w:sdt>
      <w:r w:rsidRPr="007C70A3">
        <w:rPr>
          <w:rFonts w:ascii="Times New Roman" w:hAnsi="Times New Roman" w:cs="Times New Roman"/>
        </w:rPr>
        <w:t>. A Risk Register documents threats, likelihood, impact, controls in place, and residual risk, which are quarterly reviewed by the Risk Committee. Annex A controls are mapped to the environment of NG via the Statement of Applicability (SoA), which includes:</w:t>
      </w:r>
    </w:p>
    <w:p w14:paraId="41509181" w14:textId="77777777" w:rsidR="00166362" w:rsidRPr="007C70A3" w:rsidRDefault="00166362" w:rsidP="007C70A3">
      <w:pPr>
        <w:pStyle w:val="ListParagraph"/>
        <w:numPr>
          <w:ilvl w:val="0"/>
          <w:numId w:val="5"/>
        </w:numPr>
        <w:rPr>
          <w:rFonts w:ascii="Times New Roman" w:hAnsi="Times New Roman" w:cs="Times New Roman"/>
        </w:rPr>
      </w:pPr>
      <w:r w:rsidRPr="007C70A3">
        <w:rPr>
          <w:rFonts w:ascii="Times New Roman" w:hAnsi="Times New Roman" w:cs="Times New Roman"/>
        </w:rPr>
        <w:t>A 5.23 Cloud Services,</w:t>
      </w:r>
    </w:p>
    <w:p w14:paraId="4AEACAB1" w14:textId="77777777" w:rsidR="00166362" w:rsidRPr="007C70A3" w:rsidRDefault="00166362" w:rsidP="007C70A3">
      <w:pPr>
        <w:pStyle w:val="ListParagraph"/>
        <w:numPr>
          <w:ilvl w:val="0"/>
          <w:numId w:val="5"/>
        </w:numPr>
        <w:rPr>
          <w:rFonts w:ascii="Times New Roman" w:hAnsi="Times New Roman" w:cs="Times New Roman"/>
        </w:rPr>
      </w:pPr>
      <w:r w:rsidRPr="007C70A3">
        <w:rPr>
          <w:rFonts w:ascii="Times New Roman" w:hAnsi="Times New Roman" w:cs="Times New Roman"/>
        </w:rPr>
        <w:t>A 8.1 User Endpoint Devices, and</w:t>
      </w:r>
    </w:p>
    <w:p w14:paraId="2C6ED76C" w14:textId="77777777" w:rsidR="00E41CED" w:rsidRPr="007C70A3" w:rsidRDefault="00166362" w:rsidP="007C70A3">
      <w:pPr>
        <w:pStyle w:val="ListParagraph"/>
        <w:numPr>
          <w:ilvl w:val="0"/>
          <w:numId w:val="5"/>
        </w:numPr>
        <w:rPr>
          <w:rFonts w:ascii="Times New Roman" w:hAnsi="Times New Roman" w:cs="Times New Roman"/>
        </w:rPr>
      </w:pPr>
      <w:r w:rsidRPr="007C70A3">
        <w:rPr>
          <w:rFonts w:ascii="Times New Roman" w:hAnsi="Times New Roman" w:cs="Times New Roman"/>
        </w:rPr>
        <w:t xml:space="preserve">A 5.30 ICT Readiness for BC (IT Governance, 2024) </w:t>
      </w:r>
    </w:p>
    <w:p w14:paraId="334B0C06" w14:textId="77777777" w:rsidR="009C4768" w:rsidRPr="007C70A3" w:rsidRDefault="009C4768" w:rsidP="007C70A3">
      <w:pPr>
        <w:pStyle w:val="Caption"/>
        <w:keepNext/>
        <w:rPr>
          <w:rFonts w:ascii="Times New Roman" w:hAnsi="Times New Roman" w:cs="Times New Roman"/>
        </w:rPr>
      </w:pPr>
      <w:bookmarkStart w:id="24" w:name="_Toc213350711"/>
      <w:r w:rsidRPr="007C70A3">
        <w:rPr>
          <w:rFonts w:ascii="Times New Roman" w:hAnsi="Times New Roman" w:cs="Times New Roman"/>
        </w:rPr>
        <w:t xml:space="preserve">Table </w:t>
      </w:r>
      <w:r w:rsidRPr="007C70A3">
        <w:rPr>
          <w:rFonts w:ascii="Times New Roman" w:hAnsi="Times New Roman" w:cs="Times New Roman"/>
        </w:rPr>
        <w:fldChar w:fldCharType="begin"/>
      </w:r>
      <w:r w:rsidRPr="007C70A3">
        <w:rPr>
          <w:rFonts w:ascii="Times New Roman" w:hAnsi="Times New Roman" w:cs="Times New Roman"/>
        </w:rPr>
        <w:instrText xml:space="preserve"> SEQ Table \* ARABIC </w:instrText>
      </w:r>
      <w:r w:rsidRPr="007C70A3">
        <w:rPr>
          <w:rFonts w:ascii="Times New Roman" w:hAnsi="Times New Roman" w:cs="Times New Roman"/>
        </w:rPr>
        <w:fldChar w:fldCharType="separate"/>
      </w:r>
      <w:r w:rsidR="00C97291" w:rsidRPr="007C70A3">
        <w:rPr>
          <w:rFonts w:ascii="Times New Roman" w:hAnsi="Times New Roman" w:cs="Times New Roman"/>
        </w:rPr>
        <w:t>2</w:t>
      </w:r>
      <w:r w:rsidRPr="007C70A3">
        <w:rPr>
          <w:rFonts w:ascii="Times New Roman" w:hAnsi="Times New Roman" w:cs="Times New Roman"/>
        </w:rPr>
        <w:fldChar w:fldCharType="end"/>
      </w:r>
      <w:r w:rsidRPr="007C70A3">
        <w:rPr>
          <w:rFonts w:ascii="Times New Roman" w:hAnsi="Times New Roman" w:cs="Times New Roman"/>
          <w:lang w:val="en-US"/>
        </w:rPr>
        <w:t>: Roles and Responsibilities</w:t>
      </w:r>
      <w:bookmarkEnd w:id="24"/>
    </w:p>
    <w:tbl>
      <w:tblPr>
        <w:tblStyle w:val="TableGridLight"/>
        <w:tblW w:w="0" w:type="auto"/>
        <w:tblLook w:val="04A0" w:firstRow="1" w:lastRow="0" w:firstColumn="1" w:lastColumn="0" w:noHBand="0" w:noVBand="1"/>
      </w:tblPr>
      <w:tblGrid>
        <w:gridCol w:w="1866"/>
        <w:gridCol w:w="4732"/>
        <w:gridCol w:w="2374"/>
      </w:tblGrid>
      <w:tr w:rsidR="00F71B79" w:rsidRPr="007C70A3" w14:paraId="406259C3" w14:textId="77777777" w:rsidTr="00166362">
        <w:tc>
          <w:tcPr>
            <w:tcW w:w="0" w:type="auto"/>
            <w:hideMark/>
          </w:tcPr>
          <w:p w14:paraId="61190816"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Role</w:t>
            </w:r>
          </w:p>
        </w:tc>
        <w:tc>
          <w:tcPr>
            <w:tcW w:w="0" w:type="auto"/>
            <w:hideMark/>
          </w:tcPr>
          <w:p w14:paraId="18581FE4"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Core Responsibilities</w:t>
            </w:r>
          </w:p>
        </w:tc>
        <w:tc>
          <w:tcPr>
            <w:tcW w:w="0" w:type="auto"/>
            <w:hideMark/>
          </w:tcPr>
          <w:p w14:paraId="07CC36E3"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Accountability</w:t>
            </w:r>
          </w:p>
        </w:tc>
      </w:tr>
      <w:tr w:rsidR="00F71B79" w:rsidRPr="007C70A3" w14:paraId="61DB5745" w14:textId="77777777" w:rsidTr="00166362">
        <w:tc>
          <w:tcPr>
            <w:tcW w:w="0" w:type="auto"/>
            <w:hideMark/>
          </w:tcPr>
          <w:p w14:paraId="181A69A1"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Board of Directors</w:t>
            </w:r>
          </w:p>
        </w:tc>
        <w:tc>
          <w:tcPr>
            <w:tcW w:w="0" w:type="auto"/>
            <w:hideMark/>
          </w:tcPr>
          <w:p w14:paraId="48530C85"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Approve ISMS, risk appetite, and policies</w:t>
            </w:r>
          </w:p>
        </w:tc>
        <w:tc>
          <w:tcPr>
            <w:tcW w:w="0" w:type="auto"/>
            <w:hideMark/>
          </w:tcPr>
          <w:p w14:paraId="35142BA6"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Overall governance</w:t>
            </w:r>
          </w:p>
        </w:tc>
      </w:tr>
      <w:tr w:rsidR="00F71B79" w:rsidRPr="007C70A3" w14:paraId="4EB0F0AE" w14:textId="77777777" w:rsidTr="00166362">
        <w:tc>
          <w:tcPr>
            <w:tcW w:w="0" w:type="auto"/>
            <w:hideMark/>
          </w:tcPr>
          <w:p w14:paraId="36AFD559"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CISO</w:t>
            </w:r>
          </w:p>
        </w:tc>
        <w:tc>
          <w:tcPr>
            <w:tcW w:w="0" w:type="auto"/>
            <w:hideMark/>
          </w:tcPr>
          <w:p w14:paraId="129884A9"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Design and maintain ISMS; report metrics</w:t>
            </w:r>
          </w:p>
        </w:tc>
        <w:tc>
          <w:tcPr>
            <w:tcW w:w="0" w:type="auto"/>
            <w:hideMark/>
          </w:tcPr>
          <w:p w14:paraId="00260C42"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Operational security</w:t>
            </w:r>
          </w:p>
        </w:tc>
      </w:tr>
      <w:tr w:rsidR="00F71B79" w:rsidRPr="007C70A3" w14:paraId="58CF06C1" w14:textId="77777777" w:rsidTr="00166362">
        <w:tc>
          <w:tcPr>
            <w:tcW w:w="0" w:type="auto"/>
            <w:hideMark/>
          </w:tcPr>
          <w:p w14:paraId="750E1F99"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DPO</w:t>
            </w:r>
          </w:p>
        </w:tc>
        <w:tc>
          <w:tcPr>
            <w:tcW w:w="0" w:type="auto"/>
            <w:hideMark/>
          </w:tcPr>
          <w:p w14:paraId="39DF1762"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Ensure GDPR and ISO 27701 compliance</w:t>
            </w:r>
          </w:p>
        </w:tc>
        <w:tc>
          <w:tcPr>
            <w:tcW w:w="0" w:type="auto"/>
            <w:hideMark/>
          </w:tcPr>
          <w:p w14:paraId="3E90EC89"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Privacy governance</w:t>
            </w:r>
          </w:p>
        </w:tc>
      </w:tr>
      <w:tr w:rsidR="00F71B79" w:rsidRPr="007C70A3" w14:paraId="3234A784" w14:textId="77777777" w:rsidTr="00166362">
        <w:tc>
          <w:tcPr>
            <w:tcW w:w="0" w:type="auto"/>
            <w:hideMark/>
          </w:tcPr>
          <w:p w14:paraId="194302CA"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CIO</w:t>
            </w:r>
          </w:p>
        </w:tc>
        <w:tc>
          <w:tcPr>
            <w:tcW w:w="0" w:type="auto"/>
            <w:hideMark/>
          </w:tcPr>
          <w:p w14:paraId="3ACECFB5"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Integrate security architecture with IT strategy</w:t>
            </w:r>
          </w:p>
        </w:tc>
        <w:tc>
          <w:tcPr>
            <w:tcW w:w="0" w:type="auto"/>
            <w:hideMark/>
          </w:tcPr>
          <w:p w14:paraId="2B0321CE"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Technical alignment</w:t>
            </w:r>
          </w:p>
        </w:tc>
      </w:tr>
      <w:tr w:rsidR="00F71B79" w:rsidRPr="007C70A3" w14:paraId="31D63B32" w14:textId="77777777" w:rsidTr="00166362">
        <w:tc>
          <w:tcPr>
            <w:tcW w:w="0" w:type="auto"/>
            <w:hideMark/>
          </w:tcPr>
          <w:p w14:paraId="290B37F7"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Risk Committee</w:t>
            </w:r>
          </w:p>
        </w:tc>
        <w:tc>
          <w:tcPr>
            <w:tcW w:w="0" w:type="auto"/>
            <w:hideMark/>
          </w:tcPr>
          <w:p w14:paraId="2E6EBD5F"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Review risk register; approve mitigation plans</w:t>
            </w:r>
          </w:p>
        </w:tc>
        <w:tc>
          <w:tcPr>
            <w:tcW w:w="0" w:type="auto"/>
            <w:hideMark/>
          </w:tcPr>
          <w:p w14:paraId="6963B9A7"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Oversight</w:t>
            </w:r>
          </w:p>
        </w:tc>
      </w:tr>
      <w:tr w:rsidR="00F71B79" w:rsidRPr="007C70A3" w14:paraId="1A0A6D71" w14:textId="77777777" w:rsidTr="00166362">
        <w:tc>
          <w:tcPr>
            <w:tcW w:w="0" w:type="auto"/>
            <w:hideMark/>
          </w:tcPr>
          <w:p w14:paraId="02A9CCDA"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All Employees</w:t>
            </w:r>
          </w:p>
        </w:tc>
        <w:tc>
          <w:tcPr>
            <w:tcW w:w="0" w:type="auto"/>
            <w:hideMark/>
          </w:tcPr>
          <w:p w14:paraId="472478F3"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Comply with policies; complete awareness training</w:t>
            </w:r>
          </w:p>
        </w:tc>
        <w:tc>
          <w:tcPr>
            <w:tcW w:w="0" w:type="auto"/>
            <w:hideMark/>
          </w:tcPr>
          <w:p w14:paraId="5D40CD22"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Individual responsibility</w:t>
            </w:r>
          </w:p>
        </w:tc>
      </w:tr>
    </w:tbl>
    <w:p w14:paraId="1D154498" w14:textId="77777777" w:rsidR="00E41CED" w:rsidRDefault="00E41CED" w:rsidP="007C70A3">
      <w:pPr>
        <w:spacing w:before="240"/>
        <w:rPr>
          <w:rFonts w:ascii="Times New Roman" w:hAnsi="Times New Roman" w:cs="Times New Roman"/>
        </w:rPr>
      </w:pPr>
      <w:r w:rsidRPr="007C70A3">
        <w:rPr>
          <w:rFonts w:ascii="Times New Roman" w:hAnsi="Times New Roman" w:cs="Times New Roman"/>
        </w:rPr>
        <w:t xml:space="preserve">Clarity of accountability reduces the type of ownership void prevalent in underdeveloped governance structures </w:t>
      </w:r>
      <w:sdt>
        <w:sdtPr>
          <w:rPr>
            <w:rFonts w:ascii="Times New Roman" w:hAnsi="Times New Roman" w:cs="Times New Roman"/>
            <w:color w:val="000000"/>
          </w:rPr>
          <w:tag w:val="MENDELEY_CITATION_v3_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"/>
          <w:id w:val="420226880"/>
          <w:placeholder>
            <w:docPart w:val="DefaultPlaceholder_-1854013440"/>
          </w:placeholder>
        </w:sdtPr>
        <w:sdtEndPr/>
        <w:sdtContent>
          <w:r w:rsidR="00F0465D" w:rsidRPr="007C70A3">
            <w:rPr>
              <w:rFonts w:ascii="Times New Roman" w:hAnsi="Times New Roman" w:cs="Times New Roman"/>
              <w:color w:val="000000"/>
            </w:rPr>
            <w:t>(Da Veiga and Eloff, 2010)</w:t>
          </w:r>
        </w:sdtContent>
      </w:sdt>
      <w:r w:rsidRPr="007C70A3">
        <w:rPr>
          <w:rFonts w:ascii="Times New Roman" w:hAnsi="Times New Roman" w:cs="Times New Roman"/>
        </w:rPr>
        <w:t>.</w:t>
      </w:r>
    </w:p>
    <w:p w14:paraId="53F54C11" w14:textId="77777777" w:rsidR="007C70A3" w:rsidRPr="007C70A3" w:rsidRDefault="007C70A3" w:rsidP="007C70A3">
      <w:pPr>
        <w:spacing w:before="240"/>
        <w:rPr>
          <w:rFonts w:ascii="Times New Roman" w:hAnsi="Times New Roman" w:cs="Times New Roman"/>
        </w:rPr>
      </w:pPr>
    </w:p>
    <w:p w14:paraId="047401A5" w14:textId="77777777" w:rsidR="00166362" w:rsidRPr="007C70A3" w:rsidRDefault="00166362" w:rsidP="007C70A3">
      <w:pPr>
        <w:pStyle w:val="Heading2"/>
        <w:rPr>
          <w:rFonts w:ascii="Times New Roman" w:hAnsi="Times New Roman" w:cs="Times New Roman"/>
        </w:rPr>
      </w:pPr>
      <w:bookmarkStart w:id="25" w:name="_Toc213350677"/>
      <w:r w:rsidRPr="007C70A3">
        <w:rPr>
          <w:rFonts w:ascii="Times New Roman" w:hAnsi="Times New Roman" w:cs="Times New Roman"/>
        </w:rPr>
        <w:lastRenderedPageBreak/>
        <w:t xml:space="preserve">Policy </w:t>
      </w:r>
      <w:r w:rsidR="00BD2ADA" w:rsidRPr="007C70A3">
        <w:rPr>
          <w:rFonts w:ascii="Times New Roman" w:hAnsi="Times New Roman" w:cs="Times New Roman"/>
        </w:rPr>
        <w:t xml:space="preserve">Framework </w:t>
      </w:r>
      <w:r w:rsidRPr="007C70A3">
        <w:rPr>
          <w:rFonts w:ascii="Times New Roman" w:hAnsi="Times New Roman" w:cs="Times New Roman"/>
        </w:rPr>
        <w:t xml:space="preserve">and </w:t>
      </w:r>
      <w:r w:rsidR="00BD2ADA" w:rsidRPr="007C70A3">
        <w:rPr>
          <w:rFonts w:ascii="Times New Roman" w:hAnsi="Times New Roman" w:cs="Times New Roman"/>
        </w:rPr>
        <w:t>Risk-Management Integration</w:t>
      </w:r>
      <w:bookmarkEnd w:id="25"/>
      <w:r w:rsidR="00BD2ADA" w:rsidRPr="007C70A3">
        <w:rPr>
          <w:rFonts w:ascii="Times New Roman" w:hAnsi="Times New Roman" w:cs="Times New Roman"/>
        </w:rPr>
        <w:t xml:space="preserve"> </w:t>
      </w:r>
    </w:p>
    <w:p w14:paraId="716FC5C5" w14:textId="77777777" w:rsidR="00E41CED" w:rsidRPr="007C70A3" w:rsidRDefault="00E41CED" w:rsidP="007C70A3">
      <w:pPr>
        <w:rPr>
          <w:rFonts w:ascii="Times New Roman" w:hAnsi="Times New Roman" w:cs="Times New Roman"/>
        </w:rPr>
      </w:pPr>
      <w:r w:rsidRPr="007C70A3">
        <w:rPr>
          <w:rFonts w:ascii="Times New Roman" w:hAnsi="Times New Roman" w:cs="Times New Roman"/>
        </w:rPr>
        <w:t xml:space="preserve">The policies are the connective tissue between the governance intent and operational performance </w:t>
      </w:r>
      <w:sdt>
        <w:sdtPr>
          <w:rPr>
            <w:rFonts w:ascii="Times New Roman" w:hAnsi="Times New Roman" w:cs="Times New Roman"/>
            <w:color w:val="000000"/>
          </w:rPr>
          <w:tag w:val="MENDELEY_CITATION_v3_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"/>
          <w:id w:val="1945577515"/>
          <w:placeholder>
            <w:docPart w:val="DefaultPlaceholder_-1854013440"/>
          </w:placeholder>
        </w:sdtPr>
        <w:sdtEndPr/>
        <w:sdtContent>
          <w:r w:rsidR="00F0465D" w:rsidRPr="007C70A3">
            <w:rPr>
              <w:rFonts w:ascii="Times New Roman" w:hAnsi="Times New Roman" w:cs="Times New Roman"/>
              <w:color w:val="000000"/>
            </w:rPr>
            <w:t>(Peltier, 2016; Blackley, 2004)</w:t>
          </w:r>
        </w:sdtContent>
      </w:sdt>
      <w:r w:rsidRPr="007C70A3">
        <w:rPr>
          <w:rFonts w:ascii="Times New Roman" w:hAnsi="Times New Roman" w:cs="Times New Roman"/>
        </w:rPr>
        <w:t>. The suite of core policies that NG should have are:</w:t>
      </w:r>
    </w:p>
    <w:p w14:paraId="6803048F" w14:textId="77777777" w:rsidR="00E41CED" w:rsidRPr="007C70A3" w:rsidRDefault="00E41CED" w:rsidP="007C70A3">
      <w:pPr>
        <w:pStyle w:val="ListParagraph"/>
        <w:numPr>
          <w:ilvl w:val="0"/>
          <w:numId w:val="6"/>
        </w:numPr>
        <w:rPr>
          <w:rFonts w:ascii="Times New Roman" w:hAnsi="Times New Roman" w:cs="Times New Roman"/>
        </w:rPr>
      </w:pPr>
      <w:r w:rsidRPr="007C70A3">
        <w:rPr>
          <w:rFonts w:ascii="Times New Roman" w:hAnsi="Times New Roman" w:cs="Times New Roman"/>
        </w:rPr>
        <w:t>Information</w:t>
      </w:r>
      <w:r w:rsidR="00166362" w:rsidRPr="007C70A3">
        <w:rPr>
          <w:rFonts w:ascii="Times New Roman" w:hAnsi="Times New Roman" w:cs="Times New Roman"/>
        </w:rPr>
        <w:t xml:space="preserve"> </w:t>
      </w:r>
      <w:r w:rsidRPr="007C70A3">
        <w:rPr>
          <w:rFonts w:ascii="Times New Roman" w:hAnsi="Times New Roman" w:cs="Times New Roman"/>
        </w:rPr>
        <w:t>-</w:t>
      </w:r>
      <w:r w:rsidR="00166362" w:rsidRPr="007C70A3">
        <w:rPr>
          <w:rFonts w:ascii="Times New Roman" w:hAnsi="Times New Roman" w:cs="Times New Roman"/>
        </w:rPr>
        <w:t xml:space="preserve"> </w:t>
      </w:r>
      <w:r w:rsidRPr="007C70A3">
        <w:rPr>
          <w:rFonts w:ascii="Times New Roman" w:hAnsi="Times New Roman" w:cs="Times New Roman"/>
        </w:rPr>
        <w:t>Security Policy - general principles, goals, enforcement authority.</w:t>
      </w:r>
    </w:p>
    <w:p w14:paraId="56D2D4AA" w14:textId="77777777" w:rsidR="00E41CED" w:rsidRPr="007C70A3" w:rsidRDefault="00E41CED" w:rsidP="007C70A3">
      <w:pPr>
        <w:pStyle w:val="ListParagraph"/>
        <w:numPr>
          <w:ilvl w:val="0"/>
          <w:numId w:val="6"/>
        </w:numPr>
        <w:rPr>
          <w:rFonts w:ascii="Times New Roman" w:hAnsi="Times New Roman" w:cs="Times New Roman"/>
        </w:rPr>
      </w:pPr>
      <w:r w:rsidRPr="007C70A3">
        <w:rPr>
          <w:rFonts w:ascii="Times New Roman" w:hAnsi="Times New Roman" w:cs="Times New Roman"/>
        </w:rPr>
        <w:t>BYOD and Mobile Device Policy - consistent with NIST SP 800-124 Rev. 2, which establishes enrolment, encryption, remote wipe, and acceptable use.</w:t>
      </w:r>
    </w:p>
    <w:p w14:paraId="71355B1E" w14:textId="77777777" w:rsidR="00E41CED" w:rsidRPr="007C70A3" w:rsidRDefault="00E41CED" w:rsidP="007C70A3">
      <w:pPr>
        <w:pStyle w:val="ListParagraph"/>
        <w:numPr>
          <w:ilvl w:val="0"/>
          <w:numId w:val="6"/>
        </w:numPr>
        <w:rPr>
          <w:rFonts w:ascii="Times New Roman" w:hAnsi="Times New Roman" w:cs="Times New Roman"/>
        </w:rPr>
      </w:pPr>
      <w:r w:rsidRPr="007C70A3">
        <w:rPr>
          <w:rFonts w:ascii="Times New Roman" w:hAnsi="Times New Roman" w:cs="Times New Roman"/>
        </w:rPr>
        <w:t>Access-Control Policy - least privilege, multi-factor authentication (MFA), periodic access review.</w:t>
      </w:r>
    </w:p>
    <w:p w14:paraId="26F5742D" w14:textId="77777777" w:rsidR="00E41CED" w:rsidRPr="007C70A3" w:rsidRDefault="00E41CED" w:rsidP="007C70A3">
      <w:pPr>
        <w:pStyle w:val="ListParagraph"/>
        <w:numPr>
          <w:ilvl w:val="0"/>
          <w:numId w:val="6"/>
        </w:numPr>
        <w:rPr>
          <w:rFonts w:ascii="Times New Roman" w:hAnsi="Times New Roman" w:cs="Times New Roman"/>
        </w:rPr>
      </w:pPr>
      <w:r w:rsidRPr="007C70A3">
        <w:rPr>
          <w:rFonts w:ascii="Times New Roman" w:hAnsi="Times New Roman" w:cs="Times New Roman"/>
        </w:rPr>
        <w:t>Data-Classification and Handling Policy - Public, Internal, Confidential, Restricted; all of which are associated with safeguards of storage and transmission.</w:t>
      </w:r>
    </w:p>
    <w:p w14:paraId="3176B9F1" w14:textId="77777777" w:rsidR="00E41CED" w:rsidRPr="007C70A3" w:rsidRDefault="00E41CED" w:rsidP="007C70A3">
      <w:pPr>
        <w:pStyle w:val="ListParagraph"/>
        <w:numPr>
          <w:ilvl w:val="0"/>
          <w:numId w:val="6"/>
        </w:numPr>
        <w:rPr>
          <w:rFonts w:ascii="Times New Roman" w:hAnsi="Times New Roman" w:cs="Times New Roman"/>
        </w:rPr>
      </w:pPr>
      <w:r w:rsidRPr="007C70A3">
        <w:rPr>
          <w:rFonts w:ascii="Times New Roman" w:hAnsi="Times New Roman" w:cs="Times New Roman"/>
        </w:rPr>
        <w:t>Incident-Response Policy - lifecycle based on NIST SP 800-61 Rev. 2 (symbolically recognizing its 2025 withdrawal, though keeping its structured phases).</w:t>
      </w:r>
    </w:p>
    <w:p w14:paraId="32C812FE" w14:textId="77777777" w:rsidR="00E41CED" w:rsidRPr="007C70A3" w:rsidRDefault="00E41CED" w:rsidP="007C70A3">
      <w:pPr>
        <w:pStyle w:val="ListParagraph"/>
        <w:numPr>
          <w:ilvl w:val="0"/>
          <w:numId w:val="6"/>
        </w:numPr>
        <w:rPr>
          <w:rFonts w:ascii="Times New Roman" w:hAnsi="Times New Roman" w:cs="Times New Roman"/>
        </w:rPr>
      </w:pPr>
      <w:r w:rsidRPr="007C70A3">
        <w:rPr>
          <w:rFonts w:ascii="Times New Roman" w:hAnsi="Times New Roman" w:cs="Times New Roman"/>
        </w:rPr>
        <w:t>Business-Continuity and Disaster-Recovery Plan - in compliance with ISO 22301, with Recovery Time Objective (RTO) and Recovery Point Objective (RPO).</w:t>
      </w:r>
    </w:p>
    <w:p w14:paraId="408D55D7" w14:textId="77777777" w:rsidR="00E41CED" w:rsidRPr="007C70A3" w:rsidRDefault="00E41CED" w:rsidP="007C70A3">
      <w:pPr>
        <w:rPr>
          <w:rFonts w:ascii="Times New Roman" w:hAnsi="Times New Roman" w:cs="Times New Roman"/>
        </w:rPr>
      </w:pPr>
      <w:r w:rsidRPr="007C70A3">
        <w:rPr>
          <w:rFonts w:ascii="Times New Roman" w:hAnsi="Times New Roman" w:cs="Times New Roman"/>
        </w:rPr>
        <w:t xml:space="preserve">The Risk-Management Process accommodates the cycle of ISO 31000 (Identify, Analyse, Evaluate, Treat, Monitor) in the ISMS continual-improvement loop. The Board establishes its risk appetite, which is operationalised with risk ratings and treatment plans </w:t>
      </w:r>
      <w:sdt>
        <w:sdtPr>
          <w:rPr>
            <w:rFonts w:ascii="Times New Roman" w:hAnsi="Times New Roman" w:cs="Times New Roman"/>
            <w:color w:val="000000"/>
          </w:rPr>
          <w:tag w:val="MENDELEY_CITATION_v3_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"/>
          <w:id w:val="1293251488"/>
          <w:placeholder>
            <w:docPart w:val="DefaultPlaceholder_-1854013440"/>
          </w:placeholder>
        </w:sdtPr>
        <w:sdtEndPr/>
        <w:sdtContent>
          <w:r w:rsidR="00F0465D" w:rsidRPr="007C70A3">
            <w:rPr>
              <w:rFonts w:ascii="Times New Roman" w:hAnsi="Times New Roman" w:cs="Times New Roman"/>
              <w:color w:val="000000"/>
            </w:rPr>
            <w:t>(Muskan, 2025)</w:t>
          </w:r>
        </w:sdtContent>
      </w:sdt>
      <w:r w:rsidRPr="007C70A3">
        <w:rPr>
          <w:rFonts w:ascii="Times New Roman" w:hAnsi="Times New Roman" w:cs="Times New Roman"/>
        </w:rPr>
        <w:t>.</w:t>
      </w:r>
    </w:p>
    <w:p w14:paraId="09230275" w14:textId="77777777" w:rsidR="00166362" w:rsidRPr="007C70A3" w:rsidRDefault="00166362" w:rsidP="007C70A3">
      <w:pPr>
        <w:pStyle w:val="Heading2"/>
        <w:rPr>
          <w:rFonts w:ascii="Times New Roman" w:hAnsi="Times New Roman" w:cs="Times New Roman"/>
        </w:rPr>
      </w:pPr>
      <w:bookmarkStart w:id="26" w:name="_Toc213350678"/>
      <w:r w:rsidRPr="007C70A3">
        <w:rPr>
          <w:rFonts w:ascii="Times New Roman" w:hAnsi="Times New Roman" w:cs="Times New Roman"/>
        </w:rPr>
        <w:t xml:space="preserve">Technical </w:t>
      </w:r>
      <w:r w:rsidR="006D3C8F" w:rsidRPr="007C70A3">
        <w:rPr>
          <w:rFonts w:ascii="Times New Roman" w:hAnsi="Times New Roman" w:cs="Times New Roman"/>
        </w:rPr>
        <w:t>Design Elements</w:t>
      </w:r>
      <w:bookmarkEnd w:id="26"/>
      <w:r w:rsidR="006D3C8F" w:rsidRPr="007C70A3">
        <w:rPr>
          <w:rFonts w:ascii="Times New Roman" w:hAnsi="Times New Roman" w:cs="Times New Roman"/>
        </w:rPr>
        <w:t xml:space="preserve"> </w:t>
      </w:r>
    </w:p>
    <w:p w14:paraId="1F2204D1" w14:textId="77777777" w:rsidR="00E41CED" w:rsidRPr="007C70A3" w:rsidRDefault="00E41CED" w:rsidP="007C70A3">
      <w:pPr>
        <w:pStyle w:val="Heading3"/>
        <w:rPr>
          <w:rFonts w:ascii="Times New Roman" w:hAnsi="Times New Roman" w:cs="Times New Roman"/>
        </w:rPr>
      </w:pPr>
      <w:bookmarkStart w:id="27" w:name="_Toc213350679"/>
      <w:r w:rsidRPr="007C70A3">
        <w:rPr>
          <w:rFonts w:ascii="Times New Roman" w:hAnsi="Times New Roman" w:cs="Times New Roman"/>
        </w:rPr>
        <w:t xml:space="preserve">Zero Trust </w:t>
      </w:r>
      <w:r w:rsidR="00166362" w:rsidRPr="007C70A3">
        <w:rPr>
          <w:rFonts w:ascii="Times New Roman" w:hAnsi="Times New Roman" w:cs="Times New Roman"/>
        </w:rPr>
        <w:t>E</w:t>
      </w:r>
      <w:r w:rsidRPr="007C70A3">
        <w:rPr>
          <w:rFonts w:ascii="Times New Roman" w:hAnsi="Times New Roman" w:cs="Times New Roman"/>
        </w:rPr>
        <w:t>nforcement</w:t>
      </w:r>
      <w:bookmarkEnd w:id="27"/>
    </w:p>
    <w:p w14:paraId="771F963F" w14:textId="77777777" w:rsidR="00E41CED" w:rsidRPr="007C70A3" w:rsidRDefault="00E41CED" w:rsidP="007C70A3">
      <w:pPr>
        <w:rPr>
          <w:rFonts w:ascii="Times New Roman" w:hAnsi="Times New Roman" w:cs="Times New Roman"/>
        </w:rPr>
      </w:pPr>
      <w:r w:rsidRPr="007C70A3">
        <w:rPr>
          <w:rFonts w:ascii="Times New Roman" w:hAnsi="Times New Roman" w:cs="Times New Roman"/>
        </w:rPr>
        <w:t>Apply Zero Trust Architecture (ZTA) controls to protect the 95</w:t>
      </w:r>
      <w:r w:rsidR="00F71B79" w:rsidRPr="007C70A3">
        <w:rPr>
          <w:rFonts w:ascii="Times New Roman" w:hAnsi="Times New Roman" w:cs="Times New Roman"/>
        </w:rPr>
        <w:t>%</w:t>
      </w:r>
      <w:r w:rsidR="00166362" w:rsidRPr="007C70A3">
        <w:rPr>
          <w:rFonts w:ascii="Times New Roman" w:hAnsi="Times New Roman" w:cs="Times New Roman"/>
        </w:rPr>
        <w:t xml:space="preserve"> </w:t>
      </w:r>
      <w:r w:rsidRPr="007C70A3">
        <w:rPr>
          <w:rFonts w:ascii="Times New Roman" w:hAnsi="Times New Roman" w:cs="Times New Roman"/>
        </w:rPr>
        <w:t>wireless network of NG:</w:t>
      </w:r>
    </w:p>
    <w:p w14:paraId="11D3E44D" w14:textId="77777777" w:rsidR="006D3C8F" w:rsidRPr="007C70A3" w:rsidRDefault="009C4768" w:rsidP="007C70A3">
      <w:pPr>
        <w:keepNext/>
        <w:jc w:val="center"/>
        <w:rPr>
          <w:rFonts w:ascii="Times New Roman" w:hAnsi="Times New Roman" w:cs="Times New Roman"/>
        </w:rPr>
      </w:pPr>
      <w:r w:rsidRPr="007C70A3">
        <w:rPr>
          <w:rFonts w:ascii="Times New Roman" w:hAnsi="Times New Roman" w:cs="Times New Roman"/>
        </w:rPr>
        <w:lastRenderedPageBreak/>
        <w:drawing>
          <wp:inline distT="0" distB="0" distL="0" distR="0" wp14:anchorId="4AB1C984" wp14:editId="218CB0AF">
            <wp:extent cx="6184900" cy="3237230"/>
            <wp:effectExtent l="0" t="0" r="0" b="0"/>
            <wp:docPr id="738827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827281" name=""/>
                    <pic:cNvPicPr/>
                  </pic:nvPicPr>
                  <pic:blipFill>
                    <a:blip r:embed="rId27"/>
                    <a:stretch>
                      <a:fillRect/>
                    </a:stretch>
                  </pic:blipFill>
                  <pic:spPr>
                    <a:xfrm>
                      <a:off x="0" y="0"/>
                      <a:ext cx="6184900" cy="3237230"/>
                    </a:xfrm>
                    <a:prstGeom prst="rect">
                      <a:avLst/>
                    </a:prstGeom>
                  </pic:spPr>
                </pic:pic>
              </a:graphicData>
            </a:graphic>
          </wp:inline>
        </w:drawing>
      </w:r>
    </w:p>
    <w:p w14:paraId="08EA29BB" w14:textId="77777777" w:rsidR="006D3C8F" w:rsidRPr="007C70A3" w:rsidRDefault="006D3C8F" w:rsidP="007C70A3">
      <w:pPr>
        <w:pStyle w:val="Caption"/>
        <w:jc w:val="center"/>
        <w:rPr>
          <w:rFonts w:ascii="Times New Roman" w:hAnsi="Times New Roman" w:cs="Times New Roman"/>
        </w:rPr>
      </w:pPr>
      <w:bookmarkStart w:id="28" w:name="_Toc213351030"/>
      <w:r w:rsidRPr="007C70A3">
        <w:rPr>
          <w:rFonts w:ascii="Times New Roman" w:hAnsi="Times New Roman" w:cs="Times New Roman"/>
        </w:rPr>
        <w:t xml:space="preserve">Figure </w:t>
      </w:r>
      <w:r w:rsidRPr="007C70A3">
        <w:rPr>
          <w:rFonts w:ascii="Times New Roman" w:hAnsi="Times New Roman" w:cs="Times New Roman"/>
        </w:rPr>
        <w:fldChar w:fldCharType="begin"/>
      </w:r>
      <w:r w:rsidRPr="007C70A3">
        <w:rPr>
          <w:rFonts w:ascii="Times New Roman" w:hAnsi="Times New Roman" w:cs="Times New Roman"/>
        </w:rPr>
        <w:instrText xml:space="preserve"> SEQ Figure \* ARABIC </w:instrText>
      </w:r>
      <w:r w:rsidRPr="007C70A3">
        <w:rPr>
          <w:rFonts w:ascii="Times New Roman" w:hAnsi="Times New Roman" w:cs="Times New Roman"/>
        </w:rPr>
        <w:fldChar w:fldCharType="separate"/>
      </w:r>
      <w:r w:rsidR="00C97291" w:rsidRPr="007C70A3">
        <w:rPr>
          <w:rFonts w:ascii="Times New Roman" w:hAnsi="Times New Roman" w:cs="Times New Roman"/>
        </w:rPr>
        <w:t>6</w:t>
      </w:r>
      <w:r w:rsidRPr="007C70A3">
        <w:rPr>
          <w:rFonts w:ascii="Times New Roman" w:hAnsi="Times New Roman" w:cs="Times New Roman"/>
        </w:rPr>
        <w:fldChar w:fldCharType="end"/>
      </w:r>
      <w:r w:rsidRPr="007C70A3">
        <w:rPr>
          <w:rFonts w:ascii="Times New Roman" w:hAnsi="Times New Roman" w:cs="Times New Roman"/>
          <w:lang w:val="en-US"/>
        </w:rPr>
        <w:t xml:space="preserve">: </w:t>
      </w:r>
      <w:r w:rsidR="009C4768" w:rsidRPr="007C70A3">
        <w:rPr>
          <w:rFonts w:ascii="Times New Roman" w:hAnsi="Times New Roman" w:cs="Times New Roman"/>
        </w:rPr>
        <w:t>Zero Trust Enforcement Architecture</w:t>
      </w:r>
      <w:bookmarkEnd w:id="28"/>
    </w:p>
    <w:p w14:paraId="1A4F908D" w14:textId="77777777" w:rsidR="00E41CED" w:rsidRPr="007C70A3" w:rsidRDefault="00E41CED" w:rsidP="007C70A3">
      <w:pPr>
        <w:pStyle w:val="ListParagraph"/>
        <w:numPr>
          <w:ilvl w:val="0"/>
          <w:numId w:val="7"/>
        </w:numPr>
        <w:rPr>
          <w:rFonts w:ascii="Times New Roman" w:hAnsi="Times New Roman" w:cs="Times New Roman"/>
        </w:rPr>
      </w:pPr>
      <w:r w:rsidRPr="007C70A3">
        <w:rPr>
          <w:rFonts w:ascii="Times New Roman" w:hAnsi="Times New Roman" w:cs="Times New Roman"/>
        </w:rPr>
        <w:t>Identity pillar: federated identity and conditional access; MFA based on FIDO2 or certificate-based authentication</w:t>
      </w:r>
      <w:r w:rsidR="009C4768" w:rsidRPr="007C70A3">
        <w:rPr>
          <w:rFonts w:ascii="Times New Roman" w:hAnsi="Times New Roman" w:cs="Times New Roman"/>
        </w:rPr>
        <w:t xml:space="preserve"> (Figure 6)</w:t>
      </w:r>
      <w:r w:rsidRPr="007C70A3">
        <w:rPr>
          <w:rFonts w:ascii="Times New Roman" w:hAnsi="Times New Roman" w:cs="Times New Roman"/>
        </w:rPr>
        <w:t>.</w:t>
      </w:r>
    </w:p>
    <w:p w14:paraId="79692BBD" w14:textId="77777777" w:rsidR="00E41CED" w:rsidRPr="007C70A3" w:rsidRDefault="00166362" w:rsidP="007C70A3">
      <w:pPr>
        <w:pStyle w:val="ListParagraph"/>
        <w:numPr>
          <w:ilvl w:val="0"/>
          <w:numId w:val="7"/>
        </w:numPr>
        <w:rPr>
          <w:rFonts w:ascii="Times New Roman" w:hAnsi="Times New Roman" w:cs="Times New Roman"/>
        </w:rPr>
      </w:pPr>
      <w:r w:rsidRPr="007C70A3">
        <w:rPr>
          <w:rFonts w:ascii="Times New Roman" w:hAnsi="Times New Roman" w:cs="Times New Roman"/>
        </w:rPr>
        <w:t xml:space="preserve">Device pillar: </w:t>
      </w:r>
      <w:r w:rsidR="00E41CED" w:rsidRPr="007C70A3">
        <w:rPr>
          <w:rFonts w:ascii="Times New Roman" w:hAnsi="Times New Roman" w:cs="Times New Roman"/>
        </w:rPr>
        <w:t>required MDM/UEM enrolment; OS version, encrypted and jailbreak compliance verification (NIST, 2023).</w:t>
      </w:r>
    </w:p>
    <w:p w14:paraId="52BFEC8B" w14:textId="77777777" w:rsidR="00E41CED" w:rsidRPr="007C70A3" w:rsidRDefault="00E41CED" w:rsidP="007C70A3">
      <w:pPr>
        <w:pStyle w:val="ListParagraph"/>
        <w:numPr>
          <w:ilvl w:val="0"/>
          <w:numId w:val="7"/>
        </w:numPr>
        <w:rPr>
          <w:rFonts w:ascii="Times New Roman" w:hAnsi="Times New Roman" w:cs="Times New Roman"/>
        </w:rPr>
      </w:pPr>
      <w:r w:rsidRPr="007C70A3">
        <w:rPr>
          <w:rFonts w:ascii="Times New Roman" w:hAnsi="Times New Roman" w:cs="Times New Roman"/>
        </w:rPr>
        <w:t>Network pillar: WPA3-Enterprise 802.1X; micro-segmentation; least-privilege routing.</w:t>
      </w:r>
    </w:p>
    <w:p w14:paraId="27E26624" w14:textId="77777777" w:rsidR="00E41CED" w:rsidRPr="007C70A3" w:rsidRDefault="00E41CED" w:rsidP="007C70A3">
      <w:pPr>
        <w:pStyle w:val="ListParagraph"/>
        <w:numPr>
          <w:ilvl w:val="0"/>
          <w:numId w:val="7"/>
        </w:numPr>
        <w:rPr>
          <w:rFonts w:ascii="Times New Roman" w:hAnsi="Times New Roman" w:cs="Times New Roman"/>
        </w:rPr>
      </w:pPr>
      <w:r w:rsidRPr="007C70A3">
        <w:rPr>
          <w:rFonts w:ascii="Times New Roman" w:hAnsi="Times New Roman" w:cs="Times New Roman"/>
        </w:rPr>
        <w:t>Application pillar: reverse-proxy and per-app VPN inspection.</w:t>
      </w:r>
    </w:p>
    <w:p w14:paraId="33753E28" w14:textId="77777777" w:rsidR="00E41CED" w:rsidRPr="007C70A3" w:rsidRDefault="00E41CED" w:rsidP="007C70A3">
      <w:pPr>
        <w:pStyle w:val="ListParagraph"/>
        <w:numPr>
          <w:ilvl w:val="0"/>
          <w:numId w:val="7"/>
        </w:numPr>
        <w:rPr>
          <w:rFonts w:ascii="Times New Roman" w:hAnsi="Times New Roman" w:cs="Times New Roman"/>
        </w:rPr>
      </w:pPr>
      <w:r w:rsidRPr="007C70A3">
        <w:rPr>
          <w:rFonts w:ascii="Times New Roman" w:hAnsi="Times New Roman" w:cs="Times New Roman"/>
        </w:rPr>
        <w:t>Data pillar: contextual policy-enforcing Data Loss Prevention (DLP) and cloud-access security broker (CASB).</w:t>
      </w:r>
    </w:p>
    <w:p w14:paraId="33DE5E85" w14:textId="77777777" w:rsidR="00E41CED" w:rsidRPr="007C70A3" w:rsidRDefault="00E41CED" w:rsidP="007C70A3">
      <w:pPr>
        <w:rPr>
          <w:rFonts w:ascii="Times New Roman" w:hAnsi="Times New Roman" w:cs="Times New Roman"/>
        </w:rPr>
      </w:pPr>
      <w:r w:rsidRPr="007C70A3">
        <w:rPr>
          <w:rFonts w:ascii="Times New Roman" w:hAnsi="Times New Roman" w:cs="Times New Roman"/>
        </w:rPr>
        <w:t>This model does not support any lateral trust and minimizes the spread of breaches (Figueroa-Lorenzo et al., 2022).</w:t>
      </w:r>
    </w:p>
    <w:p w14:paraId="74DCF3EC" w14:textId="77777777" w:rsidR="00E41CED" w:rsidRPr="007C70A3" w:rsidRDefault="009C4768" w:rsidP="007C70A3">
      <w:pPr>
        <w:pStyle w:val="Heading3"/>
        <w:rPr>
          <w:rFonts w:ascii="Times New Roman" w:hAnsi="Times New Roman" w:cs="Times New Roman"/>
        </w:rPr>
      </w:pPr>
      <w:bookmarkStart w:id="29" w:name="_Toc213350680"/>
      <w:r w:rsidRPr="007C70A3">
        <w:rPr>
          <w:rFonts w:ascii="Times New Roman" w:hAnsi="Times New Roman" w:cs="Times New Roman"/>
        </w:rPr>
        <w:lastRenderedPageBreak/>
        <w:drawing>
          <wp:anchor distT="0" distB="0" distL="114300" distR="114300" simplePos="0" relativeHeight="251680768" behindDoc="0" locked="0" layoutInCell="1" allowOverlap="1" wp14:anchorId="2D62FA59" wp14:editId="492AFAD4">
            <wp:simplePos x="0" y="0"/>
            <wp:positionH relativeFrom="column">
              <wp:posOffset>0</wp:posOffset>
            </wp:positionH>
            <wp:positionV relativeFrom="paragraph">
              <wp:posOffset>349719</wp:posOffset>
            </wp:positionV>
            <wp:extent cx="3866322" cy="4121960"/>
            <wp:effectExtent l="0" t="0" r="0" b="0"/>
            <wp:wrapSquare wrapText="bothSides"/>
            <wp:docPr id="2068770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770332"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866322" cy="4121960"/>
                    </a:xfrm>
                    <a:prstGeom prst="rect">
                      <a:avLst/>
                    </a:prstGeom>
                  </pic:spPr>
                </pic:pic>
              </a:graphicData>
            </a:graphic>
            <wp14:sizeRelH relativeFrom="page">
              <wp14:pctWidth>0</wp14:pctWidth>
            </wp14:sizeRelH>
            <wp14:sizeRelV relativeFrom="page">
              <wp14:pctHeight>0</wp14:pctHeight>
            </wp14:sizeRelV>
          </wp:anchor>
        </w:drawing>
      </w:r>
      <w:r w:rsidR="00E41CED" w:rsidRPr="007C70A3">
        <w:rPr>
          <w:rFonts w:ascii="Times New Roman" w:hAnsi="Times New Roman" w:cs="Times New Roman"/>
        </w:rPr>
        <w:t>Cloud-</w:t>
      </w:r>
      <w:r w:rsidR="00166362" w:rsidRPr="007C70A3">
        <w:rPr>
          <w:rFonts w:ascii="Times New Roman" w:hAnsi="Times New Roman" w:cs="Times New Roman"/>
        </w:rPr>
        <w:t>Security Controls</w:t>
      </w:r>
      <w:bookmarkEnd w:id="29"/>
    </w:p>
    <w:p w14:paraId="5B869C3E" w14:textId="77777777" w:rsidR="00E41CED" w:rsidRPr="007C70A3" w:rsidRDefault="00E41CED" w:rsidP="007C70A3">
      <w:pPr>
        <w:rPr>
          <w:rFonts w:ascii="Times New Roman" w:hAnsi="Times New Roman" w:cs="Times New Roman"/>
        </w:rPr>
      </w:pPr>
      <w:r w:rsidRPr="007C70A3">
        <w:rPr>
          <w:rFonts w:ascii="Times New Roman" w:hAnsi="Times New Roman" w:cs="Times New Roman"/>
        </w:rPr>
        <w:t>Following ISO 27001 A 5.23, NG should</w:t>
      </w:r>
      <w:r w:rsidR="009C4768" w:rsidRPr="007C70A3">
        <w:rPr>
          <w:rFonts w:ascii="Times New Roman" w:hAnsi="Times New Roman" w:cs="Times New Roman"/>
        </w:rPr>
        <w:t xml:space="preserve"> (Figure 3)</w:t>
      </w:r>
      <w:r w:rsidRPr="007C70A3">
        <w:rPr>
          <w:rFonts w:ascii="Times New Roman" w:hAnsi="Times New Roman" w:cs="Times New Roman"/>
        </w:rPr>
        <w:t>:</w:t>
      </w:r>
    </w:p>
    <w:p w14:paraId="5624EBEF" w14:textId="77777777" w:rsidR="00E41CED" w:rsidRPr="007C70A3" w:rsidRDefault="00E41CED" w:rsidP="007C70A3">
      <w:pPr>
        <w:pStyle w:val="ListParagraph"/>
        <w:numPr>
          <w:ilvl w:val="0"/>
          <w:numId w:val="8"/>
        </w:numPr>
        <w:rPr>
          <w:rFonts w:ascii="Times New Roman" w:hAnsi="Times New Roman" w:cs="Times New Roman"/>
        </w:rPr>
      </w:pPr>
      <w:r w:rsidRPr="007C70A3">
        <w:rPr>
          <w:rFonts w:ascii="Times New Roman" w:hAnsi="Times New Roman" w:cs="Times New Roman"/>
        </w:rPr>
        <w:t>Do supplier due diligence; must be certified to ISO 27001 or SOC 2;</w:t>
      </w:r>
    </w:p>
    <w:p w14:paraId="617C21DD" w14:textId="77777777" w:rsidR="00E41CED" w:rsidRPr="007C70A3" w:rsidRDefault="00E41CED" w:rsidP="007C70A3">
      <w:pPr>
        <w:pStyle w:val="ListParagraph"/>
        <w:numPr>
          <w:ilvl w:val="0"/>
          <w:numId w:val="8"/>
        </w:numPr>
        <w:rPr>
          <w:rFonts w:ascii="Times New Roman" w:hAnsi="Times New Roman" w:cs="Times New Roman"/>
        </w:rPr>
      </w:pPr>
      <w:r w:rsidRPr="007C70A3">
        <w:rPr>
          <w:rFonts w:ascii="Times New Roman" w:hAnsi="Times New Roman" w:cs="Times New Roman"/>
        </w:rPr>
        <w:t>Determine shared-responsibility matrices of IaaS, PaaS, SaaS;</w:t>
      </w:r>
    </w:p>
    <w:p w14:paraId="722C06A8" w14:textId="77777777" w:rsidR="00E41CED" w:rsidRPr="007C70A3" w:rsidRDefault="00E41CED" w:rsidP="007C70A3">
      <w:pPr>
        <w:pStyle w:val="ListParagraph"/>
        <w:numPr>
          <w:ilvl w:val="0"/>
          <w:numId w:val="8"/>
        </w:numPr>
        <w:rPr>
          <w:rFonts w:ascii="Times New Roman" w:hAnsi="Times New Roman" w:cs="Times New Roman"/>
        </w:rPr>
      </w:pPr>
      <w:r w:rsidRPr="007C70A3">
        <w:rPr>
          <w:rFonts w:ascii="Times New Roman" w:hAnsi="Times New Roman" w:cs="Times New Roman"/>
        </w:rPr>
        <w:t>Implement Cloud Security Posture Management (CSPM) and Cloud Infrastructure Entitlement Management (CIEM) to avoid misconfigurations;</w:t>
      </w:r>
    </w:p>
    <w:p w14:paraId="1E084009" w14:textId="77777777" w:rsidR="00E41CED" w:rsidRPr="007C70A3" w:rsidRDefault="00E41CED" w:rsidP="007C70A3">
      <w:pPr>
        <w:pStyle w:val="ListParagraph"/>
        <w:numPr>
          <w:ilvl w:val="0"/>
          <w:numId w:val="8"/>
        </w:numPr>
        <w:rPr>
          <w:rFonts w:ascii="Times New Roman" w:hAnsi="Times New Roman" w:cs="Times New Roman"/>
        </w:rPr>
      </w:pPr>
      <w:r w:rsidRPr="007C70A3">
        <w:rPr>
          <w:rFonts w:ascii="Times New Roman" w:hAnsi="Times New Roman" w:cs="Times New Roman"/>
        </w:rPr>
        <w:t>Implement encryption in rest and transit using customer-managed keys;</w:t>
      </w:r>
    </w:p>
    <w:p w14:paraId="3D8D6D6A" w14:textId="77777777" w:rsidR="00E41CED" w:rsidRPr="007C70A3" w:rsidRDefault="009C4768" w:rsidP="007C70A3">
      <w:pPr>
        <w:pStyle w:val="ListParagraph"/>
        <w:numPr>
          <w:ilvl w:val="0"/>
          <w:numId w:val="8"/>
        </w:numPr>
        <w:rPr>
          <w:rFonts w:ascii="Times New Roman" w:hAnsi="Times New Roman" w:cs="Times New Roman"/>
        </w:rPr>
      </w:pPr>
      <w:r w:rsidRPr="007C70A3">
        <w:rPr>
          <w:rFonts w:ascii="Times New Roman" w:hAnsi="Times New Roman" w:cs="Times New Roman"/>
        </w:rPr>
        <mc:AlternateContent>
          <mc:Choice Requires="wps">
            <w:drawing>
              <wp:anchor distT="0" distB="0" distL="114300" distR="114300" simplePos="0" relativeHeight="251682816" behindDoc="0" locked="0" layoutInCell="1" allowOverlap="1" wp14:anchorId="10E57055" wp14:editId="4D133423">
                <wp:simplePos x="0" y="0"/>
                <wp:positionH relativeFrom="column">
                  <wp:posOffset>0</wp:posOffset>
                </wp:positionH>
                <wp:positionV relativeFrom="paragraph">
                  <wp:posOffset>545465</wp:posOffset>
                </wp:positionV>
                <wp:extent cx="3865880" cy="208280"/>
                <wp:effectExtent l="0" t="0" r="0" b="0"/>
                <wp:wrapSquare wrapText="bothSides"/>
                <wp:docPr id="1153056070" name="Text Box 1"/>
                <wp:cNvGraphicFramePr/>
                <a:graphic xmlns:a="http://schemas.openxmlformats.org/drawingml/2006/main">
                  <a:graphicData uri="http://schemas.microsoft.com/office/word/2010/wordprocessingShape">
                    <wps:wsp>
                      <wps:cNvSpPr txBox="1"/>
                      <wps:spPr>
                        <a:xfrm>
                          <a:off x="0" y="0"/>
                          <a:ext cx="3865880" cy="208280"/>
                        </a:xfrm>
                        <a:prstGeom prst="rect">
                          <a:avLst/>
                        </a:prstGeom>
                        <a:solidFill>
                          <a:prstClr val="white"/>
                        </a:solidFill>
                        <a:ln>
                          <a:noFill/>
                        </a:ln>
                      </wps:spPr>
                      <wps:txbx>
                        <w:txbxContent>
                          <w:p w14:paraId="2E8C48AF" w14:textId="77777777" w:rsidR="009C4768" w:rsidRPr="00134046" w:rsidRDefault="009C4768" w:rsidP="009C4768">
                            <w:pPr>
                              <w:pStyle w:val="Caption"/>
                              <w:rPr>
                                <w:b/>
                                <w:bCs/>
                                <w:color w:val="auto"/>
                              </w:rPr>
                            </w:pPr>
                            <w:bookmarkStart w:id="30" w:name="_Toc213351031"/>
                            <w:r>
                              <w:t xml:space="preserve">Figure </w:t>
                            </w:r>
                            <w:r>
                              <w:fldChar w:fldCharType="begin"/>
                            </w:r>
                            <w:r>
                              <w:instrText xml:space="preserve"> SEQ Figure \* ARABIC </w:instrText>
                            </w:r>
                            <w:r>
                              <w:fldChar w:fldCharType="separate"/>
                            </w:r>
                            <w:r w:rsidR="00C97291">
                              <w:t>7</w:t>
                            </w:r>
                            <w:r>
                              <w:fldChar w:fldCharType="end"/>
                            </w:r>
                            <w:r>
                              <w:rPr>
                                <w:lang w:val="en-US"/>
                              </w:rPr>
                              <w:t xml:space="preserve">: </w:t>
                            </w:r>
                            <w:r w:rsidRPr="0020697F">
                              <w:rPr>
                                <w:lang w:val="en-US"/>
                              </w:rPr>
                              <w:t>Cloud-Security Controls</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E57055" id="_x0000_s1035" type="#_x0000_t202" style="position:absolute;left:0;text-align:left;margin-left:0;margin-top:42.95pt;width:304.4pt;height:16.4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" stroked="f">
                <v:textbox inset="0,0,0,0">
                  <w:txbxContent>
                    <w:p w14:paraId="2E8C48AF" w14:textId="77777777" w:rsidR="009C4768" w:rsidRPr="00134046" w:rsidRDefault="009C4768" w:rsidP="009C4768">
                      <w:pPr>
                        <w:pStyle w:val="Caption"/>
                        <w:rPr>
                          <w:b/>
                          <w:bCs/>
                          <w:color w:val="auto"/>
                        </w:rPr>
                      </w:pPr>
                      <w:bookmarkStart w:id="31" w:name="_Toc213351031"/>
                      <w:r>
                        <w:t xml:space="preserve">Figure </w:t>
                      </w:r>
                      <w:r>
                        <w:fldChar w:fldCharType="begin"/>
                      </w:r>
                      <w:r>
                        <w:instrText xml:space="preserve"> SEQ Figure \* ARABIC </w:instrText>
                      </w:r>
                      <w:r>
                        <w:fldChar w:fldCharType="separate"/>
                      </w:r>
                      <w:r w:rsidR="00C97291">
                        <w:t>7</w:t>
                      </w:r>
                      <w:r>
                        <w:fldChar w:fldCharType="end"/>
                      </w:r>
                      <w:r>
                        <w:rPr>
                          <w:lang w:val="en-US"/>
                        </w:rPr>
                        <w:t xml:space="preserve">: </w:t>
                      </w:r>
                      <w:r w:rsidRPr="0020697F">
                        <w:rPr>
                          <w:lang w:val="en-US"/>
                        </w:rPr>
                        <w:t>Cloud-Security Controls</w:t>
                      </w:r>
                      <w:bookmarkEnd w:id="31"/>
                    </w:p>
                  </w:txbxContent>
                </v:textbox>
                <w10:wrap type="square"/>
              </v:shape>
            </w:pict>
          </mc:Fallback>
        </mc:AlternateContent>
      </w:r>
      <w:r w:rsidR="00E41CED" w:rsidRPr="007C70A3">
        <w:rPr>
          <w:rFonts w:ascii="Times New Roman" w:hAnsi="Times New Roman" w:cs="Times New Roman"/>
        </w:rPr>
        <w:t>Use immutable backups and geo-redundant storage to achieve resiliency.</w:t>
      </w:r>
    </w:p>
    <w:p w14:paraId="75AB54AB" w14:textId="77777777" w:rsidR="00E41CED" w:rsidRPr="007C70A3" w:rsidRDefault="00E41CED" w:rsidP="007C70A3">
      <w:pPr>
        <w:pStyle w:val="Heading3"/>
        <w:rPr>
          <w:rFonts w:ascii="Times New Roman" w:hAnsi="Times New Roman" w:cs="Times New Roman"/>
        </w:rPr>
      </w:pPr>
      <w:bookmarkStart w:id="32" w:name="_Toc213350681"/>
      <w:r w:rsidRPr="007C70A3">
        <w:rPr>
          <w:rFonts w:ascii="Times New Roman" w:hAnsi="Times New Roman" w:cs="Times New Roman"/>
        </w:rPr>
        <w:t xml:space="preserve">Privacy and </w:t>
      </w:r>
      <w:r w:rsidR="00166362" w:rsidRPr="007C70A3">
        <w:rPr>
          <w:rFonts w:ascii="Times New Roman" w:hAnsi="Times New Roman" w:cs="Times New Roman"/>
        </w:rPr>
        <w:t>Legal Compliance</w:t>
      </w:r>
      <w:bookmarkEnd w:id="32"/>
    </w:p>
    <w:p w14:paraId="48DC2A2B" w14:textId="77777777" w:rsidR="00E41CED" w:rsidRPr="007C70A3" w:rsidRDefault="00E41CED" w:rsidP="007C70A3">
      <w:pPr>
        <w:rPr>
          <w:rFonts w:ascii="Times New Roman" w:hAnsi="Times New Roman" w:cs="Times New Roman"/>
        </w:rPr>
      </w:pPr>
      <w:r w:rsidRPr="007C70A3">
        <w:rPr>
          <w:rFonts w:ascii="Times New Roman" w:hAnsi="Times New Roman" w:cs="Times New Roman"/>
        </w:rPr>
        <w:t>The incorporation of ISO 27701 makes it comply with the principles of GDPR, i.e. lawfulness, fairness, transparency, and accountability (Perrin, 2021). The necessary mechanisms comprise</w:t>
      </w:r>
      <w:r w:rsidR="009C4768" w:rsidRPr="007C70A3">
        <w:rPr>
          <w:rFonts w:ascii="Times New Roman" w:hAnsi="Times New Roman" w:cs="Times New Roman"/>
        </w:rPr>
        <w:t xml:space="preserve"> (Figure 4)</w:t>
      </w:r>
      <w:r w:rsidRPr="007C70A3">
        <w:rPr>
          <w:rFonts w:ascii="Times New Roman" w:hAnsi="Times New Roman" w:cs="Times New Roman"/>
        </w:rPr>
        <w:t>:</w:t>
      </w:r>
    </w:p>
    <w:p w14:paraId="414A8BD0" w14:textId="77777777" w:rsidR="00E41CED" w:rsidRPr="007C70A3" w:rsidRDefault="00E41CED" w:rsidP="007C70A3">
      <w:pPr>
        <w:pStyle w:val="ListParagraph"/>
        <w:numPr>
          <w:ilvl w:val="0"/>
          <w:numId w:val="9"/>
        </w:numPr>
        <w:rPr>
          <w:rFonts w:ascii="Times New Roman" w:hAnsi="Times New Roman" w:cs="Times New Roman"/>
        </w:rPr>
      </w:pPr>
      <w:r w:rsidRPr="007C70A3">
        <w:rPr>
          <w:rFonts w:ascii="Times New Roman" w:hAnsi="Times New Roman" w:cs="Times New Roman"/>
        </w:rPr>
        <w:t>Data Protection Impact Assessments (DPIAs) prior to process sensitive data.</w:t>
      </w:r>
    </w:p>
    <w:p w14:paraId="63E27C62" w14:textId="77777777" w:rsidR="00E41CED" w:rsidRPr="007C70A3" w:rsidRDefault="00E41CED" w:rsidP="007C70A3">
      <w:pPr>
        <w:pStyle w:val="ListParagraph"/>
        <w:numPr>
          <w:ilvl w:val="0"/>
          <w:numId w:val="9"/>
        </w:numPr>
        <w:rPr>
          <w:rFonts w:ascii="Times New Roman" w:hAnsi="Times New Roman" w:cs="Times New Roman"/>
        </w:rPr>
      </w:pPr>
      <w:r w:rsidRPr="007C70A3">
        <w:rPr>
          <w:rFonts w:ascii="Times New Roman" w:hAnsi="Times New Roman" w:cs="Times New Roman"/>
        </w:rPr>
        <w:t>Data Processing Activities (ROPA) stored in central storage.</w:t>
      </w:r>
    </w:p>
    <w:p w14:paraId="32D94A72" w14:textId="1B2A84C8" w:rsidR="00841BCC" w:rsidRPr="00911E1A" w:rsidRDefault="00E41CED" w:rsidP="00911E1A">
      <w:pPr>
        <w:pStyle w:val="ListParagraph"/>
        <w:numPr>
          <w:ilvl w:val="0"/>
          <w:numId w:val="9"/>
        </w:numPr>
        <w:rPr>
          <w:rFonts w:ascii="Times New Roman" w:hAnsi="Times New Roman" w:cs="Times New Roman"/>
        </w:rPr>
      </w:pPr>
      <w:r w:rsidRPr="007C70A3">
        <w:rPr>
          <w:rFonts w:ascii="Times New Roman" w:hAnsi="Times New Roman" w:cs="Times New Roman"/>
        </w:rPr>
        <w:t>Access, rectification, and erasure of data-subject-rights within 30 days.</w:t>
      </w:r>
    </w:p>
    <w:p w14:paraId="5509C3EB" w14:textId="77777777" w:rsidR="00E41CED" w:rsidRPr="007C70A3" w:rsidRDefault="00E41CED" w:rsidP="007C70A3">
      <w:pPr>
        <w:pStyle w:val="ListParagraph"/>
        <w:numPr>
          <w:ilvl w:val="0"/>
          <w:numId w:val="9"/>
        </w:numPr>
        <w:rPr>
          <w:rFonts w:ascii="Times New Roman" w:hAnsi="Times New Roman" w:cs="Times New Roman"/>
        </w:rPr>
      </w:pPr>
      <w:r w:rsidRPr="007C70A3">
        <w:rPr>
          <w:rFonts w:ascii="Times New Roman" w:hAnsi="Times New Roman" w:cs="Times New Roman"/>
        </w:rPr>
        <w:t>Breach-notification process: a notification of breach to the ICO in 72 hours to UK residents (ICO, 2023).</w:t>
      </w:r>
    </w:p>
    <w:p w14:paraId="72ADEA4E" w14:textId="77777777" w:rsidR="009C4768" w:rsidRPr="007C70A3" w:rsidRDefault="009C4768" w:rsidP="007C70A3">
      <w:pPr>
        <w:keepNext/>
        <w:rPr>
          <w:rFonts w:ascii="Times New Roman" w:hAnsi="Times New Roman" w:cs="Times New Roman"/>
        </w:rPr>
      </w:pPr>
      <w:r w:rsidRPr="007C70A3">
        <w:rPr>
          <w:rFonts w:ascii="Times New Roman" w:hAnsi="Times New Roman" w:cs="Times New Roman"/>
        </w:rPr>
        <w:lastRenderedPageBreak/>
        <w:drawing>
          <wp:inline distT="0" distB="0" distL="0" distR="0" wp14:anchorId="74C3F296" wp14:editId="1C3E5676">
            <wp:extent cx="2832652" cy="3669360"/>
            <wp:effectExtent l="0" t="0" r="0" b="0"/>
            <wp:docPr id="2077456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456623" name=""/>
                    <pic:cNvPicPr/>
                  </pic:nvPicPr>
                  <pic:blipFill>
                    <a:blip r:embed="rId29"/>
                    <a:stretch>
                      <a:fillRect/>
                    </a:stretch>
                  </pic:blipFill>
                  <pic:spPr>
                    <a:xfrm>
                      <a:off x="0" y="0"/>
                      <a:ext cx="2840883" cy="3680022"/>
                    </a:xfrm>
                    <a:prstGeom prst="rect">
                      <a:avLst/>
                    </a:prstGeom>
                  </pic:spPr>
                </pic:pic>
              </a:graphicData>
            </a:graphic>
          </wp:inline>
        </w:drawing>
      </w:r>
    </w:p>
    <w:p w14:paraId="1502ADAC" w14:textId="77777777" w:rsidR="009C4768" w:rsidRPr="007C70A3" w:rsidRDefault="009C4768" w:rsidP="007C70A3">
      <w:pPr>
        <w:pStyle w:val="Caption"/>
        <w:jc w:val="center"/>
        <w:rPr>
          <w:rFonts w:ascii="Times New Roman" w:hAnsi="Times New Roman" w:cs="Times New Roman"/>
        </w:rPr>
      </w:pPr>
      <w:bookmarkStart w:id="33" w:name="_Toc213351032"/>
      <w:r w:rsidRPr="007C70A3">
        <w:rPr>
          <w:rFonts w:ascii="Times New Roman" w:hAnsi="Times New Roman" w:cs="Times New Roman"/>
        </w:rPr>
        <w:t xml:space="preserve">Figure </w:t>
      </w:r>
      <w:r w:rsidRPr="007C70A3">
        <w:rPr>
          <w:rFonts w:ascii="Times New Roman" w:hAnsi="Times New Roman" w:cs="Times New Roman"/>
        </w:rPr>
        <w:fldChar w:fldCharType="begin"/>
      </w:r>
      <w:r w:rsidRPr="007C70A3">
        <w:rPr>
          <w:rFonts w:ascii="Times New Roman" w:hAnsi="Times New Roman" w:cs="Times New Roman"/>
        </w:rPr>
        <w:instrText xml:space="preserve"> SEQ Figure \* ARABIC </w:instrText>
      </w:r>
      <w:r w:rsidRPr="007C70A3">
        <w:rPr>
          <w:rFonts w:ascii="Times New Roman" w:hAnsi="Times New Roman" w:cs="Times New Roman"/>
        </w:rPr>
        <w:fldChar w:fldCharType="separate"/>
      </w:r>
      <w:r w:rsidR="00C97291" w:rsidRPr="007C70A3">
        <w:rPr>
          <w:rFonts w:ascii="Times New Roman" w:hAnsi="Times New Roman" w:cs="Times New Roman"/>
        </w:rPr>
        <w:t>8</w:t>
      </w:r>
      <w:r w:rsidRPr="007C70A3">
        <w:rPr>
          <w:rFonts w:ascii="Times New Roman" w:hAnsi="Times New Roman" w:cs="Times New Roman"/>
        </w:rPr>
        <w:fldChar w:fldCharType="end"/>
      </w:r>
      <w:r w:rsidRPr="007C70A3">
        <w:rPr>
          <w:rFonts w:ascii="Times New Roman" w:hAnsi="Times New Roman" w:cs="Times New Roman"/>
          <w:lang w:val="en-US"/>
        </w:rPr>
        <w:t>: Privacy and Legal-Compliance Architecture</w:t>
      </w:r>
      <w:bookmarkEnd w:id="33"/>
    </w:p>
    <w:p w14:paraId="22CD525D" w14:textId="77777777" w:rsidR="00E41CED" w:rsidRPr="007C70A3" w:rsidRDefault="00B77E37" w:rsidP="007C70A3">
      <w:pPr>
        <w:pStyle w:val="ListParagraph"/>
        <w:numPr>
          <w:ilvl w:val="0"/>
          <w:numId w:val="16"/>
        </w:numPr>
        <w:rPr>
          <w:rFonts w:ascii="Times New Roman" w:hAnsi="Times New Roman" w:cs="Times New Roman"/>
        </w:rPr>
      </w:pPr>
      <w:r w:rsidRPr="007C70A3">
        <w:rPr>
          <w:rFonts w:ascii="Times New Roman" w:hAnsi="Times New Roman" w:cs="Times New Roman"/>
        </w:rPr>
        <w:drawing>
          <wp:anchor distT="0" distB="0" distL="114300" distR="114300" simplePos="0" relativeHeight="251683840" behindDoc="0" locked="0" layoutInCell="1" allowOverlap="1" wp14:anchorId="1E87AAFC" wp14:editId="55B74F46">
            <wp:simplePos x="0" y="0"/>
            <wp:positionH relativeFrom="column">
              <wp:posOffset>2632654</wp:posOffset>
            </wp:positionH>
            <wp:positionV relativeFrom="paragraph">
              <wp:posOffset>508939</wp:posOffset>
            </wp:positionV>
            <wp:extent cx="3577590" cy="3737610"/>
            <wp:effectExtent l="0" t="0" r="0" b="0"/>
            <wp:wrapSquare wrapText="bothSides"/>
            <wp:docPr id="1785110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110025"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577590" cy="3737610"/>
                    </a:xfrm>
                    <a:prstGeom prst="rect">
                      <a:avLst/>
                    </a:prstGeom>
                  </pic:spPr>
                </pic:pic>
              </a:graphicData>
            </a:graphic>
            <wp14:sizeRelH relativeFrom="page">
              <wp14:pctWidth>0</wp14:pctWidth>
            </wp14:sizeRelH>
            <wp14:sizeRelV relativeFrom="page">
              <wp14:pctHeight>0</wp14:pctHeight>
            </wp14:sizeRelV>
          </wp:anchor>
        </w:drawing>
      </w:r>
      <w:r w:rsidR="00E41CED" w:rsidRPr="007C70A3">
        <w:rPr>
          <w:rFonts w:ascii="Times New Roman" w:hAnsi="Times New Roman" w:cs="Times New Roman"/>
        </w:rPr>
        <w:t>Audit preparedness and minimized manual overhead are enhanced through compliance automation through privacy-management software.</w:t>
      </w:r>
    </w:p>
    <w:p w14:paraId="39DD7A13" w14:textId="77777777" w:rsidR="00E41CED" w:rsidRPr="007C70A3" w:rsidRDefault="00E41CED" w:rsidP="007C70A3">
      <w:pPr>
        <w:pStyle w:val="Heading3"/>
        <w:rPr>
          <w:rFonts w:ascii="Times New Roman" w:hAnsi="Times New Roman" w:cs="Times New Roman"/>
        </w:rPr>
      </w:pPr>
      <w:bookmarkStart w:id="34" w:name="_Toc213350682"/>
      <w:r w:rsidRPr="007C70A3">
        <w:rPr>
          <w:rFonts w:ascii="Times New Roman" w:hAnsi="Times New Roman" w:cs="Times New Roman"/>
        </w:rPr>
        <w:t xml:space="preserve">Monitoring, </w:t>
      </w:r>
      <w:r w:rsidR="00166362" w:rsidRPr="007C70A3">
        <w:rPr>
          <w:rFonts w:ascii="Times New Roman" w:hAnsi="Times New Roman" w:cs="Times New Roman"/>
        </w:rPr>
        <w:t xml:space="preserve">Detection </w:t>
      </w:r>
      <w:r w:rsidRPr="007C70A3">
        <w:rPr>
          <w:rFonts w:ascii="Times New Roman" w:hAnsi="Times New Roman" w:cs="Times New Roman"/>
        </w:rPr>
        <w:t xml:space="preserve">and </w:t>
      </w:r>
      <w:r w:rsidR="00166362" w:rsidRPr="007C70A3">
        <w:rPr>
          <w:rFonts w:ascii="Times New Roman" w:hAnsi="Times New Roman" w:cs="Times New Roman"/>
        </w:rPr>
        <w:t>Response</w:t>
      </w:r>
      <w:bookmarkEnd w:id="34"/>
    </w:p>
    <w:p w14:paraId="00A0FEE7" w14:textId="77777777" w:rsidR="00E41CED" w:rsidRPr="007C70A3" w:rsidRDefault="00E41CED" w:rsidP="007C70A3">
      <w:pPr>
        <w:rPr>
          <w:rFonts w:ascii="Times New Roman" w:hAnsi="Times New Roman" w:cs="Times New Roman"/>
        </w:rPr>
      </w:pPr>
      <w:r w:rsidRPr="007C70A3">
        <w:rPr>
          <w:rFonts w:ascii="Times New Roman" w:hAnsi="Times New Roman" w:cs="Times New Roman"/>
        </w:rPr>
        <w:t>Implement a dedicated telemetry platform, combining Security Information and Event Management (SIEM), Extended Detection and Response (XDR), and User and Entity Behaviour Analytics (UEBA). The architecture works with NIST CSF Detect and Respond functions and incident-management processes of ITIL 4. Key metrics include:</w:t>
      </w:r>
    </w:p>
    <w:p w14:paraId="3B5F88C9" w14:textId="77777777" w:rsidR="00E41CED" w:rsidRPr="007C70A3" w:rsidRDefault="00B77E37" w:rsidP="007C70A3">
      <w:pPr>
        <w:pStyle w:val="ListParagraph"/>
        <w:numPr>
          <w:ilvl w:val="0"/>
          <w:numId w:val="10"/>
        </w:numPr>
        <w:rPr>
          <w:rFonts w:ascii="Times New Roman" w:hAnsi="Times New Roman" w:cs="Times New Roman"/>
        </w:rPr>
      </w:pPr>
      <w:r w:rsidRPr="007C70A3">
        <w:rPr>
          <w:rFonts w:ascii="Times New Roman" w:hAnsi="Times New Roman" w:cs="Times New Roman"/>
        </w:rPr>
        <mc:AlternateContent>
          <mc:Choice Requires="wps">
            <w:drawing>
              <wp:anchor distT="0" distB="0" distL="114300" distR="114300" simplePos="0" relativeHeight="251685888" behindDoc="0" locked="0" layoutInCell="1" allowOverlap="1" wp14:anchorId="74692670" wp14:editId="00F49A1E">
                <wp:simplePos x="0" y="0"/>
                <wp:positionH relativeFrom="column">
                  <wp:posOffset>2573655</wp:posOffset>
                </wp:positionH>
                <wp:positionV relativeFrom="paragraph">
                  <wp:posOffset>323243</wp:posOffset>
                </wp:positionV>
                <wp:extent cx="3577590" cy="405765"/>
                <wp:effectExtent l="0" t="0" r="3810" b="635"/>
                <wp:wrapSquare wrapText="bothSides"/>
                <wp:docPr id="654026054" name="Text Box 1"/>
                <wp:cNvGraphicFramePr/>
                <a:graphic xmlns:a="http://schemas.openxmlformats.org/drawingml/2006/main">
                  <a:graphicData uri="http://schemas.microsoft.com/office/word/2010/wordprocessingShape">
                    <wps:wsp>
                      <wps:cNvSpPr txBox="1"/>
                      <wps:spPr>
                        <a:xfrm>
                          <a:off x="0" y="0"/>
                          <a:ext cx="3577590" cy="405765"/>
                        </a:xfrm>
                        <a:prstGeom prst="rect">
                          <a:avLst/>
                        </a:prstGeom>
                        <a:solidFill>
                          <a:prstClr val="white"/>
                        </a:solidFill>
                        <a:ln>
                          <a:noFill/>
                        </a:ln>
                      </wps:spPr>
                      <wps:txbx>
                        <w:txbxContent>
                          <w:p w14:paraId="1ABD9F90" w14:textId="77777777" w:rsidR="00B77E37" w:rsidRPr="00B77E37" w:rsidRDefault="00B77E37" w:rsidP="00B77E37">
                            <w:pPr>
                              <w:pStyle w:val="Caption"/>
                            </w:pPr>
                            <w:bookmarkStart w:id="35" w:name="_Toc213351033"/>
                            <w:r>
                              <w:t xml:space="preserve">Figure </w:t>
                            </w:r>
                            <w:r>
                              <w:fldChar w:fldCharType="begin"/>
                            </w:r>
                            <w:r>
                              <w:instrText xml:space="preserve"> SEQ Figure \* ARABIC </w:instrText>
                            </w:r>
                            <w:r>
                              <w:fldChar w:fldCharType="separate"/>
                            </w:r>
                            <w:r w:rsidR="00C97291">
                              <w:t>9</w:t>
                            </w:r>
                            <w:r>
                              <w:fldChar w:fldCharType="end"/>
                            </w:r>
                            <w:r>
                              <w:rPr>
                                <w:lang w:val="en-US"/>
                              </w:rPr>
                              <w:t xml:space="preserve">: </w:t>
                            </w:r>
                            <w:r w:rsidRPr="00B77E37">
                              <w:t>Unified Monitoring, Detection, and Response Ecosystem</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692670" id="_x0000_s1036" type="#_x0000_t202" style="position:absolute;left:0;text-align:left;margin-left:202.65pt;margin-top:25.45pt;width:281.7pt;height:31.9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" stroked="f">
                <v:textbox inset="0,0,0,0">
                  <w:txbxContent>
                    <w:p w14:paraId="1ABD9F90" w14:textId="77777777" w:rsidR="00B77E37" w:rsidRPr="00B77E37" w:rsidRDefault="00B77E37" w:rsidP="00B77E37">
                      <w:pPr>
                        <w:pStyle w:val="Caption"/>
                      </w:pPr>
                      <w:bookmarkStart w:id="36" w:name="_Toc213351033"/>
                      <w:r>
                        <w:t xml:space="preserve">Figure </w:t>
                      </w:r>
                      <w:r>
                        <w:fldChar w:fldCharType="begin"/>
                      </w:r>
                      <w:r>
                        <w:instrText xml:space="preserve"> SEQ Figure \* ARABIC </w:instrText>
                      </w:r>
                      <w:r>
                        <w:fldChar w:fldCharType="separate"/>
                      </w:r>
                      <w:r w:rsidR="00C97291">
                        <w:t>9</w:t>
                      </w:r>
                      <w:r>
                        <w:fldChar w:fldCharType="end"/>
                      </w:r>
                      <w:r>
                        <w:rPr>
                          <w:lang w:val="en-US"/>
                        </w:rPr>
                        <w:t xml:space="preserve">: </w:t>
                      </w:r>
                      <w:r w:rsidRPr="00B77E37">
                        <w:t>Unified Monitoring, Detection, and Response Ecosystem</w:t>
                      </w:r>
                      <w:bookmarkEnd w:id="36"/>
                    </w:p>
                  </w:txbxContent>
                </v:textbox>
                <w10:wrap type="square"/>
              </v:shape>
            </w:pict>
          </mc:Fallback>
        </mc:AlternateContent>
      </w:r>
      <w:r w:rsidR="00E41CED" w:rsidRPr="007C70A3">
        <w:rPr>
          <w:rFonts w:ascii="Times New Roman" w:hAnsi="Times New Roman" w:cs="Times New Roman"/>
        </w:rPr>
        <w:t>Mean Time to Detect (MTTD) and Mean Time to Respond (MTTR);</w:t>
      </w:r>
    </w:p>
    <w:p w14:paraId="5B0F4895" w14:textId="77777777" w:rsidR="00E41CED" w:rsidRPr="007C70A3" w:rsidRDefault="00E41CED" w:rsidP="007C70A3">
      <w:pPr>
        <w:pStyle w:val="ListParagraph"/>
        <w:numPr>
          <w:ilvl w:val="0"/>
          <w:numId w:val="10"/>
        </w:numPr>
        <w:rPr>
          <w:rFonts w:ascii="Times New Roman" w:hAnsi="Times New Roman" w:cs="Times New Roman"/>
        </w:rPr>
      </w:pPr>
      <w:r w:rsidRPr="007C70A3">
        <w:rPr>
          <w:rFonts w:ascii="Times New Roman" w:hAnsi="Times New Roman" w:cs="Times New Roman"/>
        </w:rPr>
        <w:t>Endpoints compliance percentage;</w:t>
      </w:r>
    </w:p>
    <w:p w14:paraId="74605EF5" w14:textId="77777777" w:rsidR="00E41CED" w:rsidRPr="007C70A3" w:rsidRDefault="00E41CED" w:rsidP="007C70A3">
      <w:pPr>
        <w:pStyle w:val="ListParagraph"/>
        <w:numPr>
          <w:ilvl w:val="0"/>
          <w:numId w:val="10"/>
        </w:numPr>
        <w:rPr>
          <w:rFonts w:ascii="Times New Roman" w:hAnsi="Times New Roman" w:cs="Times New Roman"/>
        </w:rPr>
      </w:pPr>
      <w:r w:rsidRPr="007C70A3">
        <w:rPr>
          <w:rFonts w:ascii="Times New Roman" w:hAnsi="Times New Roman" w:cs="Times New Roman"/>
        </w:rPr>
        <w:t>Patch-compliance rate;</w:t>
      </w:r>
    </w:p>
    <w:p w14:paraId="3027CD3F" w14:textId="77777777" w:rsidR="00E41CED" w:rsidRPr="007C70A3" w:rsidRDefault="00E41CED" w:rsidP="007C70A3">
      <w:pPr>
        <w:pStyle w:val="ListParagraph"/>
        <w:numPr>
          <w:ilvl w:val="0"/>
          <w:numId w:val="10"/>
        </w:numPr>
        <w:rPr>
          <w:rFonts w:ascii="Times New Roman" w:hAnsi="Times New Roman" w:cs="Times New Roman"/>
        </w:rPr>
      </w:pPr>
      <w:r w:rsidRPr="007C70A3">
        <w:rPr>
          <w:rFonts w:ascii="Times New Roman" w:hAnsi="Times New Roman" w:cs="Times New Roman"/>
        </w:rPr>
        <w:lastRenderedPageBreak/>
        <w:t>Failure rate in phishing-simulation.</w:t>
      </w:r>
    </w:p>
    <w:p w14:paraId="01F9C7A0" w14:textId="77777777" w:rsidR="00B77E37" w:rsidRPr="007C70A3" w:rsidRDefault="00E41CED" w:rsidP="007C70A3">
      <w:pPr>
        <w:rPr>
          <w:rFonts w:ascii="Times New Roman" w:hAnsi="Times New Roman" w:cs="Times New Roman"/>
        </w:rPr>
      </w:pPr>
      <w:r w:rsidRPr="007C70A3">
        <w:rPr>
          <w:rFonts w:ascii="Times New Roman" w:hAnsi="Times New Roman" w:cs="Times New Roman"/>
        </w:rPr>
        <w:t>Control effectiveness is checked by quarterly red-team and purple-team exercises that contribute to a constant improvement process (Caldwell et al., 2023).</w:t>
      </w:r>
    </w:p>
    <w:p w14:paraId="666C0184" w14:textId="77777777" w:rsidR="00F71B79" w:rsidRPr="007C70A3" w:rsidRDefault="00F71B79" w:rsidP="007C70A3">
      <w:pPr>
        <w:pStyle w:val="Heading2"/>
        <w:rPr>
          <w:rFonts w:ascii="Times New Roman" w:hAnsi="Times New Roman" w:cs="Times New Roman"/>
        </w:rPr>
      </w:pPr>
      <w:bookmarkStart w:id="37" w:name="_Toc213350683"/>
      <w:r w:rsidRPr="007C70A3">
        <w:rPr>
          <w:rFonts w:ascii="Times New Roman" w:hAnsi="Times New Roman" w:cs="Times New Roman"/>
        </w:rPr>
        <w:t>Business-</w:t>
      </w:r>
      <w:r w:rsidR="00166362" w:rsidRPr="007C70A3">
        <w:rPr>
          <w:rFonts w:ascii="Times New Roman" w:hAnsi="Times New Roman" w:cs="Times New Roman"/>
        </w:rPr>
        <w:t xml:space="preserve">Continuity </w:t>
      </w:r>
      <w:r w:rsidRPr="007C70A3">
        <w:rPr>
          <w:rFonts w:ascii="Times New Roman" w:hAnsi="Times New Roman" w:cs="Times New Roman"/>
        </w:rPr>
        <w:t xml:space="preserve">and </w:t>
      </w:r>
      <w:r w:rsidR="00166362" w:rsidRPr="007C70A3">
        <w:rPr>
          <w:rFonts w:ascii="Times New Roman" w:hAnsi="Times New Roman" w:cs="Times New Roman"/>
        </w:rPr>
        <w:t>Resilience Planning</w:t>
      </w:r>
      <w:bookmarkEnd w:id="37"/>
    </w:p>
    <w:p w14:paraId="58830E3B"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According to ISO 22301, NG is expected to find essential services, have Business Impact Analysis (BIAs), and establish minimum business-continuity requirements</w:t>
      </w:r>
      <w:r w:rsidR="00B77E37" w:rsidRPr="007C70A3">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"/>
          <w:id w:val="358942443"/>
          <w:placeholder>
            <w:docPart w:val="DefaultPlaceholder_-1854013440"/>
          </w:placeholder>
        </w:sdtPr>
        <w:sdtEndPr/>
        <w:sdtContent>
          <w:r w:rsidR="00F0465D" w:rsidRPr="007C70A3">
            <w:rPr>
              <w:rFonts w:ascii="Times New Roman" w:hAnsi="Times New Roman" w:cs="Times New Roman"/>
              <w:color w:val="000000"/>
            </w:rPr>
            <w:t>(Steen, Haug and Patriarca, 2024)</w:t>
          </w:r>
        </w:sdtContent>
      </w:sdt>
      <w:r w:rsidRPr="007C70A3">
        <w:rPr>
          <w:rFonts w:ascii="Times New Roman" w:hAnsi="Times New Roman" w:cs="Times New Roman"/>
        </w:rPr>
        <w:t>. The backups should be separated and verified. Communication and recovery is coordinated by crisis-management teams. It has been demonstrated that organisations with full-scale continuity exercises recover in 30-40%</w:t>
      </w:r>
      <w:r w:rsidR="00B77E37" w:rsidRPr="007C70A3">
        <w:rPr>
          <w:rFonts w:ascii="Times New Roman" w:hAnsi="Times New Roman" w:cs="Times New Roman"/>
        </w:rPr>
        <w:t xml:space="preserve"> </w:t>
      </w:r>
      <w:r w:rsidRPr="007C70A3">
        <w:rPr>
          <w:rFonts w:ascii="Times New Roman" w:hAnsi="Times New Roman" w:cs="Times New Roman"/>
        </w:rPr>
        <w:t>of the time after the incident</w:t>
      </w:r>
      <w:r w:rsidR="00B77E37" w:rsidRPr="007C70A3">
        <w:rPr>
          <w:rFonts w:ascii="Times New Roman" w:hAnsi="Times New Roman" w:cs="Times New Roman"/>
        </w:rPr>
        <w:t>.</w:t>
      </w:r>
    </w:p>
    <w:p w14:paraId="36C5BFC8" w14:textId="77777777" w:rsidR="00F71B79" w:rsidRPr="007C70A3" w:rsidRDefault="00F71B79" w:rsidP="007C70A3">
      <w:pPr>
        <w:pStyle w:val="Heading2"/>
        <w:rPr>
          <w:rFonts w:ascii="Times New Roman" w:hAnsi="Times New Roman" w:cs="Times New Roman"/>
        </w:rPr>
      </w:pPr>
      <w:bookmarkStart w:id="38" w:name="_Toc213350684"/>
      <w:r w:rsidRPr="007C70A3">
        <w:rPr>
          <w:rFonts w:ascii="Times New Roman" w:hAnsi="Times New Roman" w:cs="Times New Roman"/>
        </w:rPr>
        <w:t>Service-</w:t>
      </w:r>
      <w:r w:rsidR="00166362" w:rsidRPr="007C70A3">
        <w:rPr>
          <w:rFonts w:ascii="Times New Roman" w:hAnsi="Times New Roman" w:cs="Times New Roman"/>
        </w:rPr>
        <w:t xml:space="preserve">Level Agreements </w:t>
      </w:r>
      <w:r w:rsidRPr="007C70A3">
        <w:rPr>
          <w:rFonts w:ascii="Times New Roman" w:hAnsi="Times New Roman" w:cs="Times New Roman"/>
        </w:rPr>
        <w:t xml:space="preserve">and </w:t>
      </w:r>
      <w:r w:rsidR="00166362" w:rsidRPr="007C70A3">
        <w:rPr>
          <w:rFonts w:ascii="Times New Roman" w:hAnsi="Times New Roman" w:cs="Times New Roman"/>
        </w:rPr>
        <w:t>Third-Party Management</w:t>
      </w:r>
      <w:bookmarkEnd w:id="38"/>
    </w:p>
    <w:p w14:paraId="5B5B2708"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All vendor relationships, especially cloud providers should be covered by security-focused SLAs that address</w:t>
      </w:r>
      <w:r w:rsidR="00B77E37" w:rsidRPr="007C70A3">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"/>
          <w:id w:val="1728488718"/>
          <w:placeholder>
            <w:docPart w:val="DefaultPlaceholder_-1854013440"/>
          </w:placeholder>
        </w:sdtPr>
        <w:sdtEndPr/>
        <w:sdtContent>
          <w:r w:rsidR="00F0465D" w:rsidRPr="007C70A3">
            <w:rPr>
              <w:rFonts w:ascii="Times New Roman" w:hAnsi="Times New Roman" w:cs="Times New Roman"/>
              <w:color w:val="000000"/>
            </w:rPr>
            <w:t>(Smith, 1995)</w:t>
          </w:r>
        </w:sdtContent>
      </w:sdt>
      <w:r w:rsidRPr="007C70A3">
        <w:rPr>
          <w:rFonts w:ascii="Times New Roman" w:hAnsi="Times New Roman" w:cs="Times New Roman"/>
        </w:rPr>
        <w:t>:</w:t>
      </w:r>
    </w:p>
    <w:p w14:paraId="52F553C5" w14:textId="77777777" w:rsidR="00F71B79" w:rsidRPr="007C70A3" w:rsidRDefault="00F71B79" w:rsidP="007C70A3">
      <w:pPr>
        <w:pStyle w:val="ListParagraph"/>
        <w:numPr>
          <w:ilvl w:val="0"/>
          <w:numId w:val="11"/>
        </w:numPr>
        <w:rPr>
          <w:rFonts w:ascii="Times New Roman" w:hAnsi="Times New Roman" w:cs="Times New Roman"/>
        </w:rPr>
      </w:pPr>
      <w:r w:rsidRPr="007C70A3">
        <w:rPr>
          <w:rFonts w:ascii="Times New Roman" w:hAnsi="Times New Roman" w:cs="Times New Roman"/>
        </w:rPr>
        <w:t>Residency and sovereignty of data;</w:t>
      </w:r>
    </w:p>
    <w:p w14:paraId="289B7BB1" w14:textId="77777777" w:rsidR="00F71B79" w:rsidRPr="007C70A3" w:rsidRDefault="00F71B79" w:rsidP="007C70A3">
      <w:pPr>
        <w:pStyle w:val="ListParagraph"/>
        <w:numPr>
          <w:ilvl w:val="0"/>
          <w:numId w:val="11"/>
        </w:numPr>
        <w:rPr>
          <w:rFonts w:ascii="Times New Roman" w:hAnsi="Times New Roman" w:cs="Times New Roman"/>
        </w:rPr>
      </w:pPr>
      <w:r w:rsidRPr="007C70A3">
        <w:rPr>
          <w:rFonts w:ascii="Times New Roman" w:hAnsi="Times New Roman" w:cs="Times New Roman"/>
        </w:rPr>
        <w:t>Breach-notification timeframes;</w:t>
      </w:r>
    </w:p>
    <w:p w14:paraId="6FE507F2" w14:textId="77777777" w:rsidR="00F71B79" w:rsidRPr="007C70A3" w:rsidRDefault="00F71B79" w:rsidP="007C70A3">
      <w:pPr>
        <w:pStyle w:val="ListParagraph"/>
        <w:numPr>
          <w:ilvl w:val="0"/>
          <w:numId w:val="11"/>
        </w:numPr>
        <w:rPr>
          <w:rFonts w:ascii="Times New Roman" w:hAnsi="Times New Roman" w:cs="Times New Roman"/>
        </w:rPr>
      </w:pPr>
      <w:r w:rsidRPr="007C70A3">
        <w:rPr>
          <w:rFonts w:ascii="Times New Roman" w:hAnsi="Times New Roman" w:cs="Times New Roman"/>
        </w:rPr>
        <w:t>Right to audit;</w:t>
      </w:r>
    </w:p>
    <w:p w14:paraId="406EB62A" w14:textId="77777777" w:rsidR="00F71B79" w:rsidRPr="007C70A3" w:rsidRDefault="00F71B79" w:rsidP="007C70A3">
      <w:pPr>
        <w:pStyle w:val="ListParagraph"/>
        <w:numPr>
          <w:ilvl w:val="0"/>
          <w:numId w:val="11"/>
        </w:numPr>
        <w:rPr>
          <w:rFonts w:ascii="Times New Roman" w:hAnsi="Times New Roman" w:cs="Times New Roman"/>
        </w:rPr>
      </w:pPr>
      <w:r w:rsidRPr="007C70A3">
        <w:rPr>
          <w:rFonts w:ascii="Times New Roman" w:hAnsi="Times New Roman" w:cs="Times New Roman"/>
        </w:rPr>
        <w:t>Sub-processor transparency;</w:t>
      </w:r>
    </w:p>
    <w:p w14:paraId="724F4EC8" w14:textId="77777777" w:rsidR="00F71B79" w:rsidRPr="007C70A3" w:rsidRDefault="00F71B79" w:rsidP="007C70A3">
      <w:pPr>
        <w:pStyle w:val="ListParagraph"/>
        <w:numPr>
          <w:ilvl w:val="0"/>
          <w:numId w:val="11"/>
        </w:numPr>
        <w:rPr>
          <w:rFonts w:ascii="Times New Roman" w:hAnsi="Times New Roman" w:cs="Times New Roman"/>
        </w:rPr>
      </w:pPr>
      <w:r w:rsidRPr="007C70A3">
        <w:rPr>
          <w:rFonts w:ascii="Times New Roman" w:hAnsi="Times New Roman" w:cs="Times New Roman"/>
        </w:rPr>
        <w:t>Punishment on failure to comply;</w:t>
      </w:r>
    </w:p>
    <w:p w14:paraId="678E5394" w14:textId="77777777" w:rsidR="00F71B79" w:rsidRPr="007C70A3" w:rsidRDefault="00F71B79" w:rsidP="007C70A3">
      <w:pPr>
        <w:pStyle w:val="ListParagraph"/>
        <w:numPr>
          <w:ilvl w:val="0"/>
          <w:numId w:val="11"/>
        </w:numPr>
        <w:rPr>
          <w:rFonts w:ascii="Times New Roman" w:hAnsi="Times New Roman" w:cs="Times New Roman"/>
        </w:rPr>
      </w:pPr>
      <w:r w:rsidRPr="007C70A3">
        <w:rPr>
          <w:rFonts w:ascii="Times New Roman" w:hAnsi="Times New Roman" w:cs="Times New Roman"/>
        </w:rPr>
        <w:t>Ownership of cryptographic keys;</w:t>
      </w:r>
    </w:p>
    <w:p w14:paraId="5A293798" w14:textId="77777777" w:rsidR="00F71B79" w:rsidRPr="007C70A3" w:rsidRDefault="00F71B79" w:rsidP="007C70A3">
      <w:pPr>
        <w:pStyle w:val="ListParagraph"/>
        <w:numPr>
          <w:ilvl w:val="0"/>
          <w:numId w:val="11"/>
        </w:numPr>
        <w:rPr>
          <w:rFonts w:ascii="Times New Roman" w:hAnsi="Times New Roman" w:cs="Times New Roman"/>
        </w:rPr>
      </w:pPr>
      <w:r w:rsidRPr="007C70A3">
        <w:rPr>
          <w:rFonts w:ascii="Times New Roman" w:hAnsi="Times New Roman" w:cs="Times New Roman"/>
        </w:rPr>
        <w:t xml:space="preserve">Exit and data-deletion processes </w:t>
      </w:r>
      <w:sdt>
        <w:sdtPr>
          <w:rPr>
            <w:rFonts w:ascii="Times New Roman" w:hAnsi="Times New Roman" w:cs="Times New Roman"/>
            <w:color w:val="000000"/>
          </w:rPr>
          <w:tag w:val="MENDELEY_CITATION_v3_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"/>
          <w:id w:val="689418655"/>
          <w:placeholder>
            <w:docPart w:val="DefaultPlaceholder_-1854013440"/>
          </w:placeholder>
        </w:sdtPr>
        <w:sdtEndPr/>
        <w:sdtContent>
          <w:r w:rsidR="00F0465D" w:rsidRPr="007C70A3">
            <w:rPr>
              <w:rFonts w:ascii="Times New Roman" w:hAnsi="Times New Roman" w:cs="Times New Roman"/>
              <w:color w:val="000000"/>
            </w:rPr>
            <w:t>(isms.online, 2023)</w:t>
          </w:r>
        </w:sdtContent>
      </w:sdt>
      <w:r w:rsidRPr="007C70A3">
        <w:rPr>
          <w:rFonts w:ascii="Times New Roman" w:hAnsi="Times New Roman" w:cs="Times New Roman"/>
        </w:rPr>
        <w:t>.</w:t>
      </w:r>
    </w:p>
    <w:p w14:paraId="7A46B275"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Onboarding is preceded by third-party risk assessment where annual re-certification takes place.</w:t>
      </w:r>
    </w:p>
    <w:p w14:paraId="05393675" w14:textId="77777777" w:rsidR="00F71B79" w:rsidRPr="007C70A3" w:rsidRDefault="00F71B79" w:rsidP="007C70A3">
      <w:pPr>
        <w:pStyle w:val="Heading2"/>
        <w:rPr>
          <w:rFonts w:ascii="Times New Roman" w:hAnsi="Times New Roman" w:cs="Times New Roman"/>
        </w:rPr>
      </w:pPr>
      <w:bookmarkStart w:id="39" w:name="_Toc213350685"/>
      <w:r w:rsidRPr="007C70A3">
        <w:rPr>
          <w:rFonts w:ascii="Times New Roman" w:hAnsi="Times New Roman" w:cs="Times New Roman"/>
        </w:rPr>
        <w:t xml:space="preserve">Metrics, </w:t>
      </w:r>
      <w:r w:rsidR="00166362" w:rsidRPr="007C70A3">
        <w:rPr>
          <w:rFonts w:ascii="Times New Roman" w:hAnsi="Times New Roman" w:cs="Times New Roman"/>
        </w:rPr>
        <w:t xml:space="preserve">Assurance </w:t>
      </w:r>
      <w:r w:rsidRPr="007C70A3">
        <w:rPr>
          <w:rFonts w:ascii="Times New Roman" w:hAnsi="Times New Roman" w:cs="Times New Roman"/>
        </w:rPr>
        <w:t xml:space="preserve">and </w:t>
      </w:r>
      <w:r w:rsidR="00166362" w:rsidRPr="007C70A3">
        <w:rPr>
          <w:rFonts w:ascii="Times New Roman" w:hAnsi="Times New Roman" w:cs="Times New Roman"/>
        </w:rPr>
        <w:t>Continual Improvement</w:t>
      </w:r>
      <w:bookmarkEnd w:id="39"/>
    </w:p>
    <w:p w14:paraId="7EEAD508"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Following the model of performance management suggested by COBIT, NG can have a governance dashboard with the capability level (0-5) of every CSF function. Under ISO 27001 Clause 9.3, management reviews are fed using monthly measures. Checks on conformity are done through independent internal audits; the results initiate corrective measures. The management reviews are done on an annual basis to evaluate residual risk and resource adequacy.</w:t>
      </w:r>
      <w:r w:rsidR="00B77E37" w:rsidRPr="007C70A3">
        <w:rPr>
          <w:rFonts w:ascii="Times New Roman" w:hAnsi="Times New Roman" w:cs="Times New Roman"/>
        </w:rPr>
        <w:t xml:space="preserve"> </w:t>
      </w:r>
      <w:r w:rsidRPr="007C70A3">
        <w:rPr>
          <w:rFonts w:ascii="Times New Roman" w:hAnsi="Times New Roman" w:cs="Times New Roman"/>
        </w:rPr>
        <w:t>The mechanisms of continuous-improvement involve:</w:t>
      </w:r>
    </w:p>
    <w:p w14:paraId="11FB8C65" w14:textId="77777777" w:rsidR="00F71B79" w:rsidRPr="007C70A3" w:rsidRDefault="00F71B79" w:rsidP="007C70A3">
      <w:pPr>
        <w:pStyle w:val="ListParagraph"/>
        <w:numPr>
          <w:ilvl w:val="0"/>
          <w:numId w:val="12"/>
        </w:numPr>
        <w:rPr>
          <w:rFonts w:ascii="Times New Roman" w:hAnsi="Times New Roman" w:cs="Times New Roman"/>
        </w:rPr>
      </w:pPr>
      <w:r w:rsidRPr="007C70A3">
        <w:rPr>
          <w:rFonts w:ascii="Times New Roman" w:hAnsi="Times New Roman" w:cs="Times New Roman"/>
        </w:rPr>
        <w:t>Quarterly policy review in line with the emerging threats;</w:t>
      </w:r>
    </w:p>
    <w:p w14:paraId="7A45B529" w14:textId="77777777" w:rsidR="00F71B79" w:rsidRPr="007C70A3" w:rsidRDefault="00F71B79" w:rsidP="007C70A3">
      <w:pPr>
        <w:pStyle w:val="ListParagraph"/>
        <w:numPr>
          <w:ilvl w:val="0"/>
          <w:numId w:val="12"/>
        </w:numPr>
        <w:rPr>
          <w:rFonts w:ascii="Times New Roman" w:hAnsi="Times New Roman" w:cs="Times New Roman"/>
        </w:rPr>
      </w:pPr>
      <w:r w:rsidRPr="007C70A3">
        <w:rPr>
          <w:rFonts w:ascii="Times New Roman" w:hAnsi="Times New Roman" w:cs="Times New Roman"/>
        </w:rPr>
        <w:t>Incorporation of the threat intelligence into risk measurements;</w:t>
      </w:r>
    </w:p>
    <w:p w14:paraId="5F43E81E" w14:textId="77777777" w:rsidR="00F71B79" w:rsidRPr="007C70A3" w:rsidRDefault="00F71B79" w:rsidP="007C70A3">
      <w:pPr>
        <w:pStyle w:val="ListParagraph"/>
        <w:numPr>
          <w:ilvl w:val="0"/>
          <w:numId w:val="12"/>
        </w:numPr>
        <w:rPr>
          <w:rFonts w:ascii="Times New Roman" w:hAnsi="Times New Roman" w:cs="Times New Roman"/>
        </w:rPr>
      </w:pPr>
      <w:r w:rsidRPr="007C70A3">
        <w:rPr>
          <w:rFonts w:ascii="Times New Roman" w:hAnsi="Times New Roman" w:cs="Times New Roman"/>
        </w:rPr>
        <w:t>Comparison of industry counterparts based on maturity tiers of the CSFs.</w:t>
      </w:r>
    </w:p>
    <w:p w14:paraId="4B2CBB69" w14:textId="77777777" w:rsidR="00166362" w:rsidRPr="007C70A3" w:rsidRDefault="00166362" w:rsidP="007C70A3">
      <w:pPr>
        <w:rPr>
          <w:rFonts w:ascii="Times New Roman" w:hAnsi="Times New Roman" w:cs="Times New Roman"/>
        </w:rPr>
      </w:pPr>
      <w:r w:rsidRPr="007C70A3">
        <w:rPr>
          <w:rFonts w:ascii="Times New Roman" w:hAnsi="Times New Roman" w:cs="Times New Roman"/>
          <w:b/>
          <w:bCs/>
        </w:rPr>
        <w:lastRenderedPageBreak/>
        <w:t>Table 2 Alignment of NG’s risks to frameworks and controls</w:t>
      </w:r>
    </w:p>
    <w:tbl>
      <w:tblPr>
        <w:tblStyle w:val="TableGridLight"/>
        <w:tblW w:w="0" w:type="auto"/>
        <w:tblLook w:val="04A0" w:firstRow="1" w:lastRow="0" w:firstColumn="1" w:lastColumn="0" w:noHBand="0" w:noVBand="1"/>
      </w:tblPr>
      <w:tblGrid>
        <w:gridCol w:w="2481"/>
        <w:gridCol w:w="3332"/>
        <w:gridCol w:w="3917"/>
      </w:tblGrid>
      <w:tr w:rsidR="00166362" w:rsidRPr="007C70A3" w14:paraId="5A3B135C" w14:textId="77777777" w:rsidTr="00B77E37">
        <w:tc>
          <w:tcPr>
            <w:tcW w:w="0" w:type="auto"/>
            <w:vAlign w:val="center"/>
            <w:hideMark/>
          </w:tcPr>
          <w:p w14:paraId="0E1E964C" w14:textId="77777777" w:rsidR="00166362" w:rsidRPr="007C70A3" w:rsidRDefault="00166362" w:rsidP="007C70A3">
            <w:pPr>
              <w:jc w:val="left"/>
              <w:rPr>
                <w:rFonts w:ascii="Times New Roman" w:hAnsi="Times New Roman" w:cs="Times New Roman"/>
                <w:b/>
                <w:bCs/>
              </w:rPr>
            </w:pPr>
            <w:r w:rsidRPr="007C70A3">
              <w:rPr>
                <w:rFonts w:ascii="Times New Roman" w:hAnsi="Times New Roman" w:cs="Times New Roman"/>
                <w:b/>
                <w:bCs/>
              </w:rPr>
              <w:t>Key Challenge</w:t>
            </w:r>
          </w:p>
        </w:tc>
        <w:tc>
          <w:tcPr>
            <w:tcW w:w="0" w:type="auto"/>
            <w:vAlign w:val="center"/>
            <w:hideMark/>
          </w:tcPr>
          <w:p w14:paraId="46788B58" w14:textId="77777777" w:rsidR="00166362" w:rsidRPr="007C70A3" w:rsidRDefault="00166362" w:rsidP="007C70A3">
            <w:pPr>
              <w:jc w:val="left"/>
              <w:rPr>
                <w:rFonts w:ascii="Times New Roman" w:hAnsi="Times New Roman" w:cs="Times New Roman"/>
                <w:b/>
                <w:bCs/>
              </w:rPr>
            </w:pPr>
            <w:r w:rsidRPr="007C70A3">
              <w:rPr>
                <w:rFonts w:ascii="Times New Roman" w:hAnsi="Times New Roman" w:cs="Times New Roman"/>
                <w:b/>
                <w:bCs/>
              </w:rPr>
              <w:t>Framework Mapped</w:t>
            </w:r>
          </w:p>
        </w:tc>
        <w:tc>
          <w:tcPr>
            <w:tcW w:w="0" w:type="auto"/>
            <w:vAlign w:val="center"/>
            <w:hideMark/>
          </w:tcPr>
          <w:p w14:paraId="19868F7B" w14:textId="77777777" w:rsidR="00166362" w:rsidRPr="007C70A3" w:rsidRDefault="00166362" w:rsidP="007C70A3">
            <w:pPr>
              <w:jc w:val="left"/>
              <w:rPr>
                <w:rFonts w:ascii="Times New Roman" w:hAnsi="Times New Roman" w:cs="Times New Roman"/>
                <w:b/>
                <w:bCs/>
              </w:rPr>
            </w:pPr>
            <w:r w:rsidRPr="007C70A3">
              <w:rPr>
                <w:rFonts w:ascii="Times New Roman" w:hAnsi="Times New Roman" w:cs="Times New Roman"/>
                <w:b/>
                <w:bCs/>
              </w:rPr>
              <w:t>Control Cluster / Outcome</w:t>
            </w:r>
          </w:p>
        </w:tc>
      </w:tr>
      <w:tr w:rsidR="00166362" w:rsidRPr="007C70A3" w14:paraId="029FE352" w14:textId="77777777" w:rsidTr="00B77E37">
        <w:tc>
          <w:tcPr>
            <w:tcW w:w="0" w:type="auto"/>
            <w:vAlign w:val="center"/>
            <w:hideMark/>
          </w:tcPr>
          <w:p w14:paraId="27629AAC" w14:textId="77777777" w:rsidR="00166362" w:rsidRPr="007C70A3" w:rsidRDefault="00166362" w:rsidP="007C70A3">
            <w:pPr>
              <w:jc w:val="left"/>
              <w:rPr>
                <w:rFonts w:ascii="Times New Roman" w:hAnsi="Times New Roman" w:cs="Times New Roman"/>
              </w:rPr>
            </w:pPr>
            <w:r w:rsidRPr="007C70A3">
              <w:rPr>
                <w:rFonts w:ascii="Times New Roman" w:hAnsi="Times New Roman" w:cs="Times New Roman"/>
              </w:rPr>
              <w:t>BYOD &amp; wireless exposure</w:t>
            </w:r>
          </w:p>
        </w:tc>
        <w:tc>
          <w:tcPr>
            <w:tcW w:w="0" w:type="auto"/>
            <w:vAlign w:val="center"/>
            <w:hideMark/>
          </w:tcPr>
          <w:p w14:paraId="0CD481B1" w14:textId="77777777" w:rsidR="00166362" w:rsidRPr="007C70A3" w:rsidRDefault="00166362" w:rsidP="007C70A3">
            <w:pPr>
              <w:jc w:val="left"/>
              <w:rPr>
                <w:rFonts w:ascii="Times New Roman" w:hAnsi="Times New Roman" w:cs="Times New Roman"/>
              </w:rPr>
            </w:pPr>
            <w:r w:rsidRPr="007C70A3">
              <w:rPr>
                <w:rFonts w:ascii="Times New Roman" w:hAnsi="Times New Roman" w:cs="Times New Roman"/>
              </w:rPr>
              <w:t>Zero Trust (SP 800-207), ISO 27001 A 8.1</w:t>
            </w:r>
          </w:p>
        </w:tc>
        <w:tc>
          <w:tcPr>
            <w:tcW w:w="0" w:type="auto"/>
            <w:vAlign w:val="center"/>
            <w:hideMark/>
          </w:tcPr>
          <w:p w14:paraId="4F802889" w14:textId="77777777" w:rsidR="00166362" w:rsidRPr="007C70A3" w:rsidRDefault="00166362" w:rsidP="007C70A3">
            <w:pPr>
              <w:jc w:val="left"/>
              <w:rPr>
                <w:rFonts w:ascii="Times New Roman" w:hAnsi="Times New Roman" w:cs="Times New Roman"/>
              </w:rPr>
            </w:pPr>
            <w:r w:rsidRPr="007C70A3">
              <w:rPr>
                <w:rFonts w:ascii="Times New Roman" w:hAnsi="Times New Roman" w:cs="Times New Roman"/>
              </w:rPr>
              <w:t>Conditional access, MDM/UEM, per-app VPN</w:t>
            </w:r>
          </w:p>
        </w:tc>
      </w:tr>
      <w:tr w:rsidR="00166362" w:rsidRPr="007C70A3" w14:paraId="140B985D" w14:textId="77777777" w:rsidTr="00B77E37">
        <w:tc>
          <w:tcPr>
            <w:tcW w:w="0" w:type="auto"/>
            <w:vAlign w:val="center"/>
            <w:hideMark/>
          </w:tcPr>
          <w:p w14:paraId="4AE06235" w14:textId="77777777" w:rsidR="00166362" w:rsidRPr="007C70A3" w:rsidRDefault="00166362" w:rsidP="007C70A3">
            <w:pPr>
              <w:jc w:val="left"/>
              <w:rPr>
                <w:rFonts w:ascii="Times New Roman" w:hAnsi="Times New Roman" w:cs="Times New Roman"/>
              </w:rPr>
            </w:pPr>
            <w:r w:rsidRPr="007C70A3">
              <w:rPr>
                <w:rFonts w:ascii="Times New Roman" w:hAnsi="Times New Roman" w:cs="Times New Roman"/>
              </w:rPr>
              <w:t>Cloud misconfigurations</w:t>
            </w:r>
          </w:p>
        </w:tc>
        <w:tc>
          <w:tcPr>
            <w:tcW w:w="0" w:type="auto"/>
            <w:vAlign w:val="center"/>
            <w:hideMark/>
          </w:tcPr>
          <w:p w14:paraId="1D24658C" w14:textId="77777777" w:rsidR="00166362" w:rsidRPr="007C70A3" w:rsidRDefault="00166362" w:rsidP="007C70A3">
            <w:pPr>
              <w:jc w:val="left"/>
              <w:rPr>
                <w:rFonts w:ascii="Times New Roman" w:hAnsi="Times New Roman" w:cs="Times New Roman"/>
              </w:rPr>
            </w:pPr>
            <w:r w:rsidRPr="007C70A3">
              <w:rPr>
                <w:rFonts w:ascii="Times New Roman" w:hAnsi="Times New Roman" w:cs="Times New Roman"/>
              </w:rPr>
              <w:t>ISO 27001 A 5.23, NIST CSF Protect</w:t>
            </w:r>
          </w:p>
        </w:tc>
        <w:tc>
          <w:tcPr>
            <w:tcW w:w="0" w:type="auto"/>
            <w:vAlign w:val="center"/>
            <w:hideMark/>
          </w:tcPr>
          <w:p w14:paraId="1858719F" w14:textId="77777777" w:rsidR="00166362" w:rsidRPr="007C70A3" w:rsidRDefault="00166362" w:rsidP="007C70A3">
            <w:pPr>
              <w:jc w:val="left"/>
              <w:rPr>
                <w:rFonts w:ascii="Times New Roman" w:hAnsi="Times New Roman" w:cs="Times New Roman"/>
              </w:rPr>
            </w:pPr>
            <w:r w:rsidRPr="007C70A3">
              <w:rPr>
                <w:rFonts w:ascii="Times New Roman" w:hAnsi="Times New Roman" w:cs="Times New Roman"/>
              </w:rPr>
              <w:t>CSPM, CIEM, key management, vendor assurance</w:t>
            </w:r>
          </w:p>
        </w:tc>
      </w:tr>
      <w:tr w:rsidR="00166362" w:rsidRPr="007C70A3" w14:paraId="711B24CA" w14:textId="77777777" w:rsidTr="00B77E37">
        <w:tc>
          <w:tcPr>
            <w:tcW w:w="0" w:type="auto"/>
            <w:vAlign w:val="center"/>
            <w:hideMark/>
          </w:tcPr>
          <w:p w14:paraId="1BE0D2B9" w14:textId="77777777" w:rsidR="00166362" w:rsidRPr="007C70A3" w:rsidRDefault="00166362" w:rsidP="007C70A3">
            <w:pPr>
              <w:jc w:val="left"/>
              <w:rPr>
                <w:rFonts w:ascii="Times New Roman" w:hAnsi="Times New Roman" w:cs="Times New Roman"/>
              </w:rPr>
            </w:pPr>
            <w:r w:rsidRPr="007C70A3">
              <w:rPr>
                <w:rFonts w:ascii="Times New Roman" w:hAnsi="Times New Roman" w:cs="Times New Roman"/>
              </w:rPr>
              <w:t>Privacy compliance</w:t>
            </w:r>
          </w:p>
        </w:tc>
        <w:tc>
          <w:tcPr>
            <w:tcW w:w="0" w:type="auto"/>
            <w:vAlign w:val="center"/>
            <w:hideMark/>
          </w:tcPr>
          <w:p w14:paraId="1B00B9C2" w14:textId="77777777" w:rsidR="00166362" w:rsidRPr="007C70A3" w:rsidRDefault="00166362" w:rsidP="007C70A3">
            <w:pPr>
              <w:jc w:val="left"/>
              <w:rPr>
                <w:rFonts w:ascii="Times New Roman" w:hAnsi="Times New Roman" w:cs="Times New Roman"/>
              </w:rPr>
            </w:pPr>
            <w:r w:rsidRPr="007C70A3">
              <w:rPr>
                <w:rFonts w:ascii="Times New Roman" w:hAnsi="Times New Roman" w:cs="Times New Roman"/>
              </w:rPr>
              <w:t>ISO 27701, GDPR</w:t>
            </w:r>
          </w:p>
        </w:tc>
        <w:tc>
          <w:tcPr>
            <w:tcW w:w="0" w:type="auto"/>
            <w:vAlign w:val="center"/>
            <w:hideMark/>
          </w:tcPr>
          <w:p w14:paraId="05E303F3" w14:textId="77777777" w:rsidR="00166362" w:rsidRPr="007C70A3" w:rsidRDefault="00166362" w:rsidP="007C70A3">
            <w:pPr>
              <w:jc w:val="left"/>
              <w:rPr>
                <w:rFonts w:ascii="Times New Roman" w:hAnsi="Times New Roman" w:cs="Times New Roman"/>
              </w:rPr>
            </w:pPr>
            <w:r w:rsidRPr="007C70A3">
              <w:rPr>
                <w:rFonts w:ascii="Times New Roman" w:hAnsi="Times New Roman" w:cs="Times New Roman"/>
              </w:rPr>
              <w:t>DPIAs, ROPA, subject-rights workflow</w:t>
            </w:r>
          </w:p>
        </w:tc>
      </w:tr>
      <w:tr w:rsidR="00166362" w:rsidRPr="007C70A3" w14:paraId="64D73F8F" w14:textId="77777777" w:rsidTr="00B77E37">
        <w:tc>
          <w:tcPr>
            <w:tcW w:w="0" w:type="auto"/>
            <w:vAlign w:val="center"/>
            <w:hideMark/>
          </w:tcPr>
          <w:p w14:paraId="395F5D55" w14:textId="77777777" w:rsidR="00166362" w:rsidRPr="007C70A3" w:rsidRDefault="00166362" w:rsidP="007C70A3">
            <w:pPr>
              <w:jc w:val="left"/>
              <w:rPr>
                <w:rFonts w:ascii="Times New Roman" w:hAnsi="Times New Roman" w:cs="Times New Roman"/>
              </w:rPr>
            </w:pPr>
            <w:r w:rsidRPr="007C70A3">
              <w:rPr>
                <w:rFonts w:ascii="Times New Roman" w:hAnsi="Times New Roman" w:cs="Times New Roman"/>
              </w:rPr>
              <w:t>Ransomware / continuity</w:t>
            </w:r>
          </w:p>
        </w:tc>
        <w:tc>
          <w:tcPr>
            <w:tcW w:w="0" w:type="auto"/>
            <w:vAlign w:val="center"/>
            <w:hideMark/>
          </w:tcPr>
          <w:p w14:paraId="1A8C5AC6" w14:textId="77777777" w:rsidR="00166362" w:rsidRPr="007C70A3" w:rsidRDefault="00166362" w:rsidP="007C70A3">
            <w:pPr>
              <w:jc w:val="left"/>
              <w:rPr>
                <w:rFonts w:ascii="Times New Roman" w:hAnsi="Times New Roman" w:cs="Times New Roman"/>
              </w:rPr>
            </w:pPr>
            <w:r w:rsidRPr="007C70A3">
              <w:rPr>
                <w:rFonts w:ascii="Times New Roman" w:hAnsi="Times New Roman" w:cs="Times New Roman"/>
              </w:rPr>
              <w:t>ISO 22301, NIST CSF Recover</w:t>
            </w:r>
          </w:p>
        </w:tc>
        <w:tc>
          <w:tcPr>
            <w:tcW w:w="0" w:type="auto"/>
            <w:vAlign w:val="center"/>
            <w:hideMark/>
          </w:tcPr>
          <w:p w14:paraId="1583300E" w14:textId="77777777" w:rsidR="00166362" w:rsidRPr="007C70A3" w:rsidRDefault="00166362" w:rsidP="007C70A3">
            <w:pPr>
              <w:jc w:val="left"/>
              <w:rPr>
                <w:rFonts w:ascii="Times New Roman" w:hAnsi="Times New Roman" w:cs="Times New Roman"/>
              </w:rPr>
            </w:pPr>
            <w:r w:rsidRPr="007C70A3">
              <w:rPr>
                <w:rFonts w:ascii="Times New Roman" w:hAnsi="Times New Roman" w:cs="Times New Roman"/>
              </w:rPr>
              <w:t>Immutable backups, BIA, tested BC/DR plan</w:t>
            </w:r>
          </w:p>
        </w:tc>
      </w:tr>
      <w:tr w:rsidR="00166362" w:rsidRPr="007C70A3" w14:paraId="708C5704" w14:textId="77777777" w:rsidTr="00B77E37">
        <w:tc>
          <w:tcPr>
            <w:tcW w:w="0" w:type="auto"/>
            <w:vAlign w:val="center"/>
            <w:hideMark/>
          </w:tcPr>
          <w:p w14:paraId="30AE2CD0" w14:textId="77777777" w:rsidR="00166362" w:rsidRPr="007C70A3" w:rsidRDefault="00166362" w:rsidP="007C70A3">
            <w:pPr>
              <w:jc w:val="left"/>
              <w:rPr>
                <w:rFonts w:ascii="Times New Roman" w:hAnsi="Times New Roman" w:cs="Times New Roman"/>
              </w:rPr>
            </w:pPr>
            <w:r w:rsidRPr="007C70A3">
              <w:rPr>
                <w:rFonts w:ascii="Times New Roman" w:hAnsi="Times New Roman" w:cs="Times New Roman"/>
              </w:rPr>
              <w:t>Weak governance</w:t>
            </w:r>
          </w:p>
        </w:tc>
        <w:tc>
          <w:tcPr>
            <w:tcW w:w="0" w:type="auto"/>
            <w:vAlign w:val="center"/>
            <w:hideMark/>
          </w:tcPr>
          <w:p w14:paraId="24F9F591" w14:textId="77777777" w:rsidR="00166362" w:rsidRPr="007C70A3" w:rsidRDefault="00166362" w:rsidP="007C70A3">
            <w:pPr>
              <w:jc w:val="left"/>
              <w:rPr>
                <w:rFonts w:ascii="Times New Roman" w:hAnsi="Times New Roman" w:cs="Times New Roman"/>
              </w:rPr>
            </w:pPr>
            <w:r w:rsidRPr="007C70A3">
              <w:rPr>
                <w:rFonts w:ascii="Times New Roman" w:hAnsi="Times New Roman" w:cs="Times New Roman"/>
              </w:rPr>
              <w:t>NIST CSF Govern, COBIT 2019</w:t>
            </w:r>
          </w:p>
        </w:tc>
        <w:tc>
          <w:tcPr>
            <w:tcW w:w="0" w:type="auto"/>
            <w:vAlign w:val="center"/>
            <w:hideMark/>
          </w:tcPr>
          <w:p w14:paraId="244E7286" w14:textId="77777777" w:rsidR="00166362" w:rsidRPr="007C70A3" w:rsidRDefault="00166362" w:rsidP="007C70A3">
            <w:pPr>
              <w:jc w:val="left"/>
              <w:rPr>
                <w:rFonts w:ascii="Times New Roman" w:hAnsi="Times New Roman" w:cs="Times New Roman"/>
              </w:rPr>
            </w:pPr>
            <w:r w:rsidRPr="007C70A3">
              <w:rPr>
                <w:rFonts w:ascii="Times New Roman" w:hAnsi="Times New Roman" w:cs="Times New Roman"/>
              </w:rPr>
              <w:t>Board oversight, KPIs, maturity dashboard</w:t>
            </w:r>
          </w:p>
        </w:tc>
      </w:tr>
    </w:tbl>
    <w:p w14:paraId="52F33A93" w14:textId="77777777" w:rsidR="00F71B79" w:rsidRPr="007C70A3" w:rsidRDefault="00F71B79" w:rsidP="007C70A3">
      <w:pPr>
        <w:spacing w:before="240"/>
        <w:rPr>
          <w:rFonts w:ascii="Times New Roman" w:hAnsi="Times New Roman" w:cs="Times New Roman"/>
        </w:rPr>
      </w:pPr>
      <w:r w:rsidRPr="007C70A3">
        <w:rPr>
          <w:rFonts w:ascii="Times New Roman" w:hAnsi="Times New Roman" w:cs="Times New Roman"/>
        </w:rPr>
        <w:t>This cohesive architecture incorporates governance into the organisational DNA of NG, but it still maintains agility and scalability. It transforms compliance as a cost of reaction to a competitive advantage that is an indication of trust to the regulators, partners and the consumers. The second part will then take a critical look at the justification of the constant development of standards and regulations, and that it is only through adaptive governance that we stand a chance of survival in a threat environment of volatility and speed.</w:t>
      </w:r>
    </w:p>
    <w:p w14:paraId="581AF8A3" w14:textId="77777777" w:rsidR="00F71B79" w:rsidRPr="007C70A3" w:rsidRDefault="00F71B79" w:rsidP="007C70A3">
      <w:pPr>
        <w:pStyle w:val="Heading1"/>
        <w:rPr>
          <w:rFonts w:ascii="Times New Roman" w:hAnsi="Times New Roman" w:cs="Times New Roman"/>
        </w:rPr>
      </w:pPr>
      <w:bookmarkStart w:id="40" w:name="_Toc213350686"/>
      <w:r w:rsidRPr="007C70A3">
        <w:rPr>
          <w:rFonts w:ascii="Times New Roman" w:hAnsi="Times New Roman" w:cs="Times New Roman"/>
        </w:rPr>
        <w:t>Critical Discussion</w:t>
      </w:r>
      <w:bookmarkEnd w:id="40"/>
    </w:p>
    <w:p w14:paraId="1DC159E3"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 xml:space="preserve">Historically, the frameworks of cybersecurity were updated every decadal cycle, yet the threat environment develops much faster, and such a rhythm is no longer feasible. The supply-chain breaches, AI-assisted phishing, and ransomware-as-a-service are the new attack vectors in use, which undermine the set of control </w:t>
      </w:r>
      <w:sdt>
        <w:sdtPr>
          <w:rPr>
            <w:rFonts w:ascii="Times New Roman" w:hAnsi="Times New Roman" w:cs="Times New Roman"/>
            <w:color w:val="000000"/>
          </w:rPr>
          <w:tag w:val="MENDELEY_CITATION_v3_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"/>
          <w:id w:val="-334692564"/>
          <w:placeholder>
            <w:docPart w:val="DefaultPlaceholder_-1854013440"/>
          </w:placeholder>
        </w:sdtPr>
        <w:sdtEndPr/>
        <w:sdtContent>
          <w:r w:rsidR="00F0465D" w:rsidRPr="007C70A3">
            <w:rPr>
              <w:rFonts w:ascii="Times New Roman" w:hAnsi="Times New Roman" w:cs="Times New Roman"/>
              <w:color w:val="000000"/>
            </w:rPr>
            <w:t>(IBM, 2024)</w:t>
          </w:r>
        </w:sdtContent>
      </w:sdt>
      <w:r w:rsidRPr="007C70A3">
        <w:rPr>
          <w:rFonts w:ascii="Times New Roman" w:hAnsi="Times New Roman" w:cs="Times New Roman"/>
        </w:rPr>
        <w:t xml:space="preserve">. The case of the 2024 breach on the UK Electoral Commission due to unpatched software and lack of multi-factor authentication proves that adherence to the legacy standards does not offer any protection when the opponents are more innovative than the rules </w:t>
      </w:r>
      <w:sdt>
        <w:sdtPr>
          <w:rPr>
            <w:rFonts w:ascii="Times New Roman" w:hAnsi="Times New Roman" w:cs="Times New Roman"/>
            <w:color w:val="000000"/>
          </w:rPr>
          <w:tag w:val="MENDELEY_CITATION_v3_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"/>
          <w:id w:val="-236016764"/>
          <w:placeholder>
            <w:docPart w:val="DefaultPlaceholder_-1854013440"/>
          </w:placeholder>
        </w:sdtPr>
        <w:sdtEndPr/>
        <w:sdtContent>
          <w:r w:rsidR="00F0465D" w:rsidRPr="007C70A3">
            <w:rPr>
              <w:rFonts w:ascii="Times New Roman" w:hAnsi="Times New Roman" w:cs="Times New Roman"/>
              <w:color w:val="000000"/>
            </w:rPr>
            <w:t>(The Guardian, 2024)</w:t>
          </w:r>
        </w:sdtContent>
      </w:sdt>
      <w:r w:rsidRPr="007C70A3">
        <w:rPr>
          <w:rFonts w:ascii="Times New Roman" w:hAnsi="Times New Roman" w:cs="Times New Roman"/>
        </w:rPr>
        <w:t xml:space="preserve">. The episode highlights the need to have a living model of governance, the policies and standards adapt together with the adversarial capability.The changes between the ISO/IEC 27001:2013 and 2022 are an illustration of shifting towards agility: control consolidation, introduction of new categories of cloud services (5.23) and endpoint devices (8.1), and linking them in a clear connection with the organisational context </w:t>
      </w:r>
      <w:sdt>
        <w:sdtPr>
          <w:rPr>
            <w:rFonts w:ascii="Times New Roman" w:hAnsi="Times New Roman" w:cs="Times New Roman"/>
            <w:color w:val="000000"/>
          </w:rPr>
          <w:tag w:val="MENDELEY_CITATION_v3_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"/>
          <w:id w:val="-2135542772"/>
          <w:placeholder>
            <w:docPart w:val="DefaultPlaceholder_-1854013440"/>
          </w:placeholder>
        </w:sdtPr>
        <w:sdtEndPr/>
        <w:sdtContent>
          <w:r w:rsidR="00F0465D" w:rsidRPr="007C70A3">
            <w:rPr>
              <w:rFonts w:ascii="Times New Roman" w:hAnsi="Times New Roman" w:cs="Times New Roman"/>
              <w:color w:val="000000"/>
            </w:rPr>
            <w:t>(IT Governance, 2024)</w:t>
          </w:r>
        </w:sdtContent>
      </w:sdt>
      <w:r w:rsidRPr="007C70A3">
        <w:rPr>
          <w:rFonts w:ascii="Times New Roman" w:hAnsi="Times New Roman" w:cs="Times New Roman"/>
        </w:rPr>
        <w:t xml:space="preserve">. In the same way, NIST CSF 2.0 (2024) has added a new Govern function, which focuses on board responsibility and results </w:t>
      </w:r>
      <w:sdt>
        <w:sdtPr>
          <w:rPr>
            <w:rFonts w:ascii="Times New Roman" w:hAnsi="Times New Roman" w:cs="Times New Roman"/>
            <w:color w:val="000000"/>
          </w:rPr>
          <w:tag w:val="MENDELEY_CITATION_v3_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"/>
          <w:id w:val="-1992931882"/>
          <w:placeholder>
            <w:docPart w:val="DefaultPlaceholder_-1854013440"/>
          </w:placeholder>
        </w:sdtPr>
        <w:sdtEndPr/>
        <w:sdtContent>
          <w:r w:rsidR="00F0465D" w:rsidRPr="007C70A3">
            <w:rPr>
              <w:rFonts w:ascii="Times New Roman" w:hAnsi="Times New Roman" w:cs="Times New Roman"/>
              <w:color w:val="000000"/>
            </w:rPr>
            <w:t>(NIST, 2025)</w:t>
          </w:r>
        </w:sdtContent>
      </w:sdt>
      <w:r w:rsidRPr="007C70A3">
        <w:rPr>
          <w:rFonts w:ascii="Times New Roman" w:hAnsi="Times New Roman" w:cs="Times New Roman"/>
        </w:rPr>
        <w:t xml:space="preserve">. According to academic commentators, the addition will turn the CSF into a strategic governance tool instead of </w:t>
      </w:r>
      <w:r w:rsidRPr="007C70A3">
        <w:rPr>
          <w:rFonts w:ascii="Times New Roman" w:hAnsi="Times New Roman" w:cs="Times New Roman"/>
        </w:rPr>
        <w:lastRenderedPageBreak/>
        <w:t xml:space="preserve">a technical checklist, which is a reflection of the evolving notion of cybersecurity as a corporate-risk discipline, as opposed to an IT silo </w:t>
      </w:r>
      <w:sdt>
        <w:sdtPr>
          <w:rPr>
            <w:rFonts w:ascii="Times New Roman" w:hAnsi="Times New Roman" w:cs="Times New Roman"/>
            <w:color w:val="000000"/>
          </w:rPr>
          <w:tag w:val="MENDELEY_CITATION_v3_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"/>
          <w:id w:val="1892380548"/>
          <w:placeholder>
            <w:docPart w:val="DefaultPlaceholder_-1854013440"/>
          </w:placeholder>
        </w:sdtPr>
        <w:sdtEndPr/>
        <w:sdtContent>
          <w:r w:rsidR="00F0465D" w:rsidRPr="007C70A3">
            <w:rPr>
              <w:rFonts w:ascii="Times New Roman" w:hAnsi="Times New Roman" w:cs="Times New Roman"/>
              <w:color w:val="000000"/>
            </w:rPr>
            <w:t>(Shen, 2014)</w:t>
          </w:r>
        </w:sdtContent>
      </w:sdt>
      <w:r w:rsidRPr="007C70A3">
        <w:rPr>
          <w:rFonts w:ascii="Times New Roman" w:hAnsi="Times New Roman" w:cs="Times New Roman"/>
        </w:rPr>
        <w:t>.</w:t>
      </w:r>
    </w:p>
    <w:p w14:paraId="1DA216AF"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 xml:space="preserve">These sequential updates represent a form of coevolution: opponents take advantage of the new technology, and regulators take advantage of that and update their expectations and organisational needs to implement the updates. In the absence of vigilance NG would experience standards obsolescence whereby formally compliant controls no longer offset actual risk.Although adaptive regulation improves protection, it also causes what practitioners refer to as compliance fatigue. Organisational incompatibilities and conflicts between UK GDPR and EU GDPR, Digital Information Bill and the variety of data-localisation laws are overlapping mandates that each is accompanied by different reporting metrics (ICO, 2023). Academic studies reveal that companies that only do compliance tick-boxing are losing performance in incident-response, but those increasing compliance with risk management endure resilience </w:t>
      </w:r>
      <w:sdt>
        <w:sdtPr>
          <w:rPr>
            <w:rFonts w:ascii="Times New Roman" w:hAnsi="Times New Roman" w:cs="Times New Roman"/>
            <w:color w:val="000000"/>
          </w:rPr>
          <w:tag w:val="MENDELEY_CITATION_v3_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"/>
          <w:id w:val="-696543838"/>
          <w:placeholder>
            <w:docPart w:val="DefaultPlaceholder_-1854013440"/>
          </w:placeholder>
        </w:sdtPr>
        <w:sdtEndPr/>
        <w:sdtContent>
          <w:r w:rsidR="00F0465D" w:rsidRPr="007C70A3">
            <w:rPr>
              <w:rFonts w:ascii="Times New Roman" w:hAnsi="Times New Roman" w:cs="Times New Roman"/>
              <w:color w:val="000000"/>
            </w:rPr>
            <w:t>(Siponen and Willison, 2009)</w:t>
          </w:r>
        </w:sdtContent>
      </w:sdt>
      <w:r w:rsidRPr="007C70A3">
        <w:rPr>
          <w:rFonts w:ascii="Times New Roman" w:hAnsi="Times New Roman" w:cs="Times New Roman"/>
        </w:rPr>
        <w:t>. The point, therefore, is not that the regulation is not needed, but rather the coherence of regulations and ensuring the compliance is part of an adaptive system of governance, which constitutes the continuous-improvement cycle of the NIST CSF.</w:t>
      </w:r>
    </w:p>
    <w:p w14:paraId="6E4CFA68"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Conventional models tended to believe in network trust zones, but BYOD and cloud paradigm nullifies perimeter beliefs. As a result, governments are formalizing principles of Zero Trust into official guidance; e.g. the U.S. Federal Zero Trust Strategy (2022) and NIST SP 800-207 require continuous authentication and least-privilege segmentation</w:t>
      </w:r>
      <w:r w:rsidR="00F0465D" w:rsidRPr="007C70A3">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"/>
          <w:id w:val="-711186237"/>
          <w:placeholder>
            <w:docPart w:val="DefaultPlaceholder_-1854013440"/>
          </w:placeholder>
        </w:sdtPr>
        <w:sdtEndPr/>
        <w:sdtContent>
          <w:r w:rsidR="00F0465D" w:rsidRPr="007C70A3">
            <w:rPr>
              <w:rFonts w:ascii="Times New Roman" w:eastAsia="Times New Roman" w:hAnsi="Times New Roman" w:cs="Times New Roman"/>
              <w:color w:val="000000"/>
            </w:rPr>
            <w:t xml:space="preserve">(Rose </w:t>
          </w:r>
          <w:r w:rsidR="00F0465D" w:rsidRPr="007C70A3">
            <w:rPr>
              <w:rFonts w:ascii="Times New Roman" w:eastAsia="Times New Roman" w:hAnsi="Times New Roman" w:cs="Times New Roman"/>
              <w:i/>
              <w:iCs/>
              <w:color w:val="000000"/>
            </w:rPr>
            <w:t>et al.</w:t>
          </w:r>
          <w:r w:rsidR="00F0465D" w:rsidRPr="007C70A3">
            <w:rPr>
              <w:rFonts w:ascii="Times New Roman" w:eastAsia="Times New Roman" w:hAnsi="Times New Roman" w:cs="Times New Roman"/>
              <w:color w:val="000000"/>
            </w:rPr>
            <w:t>, 2020)</w:t>
          </w:r>
        </w:sdtContent>
      </w:sdt>
      <w:r w:rsidR="00F0465D" w:rsidRPr="007C70A3">
        <w:rPr>
          <w:rFonts w:ascii="Times New Roman" w:hAnsi="Times New Roman" w:cs="Times New Roman"/>
        </w:rPr>
        <w:t xml:space="preserve">. </w:t>
      </w:r>
      <w:r w:rsidRPr="007C70A3">
        <w:rPr>
          <w:rFonts w:ascii="Times New Roman" w:hAnsi="Times New Roman" w:cs="Times New Roman"/>
        </w:rPr>
        <w:t>It is widely agreed that academia believes that Zero Trust represents the next logical step in the evolution of compliance: security will be context-adaptive and evidence-driven, and compliance will be assessed through telemetry, as opposed to paperwork</w:t>
      </w:r>
      <w:r w:rsidR="00F0465D" w:rsidRPr="007C70A3">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"/>
          <w:id w:val="1225105567"/>
          <w:placeholder>
            <w:docPart w:val="DefaultPlaceholder_-1854013440"/>
          </w:placeholder>
        </w:sdtPr>
        <w:sdtEndPr/>
        <w:sdtContent>
          <w:r w:rsidR="00F0465D" w:rsidRPr="007C70A3">
            <w:rPr>
              <w:rFonts w:ascii="Times New Roman" w:hAnsi="Times New Roman" w:cs="Times New Roman"/>
              <w:color w:val="000000"/>
            </w:rPr>
            <w:t>(Gambo and Almulhem, 2025)</w:t>
          </w:r>
        </w:sdtContent>
      </w:sdt>
      <w:r w:rsidRPr="007C70A3">
        <w:rPr>
          <w:rFonts w:ascii="Times New Roman" w:hAnsi="Times New Roman" w:cs="Times New Roman"/>
        </w:rPr>
        <w:t>. In the case of NG, this change makes audits real-time assurance procedures, and the technical controls to meet the regulation dynamism.</w:t>
      </w:r>
    </w:p>
    <w:p w14:paraId="1A2F68E3"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AI poses defensive analytics as well as ethical risk. Future EU AI Act (2025) and the AI Regulation White Paper proposed in the UK highlight the concept of explainability, reduction of bias and accountability in automated decision-making</w:t>
      </w:r>
      <w:r w:rsidR="00F0465D" w:rsidRPr="007C70A3">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"/>
          <w:id w:val="-1749651056"/>
          <w:placeholder>
            <w:docPart w:val="DefaultPlaceholder_-1854013440"/>
          </w:placeholder>
        </w:sdtPr>
        <w:sdtEndPr/>
        <w:sdtContent>
          <w:r w:rsidR="00F0465D" w:rsidRPr="007C70A3">
            <w:rPr>
              <w:rFonts w:ascii="Times New Roman" w:hAnsi="Times New Roman" w:cs="Times New Roman"/>
              <w:color w:val="000000"/>
            </w:rPr>
            <w:t>(Wingfield, 2025)</w:t>
          </w:r>
        </w:sdtContent>
      </w:sdt>
      <w:r w:rsidRPr="007C70A3">
        <w:rPr>
          <w:rFonts w:ascii="Times New Roman" w:hAnsi="Times New Roman" w:cs="Times New Roman"/>
        </w:rPr>
        <w:t xml:space="preserve">. It has been cautioned in the literature of security governance that uncontrolled opaque machine-learning models can jeopardize fairness and privacy requirements </w:t>
      </w:r>
      <w:sdt>
        <w:sdtPr>
          <w:rPr>
            <w:rFonts w:ascii="Times New Roman" w:hAnsi="Times New Roman" w:cs="Times New Roman"/>
            <w:color w:val="000000"/>
          </w:rPr>
          <w:tag w:val="MENDELEY_CITATION_v3_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"/>
          <w:id w:val="1862463667"/>
          <w:placeholder>
            <w:docPart w:val="DefaultPlaceholder_-1854013440"/>
          </w:placeholder>
        </w:sdtPr>
        <w:sdtEndPr/>
        <w:sdtContent>
          <w:r w:rsidR="00F0465D" w:rsidRPr="007C70A3">
            <w:rPr>
              <w:rFonts w:ascii="Times New Roman" w:hAnsi="Times New Roman" w:cs="Times New Roman"/>
              <w:color w:val="000000"/>
            </w:rPr>
            <w:t>(de Almeida, dos Santos and Farias, 2021)</w:t>
          </w:r>
        </w:sdtContent>
      </w:sdt>
      <w:r w:rsidRPr="007C70A3">
        <w:rPr>
          <w:rFonts w:ascii="Times New Roman" w:hAnsi="Times New Roman" w:cs="Times New Roman"/>
        </w:rPr>
        <w:t>. Thus, the next compliance stance of NG should not only be based on providing confidentiality and integrity in the context of AI-ethics, but also on embedding AI-ethics monitoring in the ISMS line of governance.</w:t>
      </w:r>
    </w:p>
    <w:p w14:paraId="27D77EBE"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 xml:space="preserve">Migration between periodic certification and continuous-assurance models has empirical evidence. These use automated control testing and real-time dashboards and self-attesting evidence pipelines. In the case of NG, the implementation of continuous compliance monitoring using security-orchestration and automation tools would initially help reduce the time lag between updates to the framework and live operations. This can reinvent the concept of governance as a feedback loop: threat intelligence can inform risk registers; risk changes can lead to </w:t>
      </w:r>
      <w:r w:rsidRPr="007C70A3">
        <w:rPr>
          <w:rFonts w:ascii="Times New Roman" w:hAnsi="Times New Roman" w:cs="Times New Roman"/>
        </w:rPr>
        <w:lastRenderedPageBreak/>
        <w:t>policy changes; policy compliance can inform audit analytics. The need to respond to the increased pace of cyber-regulatory ecosystem is met only by such closed-loop governance that is sustainable.</w:t>
      </w:r>
    </w:p>
    <w:p w14:paraId="1126144C" w14:textId="77777777" w:rsidR="00F71B79" w:rsidRPr="007C70A3" w:rsidRDefault="00F71B79" w:rsidP="007C70A3">
      <w:pPr>
        <w:pStyle w:val="Heading1"/>
        <w:rPr>
          <w:rFonts w:ascii="Times New Roman" w:hAnsi="Times New Roman" w:cs="Times New Roman"/>
        </w:rPr>
      </w:pPr>
      <w:bookmarkStart w:id="41" w:name="_Toc213350687"/>
      <w:r w:rsidRPr="007C70A3">
        <w:rPr>
          <w:rFonts w:ascii="Times New Roman" w:hAnsi="Times New Roman" w:cs="Times New Roman"/>
        </w:rPr>
        <w:t>Conclusion</w:t>
      </w:r>
      <w:bookmarkEnd w:id="41"/>
    </w:p>
    <w:p w14:paraId="7CE54FD8"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This report has taken a critical look into how NatureGreen (NG) can come out of its current, ad-hoc, reactive security posture into a structured, standards-based governance architecture. The systemic model, based on ISO/IEC 27001:2022 and operationalised with NIST CSF 2.0, and implemented with Zero Trust Architecture provides the structural and technical platforms of secure cloud and BYOD activities. The privacy compliance would be ensured through the complementary adoption of ISO 27701, with the extension of resilience and executive control provided by ISO 22301 and COBIT 2019.</w:t>
      </w:r>
      <w:r w:rsidR="00CB7C0A" w:rsidRPr="007C70A3">
        <w:rPr>
          <w:rFonts w:ascii="Times New Roman" w:hAnsi="Times New Roman" w:cs="Times New Roman"/>
        </w:rPr>
        <w:t xml:space="preserve"> </w:t>
      </w:r>
      <w:r w:rsidRPr="007C70A3">
        <w:rPr>
          <w:rFonts w:ascii="Times New Roman" w:hAnsi="Times New Roman" w:cs="Times New Roman"/>
        </w:rPr>
        <w:t>The design fits strategic governance into the operation controls, with the continuous monitoring, incident preparedness and measurable metrics. Importantly, the discussion confirms that the area of cybersecurity and compliance is dynamic rather than confused. Modernisation of regulation, adversarial innovation, and technological changes (like AI) force NG to view governance as a living system, which is being informed iteratively by threat intelligence, audit feedback, and new standards.</w:t>
      </w:r>
      <w:r w:rsidR="00CB7C0A" w:rsidRPr="007C70A3">
        <w:rPr>
          <w:rFonts w:ascii="Times New Roman" w:hAnsi="Times New Roman" w:cs="Times New Roman"/>
        </w:rPr>
        <w:t xml:space="preserve"> </w:t>
      </w:r>
      <w:r w:rsidRPr="007C70A3">
        <w:rPr>
          <w:rFonts w:ascii="Times New Roman" w:hAnsi="Times New Roman" w:cs="Times New Roman"/>
        </w:rPr>
        <w:t>Overall, sustainable security posture of NG is based on three long-term commitments:</w:t>
      </w:r>
    </w:p>
    <w:p w14:paraId="04350011" w14:textId="77777777" w:rsidR="00F71B79" w:rsidRPr="007C70A3" w:rsidRDefault="00F71B79" w:rsidP="007C70A3">
      <w:pPr>
        <w:pStyle w:val="ListParagraph"/>
        <w:numPr>
          <w:ilvl w:val="0"/>
          <w:numId w:val="13"/>
        </w:numPr>
        <w:rPr>
          <w:rFonts w:ascii="Times New Roman" w:hAnsi="Times New Roman" w:cs="Times New Roman"/>
        </w:rPr>
      </w:pPr>
      <w:r w:rsidRPr="007C70A3">
        <w:rPr>
          <w:rFonts w:ascii="Times New Roman" w:hAnsi="Times New Roman" w:cs="Times New Roman"/>
        </w:rPr>
        <w:t>Making a culture of accountability where security is a priority in boards.</w:t>
      </w:r>
    </w:p>
    <w:p w14:paraId="0050438D" w14:textId="77777777" w:rsidR="00F71B79" w:rsidRPr="007C70A3" w:rsidRDefault="00F71B79" w:rsidP="007C70A3">
      <w:pPr>
        <w:pStyle w:val="ListParagraph"/>
        <w:numPr>
          <w:ilvl w:val="0"/>
          <w:numId w:val="13"/>
        </w:numPr>
        <w:rPr>
          <w:rFonts w:ascii="Times New Roman" w:hAnsi="Times New Roman" w:cs="Times New Roman"/>
        </w:rPr>
      </w:pPr>
      <w:r w:rsidRPr="007C70A3">
        <w:rPr>
          <w:rFonts w:ascii="Times New Roman" w:hAnsi="Times New Roman" w:cs="Times New Roman"/>
        </w:rPr>
        <w:t>Integrating continuous assurance systems which transform compliance into real-time trust evidence.</w:t>
      </w:r>
    </w:p>
    <w:p w14:paraId="223C349E" w14:textId="77777777" w:rsidR="00F71B79" w:rsidRPr="007C70A3" w:rsidRDefault="00F71B79" w:rsidP="007C70A3">
      <w:pPr>
        <w:pStyle w:val="ListParagraph"/>
        <w:numPr>
          <w:ilvl w:val="0"/>
          <w:numId w:val="13"/>
        </w:numPr>
        <w:rPr>
          <w:rFonts w:ascii="Times New Roman" w:hAnsi="Times New Roman" w:cs="Times New Roman"/>
        </w:rPr>
      </w:pPr>
      <w:r w:rsidRPr="007C70A3">
        <w:rPr>
          <w:rFonts w:ascii="Times New Roman" w:hAnsi="Times New Roman" w:cs="Times New Roman"/>
        </w:rPr>
        <w:t>Adapting dynamically with changing structures and moral standards.</w:t>
      </w:r>
    </w:p>
    <w:p w14:paraId="7ABB544F" w14:textId="77777777" w:rsidR="00F71B79" w:rsidRPr="007C70A3" w:rsidRDefault="00F71B79" w:rsidP="007C70A3">
      <w:pPr>
        <w:rPr>
          <w:rFonts w:ascii="Times New Roman" w:hAnsi="Times New Roman" w:cs="Times New Roman"/>
        </w:rPr>
      </w:pPr>
      <w:r w:rsidRPr="007C70A3">
        <w:rPr>
          <w:rFonts w:ascii="Times New Roman" w:hAnsi="Times New Roman" w:cs="Times New Roman"/>
        </w:rPr>
        <w:t>These commitments are not only operationalised by NG to earn intellectual property protection and consumer confidence but serve as a strategic differentiator itself to build resiliency and market believability in the digital-first century.</w:t>
      </w:r>
    </w:p>
    <w:p w14:paraId="7F9E4ACA" w14:textId="77777777" w:rsidR="00E65338" w:rsidRPr="007C70A3" w:rsidRDefault="00E65338" w:rsidP="007C70A3">
      <w:pPr>
        <w:spacing w:after="0"/>
        <w:jc w:val="left"/>
        <w:rPr>
          <w:rFonts w:ascii="Times New Roman" w:hAnsi="Times New Roman" w:cs="Times New Roman"/>
        </w:rPr>
      </w:pPr>
      <w:r w:rsidRPr="007C70A3">
        <w:rPr>
          <w:rFonts w:ascii="Times New Roman" w:hAnsi="Times New Roman" w:cs="Times New Roman"/>
        </w:rPr>
        <w:br w:type="page"/>
      </w:r>
    </w:p>
    <w:p w14:paraId="76A81D64" w14:textId="77777777" w:rsidR="00E65338" w:rsidRPr="007C70A3" w:rsidRDefault="00E65338" w:rsidP="007C70A3">
      <w:pPr>
        <w:pStyle w:val="Heading1"/>
        <w:numPr>
          <w:ilvl w:val="0"/>
          <w:numId w:val="0"/>
        </w:numPr>
        <w:rPr>
          <w:rFonts w:ascii="Times New Roman" w:hAnsi="Times New Roman" w:cs="Times New Roman"/>
        </w:rPr>
      </w:pPr>
      <w:bookmarkStart w:id="42" w:name="_Toc213350688"/>
      <w:r w:rsidRPr="007C70A3">
        <w:rPr>
          <w:rFonts w:ascii="Times New Roman" w:hAnsi="Times New Roman" w:cs="Times New Roman"/>
        </w:rPr>
        <w:lastRenderedPageBreak/>
        <w:t>References</w:t>
      </w:r>
      <w:bookmarkEnd w:id="42"/>
    </w:p>
    <w:sdt>
      <w:sdtPr>
        <w:rPr>
          <w:rFonts w:ascii="Times New Roman" w:hAnsi="Times New Roman" w:cs="Times New Roman"/>
          <w:color w:val="000000"/>
        </w:rPr>
        <w:tag w:val="MENDELEY_BIBLIOGRAPHY"/>
        <w:id w:val="-1098172736"/>
        <w:placeholder>
          <w:docPart w:val="DefaultPlaceholder_-1854013440"/>
        </w:placeholder>
      </w:sdtPr>
      <w:sdtEndPr/>
      <w:sdtContent>
        <w:p w14:paraId="2A7C88D4" w14:textId="2979B79B" w:rsidR="00E65338" w:rsidRPr="007C70A3" w:rsidRDefault="00911E1A" w:rsidP="007C70A3">
          <w:pPr>
            <w:divId w:val="1855142299"/>
            <w:rPr>
              <w:rFonts w:ascii="Times New Roman" w:eastAsia="Times New Roman" w:hAnsi="Times New Roman" w:cs="Times New Roman"/>
              <w:color w:val="000000"/>
              <w:kern w:val="0"/>
              <w:sz w:val="24"/>
              <w:szCs w:val="24"/>
              <w14:ligatures w14:val="none"/>
            </w:rPr>
          </w:pPr>
          <w:r>
            <w:rPr>
              <w:rFonts w:ascii="Times New Roman" w:hAnsi="Times New Roman" w:cs="Times New Roman"/>
              <w:color w:val="000000"/>
            </w:rPr>
            <w:t xml:space="preserve">[1] </w:t>
          </w:r>
          <w:r w:rsidR="00E65338" w:rsidRPr="007C70A3">
            <w:rPr>
              <w:rFonts w:ascii="Times New Roman" w:eastAsia="Times New Roman" w:hAnsi="Times New Roman" w:cs="Times New Roman"/>
              <w:color w:val="000000"/>
            </w:rPr>
            <w:t xml:space="preserve">Alder, S. (2025) </w:t>
          </w:r>
          <w:r w:rsidR="00E65338" w:rsidRPr="007C70A3">
            <w:rPr>
              <w:rFonts w:ascii="Times New Roman" w:eastAsia="Times New Roman" w:hAnsi="Times New Roman" w:cs="Times New Roman"/>
              <w:i/>
              <w:iCs/>
              <w:color w:val="000000"/>
            </w:rPr>
            <w:t>Cybersecurity Firm Reports 36% YOY Increase in Ransomware Attacks</w:t>
          </w:r>
          <w:r w:rsidR="00E65338" w:rsidRPr="007C70A3">
            <w:rPr>
              <w:rFonts w:ascii="Times New Roman" w:eastAsia="Times New Roman" w:hAnsi="Times New Roman" w:cs="Times New Roman"/>
              <w:color w:val="000000"/>
            </w:rPr>
            <w:t xml:space="preserve">. </w:t>
          </w:r>
          <w:r w:rsidR="00E65338" w:rsidRPr="007C70A3">
            <w:rPr>
              <w:rFonts w:ascii="Times New Roman" w:eastAsia="Times New Roman" w:hAnsi="Times New Roman" w:cs="Times New Roman"/>
              <w:i/>
              <w:iCs/>
              <w:color w:val="000000"/>
            </w:rPr>
            <w:t>HIPAA</w:t>
          </w:r>
          <w:r w:rsidR="00E65338" w:rsidRPr="007C70A3">
            <w:rPr>
              <w:rFonts w:ascii="Times New Roman" w:eastAsia="Times New Roman" w:hAnsi="Times New Roman" w:cs="Times New Roman"/>
              <w:color w:val="000000"/>
            </w:rPr>
            <w:t xml:space="preserve"> [online]. Available from: https://www.hipaajournal.com/q3-2025-ransomware-report/ [Accessed 6 November 2025].</w:t>
          </w:r>
        </w:p>
        <w:p w14:paraId="0699FE77" w14:textId="51C77336" w:rsidR="00E65338" w:rsidRPr="007C70A3" w:rsidRDefault="00911E1A" w:rsidP="007C70A3">
          <w:pPr>
            <w:divId w:val="163131654"/>
            <w:rPr>
              <w:rFonts w:ascii="Times New Roman" w:eastAsia="Times New Roman" w:hAnsi="Times New Roman" w:cs="Times New Roman"/>
              <w:color w:val="000000"/>
            </w:rPr>
          </w:pPr>
          <w:r>
            <w:rPr>
              <w:rFonts w:ascii="Times New Roman" w:eastAsia="Times New Roman" w:hAnsi="Times New Roman" w:cs="Times New Roman"/>
              <w:color w:val="000000"/>
            </w:rPr>
            <w:t xml:space="preserve">[2] </w:t>
          </w:r>
          <w:r w:rsidR="00E65338" w:rsidRPr="007C70A3">
            <w:rPr>
              <w:rFonts w:ascii="Times New Roman" w:eastAsia="Times New Roman" w:hAnsi="Times New Roman" w:cs="Times New Roman"/>
              <w:color w:val="000000"/>
            </w:rPr>
            <w:t xml:space="preserve">de Almeida, P.G.R., dos Santos, C.D. and Farias, J.S. (2021) Artificial Intelligence Regulation: a framework for governance. </w:t>
          </w:r>
          <w:r w:rsidR="00E65338" w:rsidRPr="007C70A3">
            <w:rPr>
              <w:rFonts w:ascii="Times New Roman" w:eastAsia="Times New Roman" w:hAnsi="Times New Roman" w:cs="Times New Roman"/>
              <w:i/>
              <w:iCs/>
              <w:color w:val="000000"/>
            </w:rPr>
            <w:t>Ethics and Information Technology</w:t>
          </w:r>
          <w:r w:rsidR="00E65338" w:rsidRPr="007C70A3">
            <w:rPr>
              <w:rFonts w:ascii="Times New Roman" w:eastAsia="Times New Roman" w:hAnsi="Times New Roman" w:cs="Times New Roman"/>
              <w:color w:val="000000"/>
            </w:rPr>
            <w:t xml:space="preserve"> [online]. 23 (3), pp. 505–525. Available from: https://link.springer.com/article/10.1007/s10676-021-09593-z.</w:t>
          </w:r>
        </w:p>
        <w:p w14:paraId="5CC3DFB7" w14:textId="41846F1A" w:rsidR="00E65338" w:rsidRPr="007C70A3" w:rsidRDefault="00911E1A" w:rsidP="007C70A3">
          <w:pPr>
            <w:divId w:val="1235748394"/>
            <w:rPr>
              <w:rFonts w:ascii="Times New Roman" w:eastAsia="Times New Roman" w:hAnsi="Times New Roman" w:cs="Times New Roman"/>
              <w:color w:val="000000"/>
            </w:rPr>
          </w:pPr>
          <w:r>
            <w:rPr>
              <w:rFonts w:ascii="Times New Roman" w:eastAsia="Times New Roman" w:hAnsi="Times New Roman" w:cs="Times New Roman"/>
              <w:color w:val="000000"/>
            </w:rPr>
            <w:t xml:space="preserve">[3] </w:t>
          </w:r>
          <w:r w:rsidR="00E65338" w:rsidRPr="007C70A3">
            <w:rPr>
              <w:rFonts w:ascii="Times New Roman" w:eastAsia="Times New Roman" w:hAnsi="Times New Roman" w:cs="Times New Roman"/>
              <w:color w:val="000000"/>
            </w:rPr>
            <w:t xml:space="preserve">Antariksa, M.D.S., Angin, M.P. and Widodo, A.P. (2025) COBIT 2019 Framework in IT Governance: A Systematic Literature Review of Implementation Challenges and Benefits Across Various Industry Sectors. </w:t>
          </w:r>
          <w:r w:rsidR="00E65338" w:rsidRPr="007C70A3">
            <w:rPr>
              <w:rFonts w:ascii="Times New Roman" w:eastAsia="Times New Roman" w:hAnsi="Times New Roman" w:cs="Times New Roman"/>
              <w:i/>
              <w:iCs/>
              <w:color w:val="000000"/>
            </w:rPr>
            <w:t>Journal of Renewable Energy, Electrical, and Computer Engineering</w:t>
          </w:r>
          <w:r w:rsidR="00E65338" w:rsidRPr="007C70A3">
            <w:rPr>
              <w:rFonts w:ascii="Times New Roman" w:eastAsia="Times New Roman" w:hAnsi="Times New Roman" w:cs="Times New Roman"/>
              <w:color w:val="000000"/>
            </w:rPr>
            <w:t xml:space="preserve"> [online]. 5 (1), pp. 99–105. Available from: https://www.researchgate.net/publication/391198460_COBIT_2019_Framework_in_IT_Governance_A_Systematic_Literature_Review_of_Implementation_Challenges_and_Benefits_Across_Various_Industry_Sectors [Accessed 6 November 2025].</w:t>
          </w:r>
        </w:p>
        <w:p w14:paraId="616A4A11" w14:textId="4EDFC121" w:rsidR="00E65338" w:rsidRPr="007C70A3" w:rsidRDefault="00911E1A" w:rsidP="007C70A3">
          <w:pPr>
            <w:divId w:val="299002801"/>
            <w:rPr>
              <w:rFonts w:ascii="Times New Roman" w:eastAsia="Times New Roman" w:hAnsi="Times New Roman" w:cs="Times New Roman"/>
              <w:color w:val="000000"/>
            </w:rPr>
          </w:pPr>
          <w:r>
            <w:rPr>
              <w:rFonts w:ascii="Times New Roman" w:eastAsia="Times New Roman" w:hAnsi="Times New Roman" w:cs="Times New Roman"/>
              <w:color w:val="000000"/>
            </w:rPr>
            <w:t xml:space="preserve">[4] </w:t>
          </w:r>
          <w:r w:rsidR="00E65338" w:rsidRPr="007C70A3">
            <w:rPr>
              <w:rFonts w:ascii="Times New Roman" w:eastAsia="Times New Roman" w:hAnsi="Times New Roman" w:cs="Times New Roman"/>
              <w:color w:val="000000"/>
            </w:rPr>
            <w:t xml:space="preserve">Blackley, P. (2004) </w:t>
          </w:r>
          <w:r w:rsidR="00E65338" w:rsidRPr="007C70A3">
            <w:rPr>
              <w:rFonts w:ascii="Times New Roman" w:eastAsia="Times New Roman" w:hAnsi="Times New Roman" w:cs="Times New Roman"/>
              <w:i/>
              <w:iCs/>
              <w:color w:val="000000"/>
            </w:rPr>
            <w:t>Information Security Fundamentals</w:t>
          </w:r>
          <w:r w:rsidR="00E65338" w:rsidRPr="007C70A3">
            <w:rPr>
              <w:rFonts w:ascii="Times New Roman" w:eastAsia="Times New Roman" w:hAnsi="Times New Roman" w:cs="Times New Roman"/>
              <w:color w:val="000000"/>
            </w:rPr>
            <w:t xml:space="preserve">. </w:t>
          </w:r>
          <w:r w:rsidR="00E65338" w:rsidRPr="007C70A3">
            <w:rPr>
              <w:rFonts w:ascii="Times New Roman" w:eastAsia="Times New Roman" w:hAnsi="Times New Roman" w:cs="Times New Roman"/>
              <w:i/>
              <w:iCs/>
              <w:color w:val="000000"/>
            </w:rPr>
            <w:t>Taylor &amp; Francis</w:t>
          </w:r>
          <w:r w:rsidR="00E65338" w:rsidRPr="007C70A3">
            <w:rPr>
              <w:rFonts w:ascii="Times New Roman" w:eastAsia="Times New Roman" w:hAnsi="Times New Roman" w:cs="Times New Roman"/>
              <w:color w:val="000000"/>
            </w:rPr>
            <w:t xml:space="preserve"> [online]. Andover, England, UK: Taylor &amp; Francis.</w:t>
          </w:r>
        </w:p>
        <w:p w14:paraId="45A85F2B" w14:textId="1109ACDE" w:rsidR="00E65338" w:rsidRPr="007C70A3" w:rsidRDefault="00911E1A" w:rsidP="007C70A3">
          <w:pPr>
            <w:divId w:val="405805653"/>
            <w:rPr>
              <w:rFonts w:ascii="Times New Roman" w:eastAsia="Times New Roman" w:hAnsi="Times New Roman" w:cs="Times New Roman"/>
              <w:color w:val="000000"/>
            </w:rPr>
          </w:pPr>
          <w:r>
            <w:rPr>
              <w:rFonts w:ascii="Times New Roman" w:eastAsia="Times New Roman" w:hAnsi="Times New Roman" w:cs="Times New Roman"/>
              <w:color w:val="000000"/>
            </w:rPr>
            <w:t xml:space="preserve">[5] </w:t>
          </w:r>
          <w:r w:rsidR="00E65338" w:rsidRPr="007C70A3">
            <w:rPr>
              <w:rFonts w:ascii="Times New Roman" w:eastAsia="Times New Roman" w:hAnsi="Times New Roman" w:cs="Times New Roman"/>
              <w:color w:val="000000"/>
            </w:rPr>
            <w:t xml:space="preserve">Culot, G., Nassimbeni, G., Podrecca, M. and Sartor, M. (2021) The ISO/IEC 27001 information security management standard: literature review and theory-based research agenda. </w:t>
          </w:r>
          <w:r w:rsidR="00E65338" w:rsidRPr="007C70A3">
            <w:rPr>
              <w:rFonts w:ascii="Times New Roman" w:eastAsia="Times New Roman" w:hAnsi="Times New Roman" w:cs="Times New Roman"/>
              <w:i/>
              <w:iCs/>
              <w:color w:val="000000"/>
            </w:rPr>
            <w:t>TQM Journal</w:t>
          </w:r>
          <w:r w:rsidR="00E65338" w:rsidRPr="007C70A3">
            <w:rPr>
              <w:rFonts w:ascii="Times New Roman" w:eastAsia="Times New Roman" w:hAnsi="Times New Roman" w:cs="Times New Roman"/>
              <w:color w:val="000000"/>
            </w:rPr>
            <w:t xml:space="preserve"> [online]. 33 (7), pp. 76–105. Available from: https://www.researchgate.net/publication/350433247_The_ISOIEC_27001_information_security_management_standard_literature_review_and_theory-based_research_agenda [Accessed 6 November 2025].</w:t>
          </w:r>
        </w:p>
        <w:p w14:paraId="6757CB29" w14:textId="2B0428C8" w:rsidR="00E65338" w:rsidRPr="007C70A3" w:rsidRDefault="00911E1A" w:rsidP="007C70A3">
          <w:pPr>
            <w:divId w:val="1148280441"/>
            <w:rPr>
              <w:rFonts w:ascii="Times New Roman" w:eastAsia="Times New Roman" w:hAnsi="Times New Roman" w:cs="Times New Roman"/>
              <w:color w:val="000000"/>
            </w:rPr>
          </w:pPr>
          <w:r>
            <w:rPr>
              <w:rFonts w:ascii="Times New Roman" w:eastAsia="Times New Roman" w:hAnsi="Times New Roman" w:cs="Times New Roman"/>
              <w:color w:val="000000"/>
            </w:rPr>
            <w:t xml:space="preserve">[6] </w:t>
          </w:r>
          <w:r w:rsidR="00E65338" w:rsidRPr="007C70A3">
            <w:rPr>
              <w:rFonts w:ascii="Times New Roman" w:eastAsia="Times New Roman" w:hAnsi="Times New Roman" w:cs="Times New Roman"/>
              <w:color w:val="000000"/>
            </w:rPr>
            <w:t>Gambo, M.L. and Almulhem, A. (2025) Zero Trust Architecture: A Systematic Literature Review. [online]. Available from: https://arxiv.org/pdf/2503.11659v1 [Accessed 6 November 2025].</w:t>
          </w:r>
        </w:p>
        <w:p w14:paraId="2E19DC3B" w14:textId="44BBACA7" w:rsidR="00E65338" w:rsidRPr="007C70A3" w:rsidRDefault="00911E1A" w:rsidP="007C70A3">
          <w:pPr>
            <w:divId w:val="2018077147"/>
            <w:rPr>
              <w:rFonts w:ascii="Times New Roman" w:eastAsia="Times New Roman" w:hAnsi="Times New Roman" w:cs="Times New Roman"/>
              <w:color w:val="000000"/>
            </w:rPr>
          </w:pPr>
          <w:r>
            <w:rPr>
              <w:rFonts w:ascii="Times New Roman" w:eastAsia="Times New Roman" w:hAnsi="Times New Roman" w:cs="Times New Roman"/>
              <w:color w:val="000000"/>
            </w:rPr>
            <w:t xml:space="preserve">[7] </w:t>
          </w:r>
          <w:r w:rsidR="00E65338" w:rsidRPr="007C70A3">
            <w:rPr>
              <w:rFonts w:ascii="Times New Roman" w:eastAsia="Times New Roman" w:hAnsi="Times New Roman" w:cs="Times New Roman"/>
              <w:color w:val="000000"/>
            </w:rPr>
            <w:t xml:space="preserve">Hurkadli, R. (2023) </w:t>
          </w:r>
          <w:r w:rsidR="00E65338" w:rsidRPr="007C70A3">
            <w:rPr>
              <w:rFonts w:ascii="Times New Roman" w:eastAsia="Times New Roman" w:hAnsi="Times New Roman" w:cs="Times New Roman"/>
              <w:i/>
              <w:iCs/>
              <w:color w:val="000000"/>
            </w:rPr>
            <w:t xml:space="preserve">COBIT 2019 Framework </w:t>
          </w:r>
          <w:r w:rsidR="00E65338" w:rsidRPr="007C70A3">
            <w:rPr>
              <w:rFonts w:ascii="Times New Roman" w:eastAsia="Times New Roman" w:hAnsi="Times New Roman" w:cs="Times New Roman"/>
              <w:color w:val="000000"/>
            </w:rPr>
            <w:t xml:space="preserve">. </w:t>
          </w:r>
          <w:r w:rsidR="00E65338" w:rsidRPr="007C70A3">
            <w:rPr>
              <w:rFonts w:ascii="Times New Roman" w:eastAsia="Times New Roman" w:hAnsi="Times New Roman" w:cs="Times New Roman"/>
              <w:i/>
              <w:iCs/>
              <w:color w:val="000000"/>
            </w:rPr>
            <w:t>ITSM</w:t>
          </w:r>
          <w:r w:rsidR="00E65338" w:rsidRPr="007C70A3">
            <w:rPr>
              <w:rFonts w:ascii="Times New Roman" w:eastAsia="Times New Roman" w:hAnsi="Times New Roman" w:cs="Times New Roman"/>
              <w:color w:val="000000"/>
            </w:rPr>
            <w:t xml:space="preserve"> [online]. Available from: https://www.itsm-docs.com/blogs/cobit/cobit-2019-framework [Accessed 6 November 2025].</w:t>
          </w:r>
        </w:p>
        <w:p w14:paraId="31229256" w14:textId="37E98F51" w:rsidR="00E65338" w:rsidRPr="007C70A3" w:rsidRDefault="00911E1A" w:rsidP="007C70A3">
          <w:pPr>
            <w:divId w:val="346372926"/>
            <w:rPr>
              <w:rFonts w:ascii="Times New Roman" w:eastAsia="Times New Roman" w:hAnsi="Times New Roman" w:cs="Times New Roman"/>
              <w:color w:val="000000"/>
            </w:rPr>
          </w:pPr>
          <w:r>
            <w:rPr>
              <w:rFonts w:ascii="Times New Roman" w:eastAsia="Times New Roman" w:hAnsi="Times New Roman" w:cs="Times New Roman"/>
              <w:color w:val="000000"/>
            </w:rPr>
            <w:t xml:space="preserve">[8] </w:t>
          </w:r>
          <w:r w:rsidR="00E65338" w:rsidRPr="007C70A3">
            <w:rPr>
              <w:rFonts w:ascii="Times New Roman" w:eastAsia="Times New Roman" w:hAnsi="Times New Roman" w:cs="Times New Roman"/>
              <w:color w:val="000000"/>
            </w:rPr>
            <w:t xml:space="preserve">IBM (2024) </w:t>
          </w:r>
          <w:r w:rsidR="00E65338" w:rsidRPr="007C70A3">
            <w:rPr>
              <w:rFonts w:ascii="Times New Roman" w:eastAsia="Times New Roman" w:hAnsi="Times New Roman" w:cs="Times New Roman"/>
              <w:i/>
              <w:iCs/>
              <w:color w:val="000000"/>
            </w:rPr>
            <w:t>Cost of a data breach 2024</w:t>
          </w:r>
          <w:r w:rsidR="00E65338" w:rsidRPr="007C70A3">
            <w:rPr>
              <w:rFonts w:ascii="Times New Roman" w:eastAsia="Times New Roman" w:hAnsi="Times New Roman" w:cs="Times New Roman"/>
              <w:color w:val="000000"/>
            </w:rPr>
            <w:t xml:space="preserve"> [online]. Available from: https://www.ibm.com/reports/data-breach [Accessed 29 April 2025].</w:t>
          </w:r>
        </w:p>
        <w:p w14:paraId="1654AAFC" w14:textId="767D27A3" w:rsidR="00E65338" w:rsidRPr="007C70A3" w:rsidRDefault="00911E1A" w:rsidP="007C70A3">
          <w:pPr>
            <w:divId w:val="1241017888"/>
            <w:rPr>
              <w:rFonts w:ascii="Times New Roman" w:eastAsia="Times New Roman" w:hAnsi="Times New Roman" w:cs="Times New Roman"/>
              <w:color w:val="000000"/>
            </w:rPr>
          </w:pPr>
          <w:r>
            <w:rPr>
              <w:rFonts w:ascii="Times New Roman" w:eastAsia="Times New Roman" w:hAnsi="Times New Roman" w:cs="Times New Roman"/>
              <w:color w:val="000000"/>
            </w:rPr>
            <w:t xml:space="preserve">[9] </w:t>
          </w:r>
          <w:r w:rsidR="00E65338" w:rsidRPr="007C70A3">
            <w:rPr>
              <w:rFonts w:ascii="Times New Roman" w:eastAsia="Times New Roman" w:hAnsi="Times New Roman" w:cs="Times New Roman"/>
              <w:color w:val="000000"/>
            </w:rPr>
            <w:t xml:space="preserve">Informit (2024) </w:t>
          </w:r>
          <w:r w:rsidR="00E65338" w:rsidRPr="007C70A3">
            <w:rPr>
              <w:rFonts w:ascii="Times New Roman" w:eastAsia="Times New Roman" w:hAnsi="Times New Roman" w:cs="Times New Roman"/>
              <w:i/>
              <w:iCs/>
              <w:color w:val="000000"/>
            </w:rPr>
            <w:t>MOF, ITIL, and Service Manager | Introduction to MOF and ITIL | InformIT</w:t>
          </w:r>
          <w:r w:rsidR="00E65338" w:rsidRPr="007C70A3">
            <w:rPr>
              <w:rFonts w:ascii="Times New Roman" w:eastAsia="Times New Roman" w:hAnsi="Times New Roman" w:cs="Times New Roman"/>
              <w:color w:val="000000"/>
            </w:rPr>
            <w:t xml:space="preserve"> [online]. Available from: https://www.informit.com/articles/article.aspx?p=1743721.</w:t>
          </w:r>
        </w:p>
        <w:p w14:paraId="493052CC" w14:textId="42226F0C" w:rsidR="00E65338" w:rsidRPr="007C70A3" w:rsidRDefault="00911E1A" w:rsidP="007C70A3">
          <w:pPr>
            <w:divId w:val="1922448709"/>
            <w:rPr>
              <w:rFonts w:ascii="Times New Roman" w:eastAsia="Times New Roman" w:hAnsi="Times New Roman" w:cs="Times New Roman"/>
              <w:color w:val="000000"/>
            </w:rPr>
          </w:pPr>
          <w:r>
            <w:rPr>
              <w:rFonts w:ascii="Times New Roman" w:eastAsia="Times New Roman" w:hAnsi="Times New Roman" w:cs="Times New Roman"/>
              <w:color w:val="000000"/>
            </w:rPr>
            <w:t xml:space="preserve">[10] </w:t>
          </w:r>
          <w:r w:rsidR="00E65338" w:rsidRPr="007C70A3">
            <w:rPr>
              <w:rFonts w:ascii="Times New Roman" w:eastAsia="Times New Roman" w:hAnsi="Times New Roman" w:cs="Times New Roman"/>
              <w:color w:val="000000"/>
            </w:rPr>
            <w:t xml:space="preserve">Ishlahuddin, A., Handayani, P.W., Hammi, K. and Azzahro, F. (2020) Analysing IT Governance Maturity Level using COBIT 2019 Framework: A Case Study of Small Size Higher Education Institute (XYZ-edu). </w:t>
          </w:r>
          <w:r w:rsidR="00E65338" w:rsidRPr="007C70A3">
            <w:rPr>
              <w:rFonts w:ascii="Times New Roman" w:eastAsia="Times New Roman" w:hAnsi="Times New Roman" w:cs="Times New Roman"/>
              <w:i/>
              <w:iCs/>
              <w:color w:val="000000"/>
            </w:rPr>
            <w:t xml:space="preserve">2020 </w:t>
          </w:r>
          <w:r w:rsidRPr="00FA4E34">
            <w:rPr>
              <w:rFonts w:ascii="Times New Roman" w:eastAsia="Times New Roman" w:hAnsi="Times New Roman" w:cs="Times New Roman"/>
              <w:color w:val="000000"/>
            </w:rPr>
            <w:lastRenderedPageBreak/>
            <w:t>[</w:t>
          </w:r>
          <w:r w:rsidRPr="00911E1A">
            <w:rPr>
              <w:rFonts w:ascii="Times New Roman" w:eastAsia="Times New Roman" w:hAnsi="Times New Roman" w:cs="Times New Roman"/>
              <w:color w:val="000000"/>
            </w:rPr>
            <w:t>11]</w:t>
          </w:r>
          <w:r w:rsidR="00E65338" w:rsidRPr="00911E1A">
            <w:rPr>
              <w:rFonts w:ascii="Times New Roman" w:eastAsia="Times New Roman" w:hAnsi="Times New Roman" w:cs="Times New Roman"/>
              <w:color w:val="000000"/>
            </w:rPr>
            <w:t>3rd International Conference on Computer and Informatics Engineering</w:t>
          </w:r>
          <w:r w:rsidR="00E65338" w:rsidRPr="007C70A3">
            <w:rPr>
              <w:rFonts w:ascii="Times New Roman" w:eastAsia="Times New Roman" w:hAnsi="Times New Roman" w:cs="Times New Roman"/>
              <w:i/>
              <w:iCs/>
              <w:color w:val="000000"/>
            </w:rPr>
            <w:t>, IC2IE 2020</w:t>
          </w:r>
          <w:r w:rsidR="00E65338" w:rsidRPr="007C70A3">
            <w:rPr>
              <w:rFonts w:ascii="Times New Roman" w:eastAsia="Times New Roman" w:hAnsi="Times New Roman" w:cs="Times New Roman"/>
              <w:color w:val="000000"/>
            </w:rPr>
            <w:t xml:space="preserve"> [online]. pp. 236–241. Available from: https://ieeexplore.ieee.org/document/9274599 [Accessed 6 November 2025].</w:t>
          </w:r>
        </w:p>
        <w:p w14:paraId="5DE5405D" w14:textId="03A8E99A" w:rsidR="00E65338" w:rsidRPr="007C70A3" w:rsidRDefault="00911E1A" w:rsidP="007C70A3">
          <w:pPr>
            <w:divId w:val="440993309"/>
            <w:rPr>
              <w:rFonts w:ascii="Times New Roman" w:eastAsia="Times New Roman" w:hAnsi="Times New Roman" w:cs="Times New Roman"/>
              <w:color w:val="000000"/>
            </w:rPr>
          </w:pPr>
          <w:r>
            <w:rPr>
              <w:rFonts w:ascii="Times New Roman" w:eastAsia="Times New Roman" w:hAnsi="Times New Roman" w:cs="Times New Roman"/>
              <w:color w:val="000000"/>
            </w:rPr>
            <w:t xml:space="preserve">[12] </w:t>
          </w:r>
          <w:r w:rsidR="00E65338" w:rsidRPr="007C70A3">
            <w:rPr>
              <w:rFonts w:ascii="Times New Roman" w:eastAsia="Times New Roman" w:hAnsi="Times New Roman" w:cs="Times New Roman"/>
              <w:color w:val="000000"/>
            </w:rPr>
            <w:t xml:space="preserve">isms.online (2023) </w:t>
          </w:r>
          <w:r w:rsidR="00E65338" w:rsidRPr="007C70A3">
            <w:rPr>
              <w:rFonts w:ascii="Times New Roman" w:eastAsia="Times New Roman" w:hAnsi="Times New Roman" w:cs="Times New Roman"/>
              <w:i/>
              <w:iCs/>
              <w:color w:val="000000"/>
            </w:rPr>
            <w:t>ISO 27001 and PCI DSS Integration | ISMS.online</w:t>
          </w:r>
          <w:r w:rsidR="00E65338" w:rsidRPr="007C70A3">
            <w:rPr>
              <w:rFonts w:ascii="Times New Roman" w:eastAsia="Times New Roman" w:hAnsi="Times New Roman" w:cs="Times New Roman"/>
              <w:color w:val="000000"/>
            </w:rPr>
            <w:t xml:space="preserve">. </w:t>
          </w:r>
          <w:r w:rsidR="00E65338" w:rsidRPr="007C70A3">
            <w:rPr>
              <w:rFonts w:ascii="Times New Roman" w:eastAsia="Times New Roman" w:hAnsi="Times New Roman" w:cs="Times New Roman"/>
              <w:i/>
              <w:iCs/>
              <w:color w:val="000000"/>
            </w:rPr>
            <w:t>ISMS</w:t>
          </w:r>
          <w:r w:rsidR="00E65338" w:rsidRPr="007C70A3">
            <w:rPr>
              <w:rFonts w:ascii="Times New Roman" w:eastAsia="Times New Roman" w:hAnsi="Times New Roman" w:cs="Times New Roman"/>
              <w:color w:val="000000"/>
            </w:rPr>
            <w:t xml:space="preserve"> [online]. Available from: https://www.isms.online/iso-27001/integration-with-pci-dss.</w:t>
          </w:r>
        </w:p>
        <w:p w14:paraId="3EE30AF9" w14:textId="612A86D3" w:rsidR="00E65338" w:rsidRPr="007C70A3" w:rsidRDefault="00911E1A" w:rsidP="007C70A3">
          <w:pPr>
            <w:divId w:val="2141723524"/>
            <w:rPr>
              <w:rFonts w:ascii="Times New Roman" w:eastAsia="Times New Roman" w:hAnsi="Times New Roman" w:cs="Times New Roman"/>
              <w:color w:val="000000"/>
            </w:rPr>
          </w:pPr>
          <w:r>
            <w:rPr>
              <w:rFonts w:ascii="Times New Roman" w:eastAsia="Times New Roman" w:hAnsi="Times New Roman" w:cs="Times New Roman"/>
              <w:color w:val="000000"/>
            </w:rPr>
            <w:t xml:space="preserve">[13] </w:t>
          </w:r>
          <w:r w:rsidR="00E65338" w:rsidRPr="007C70A3">
            <w:rPr>
              <w:rFonts w:ascii="Times New Roman" w:eastAsia="Times New Roman" w:hAnsi="Times New Roman" w:cs="Times New Roman"/>
              <w:color w:val="000000"/>
            </w:rPr>
            <w:t xml:space="preserve">ISO (2022) </w:t>
          </w:r>
          <w:r w:rsidR="00E65338" w:rsidRPr="007C70A3">
            <w:rPr>
              <w:rFonts w:ascii="Times New Roman" w:eastAsia="Times New Roman" w:hAnsi="Times New Roman" w:cs="Times New Roman"/>
              <w:i/>
              <w:iCs/>
              <w:color w:val="000000"/>
            </w:rPr>
            <w:t>ISO/IEC 27001:2022 - Information security management systems</w:t>
          </w:r>
          <w:r w:rsidR="00E65338" w:rsidRPr="007C70A3">
            <w:rPr>
              <w:rFonts w:ascii="Times New Roman" w:eastAsia="Times New Roman" w:hAnsi="Times New Roman" w:cs="Times New Roman"/>
              <w:color w:val="000000"/>
            </w:rPr>
            <w:t xml:space="preserve"> [online]. Available from: https://www.iso.org/standard/27001 [Accessed 17 September 2025].</w:t>
          </w:r>
        </w:p>
        <w:p w14:paraId="2728CE79" w14:textId="3F2BA789" w:rsidR="00E65338" w:rsidRPr="007C70A3" w:rsidRDefault="00911E1A" w:rsidP="007C70A3">
          <w:pPr>
            <w:divId w:val="471558700"/>
            <w:rPr>
              <w:rFonts w:ascii="Times New Roman" w:eastAsia="Times New Roman" w:hAnsi="Times New Roman" w:cs="Times New Roman"/>
              <w:color w:val="000000"/>
            </w:rPr>
          </w:pPr>
          <w:r>
            <w:rPr>
              <w:rFonts w:ascii="Times New Roman" w:eastAsia="Times New Roman" w:hAnsi="Times New Roman" w:cs="Times New Roman"/>
              <w:color w:val="000000"/>
            </w:rPr>
            <w:t xml:space="preserve">[14] </w:t>
          </w:r>
          <w:r w:rsidR="00E65338" w:rsidRPr="007C70A3">
            <w:rPr>
              <w:rFonts w:ascii="Times New Roman" w:eastAsia="Times New Roman" w:hAnsi="Times New Roman" w:cs="Times New Roman"/>
              <w:color w:val="000000"/>
            </w:rPr>
            <w:t xml:space="preserve">IT Governance (2024) </w:t>
          </w:r>
          <w:r w:rsidR="00E65338" w:rsidRPr="007C70A3">
            <w:rPr>
              <w:rFonts w:ascii="Times New Roman" w:eastAsia="Times New Roman" w:hAnsi="Times New Roman" w:cs="Times New Roman"/>
              <w:i/>
              <w:iCs/>
              <w:color w:val="000000"/>
            </w:rPr>
            <w:t>ISO 27001:2022 Annex A Controls - A Complete Guide</w:t>
          </w:r>
          <w:r w:rsidR="00E65338" w:rsidRPr="007C70A3">
            <w:rPr>
              <w:rFonts w:ascii="Times New Roman" w:eastAsia="Times New Roman" w:hAnsi="Times New Roman" w:cs="Times New Roman"/>
              <w:color w:val="000000"/>
            </w:rPr>
            <w:t xml:space="preserve">. </w:t>
          </w:r>
          <w:r w:rsidR="00E65338" w:rsidRPr="007C70A3">
            <w:rPr>
              <w:rFonts w:ascii="Times New Roman" w:eastAsia="Times New Roman" w:hAnsi="Times New Roman" w:cs="Times New Roman"/>
              <w:i/>
              <w:iCs/>
              <w:color w:val="000000"/>
            </w:rPr>
            <w:t>IT Governance UK</w:t>
          </w:r>
          <w:r w:rsidR="00E65338" w:rsidRPr="007C70A3">
            <w:rPr>
              <w:rFonts w:ascii="Times New Roman" w:eastAsia="Times New Roman" w:hAnsi="Times New Roman" w:cs="Times New Roman"/>
              <w:color w:val="000000"/>
            </w:rPr>
            <w:t xml:space="preserve"> [online]. Available from: https://www.itgovernance.co.uk/blog/iso-27001-the-14-control-sets-of-annex-a-explained [Accessed 6 November 2025].</w:t>
          </w:r>
        </w:p>
        <w:p w14:paraId="6385AD87" w14:textId="23118F29" w:rsidR="00E65338" w:rsidRPr="007C70A3" w:rsidRDefault="00911E1A" w:rsidP="007C70A3">
          <w:pPr>
            <w:divId w:val="885723517"/>
            <w:rPr>
              <w:rFonts w:ascii="Times New Roman" w:eastAsia="Times New Roman" w:hAnsi="Times New Roman" w:cs="Times New Roman"/>
              <w:color w:val="000000"/>
            </w:rPr>
          </w:pPr>
          <w:r>
            <w:rPr>
              <w:rFonts w:ascii="Times New Roman" w:eastAsia="Times New Roman" w:hAnsi="Times New Roman" w:cs="Times New Roman"/>
              <w:color w:val="000000"/>
            </w:rPr>
            <w:t xml:space="preserve">[15] </w:t>
          </w:r>
          <w:r w:rsidR="00E65338" w:rsidRPr="007C70A3">
            <w:rPr>
              <w:rFonts w:ascii="Times New Roman" w:eastAsia="Times New Roman" w:hAnsi="Times New Roman" w:cs="Times New Roman"/>
              <w:color w:val="000000"/>
            </w:rPr>
            <w:t xml:space="preserve">Kostopoulos, G. (2017) </w:t>
          </w:r>
          <w:r w:rsidR="00E65338" w:rsidRPr="007C70A3">
            <w:rPr>
              <w:rFonts w:ascii="Times New Roman" w:eastAsia="Times New Roman" w:hAnsi="Times New Roman" w:cs="Times New Roman"/>
              <w:i/>
              <w:iCs/>
              <w:color w:val="000000"/>
            </w:rPr>
            <w:t>Cyberspace and cybersecurity</w:t>
          </w:r>
          <w:r w:rsidR="00E65338" w:rsidRPr="007C70A3">
            <w:rPr>
              <w:rFonts w:ascii="Times New Roman" w:eastAsia="Times New Roman" w:hAnsi="Times New Roman" w:cs="Times New Roman"/>
              <w:color w:val="000000"/>
            </w:rPr>
            <w:t>. Auerbach Publications.</w:t>
          </w:r>
        </w:p>
        <w:p w14:paraId="1A5F0F61" w14:textId="12357A15" w:rsidR="00E65338" w:rsidRPr="007C70A3" w:rsidRDefault="00911E1A" w:rsidP="007C70A3">
          <w:pPr>
            <w:divId w:val="144200897"/>
            <w:rPr>
              <w:rFonts w:ascii="Times New Roman" w:eastAsia="Times New Roman" w:hAnsi="Times New Roman" w:cs="Times New Roman"/>
              <w:color w:val="000000"/>
            </w:rPr>
          </w:pPr>
          <w:r>
            <w:rPr>
              <w:rFonts w:ascii="Times New Roman" w:eastAsia="Times New Roman" w:hAnsi="Times New Roman" w:cs="Times New Roman"/>
              <w:color w:val="000000"/>
            </w:rPr>
            <w:t xml:space="preserve">[16] </w:t>
          </w:r>
          <w:r w:rsidR="00E65338" w:rsidRPr="007C70A3">
            <w:rPr>
              <w:rFonts w:ascii="Times New Roman" w:eastAsia="Times New Roman" w:hAnsi="Times New Roman" w:cs="Times New Roman"/>
              <w:color w:val="000000"/>
            </w:rPr>
            <w:t xml:space="preserve">Leeson, S. (2024) The Importance of the CIA Triad to Cybersecurity. </w:t>
          </w:r>
          <w:r w:rsidR="00E65338" w:rsidRPr="007C70A3">
            <w:rPr>
              <w:rFonts w:ascii="Times New Roman" w:eastAsia="Times New Roman" w:hAnsi="Times New Roman" w:cs="Times New Roman"/>
              <w:i/>
              <w:iCs/>
              <w:color w:val="000000"/>
            </w:rPr>
            <w:t>YourShortlist</w:t>
          </w:r>
          <w:r w:rsidR="00E65338" w:rsidRPr="007C70A3">
            <w:rPr>
              <w:rFonts w:ascii="Times New Roman" w:eastAsia="Times New Roman" w:hAnsi="Times New Roman" w:cs="Times New Roman"/>
              <w:color w:val="000000"/>
            </w:rPr>
            <w:t xml:space="preserve"> [online]. Available from: https://yourshortlist.com/the-importance-of-the-cia-triad-to-cybersecurity.</w:t>
          </w:r>
        </w:p>
        <w:p w14:paraId="4BDDAEF7" w14:textId="1480AE80" w:rsidR="00E65338" w:rsidRPr="007C70A3" w:rsidRDefault="00911E1A" w:rsidP="007C70A3">
          <w:pPr>
            <w:divId w:val="305279141"/>
            <w:rPr>
              <w:rFonts w:ascii="Times New Roman" w:eastAsia="Times New Roman" w:hAnsi="Times New Roman" w:cs="Times New Roman"/>
              <w:color w:val="000000"/>
            </w:rPr>
          </w:pPr>
          <w:r>
            <w:rPr>
              <w:rFonts w:ascii="Times New Roman" w:eastAsia="Times New Roman" w:hAnsi="Times New Roman" w:cs="Times New Roman"/>
              <w:color w:val="000000"/>
            </w:rPr>
            <w:t xml:space="preserve">[17] </w:t>
          </w:r>
          <w:r w:rsidR="00E65338" w:rsidRPr="007C70A3">
            <w:rPr>
              <w:rFonts w:ascii="Times New Roman" w:eastAsia="Times New Roman" w:hAnsi="Times New Roman" w:cs="Times New Roman"/>
              <w:color w:val="000000"/>
            </w:rPr>
            <w:t xml:space="preserve">Lim, S. and Oh, J. (2025) Navigating Privacy: A Global Comparative Analysis of Data Protection Laws. </w:t>
          </w:r>
          <w:r w:rsidR="00E65338" w:rsidRPr="007C70A3">
            <w:rPr>
              <w:rFonts w:ascii="Times New Roman" w:eastAsia="Times New Roman" w:hAnsi="Times New Roman" w:cs="Times New Roman"/>
              <w:i/>
              <w:iCs/>
              <w:color w:val="000000"/>
            </w:rPr>
            <w:t>IET Information Security</w:t>
          </w:r>
          <w:r w:rsidR="00E65338" w:rsidRPr="007C70A3">
            <w:rPr>
              <w:rFonts w:ascii="Times New Roman" w:eastAsia="Times New Roman" w:hAnsi="Times New Roman" w:cs="Times New Roman"/>
              <w:color w:val="000000"/>
            </w:rPr>
            <w:t xml:space="preserve"> [online]. 2025 (1). Available from: https://www.researchgate.net/publication/388401409_Navigating_Privacy_A_Global_Comparative_Analysis_of_Data_Protection_Laws [Accessed 6 November 2025].</w:t>
          </w:r>
        </w:p>
        <w:p w14:paraId="128E1273" w14:textId="026073D0" w:rsidR="00E65338" w:rsidRPr="007C70A3" w:rsidRDefault="00911E1A" w:rsidP="007C70A3">
          <w:pPr>
            <w:divId w:val="1136294598"/>
            <w:rPr>
              <w:rFonts w:ascii="Times New Roman" w:eastAsia="Times New Roman" w:hAnsi="Times New Roman" w:cs="Times New Roman"/>
              <w:color w:val="000000"/>
            </w:rPr>
          </w:pPr>
          <w:r>
            <w:rPr>
              <w:rFonts w:ascii="Times New Roman" w:eastAsia="Times New Roman" w:hAnsi="Times New Roman" w:cs="Times New Roman"/>
              <w:color w:val="000000"/>
            </w:rPr>
            <w:t xml:space="preserve">[18] </w:t>
          </w:r>
          <w:r w:rsidR="00E65338" w:rsidRPr="007C70A3">
            <w:rPr>
              <w:rFonts w:ascii="Times New Roman" w:eastAsia="Times New Roman" w:hAnsi="Times New Roman" w:cs="Times New Roman"/>
              <w:color w:val="000000"/>
            </w:rPr>
            <w:t xml:space="preserve">Muskan (2025) Post-Pandemic Business Continuity and Strategic Resilience: Innovative Management Practices for a Disrupted World. </w:t>
          </w:r>
          <w:r w:rsidR="00E65338" w:rsidRPr="007C70A3">
            <w:rPr>
              <w:rFonts w:ascii="Times New Roman" w:eastAsia="Times New Roman" w:hAnsi="Times New Roman" w:cs="Times New Roman"/>
              <w:i/>
              <w:iCs/>
              <w:color w:val="000000"/>
            </w:rPr>
            <w:t>European Economic Letters (EEL)</w:t>
          </w:r>
          <w:r w:rsidR="00E65338" w:rsidRPr="007C70A3">
            <w:rPr>
              <w:rFonts w:ascii="Times New Roman" w:eastAsia="Times New Roman" w:hAnsi="Times New Roman" w:cs="Times New Roman"/>
              <w:color w:val="000000"/>
            </w:rPr>
            <w:t xml:space="preserve"> [online]. 15 (2), pp. 2312–2326. Available from: https://www.eelet.org.uk/index.php/journal/article/view/3065 [Accessed 6 November 2025].</w:t>
          </w:r>
        </w:p>
        <w:p w14:paraId="6F667BA6" w14:textId="7BCCA349" w:rsidR="00E65338" w:rsidRPr="007C70A3" w:rsidRDefault="00911E1A" w:rsidP="007C70A3">
          <w:pPr>
            <w:divId w:val="730496251"/>
            <w:rPr>
              <w:rFonts w:ascii="Times New Roman" w:eastAsia="Times New Roman" w:hAnsi="Times New Roman" w:cs="Times New Roman"/>
              <w:color w:val="000000"/>
            </w:rPr>
          </w:pPr>
          <w:r>
            <w:rPr>
              <w:rFonts w:ascii="Times New Roman" w:eastAsia="Times New Roman" w:hAnsi="Times New Roman" w:cs="Times New Roman"/>
              <w:color w:val="000000"/>
            </w:rPr>
            <w:t xml:space="preserve">[19] </w:t>
          </w:r>
          <w:r w:rsidR="00E65338" w:rsidRPr="007C70A3">
            <w:rPr>
              <w:rFonts w:ascii="Times New Roman" w:eastAsia="Times New Roman" w:hAnsi="Times New Roman" w:cs="Times New Roman"/>
              <w:color w:val="000000"/>
            </w:rPr>
            <w:t xml:space="preserve">NIST (2024) </w:t>
          </w:r>
          <w:r w:rsidR="00E65338" w:rsidRPr="007C70A3">
            <w:rPr>
              <w:rFonts w:ascii="Times New Roman" w:eastAsia="Times New Roman" w:hAnsi="Times New Roman" w:cs="Times New Roman"/>
              <w:i/>
              <w:iCs/>
              <w:color w:val="000000"/>
            </w:rPr>
            <w:t>NIST Cybersecurity Framework</w:t>
          </w:r>
          <w:r w:rsidR="00E65338" w:rsidRPr="007C70A3">
            <w:rPr>
              <w:rFonts w:ascii="Times New Roman" w:eastAsia="Times New Roman" w:hAnsi="Times New Roman" w:cs="Times New Roman"/>
              <w:color w:val="000000"/>
            </w:rPr>
            <w:t xml:space="preserve">. </w:t>
          </w:r>
          <w:r w:rsidR="00E65338" w:rsidRPr="007C70A3">
            <w:rPr>
              <w:rFonts w:ascii="Times New Roman" w:eastAsia="Times New Roman" w:hAnsi="Times New Roman" w:cs="Times New Roman"/>
              <w:i/>
              <w:iCs/>
              <w:color w:val="000000"/>
            </w:rPr>
            <w:t>NIST</w:t>
          </w:r>
          <w:r w:rsidR="00E65338" w:rsidRPr="007C70A3">
            <w:rPr>
              <w:rFonts w:ascii="Times New Roman" w:eastAsia="Times New Roman" w:hAnsi="Times New Roman" w:cs="Times New Roman"/>
              <w:color w:val="000000"/>
            </w:rPr>
            <w:t xml:space="preserve"> [online]. Available from: https://www.nist.gov/itl/smallbusinesscyber/nist-cybersecurity-framework-0.</w:t>
          </w:r>
        </w:p>
        <w:p w14:paraId="49A28025" w14:textId="419FDCDD" w:rsidR="00E65338" w:rsidRPr="007C70A3" w:rsidRDefault="00911E1A" w:rsidP="007C70A3">
          <w:pPr>
            <w:divId w:val="1610502507"/>
            <w:rPr>
              <w:rFonts w:ascii="Times New Roman" w:eastAsia="Times New Roman" w:hAnsi="Times New Roman" w:cs="Times New Roman"/>
              <w:color w:val="000000"/>
            </w:rPr>
          </w:pPr>
          <w:r>
            <w:rPr>
              <w:rFonts w:ascii="Times New Roman" w:eastAsia="Times New Roman" w:hAnsi="Times New Roman" w:cs="Times New Roman"/>
              <w:color w:val="000000"/>
            </w:rPr>
            <w:t xml:space="preserve">[20] </w:t>
          </w:r>
          <w:r w:rsidR="00E65338" w:rsidRPr="007C70A3">
            <w:rPr>
              <w:rFonts w:ascii="Times New Roman" w:eastAsia="Times New Roman" w:hAnsi="Times New Roman" w:cs="Times New Roman"/>
              <w:color w:val="000000"/>
            </w:rPr>
            <w:t>NIST, G.M. (2025) The NIST Cybersecurity Framework (CSF) 2.0 (Mandarin Chinese translation). [online]. Available from: https://nvlpubs.nist.gov/nistpubs/CSWP/NIST.CSWP.29.chi.pdf [Accessed 29 April 2025].</w:t>
          </w:r>
        </w:p>
        <w:p w14:paraId="7A1AFA8F" w14:textId="6AC736FD" w:rsidR="00E65338" w:rsidRPr="007C70A3" w:rsidRDefault="00911E1A" w:rsidP="007C70A3">
          <w:pPr>
            <w:divId w:val="596793046"/>
            <w:rPr>
              <w:rFonts w:ascii="Times New Roman" w:eastAsia="Times New Roman" w:hAnsi="Times New Roman" w:cs="Times New Roman"/>
              <w:color w:val="000000"/>
            </w:rPr>
          </w:pPr>
          <w:r>
            <w:rPr>
              <w:rFonts w:ascii="Times New Roman" w:eastAsia="Times New Roman" w:hAnsi="Times New Roman" w:cs="Times New Roman"/>
              <w:color w:val="000000"/>
            </w:rPr>
            <w:t xml:space="preserve">[21] </w:t>
          </w:r>
          <w:r w:rsidR="00E65338" w:rsidRPr="007C70A3">
            <w:rPr>
              <w:rFonts w:ascii="Times New Roman" w:eastAsia="Times New Roman" w:hAnsi="Times New Roman" w:cs="Times New Roman"/>
              <w:color w:val="000000"/>
            </w:rPr>
            <w:t xml:space="preserve">Peltier, T.R. (2016) </w:t>
          </w:r>
          <w:r w:rsidR="00E65338" w:rsidRPr="007C70A3">
            <w:rPr>
              <w:rFonts w:ascii="Times New Roman" w:eastAsia="Times New Roman" w:hAnsi="Times New Roman" w:cs="Times New Roman"/>
              <w:i/>
              <w:iCs/>
              <w:color w:val="000000"/>
            </w:rPr>
            <w:t>Information Security Policies, Procedures, and Standards</w:t>
          </w:r>
          <w:r w:rsidR="00E65338" w:rsidRPr="007C70A3">
            <w:rPr>
              <w:rFonts w:ascii="Times New Roman" w:eastAsia="Times New Roman" w:hAnsi="Times New Roman" w:cs="Times New Roman"/>
              <w:color w:val="000000"/>
            </w:rPr>
            <w:t xml:space="preserve"> [online]. Auerbach Publications.</w:t>
          </w:r>
        </w:p>
        <w:p w14:paraId="780B2819" w14:textId="5A932C36" w:rsidR="00E65338" w:rsidRPr="007C70A3" w:rsidRDefault="00911E1A" w:rsidP="007C70A3">
          <w:pPr>
            <w:divId w:val="1938295763"/>
            <w:rPr>
              <w:rFonts w:ascii="Times New Roman" w:eastAsia="Times New Roman" w:hAnsi="Times New Roman" w:cs="Times New Roman"/>
              <w:color w:val="000000"/>
            </w:rPr>
          </w:pPr>
          <w:r>
            <w:rPr>
              <w:rFonts w:ascii="Times New Roman" w:eastAsia="Times New Roman" w:hAnsi="Times New Roman" w:cs="Times New Roman"/>
              <w:color w:val="000000"/>
            </w:rPr>
            <w:t xml:space="preserve">[22] </w:t>
          </w:r>
          <w:r w:rsidR="00E65338" w:rsidRPr="007C70A3">
            <w:rPr>
              <w:rFonts w:ascii="Times New Roman" w:eastAsia="Times New Roman" w:hAnsi="Times New Roman" w:cs="Times New Roman"/>
              <w:color w:val="000000"/>
            </w:rPr>
            <w:t xml:space="preserve">Rafeq, A., CISA and FCA (2021) </w:t>
          </w:r>
          <w:r w:rsidR="00E65338" w:rsidRPr="007C70A3">
            <w:rPr>
              <w:rFonts w:ascii="Times New Roman" w:eastAsia="Times New Roman" w:hAnsi="Times New Roman" w:cs="Times New Roman"/>
              <w:i/>
              <w:iCs/>
              <w:color w:val="000000"/>
            </w:rPr>
            <w:t>Industry News 2021 A Systematic Approach to Implementing a Governance System Using Cobit 2019</w:t>
          </w:r>
          <w:r w:rsidR="00E65338" w:rsidRPr="007C70A3">
            <w:rPr>
              <w:rFonts w:ascii="Times New Roman" w:eastAsia="Times New Roman" w:hAnsi="Times New Roman" w:cs="Times New Roman"/>
              <w:color w:val="000000"/>
            </w:rPr>
            <w:t xml:space="preserve"> [online]. Available from: https://www.isaca.org/resources/news-and-trends/industry-news/2021/a-systematic-approach-to-implementing-a-governance-system-using-cobit-2019 [Accessed 8 May 2025].</w:t>
          </w:r>
        </w:p>
        <w:p w14:paraId="5F0E3380" w14:textId="61D7FEA3" w:rsidR="00E65338" w:rsidRPr="007C70A3" w:rsidRDefault="00911E1A" w:rsidP="007C70A3">
          <w:pPr>
            <w:divId w:val="423956545"/>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[23] </w:t>
          </w:r>
          <w:r w:rsidR="00E65338" w:rsidRPr="007C70A3">
            <w:rPr>
              <w:rFonts w:ascii="Times New Roman" w:eastAsia="Times New Roman" w:hAnsi="Times New Roman" w:cs="Times New Roman"/>
              <w:color w:val="000000"/>
            </w:rPr>
            <w:t xml:space="preserve">Rose, S., Borchert, O., Mitchell, S. and Connelly, S. (2020) Zero Trust Architecture. </w:t>
          </w:r>
          <w:r w:rsidR="00E65338" w:rsidRPr="007C70A3">
            <w:rPr>
              <w:rFonts w:ascii="Times New Roman" w:eastAsia="Times New Roman" w:hAnsi="Times New Roman" w:cs="Times New Roman"/>
              <w:i/>
              <w:iCs/>
              <w:color w:val="000000"/>
            </w:rPr>
            <w:t>NIST Special Publication 800-207</w:t>
          </w:r>
          <w:r w:rsidR="00E65338" w:rsidRPr="007C70A3">
            <w:rPr>
              <w:rFonts w:ascii="Times New Roman" w:eastAsia="Times New Roman" w:hAnsi="Times New Roman" w:cs="Times New Roman"/>
              <w:color w:val="000000"/>
            </w:rPr>
            <w:t xml:space="preserve"> [online]. Available from: https://doi.org/10.6028/NIST.SP.800-207 [Accessed 6 November 2025].</w:t>
          </w:r>
        </w:p>
        <w:p w14:paraId="3EDAAF69" w14:textId="3CB7E148" w:rsidR="00E65338" w:rsidRPr="007C70A3" w:rsidRDefault="00911E1A" w:rsidP="007C70A3">
          <w:pPr>
            <w:divId w:val="544565777"/>
            <w:rPr>
              <w:rFonts w:ascii="Times New Roman" w:eastAsia="Times New Roman" w:hAnsi="Times New Roman" w:cs="Times New Roman"/>
              <w:color w:val="000000"/>
            </w:rPr>
          </w:pPr>
          <w:r>
            <w:rPr>
              <w:rFonts w:ascii="Times New Roman" w:eastAsia="Times New Roman" w:hAnsi="Times New Roman" w:cs="Times New Roman"/>
              <w:color w:val="000000"/>
            </w:rPr>
            <w:t xml:space="preserve">[24] </w:t>
          </w:r>
          <w:r w:rsidR="00E65338" w:rsidRPr="007C70A3">
            <w:rPr>
              <w:rFonts w:ascii="Times New Roman" w:eastAsia="Times New Roman" w:hAnsi="Times New Roman" w:cs="Times New Roman"/>
              <w:color w:val="000000"/>
            </w:rPr>
            <w:t xml:space="preserve">Rose, S., Borchert, O., Mitchell, S. and Connelly, S. (2020) Zero trust architecture. NIST SP 800–207. </w:t>
          </w:r>
          <w:r w:rsidR="00E65338" w:rsidRPr="007C70A3">
            <w:rPr>
              <w:rFonts w:ascii="Times New Roman" w:eastAsia="Times New Roman" w:hAnsi="Times New Roman" w:cs="Times New Roman"/>
              <w:i/>
              <w:iCs/>
              <w:color w:val="000000"/>
            </w:rPr>
            <w:t>NIST, National Institute of Standards and Technology (NIST), URL: https://nvlpubs. nist. gov/nistpubs/SpecialPublications/NIST. SP</w:t>
          </w:r>
          <w:r w:rsidR="00E65338" w:rsidRPr="007C70A3">
            <w:rPr>
              <w:rFonts w:ascii="Times New Roman" w:eastAsia="Times New Roman" w:hAnsi="Times New Roman" w:cs="Times New Roman"/>
              <w:color w:val="000000"/>
            </w:rPr>
            <w:t>. pp. 207–800.</w:t>
          </w:r>
        </w:p>
        <w:p w14:paraId="668816EC" w14:textId="2FF66503" w:rsidR="00E65338" w:rsidRPr="007C70A3" w:rsidRDefault="00911E1A" w:rsidP="007C70A3">
          <w:pPr>
            <w:divId w:val="978847837"/>
            <w:rPr>
              <w:rFonts w:ascii="Times New Roman" w:eastAsia="Times New Roman" w:hAnsi="Times New Roman" w:cs="Times New Roman"/>
              <w:color w:val="000000"/>
            </w:rPr>
          </w:pPr>
          <w:r>
            <w:rPr>
              <w:rFonts w:ascii="Times New Roman" w:eastAsia="Times New Roman" w:hAnsi="Times New Roman" w:cs="Times New Roman"/>
              <w:color w:val="000000"/>
            </w:rPr>
            <w:t xml:space="preserve">[25] </w:t>
          </w:r>
          <w:r w:rsidR="00E65338" w:rsidRPr="007C70A3">
            <w:rPr>
              <w:rFonts w:ascii="Times New Roman" w:eastAsia="Times New Roman" w:hAnsi="Times New Roman" w:cs="Times New Roman"/>
              <w:color w:val="000000"/>
            </w:rPr>
            <w:t xml:space="preserve">Secureframe (2025) </w:t>
          </w:r>
          <w:r w:rsidR="00E65338" w:rsidRPr="007C70A3">
            <w:rPr>
              <w:rFonts w:ascii="Times New Roman" w:eastAsia="Times New Roman" w:hAnsi="Times New Roman" w:cs="Times New Roman"/>
              <w:i/>
              <w:iCs/>
              <w:color w:val="000000"/>
            </w:rPr>
            <w:t>The Core Requirements of ISO 27001 Clauses 4-10</w:t>
          </w:r>
          <w:r w:rsidR="00E65338" w:rsidRPr="007C70A3">
            <w:rPr>
              <w:rFonts w:ascii="Times New Roman" w:eastAsia="Times New Roman" w:hAnsi="Times New Roman" w:cs="Times New Roman"/>
              <w:color w:val="000000"/>
            </w:rPr>
            <w:t xml:space="preserve"> [online]. Available from: https://secureframe.com/hub/iso-27001/clauses [Accessed 6 November 2025].</w:t>
          </w:r>
        </w:p>
        <w:p w14:paraId="0DE45C64" w14:textId="7EEC3F59" w:rsidR="00E65338" w:rsidRPr="007C70A3" w:rsidRDefault="00911E1A" w:rsidP="007C70A3">
          <w:pPr>
            <w:divId w:val="1509170190"/>
            <w:rPr>
              <w:rFonts w:ascii="Times New Roman" w:eastAsia="Times New Roman" w:hAnsi="Times New Roman" w:cs="Times New Roman"/>
              <w:color w:val="000000"/>
            </w:rPr>
          </w:pPr>
          <w:r>
            <w:rPr>
              <w:rFonts w:ascii="Times New Roman" w:eastAsia="Times New Roman" w:hAnsi="Times New Roman" w:cs="Times New Roman"/>
              <w:color w:val="000000"/>
            </w:rPr>
            <w:t xml:space="preserve">[26] </w:t>
          </w:r>
          <w:r w:rsidR="00E65338" w:rsidRPr="007C70A3">
            <w:rPr>
              <w:rFonts w:ascii="Times New Roman" w:eastAsia="Times New Roman" w:hAnsi="Times New Roman" w:cs="Times New Roman"/>
              <w:color w:val="000000"/>
            </w:rPr>
            <w:t xml:space="preserve">Shen, L. (2014) The NIST cybersecurity framework: Overview and potential impacts. </w:t>
          </w:r>
          <w:r w:rsidR="00E65338" w:rsidRPr="007C70A3">
            <w:rPr>
              <w:rFonts w:ascii="Times New Roman" w:eastAsia="Times New Roman" w:hAnsi="Times New Roman" w:cs="Times New Roman"/>
              <w:i/>
              <w:iCs/>
              <w:color w:val="000000"/>
            </w:rPr>
            <w:t>Scitech Lawyer</w:t>
          </w:r>
          <w:r w:rsidR="00E65338" w:rsidRPr="007C70A3">
            <w:rPr>
              <w:rFonts w:ascii="Times New Roman" w:eastAsia="Times New Roman" w:hAnsi="Times New Roman" w:cs="Times New Roman"/>
              <w:color w:val="000000"/>
            </w:rPr>
            <w:t>. 10 (4), p. 16.</w:t>
          </w:r>
        </w:p>
        <w:p w14:paraId="0CB91716" w14:textId="227A6480" w:rsidR="00E65338" w:rsidRPr="007C70A3" w:rsidRDefault="00911E1A" w:rsidP="007C70A3">
          <w:pPr>
            <w:divId w:val="1433934091"/>
            <w:rPr>
              <w:rFonts w:ascii="Times New Roman" w:eastAsia="Times New Roman" w:hAnsi="Times New Roman" w:cs="Times New Roman"/>
              <w:color w:val="000000"/>
            </w:rPr>
          </w:pPr>
          <w:r>
            <w:rPr>
              <w:rFonts w:ascii="Times New Roman" w:eastAsia="Times New Roman" w:hAnsi="Times New Roman" w:cs="Times New Roman"/>
              <w:color w:val="000000"/>
            </w:rPr>
            <w:t xml:space="preserve">[27] </w:t>
          </w:r>
          <w:r w:rsidR="00E65338" w:rsidRPr="007C70A3">
            <w:rPr>
              <w:rFonts w:ascii="Times New Roman" w:eastAsia="Times New Roman" w:hAnsi="Times New Roman" w:cs="Times New Roman"/>
              <w:color w:val="000000"/>
            </w:rPr>
            <w:t xml:space="preserve">Siponen, M. and Willison, R. (2009) Information security management standards: Problems and solutions. </w:t>
          </w:r>
          <w:r w:rsidR="00E65338" w:rsidRPr="007C70A3">
            <w:rPr>
              <w:rFonts w:ascii="Times New Roman" w:eastAsia="Times New Roman" w:hAnsi="Times New Roman" w:cs="Times New Roman"/>
              <w:i/>
              <w:iCs/>
              <w:color w:val="000000"/>
            </w:rPr>
            <w:t>Information and Management</w:t>
          </w:r>
          <w:r w:rsidR="00E65338" w:rsidRPr="007C70A3">
            <w:rPr>
              <w:rFonts w:ascii="Times New Roman" w:eastAsia="Times New Roman" w:hAnsi="Times New Roman" w:cs="Times New Roman"/>
              <w:color w:val="000000"/>
            </w:rPr>
            <w:t xml:space="preserve"> [online]. 46 (5), pp. 267–270. Available from: https://www.researchgate.net/publication/221998085_Information_security_management_standards_Problems_and_solutions [Accessed 6 November 2025].</w:t>
          </w:r>
        </w:p>
        <w:p w14:paraId="33B767A8" w14:textId="04AAAA43" w:rsidR="00E65338" w:rsidRPr="007C70A3" w:rsidRDefault="00911E1A" w:rsidP="007C70A3">
          <w:pPr>
            <w:divId w:val="995375783"/>
            <w:rPr>
              <w:rFonts w:ascii="Times New Roman" w:eastAsia="Times New Roman" w:hAnsi="Times New Roman" w:cs="Times New Roman"/>
              <w:color w:val="000000"/>
            </w:rPr>
          </w:pPr>
          <w:r>
            <w:rPr>
              <w:rFonts w:ascii="Times New Roman" w:eastAsia="Times New Roman" w:hAnsi="Times New Roman" w:cs="Times New Roman"/>
              <w:color w:val="000000"/>
            </w:rPr>
            <w:t xml:space="preserve">[28] </w:t>
          </w:r>
          <w:r w:rsidR="00E65338" w:rsidRPr="007C70A3">
            <w:rPr>
              <w:rFonts w:ascii="Times New Roman" w:eastAsia="Times New Roman" w:hAnsi="Times New Roman" w:cs="Times New Roman"/>
              <w:color w:val="000000"/>
            </w:rPr>
            <w:t xml:space="preserve">Smith, R. (1995) Business continuity planning and service level agreements. </w:t>
          </w:r>
          <w:r w:rsidR="00E65338" w:rsidRPr="007C70A3">
            <w:rPr>
              <w:rFonts w:ascii="Times New Roman" w:eastAsia="Times New Roman" w:hAnsi="Times New Roman" w:cs="Times New Roman"/>
              <w:i/>
              <w:iCs/>
              <w:color w:val="000000"/>
            </w:rPr>
            <w:t>Information Management &amp; Computer Security</w:t>
          </w:r>
          <w:r w:rsidR="00E65338" w:rsidRPr="007C70A3">
            <w:rPr>
              <w:rFonts w:ascii="Times New Roman" w:eastAsia="Times New Roman" w:hAnsi="Times New Roman" w:cs="Times New Roman"/>
              <w:color w:val="000000"/>
            </w:rPr>
            <w:t xml:space="preserve"> [online]. 3 (3), pp. 17–19.</w:t>
          </w:r>
        </w:p>
        <w:p w14:paraId="1E106882" w14:textId="4E403F8A" w:rsidR="00E65338" w:rsidRPr="007C70A3" w:rsidRDefault="00F84549" w:rsidP="007C70A3">
          <w:pPr>
            <w:divId w:val="544105335"/>
            <w:rPr>
              <w:rFonts w:ascii="Times New Roman" w:eastAsia="Times New Roman" w:hAnsi="Times New Roman" w:cs="Times New Roman"/>
              <w:color w:val="000000"/>
            </w:rPr>
          </w:pPr>
          <w:r>
            <w:rPr>
              <w:rFonts w:ascii="Times New Roman" w:eastAsia="Times New Roman" w:hAnsi="Times New Roman" w:cs="Times New Roman"/>
              <w:color w:val="000000"/>
            </w:rPr>
            <w:t xml:space="preserve">[29] </w:t>
          </w:r>
          <w:r w:rsidR="00E65338" w:rsidRPr="007C70A3">
            <w:rPr>
              <w:rFonts w:ascii="Times New Roman" w:eastAsia="Times New Roman" w:hAnsi="Times New Roman" w:cs="Times New Roman"/>
              <w:color w:val="000000"/>
            </w:rPr>
            <w:t xml:space="preserve">Von Solms, R. and Van Niekerk, J. (2013) From information security to cyber security. </w:t>
          </w:r>
          <w:r w:rsidR="00E65338" w:rsidRPr="007C70A3">
            <w:rPr>
              <w:rFonts w:ascii="Times New Roman" w:eastAsia="Times New Roman" w:hAnsi="Times New Roman" w:cs="Times New Roman"/>
              <w:i/>
              <w:iCs/>
              <w:color w:val="000000"/>
            </w:rPr>
            <w:t>Computers &amp; Security</w:t>
          </w:r>
          <w:r w:rsidR="00E65338" w:rsidRPr="007C70A3">
            <w:rPr>
              <w:rFonts w:ascii="Times New Roman" w:eastAsia="Times New Roman" w:hAnsi="Times New Roman" w:cs="Times New Roman"/>
              <w:color w:val="000000"/>
            </w:rPr>
            <w:t xml:space="preserve"> [online]. 38, pp. 97–102. Available from: https://www.sciencedirect.com/science/article/abs/pii/S0167404813000801 [Accessed 6 November 2025].</w:t>
          </w:r>
        </w:p>
        <w:p w14:paraId="7685F9D9" w14:textId="01F88E6F" w:rsidR="00E65338" w:rsidRPr="007C70A3" w:rsidRDefault="00F84549" w:rsidP="007C70A3">
          <w:pPr>
            <w:divId w:val="2104492798"/>
            <w:rPr>
              <w:rFonts w:ascii="Times New Roman" w:eastAsia="Times New Roman" w:hAnsi="Times New Roman" w:cs="Times New Roman"/>
              <w:color w:val="000000"/>
            </w:rPr>
          </w:pPr>
          <w:r>
            <w:rPr>
              <w:rFonts w:ascii="Times New Roman" w:eastAsia="Times New Roman" w:hAnsi="Times New Roman" w:cs="Times New Roman"/>
              <w:color w:val="000000"/>
            </w:rPr>
            <w:t xml:space="preserve">[30] </w:t>
          </w:r>
          <w:r w:rsidR="00E65338" w:rsidRPr="007C70A3">
            <w:rPr>
              <w:rFonts w:ascii="Times New Roman" w:eastAsia="Times New Roman" w:hAnsi="Times New Roman" w:cs="Times New Roman"/>
              <w:color w:val="000000"/>
            </w:rPr>
            <w:t xml:space="preserve">Soomro, Z.A., Shah, M.H. and Ahmed, J. (2016) Information security management needs more holistic approach: A literature review. </w:t>
          </w:r>
          <w:r w:rsidR="00E65338" w:rsidRPr="007C70A3">
            <w:rPr>
              <w:rFonts w:ascii="Times New Roman" w:eastAsia="Times New Roman" w:hAnsi="Times New Roman" w:cs="Times New Roman"/>
              <w:i/>
              <w:iCs/>
              <w:color w:val="000000"/>
            </w:rPr>
            <w:t>International Journal of Information Management</w:t>
          </w:r>
          <w:r w:rsidR="00E65338" w:rsidRPr="007C70A3">
            <w:rPr>
              <w:rFonts w:ascii="Times New Roman" w:eastAsia="Times New Roman" w:hAnsi="Times New Roman" w:cs="Times New Roman"/>
              <w:color w:val="000000"/>
            </w:rPr>
            <w:t xml:space="preserve"> [online]. 36 (2), pp. 215–225. Available from: https://www.sciencedirect.com/science/article/pii/S0268401215001103.</w:t>
          </w:r>
        </w:p>
        <w:p w14:paraId="0CCEE3A2" w14:textId="19516C66" w:rsidR="00E65338" w:rsidRPr="007C70A3" w:rsidRDefault="00F84549" w:rsidP="007C70A3">
          <w:pPr>
            <w:divId w:val="1105616612"/>
            <w:rPr>
              <w:rFonts w:ascii="Times New Roman" w:eastAsia="Times New Roman" w:hAnsi="Times New Roman" w:cs="Times New Roman"/>
              <w:color w:val="000000"/>
            </w:rPr>
          </w:pPr>
          <w:r>
            <w:rPr>
              <w:rFonts w:ascii="Times New Roman" w:eastAsia="Times New Roman" w:hAnsi="Times New Roman" w:cs="Times New Roman"/>
              <w:color w:val="000000"/>
            </w:rPr>
            <w:t xml:space="preserve">[31] </w:t>
          </w:r>
          <w:r w:rsidR="00E65338" w:rsidRPr="007C70A3">
            <w:rPr>
              <w:rFonts w:ascii="Times New Roman" w:eastAsia="Times New Roman" w:hAnsi="Times New Roman" w:cs="Times New Roman"/>
              <w:color w:val="000000"/>
            </w:rPr>
            <w:t xml:space="preserve">Steen, R., Haug, O.J. and Patriarca, R. (2024) Business continuity and resilience management: A conceptual framework. </w:t>
          </w:r>
          <w:r w:rsidR="00E65338" w:rsidRPr="007C70A3">
            <w:rPr>
              <w:rFonts w:ascii="Times New Roman" w:eastAsia="Times New Roman" w:hAnsi="Times New Roman" w:cs="Times New Roman"/>
              <w:i/>
              <w:iCs/>
              <w:color w:val="000000"/>
            </w:rPr>
            <w:t>Journal of Contingencies and Crisis Management</w:t>
          </w:r>
          <w:r w:rsidR="00E65338" w:rsidRPr="007C70A3">
            <w:rPr>
              <w:rFonts w:ascii="Times New Roman" w:eastAsia="Times New Roman" w:hAnsi="Times New Roman" w:cs="Times New Roman"/>
              <w:color w:val="000000"/>
            </w:rPr>
            <w:t xml:space="preserve"> [online]. 32 (1). [Accessed 6 November 2025].</w:t>
          </w:r>
        </w:p>
        <w:p w14:paraId="77FF839B" w14:textId="22A8F9E0" w:rsidR="00E65338" w:rsidRPr="007C70A3" w:rsidRDefault="00F84549" w:rsidP="007C70A3">
          <w:pPr>
            <w:divId w:val="1833643601"/>
            <w:rPr>
              <w:rFonts w:ascii="Times New Roman" w:eastAsia="Times New Roman" w:hAnsi="Times New Roman" w:cs="Times New Roman"/>
              <w:color w:val="000000"/>
            </w:rPr>
          </w:pPr>
          <w:r>
            <w:rPr>
              <w:rFonts w:ascii="Times New Roman" w:eastAsia="Times New Roman" w:hAnsi="Times New Roman" w:cs="Times New Roman"/>
              <w:color w:val="000000"/>
            </w:rPr>
            <w:t xml:space="preserve">[32] </w:t>
          </w:r>
          <w:r w:rsidR="00E65338" w:rsidRPr="007C70A3">
            <w:rPr>
              <w:rFonts w:ascii="Times New Roman" w:eastAsia="Times New Roman" w:hAnsi="Times New Roman" w:cs="Times New Roman"/>
              <w:color w:val="000000"/>
            </w:rPr>
            <w:t xml:space="preserve">The Guardian (2024) </w:t>
          </w:r>
          <w:r w:rsidR="00E65338" w:rsidRPr="007C70A3">
            <w:rPr>
              <w:rFonts w:ascii="Times New Roman" w:eastAsia="Times New Roman" w:hAnsi="Times New Roman" w:cs="Times New Roman"/>
              <w:i/>
              <w:iCs/>
              <w:color w:val="000000"/>
            </w:rPr>
            <w:t xml:space="preserve">Online security lapses led to data of 40m UK voters being hacked, says ICO </w:t>
          </w:r>
          <w:r w:rsidR="00E65338" w:rsidRPr="007C70A3">
            <w:rPr>
              <w:rFonts w:ascii="Times New Roman" w:eastAsia="Times New Roman" w:hAnsi="Times New Roman" w:cs="Times New Roman"/>
              <w:color w:val="000000"/>
            </w:rPr>
            <w:t xml:space="preserve">. </w:t>
          </w:r>
          <w:r w:rsidR="00E65338" w:rsidRPr="007C70A3">
            <w:rPr>
              <w:rFonts w:ascii="Times New Roman" w:eastAsia="Times New Roman" w:hAnsi="Times New Roman" w:cs="Times New Roman"/>
              <w:i/>
              <w:iCs/>
              <w:color w:val="000000"/>
            </w:rPr>
            <w:t xml:space="preserve">Electoral Commission </w:t>
          </w:r>
          <w:r w:rsidR="00E65338" w:rsidRPr="007C70A3">
            <w:rPr>
              <w:rFonts w:ascii="Times New Roman" w:eastAsia="Times New Roman" w:hAnsi="Times New Roman" w:cs="Times New Roman"/>
              <w:color w:val="000000"/>
            </w:rPr>
            <w:t>[online]. Available from: https://www.theguardian.com/politics/article/2024/jul/30/online-security-lapses-led-to-data-of-40m-uk-voters-being-hacked-says-ico [Accessed 6 November 2025].</w:t>
          </w:r>
        </w:p>
        <w:p w14:paraId="2068D5A2" w14:textId="3582CA05" w:rsidR="00E65338" w:rsidRPr="007C70A3" w:rsidRDefault="00F84549" w:rsidP="007C70A3">
          <w:pPr>
            <w:divId w:val="1910529574"/>
            <w:rPr>
              <w:rFonts w:ascii="Times New Roman" w:eastAsia="Times New Roman" w:hAnsi="Times New Roman" w:cs="Times New Roman"/>
              <w:color w:val="000000"/>
            </w:rPr>
          </w:pPr>
          <w:r>
            <w:rPr>
              <w:rFonts w:ascii="Times New Roman" w:eastAsia="Times New Roman" w:hAnsi="Times New Roman" w:cs="Times New Roman"/>
              <w:color w:val="000000"/>
            </w:rPr>
            <w:t>[33]</w:t>
          </w:r>
          <w:r w:rsidR="00E65338" w:rsidRPr="007C70A3">
            <w:rPr>
              <w:rFonts w:ascii="Times New Roman" w:eastAsia="Times New Roman" w:hAnsi="Times New Roman" w:cs="Times New Roman"/>
              <w:color w:val="000000"/>
            </w:rPr>
            <w:t xml:space="preserve">UK Legislation (2019) </w:t>
          </w:r>
          <w:r w:rsidR="00E65338" w:rsidRPr="007C70A3">
            <w:rPr>
              <w:rFonts w:ascii="Times New Roman" w:eastAsia="Times New Roman" w:hAnsi="Times New Roman" w:cs="Times New Roman"/>
              <w:i/>
              <w:iCs/>
              <w:color w:val="000000"/>
            </w:rPr>
            <w:t>Data Protection Act</w:t>
          </w:r>
          <w:r w:rsidR="00E65338" w:rsidRPr="007C70A3">
            <w:rPr>
              <w:rFonts w:ascii="Times New Roman" w:eastAsia="Times New Roman" w:hAnsi="Times New Roman" w:cs="Times New Roman"/>
              <w:color w:val="000000"/>
            </w:rPr>
            <w:t xml:space="preserve"> [online]. Available from: https://www.legislation.gov.uk/ukpga/2018/12/contents/enacted.</w:t>
          </w:r>
        </w:p>
        <w:p w14:paraId="70D8794C" w14:textId="1FF0952B" w:rsidR="00E65338" w:rsidRPr="007C70A3" w:rsidRDefault="00F84549" w:rsidP="007C70A3">
          <w:pPr>
            <w:divId w:val="1909881623"/>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[34] </w:t>
          </w:r>
          <w:r w:rsidR="00E65338" w:rsidRPr="007C70A3">
            <w:rPr>
              <w:rFonts w:ascii="Times New Roman" w:eastAsia="Times New Roman" w:hAnsi="Times New Roman" w:cs="Times New Roman"/>
              <w:color w:val="000000"/>
            </w:rPr>
            <w:t xml:space="preserve">Da Veiga, A. and Eloff, J.H.P. (2010) A framework and assessment instrument for information security culture. </w:t>
          </w:r>
          <w:r w:rsidR="00E65338" w:rsidRPr="007C70A3">
            <w:rPr>
              <w:rFonts w:ascii="Times New Roman" w:eastAsia="Times New Roman" w:hAnsi="Times New Roman" w:cs="Times New Roman"/>
              <w:i/>
              <w:iCs/>
              <w:color w:val="000000"/>
            </w:rPr>
            <w:t>Computers &amp; Security</w:t>
          </w:r>
          <w:r w:rsidR="00E65338" w:rsidRPr="007C70A3">
            <w:rPr>
              <w:rFonts w:ascii="Times New Roman" w:eastAsia="Times New Roman" w:hAnsi="Times New Roman" w:cs="Times New Roman"/>
              <w:color w:val="000000"/>
            </w:rPr>
            <w:t xml:space="preserve"> [online]. 29 (2), pp. 196–207. Available from: https://www.sciencedirect.com/science/article/abs/pii/S0167404809000923 [Accessed 6 November 2025].</w:t>
          </w:r>
        </w:p>
        <w:p w14:paraId="3BB24375" w14:textId="16EF32E5" w:rsidR="00E65338" w:rsidRPr="007C70A3" w:rsidRDefault="00F84549" w:rsidP="007C70A3">
          <w:pPr>
            <w:divId w:val="1116294095"/>
            <w:rPr>
              <w:rFonts w:ascii="Times New Roman" w:eastAsia="Times New Roman" w:hAnsi="Times New Roman" w:cs="Times New Roman"/>
              <w:color w:val="000000"/>
            </w:rPr>
          </w:pPr>
          <w:r>
            <w:rPr>
              <w:rFonts w:ascii="Times New Roman" w:eastAsia="Times New Roman" w:hAnsi="Times New Roman" w:cs="Times New Roman"/>
              <w:color w:val="000000"/>
            </w:rPr>
            <w:t xml:space="preserve">[35] </w:t>
          </w:r>
          <w:r w:rsidR="00E65338" w:rsidRPr="007C70A3">
            <w:rPr>
              <w:rFonts w:ascii="Times New Roman" w:eastAsia="Times New Roman" w:hAnsi="Times New Roman" w:cs="Times New Roman"/>
              <w:color w:val="000000"/>
            </w:rPr>
            <w:t xml:space="preserve">Wingfield, R. (2025) </w:t>
          </w:r>
          <w:r w:rsidR="00E65338" w:rsidRPr="007C70A3">
            <w:rPr>
              <w:rFonts w:ascii="Times New Roman" w:eastAsia="Times New Roman" w:hAnsi="Times New Roman" w:cs="Times New Roman"/>
              <w:i/>
              <w:iCs/>
              <w:color w:val="000000"/>
            </w:rPr>
            <w:t xml:space="preserve">The EU AI Act: Where Do We Stand in 2025? </w:t>
          </w:r>
          <w:r w:rsidR="00E65338" w:rsidRPr="007C70A3">
            <w:rPr>
              <w:rFonts w:ascii="Times New Roman" w:eastAsia="Times New Roman" w:hAnsi="Times New Roman" w:cs="Times New Roman"/>
              <w:color w:val="000000"/>
            </w:rPr>
            <w:t xml:space="preserve">. </w:t>
          </w:r>
          <w:r w:rsidR="00E65338" w:rsidRPr="007C70A3">
            <w:rPr>
              <w:rFonts w:ascii="Times New Roman" w:eastAsia="Times New Roman" w:hAnsi="Times New Roman" w:cs="Times New Roman"/>
              <w:i/>
              <w:iCs/>
              <w:color w:val="000000"/>
            </w:rPr>
            <w:t>Sustainable Business Network and Advisory Service, BSR</w:t>
          </w:r>
          <w:r w:rsidR="00E65338" w:rsidRPr="007C70A3">
            <w:rPr>
              <w:rFonts w:ascii="Times New Roman" w:eastAsia="Times New Roman" w:hAnsi="Times New Roman" w:cs="Times New Roman"/>
              <w:color w:val="000000"/>
            </w:rPr>
            <w:t xml:space="preserve"> [online]. Available from: https://www.bsr.org/en/blog/the-eu-ai-act-where-do-we-stand-in-2025 [Accessed 6 November 2025].</w:t>
          </w:r>
        </w:p>
        <w:p w14:paraId="40D2BA3E" w14:textId="65F01A45" w:rsidR="00E65338" w:rsidRPr="007C70A3" w:rsidRDefault="00F84549" w:rsidP="007C70A3">
          <w:pPr>
            <w:divId w:val="1541698118"/>
            <w:rPr>
              <w:rFonts w:ascii="Times New Roman" w:eastAsia="Times New Roman" w:hAnsi="Times New Roman" w:cs="Times New Roman"/>
              <w:color w:val="000000"/>
            </w:rPr>
          </w:pPr>
          <w:r>
            <w:rPr>
              <w:rFonts w:ascii="Times New Roman" w:eastAsia="Times New Roman" w:hAnsi="Times New Roman" w:cs="Times New Roman"/>
              <w:color w:val="000000"/>
            </w:rPr>
            <w:t xml:space="preserve">[36] </w:t>
          </w:r>
          <w:r w:rsidR="00E65338" w:rsidRPr="007C70A3">
            <w:rPr>
              <w:rFonts w:ascii="Times New Roman" w:eastAsia="Times New Roman" w:hAnsi="Times New Roman" w:cs="Times New Roman"/>
              <w:color w:val="000000"/>
            </w:rPr>
            <w:t>Wu, F.-T., Lee, W.-B., Ku, C.C.-Y., Wu, Y.-S. and Shih, C.-Y. (2024) Integrating ISO 27001, Nist Csf 2.0, and Cyber Defense Matrix for Enhancing Organizational Cybersecurity Governance. [online]. Available from: https://papers.ssrn.com/abstract=4991340 [Accessed 6 November 2025].</w:t>
          </w:r>
        </w:p>
        <w:p w14:paraId="6F3FB516" w14:textId="77777777" w:rsidR="00E65338" w:rsidRPr="007C70A3" w:rsidRDefault="00E65338" w:rsidP="007C70A3">
          <w:pPr>
            <w:rPr>
              <w:rFonts w:ascii="Times New Roman" w:hAnsi="Times New Roman" w:cs="Times New Roman"/>
            </w:rPr>
          </w:pPr>
          <w:r w:rsidRPr="007C70A3">
            <w:rPr>
              <w:rFonts w:ascii="Times New Roman" w:eastAsia="Times New Roman" w:hAnsi="Times New Roman" w:cs="Times New Roman"/>
              <w:color w:val="000000"/>
            </w:rPr>
            <w:t> </w:t>
          </w:r>
        </w:p>
      </w:sdtContent>
    </w:sdt>
    <w:p w14:paraId="7A1301A7" w14:textId="77777777" w:rsidR="00F71B79" w:rsidRPr="007C70A3" w:rsidRDefault="00F71B79" w:rsidP="007C70A3">
      <w:pPr>
        <w:rPr>
          <w:rFonts w:ascii="Times New Roman" w:hAnsi="Times New Roman" w:cs="Times New Roman"/>
        </w:rPr>
      </w:pPr>
    </w:p>
    <w:p w14:paraId="46335CD4" w14:textId="77777777" w:rsidR="00E41CED" w:rsidRPr="007C70A3" w:rsidRDefault="00E41CED" w:rsidP="007C70A3">
      <w:pPr>
        <w:rPr>
          <w:rFonts w:ascii="Times New Roman" w:hAnsi="Times New Roman" w:cs="Times New Roman"/>
        </w:rPr>
      </w:pPr>
    </w:p>
    <w:p w14:paraId="3B7CFFEA" w14:textId="77777777" w:rsidR="00417D8A" w:rsidRPr="007C70A3" w:rsidRDefault="00417D8A" w:rsidP="007C70A3">
      <w:pPr>
        <w:rPr>
          <w:rFonts w:ascii="Times New Roman" w:hAnsi="Times New Roman" w:cs="Times New Roman"/>
        </w:rPr>
      </w:pPr>
    </w:p>
    <w:sectPr w:rsidR="00417D8A" w:rsidRPr="007C70A3" w:rsidSect="00E65338">
      <w:footerReference w:type="default" r:id="rId31"/>
      <w:pgSz w:w="11900" w:h="16840"/>
      <w:pgMar w:top="1440" w:right="1080" w:bottom="1440" w:left="108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7BFFD" w14:textId="77777777" w:rsidR="00911E1A" w:rsidRDefault="00911E1A" w:rsidP="00E65338">
      <w:pPr>
        <w:spacing w:after="0" w:line="240" w:lineRule="auto"/>
      </w:pPr>
      <w:r>
        <w:separator/>
      </w:r>
    </w:p>
  </w:endnote>
  <w:endnote w:type="continuationSeparator" w:id="0">
    <w:p w14:paraId="6B4CD986" w14:textId="77777777" w:rsidR="00911E1A" w:rsidRDefault="00911E1A" w:rsidP="00E65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00609542"/>
      <w:docPartObj>
        <w:docPartGallery w:val="Page Numbers (Bottom of Page)"/>
        <w:docPartUnique/>
      </w:docPartObj>
    </w:sdtPr>
    <w:sdtEndPr>
      <w:rPr>
        <w:rStyle w:val="PageNumber"/>
      </w:rPr>
    </w:sdtEndPr>
    <w:sdtContent>
      <w:p w14:paraId="3C91D015" w14:textId="77777777" w:rsidR="00E65338" w:rsidRDefault="00E65338" w:rsidP="00983FE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0E87757" w14:textId="77777777" w:rsidR="00E65338" w:rsidRDefault="00E653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1474176"/>
      <w:docPartObj>
        <w:docPartGallery w:val="Page Numbers (Bottom of Page)"/>
        <w:docPartUnique/>
      </w:docPartObj>
    </w:sdtPr>
    <w:sdtEndPr>
      <w:rPr>
        <w:rStyle w:val="PageNumber"/>
      </w:rPr>
    </w:sdtEndPr>
    <w:sdtContent>
      <w:p w14:paraId="2C4F994D" w14:textId="77777777" w:rsidR="00E65338" w:rsidRDefault="00E65338" w:rsidP="00983FE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sdtContent>
  </w:sdt>
  <w:p w14:paraId="04B8E7A8" w14:textId="77777777" w:rsidR="00E65338" w:rsidRDefault="00E653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AE2EE" w14:textId="77777777" w:rsidR="00911E1A" w:rsidRDefault="00911E1A" w:rsidP="00E65338">
      <w:pPr>
        <w:spacing w:after="0" w:line="240" w:lineRule="auto"/>
      </w:pPr>
      <w:r>
        <w:separator/>
      </w:r>
    </w:p>
  </w:footnote>
  <w:footnote w:type="continuationSeparator" w:id="0">
    <w:p w14:paraId="248DD453" w14:textId="77777777" w:rsidR="00911E1A" w:rsidRDefault="00911E1A" w:rsidP="00E653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77CD9"/>
    <w:multiLevelType w:val="hybridMultilevel"/>
    <w:tmpl w:val="E800D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F86F57"/>
    <w:multiLevelType w:val="hybridMultilevel"/>
    <w:tmpl w:val="659EF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B31AAF"/>
    <w:multiLevelType w:val="hybridMultilevel"/>
    <w:tmpl w:val="B4D4B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183C3D"/>
    <w:multiLevelType w:val="hybridMultilevel"/>
    <w:tmpl w:val="3EC6C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A074FC"/>
    <w:multiLevelType w:val="hybridMultilevel"/>
    <w:tmpl w:val="5C189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9109D5"/>
    <w:multiLevelType w:val="hybridMultilevel"/>
    <w:tmpl w:val="BFC46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EF33353"/>
    <w:multiLevelType w:val="hybridMultilevel"/>
    <w:tmpl w:val="75363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FA50843"/>
    <w:multiLevelType w:val="hybridMultilevel"/>
    <w:tmpl w:val="42AC4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2424B51"/>
    <w:multiLevelType w:val="hybridMultilevel"/>
    <w:tmpl w:val="36747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3FF74F4"/>
    <w:multiLevelType w:val="multilevel"/>
    <w:tmpl w:val="9614EBE4"/>
    <w:lvl w:ilvl="0">
      <w:start w:val="1"/>
      <w:numFmt w:val="decimal"/>
      <w:pStyle w:val="Heading1"/>
      <w:lvlText w:val="%1."/>
      <w:lvlJc w:val="left"/>
      <w:pPr>
        <w:ind w:left="360" w:hanging="360"/>
      </w:pPr>
    </w:lvl>
    <w:lvl w:ilvl="1">
      <w:start w:val="1"/>
      <w:numFmt w:val="decimal"/>
      <w:pStyle w:val="Heading2"/>
      <w:isLgl/>
      <w:lvlText w:val="%1.%2."/>
      <w:lvlJc w:val="left"/>
      <w:pPr>
        <w:ind w:left="720" w:hanging="720"/>
      </w:pPr>
      <w:rPr>
        <w:rFonts w:hint="default"/>
      </w:rPr>
    </w:lvl>
    <w:lvl w:ilvl="2">
      <w:start w:val="1"/>
      <w:numFmt w:val="decimal"/>
      <w:pStyle w:val="Heading3"/>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0" w15:restartNumberingAfterBreak="0">
    <w:nsid w:val="671156F9"/>
    <w:multiLevelType w:val="hybridMultilevel"/>
    <w:tmpl w:val="BFF25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B4578E6"/>
    <w:multiLevelType w:val="hybridMultilevel"/>
    <w:tmpl w:val="E5E2B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622395F"/>
    <w:multiLevelType w:val="hybridMultilevel"/>
    <w:tmpl w:val="693EE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A94E2C"/>
    <w:multiLevelType w:val="hybridMultilevel"/>
    <w:tmpl w:val="6BF64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B8502FA"/>
    <w:multiLevelType w:val="hybridMultilevel"/>
    <w:tmpl w:val="BFB03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9098816">
    <w:abstractNumId w:val="9"/>
  </w:num>
  <w:num w:numId="2" w16cid:durableId="972566289">
    <w:abstractNumId w:val="9"/>
  </w:num>
  <w:num w:numId="3" w16cid:durableId="1070422743">
    <w:abstractNumId w:val="3"/>
  </w:num>
  <w:num w:numId="4" w16cid:durableId="1406686158">
    <w:abstractNumId w:val="6"/>
  </w:num>
  <w:num w:numId="5" w16cid:durableId="1142574883">
    <w:abstractNumId w:val="5"/>
  </w:num>
  <w:num w:numId="6" w16cid:durableId="554047384">
    <w:abstractNumId w:val="8"/>
  </w:num>
  <w:num w:numId="7" w16cid:durableId="888222717">
    <w:abstractNumId w:val="1"/>
  </w:num>
  <w:num w:numId="8" w16cid:durableId="284118287">
    <w:abstractNumId w:val="13"/>
  </w:num>
  <w:num w:numId="9" w16cid:durableId="91828466">
    <w:abstractNumId w:val="11"/>
  </w:num>
  <w:num w:numId="10" w16cid:durableId="597906768">
    <w:abstractNumId w:val="2"/>
  </w:num>
  <w:num w:numId="11" w16cid:durableId="253708016">
    <w:abstractNumId w:val="4"/>
  </w:num>
  <w:num w:numId="12" w16cid:durableId="2097942551">
    <w:abstractNumId w:val="0"/>
  </w:num>
  <w:num w:numId="13" w16cid:durableId="1522668700">
    <w:abstractNumId w:val="10"/>
  </w:num>
  <w:num w:numId="14" w16cid:durableId="296032709">
    <w:abstractNumId w:val="7"/>
  </w:num>
  <w:num w:numId="15" w16cid:durableId="1419600508">
    <w:abstractNumId w:val="12"/>
  </w:num>
  <w:num w:numId="16" w16cid:durableId="82138850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CED"/>
    <w:rsid w:val="0000228D"/>
    <w:rsid w:val="00020467"/>
    <w:rsid w:val="0004363C"/>
    <w:rsid w:val="00087437"/>
    <w:rsid w:val="000D2CD0"/>
    <w:rsid w:val="000D5C35"/>
    <w:rsid w:val="000E7973"/>
    <w:rsid w:val="00151850"/>
    <w:rsid w:val="00166362"/>
    <w:rsid w:val="00241094"/>
    <w:rsid w:val="00275DC0"/>
    <w:rsid w:val="002E3354"/>
    <w:rsid w:val="00417D8A"/>
    <w:rsid w:val="004A0717"/>
    <w:rsid w:val="004B14F8"/>
    <w:rsid w:val="004B3D1B"/>
    <w:rsid w:val="004C5FE1"/>
    <w:rsid w:val="00515824"/>
    <w:rsid w:val="00516D69"/>
    <w:rsid w:val="00535A92"/>
    <w:rsid w:val="00544962"/>
    <w:rsid w:val="0056362C"/>
    <w:rsid w:val="0057680F"/>
    <w:rsid w:val="00580600"/>
    <w:rsid w:val="00613A2B"/>
    <w:rsid w:val="006D3C8F"/>
    <w:rsid w:val="006E0944"/>
    <w:rsid w:val="006E70D2"/>
    <w:rsid w:val="0076046E"/>
    <w:rsid w:val="00773542"/>
    <w:rsid w:val="007B58ED"/>
    <w:rsid w:val="007C4153"/>
    <w:rsid w:val="007C6AFA"/>
    <w:rsid w:val="007C70A3"/>
    <w:rsid w:val="00812EF5"/>
    <w:rsid w:val="00841BCC"/>
    <w:rsid w:val="00864180"/>
    <w:rsid w:val="008D155C"/>
    <w:rsid w:val="009049EC"/>
    <w:rsid w:val="00911E1A"/>
    <w:rsid w:val="00931E5E"/>
    <w:rsid w:val="009953C5"/>
    <w:rsid w:val="009A44DE"/>
    <w:rsid w:val="009C4768"/>
    <w:rsid w:val="00AC1182"/>
    <w:rsid w:val="00B77E37"/>
    <w:rsid w:val="00BC3475"/>
    <w:rsid w:val="00BD2ADA"/>
    <w:rsid w:val="00C22BA6"/>
    <w:rsid w:val="00C3305E"/>
    <w:rsid w:val="00C51986"/>
    <w:rsid w:val="00C97291"/>
    <w:rsid w:val="00CB596A"/>
    <w:rsid w:val="00CB7C0A"/>
    <w:rsid w:val="00CE00CC"/>
    <w:rsid w:val="00D05146"/>
    <w:rsid w:val="00E15290"/>
    <w:rsid w:val="00E207AE"/>
    <w:rsid w:val="00E41347"/>
    <w:rsid w:val="00E41CED"/>
    <w:rsid w:val="00E65338"/>
    <w:rsid w:val="00F0465D"/>
    <w:rsid w:val="00F45DC5"/>
    <w:rsid w:val="00F71B79"/>
    <w:rsid w:val="00F84549"/>
    <w:rsid w:val="00FA4E34"/>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41361"/>
  <w15:chartTrackingRefBased/>
  <w15:docId w15:val="{70C9A85C-FDB9-1243-B0A3-7135A5A6E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B79"/>
    <w:pPr>
      <w:spacing w:after="240" w:line="360" w:lineRule="auto"/>
      <w:jc w:val="both"/>
    </w:pPr>
    <w:rPr>
      <w:rFonts w:ascii="Arial" w:hAnsi="Arial" w:cs="Arial"/>
      <w:noProof/>
      <w:sz w:val="22"/>
      <w:szCs w:val="22"/>
      <w:lang w:val="en-GB"/>
    </w:rPr>
  </w:style>
  <w:style w:type="paragraph" w:styleId="Heading1">
    <w:name w:val="heading 1"/>
    <w:basedOn w:val="Normal"/>
    <w:next w:val="Normal"/>
    <w:link w:val="Heading1Char"/>
    <w:uiPriority w:val="9"/>
    <w:qFormat/>
    <w:rsid w:val="00CB596A"/>
    <w:pPr>
      <w:numPr>
        <w:numId w:val="2"/>
      </w:numPr>
      <w:outlineLvl w:val="0"/>
    </w:pPr>
    <w:rPr>
      <w:b/>
      <w:bCs/>
      <w:sz w:val="30"/>
      <w:szCs w:val="30"/>
    </w:rPr>
  </w:style>
  <w:style w:type="paragraph" w:styleId="Heading2">
    <w:name w:val="heading 2"/>
    <w:basedOn w:val="Normal"/>
    <w:next w:val="Normal"/>
    <w:link w:val="Heading2Char"/>
    <w:uiPriority w:val="9"/>
    <w:unhideWhenUsed/>
    <w:qFormat/>
    <w:rsid w:val="00CB596A"/>
    <w:pPr>
      <w:numPr>
        <w:ilvl w:val="1"/>
        <w:numId w:val="2"/>
      </w:numPr>
      <w:outlineLvl w:val="1"/>
    </w:pPr>
    <w:rPr>
      <w:b/>
      <w:bCs/>
      <w:sz w:val="26"/>
      <w:szCs w:val="26"/>
    </w:rPr>
  </w:style>
  <w:style w:type="paragraph" w:styleId="Heading3">
    <w:name w:val="heading 3"/>
    <w:basedOn w:val="Normal"/>
    <w:next w:val="Normal"/>
    <w:link w:val="Heading3Char"/>
    <w:uiPriority w:val="9"/>
    <w:unhideWhenUsed/>
    <w:qFormat/>
    <w:rsid w:val="00BD2ADA"/>
    <w:pPr>
      <w:numPr>
        <w:ilvl w:val="2"/>
        <w:numId w:val="2"/>
      </w:numPr>
      <w:outlineLvl w:val="2"/>
    </w:pPr>
    <w:rPr>
      <w:b/>
      <w:bCs/>
      <w:sz w:val="24"/>
      <w:szCs w:val="24"/>
    </w:rPr>
  </w:style>
  <w:style w:type="paragraph" w:styleId="Heading4">
    <w:name w:val="heading 4"/>
    <w:basedOn w:val="Normal"/>
    <w:next w:val="Normal"/>
    <w:link w:val="Heading4Char"/>
    <w:uiPriority w:val="9"/>
    <w:unhideWhenUsed/>
    <w:qFormat/>
    <w:rsid w:val="0051582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596A"/>
    <w:rPr>
      <w:rFonts w:ascii="Arial" w:hAnsi="Arial" w:cs="Arial"/>
      <w:b/>
      <w:bCs/>
      <w:noProof/>
      <w:sz w:val="30"/>
      <w:szCs w:val="30"/>
      <w:lang w:val="en-GB"/>
    </w:rPr>
  </w:style>
  <w:style w:type="character" w:customStyle="1" w:styleId="Heading2Char">
    <w:name w:val="Heading 2 Char"/>
    <w:basedOn w:val="DefaultParagraphFont"/>
    <w:link w:val="Heading2"/>
    <w:uiPriority w:val="9"/>
    <w:rsid w:val="00CB596A"/>
    <w:rPr>
      <w:rFonts w:ascii="Arial" w:hAnsi="Arial" w:cs="Arial"/>
      <w:b/>
      <w:bCs/>
      <w:noProof/>
      <w:sz w:val="26"/>
      <w:szCs w:val="26"/>
      <w:lang w:val="en-GB"/>
    </w:rPr>
  </w:style>
  <w:style w:type="character" w:customStyle="1" w:styleId="Heading3Char">
    <w:name w:val="Heading 3 Char"/>
    <w:basedOn w:val="DefaultParagraphFont"/>
    <w:link w:val="Heading3"/>
    <w:uiPriority w:val="9"/>
    <w:rsid w:val="00BD2ADA"/>
    <w:rPr>
      <w:rFonts w:ascii="Arial" w:hAnsi="Arial" w:cs="Arial"/>
      <w:b/>
      <w:bCs/>
      <w:noProof/>
      <w:lang w:val="en-GB"/>
    </w:rPr>
  </w:style>
  <w:style w:type="character" w:customStyle="1" w:styleId="Heading4Char">
    <w:name w:val="Heading 4 Char"/>
    <w:basedOn w:val="DefaultParagraphFont"/>
    <w:link w:val="Heading4"/>
    <w:uiPriority w:val="9"/>
    <w:rsid w:val="00515824"/>
    <w:rPr>
      <w:rFonts w:asciiTheme="majorHAnsi" w:eastAsiaTheme="majorEastAsia" w:hAnsiTheme="majorHAnsi" w:cstheme="majorBidi"/>
      <w:i/>
      <w:iCs/>
      <w:color w:val="2F5496" w:themeColor="accent1" w:themeShade="BF"/>
      <w:lang w:val="en-US"/>
    </w:rPr>
  </w:style>
  <w:style w:type="paragraph" w:styleId="Caption">
    <w:name w:val="caption"/>
    <w:basedOn w:val="Normal"/>
    <w:next w:val="Normal"/>
    <w:uiPriority w:val="35"/>
    <w:unhideWhenUsed/>
    <w:qFormat/>
    <w:rsid w:val="009049EC"/>
    <w:pPr>
      <w:spacing w:after="200"/>
    </w:pPr>
    <w:rPr>
      <w:color w:val="44546A" w:themeColor="text2"/>
      <w:sz w:val="20"/>
      <w:szCs w:val="20"/>
    </w:rPr>
  </w:style>
  <w:style w:type="paragraph" w:styleId="Title">
    <w:name w:val="Title"/>
    <w:basedOn w:val="Normal"/>
    <w:next w:val="Normal"/>
    <w:link w:val="TitleChar"/>
    <w:uiPriority w:val="10"/>
    <w:qFormat/>
    <w:rsid w:val="00515824"/>
    <w:pPr>
      <w:jc w:val="center"/>
    </w:pPr>
    <w:rPr>
      <w:b/>
      <w:bCs/>
      <w:sz w:val="52"/>
      <w:szCs w:val="52"/>
    </w:rPr>
  </w:style>
  <w:style w:type="character" w:customStyle="1" w:styleId="TitleChar">
    <w:name w:val="Title Char"/>
    <w:basedOn w:val="DefaultParagraphFont"/>
    <w:link w:val="Title"/>
    <w:uiPriority w:val="10"/>
    <w:rsid w:val="00515824"/>
    <w:rPr>
      <w:b/>
      <w:bCs/>
      <w:sz w:val="52"/>
      <w:szCs w:val="52"/>
      <w:lang w:val="en-US"/>
    </w:rPr>
  </w:style>
  <w:style w:type="paragraph" w:styleId="ListParagraph">
    <w:name w:val="List Paragraph"/>
    <w:basedOn w:val="Normal"/>
    <w:uiPriority w:val="34"/>
    <w:qFormat/>
    <w:rsid w:val="00F71B79"/>
    <w:pPr>
      <w:ind w:left="720"/>
      <w:contextualSpacing/>
    </w:pPr>
  </w:style>
  <w:style w:type="table" w:styleId="TableGridLight">
    <w:name w:val="Grid Table Light"/>
    <w:basedOn w:val="TableNormal"/>
    <w:uiPriority w:val="40"/>
    <w:rsid w:val="00CB596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CB596A"/>
    <w:rPr>
      <w:b/>
      <w:bCs/>
    </w:rPr>
  </w:style>
  <w:style w:type="character" w:styleId="PlaceholderText">
    <w:name w:val="Placeholder Text"/>
    <w:basedOn w:val="DefaultParagraphFont"/>
    <w:uiPriority w:val="99"/>
    <w:semiHidden/>
    <w:rsid w:val="00544962"/>
    <w:rPr>
      <w:color w:val="666666"/>
    </w:rPr>
  </w:style>
  <w:style w:type="paragraph" w:styleId="Header">
    <w:name w:val="header"/>
    <w:basedOn w:val="Normal"/>
    <w:link w:val="HeaderChar"/>
    <w:uiPriority w:val="99"/>
    <w:unhideWhenUsed/>
    <w:rsid w:val="00E653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5338"/>
    <w:rPr>
      <w:rFonts w:ascii="Arial" w:hAnsi="Arial" w:cs="Arial"/>
      <w:noProof/>
      <w:sz w:val="22"/>
      <w:szCs w:val="22"/>
      <w:lang w:val="en-GB"/>
    </w:rPr>
  </w:style>
  <w:style w:type="paragraph" w:styleId="Footer">
    <w:name w:val="footer"/>
    <w:basedOn w:val="Normal"/>
    <w:link w:val="FooterChar"/>
    <w:uiPriority w:val="99"/>
    <w:unhideWhenUsed/>
    <w:rsid w:val="00E653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5338"/>
    <w:rPr>
      <w:rFonts w:ascii="Arial" w:hAnsi="Arial" w:cs="Arial"/>
      <w:noProof/>
      <w:sz w:val="22"/>
      <w:szCs w:val="22"/>
      <w:lang w:val="en-GB"/>
    </w:rPr>
  </w:style>
  <w:style w:type="character" w:styleId="PageNumber">
    <w:name w:val="page number"/>
    <w:basedOn w:val="DefaultParagraphFont"/>
    <w:uiPriority w:val="99"/>
    <w:semiHidden/>
    <w:unhideWhenUsed/>
    <w:rsid w:val="00E65338"/>
  </w:style>
  <w:style w:type="paragraph" w:styleId="TOCHeading">
    <w:name w:val="TOC Heading"/>
    <w:basedOn w:val="Heading1"/>
    <w:next w:val="Normal"/>
    <w:uiPriority w:val="39"/>
    <w:unhideWhenUsed/>
    <w:qFormat/>
    <w:rsid w:val="00E65338"/>
    <w:pPr>
      <w:keepNext/>
      <w:keepLines/>
      <w:numPr>
        <w:numId w:val="0"/>
      </w:numPr>
      <w:spacing w:before="480" w:after="0" w:line="276" w:lineRule="auto"/>
      <w:jc w:val="left"/>
      <w:outlineLvl w:val="9"/>
    </w:pPr>
    <w:rPr>
      <w:rFonts w:asciiTheme="majorHAnsi" w:eastAsiaTheme="majorEastAsia" w:hAnsiTheme="majorHAnsi" w:cstheme="majorBidi"/>
      <w:noProof w:val="0"/>
      <w:color w:val="2F5496" w:themeColor="accent1" w:themeShade="BF"/>
      <w:kern w:val="0"/>
      <w:sz w:val="28"/>
      <w:szCs w:val="28"/>
      <w:lang w:val="en-US" w:eastAsia="en-US"/>
      <w14:ligatures w14:val="none"/>
    </w:rPr>
  </w:style>
  <w:style w:type="paragraph" w:styleId="TOC1">
    <w:name w:val="toc 1"/>
    <w:basedOn w:val="Normal"/>
    <w:next w:val="Normal"/>
    <w:autoRedefine/>
    <w:uiPriority w:val="39"/>
    <w:unhideWhenUsed/>
    <w:rsid w:val="00E65338"/>
    <w:pPr>
      <w:spacing w:before="240" w:after="120"/>
      <w:jc w:val="left"/>
    </w:pPr>
    <w:rPr>
      <w:rFonts w:asciiTheme="minorHAnsi" w:hAnsiTheme="minorHAnsi" w:cstheme="minorHAnsi"/>
      <w:b/>
      <w:bCs/>
      <w:sz w:val="20"/>
      <w:szCs w:val="24"/>
    </w:rPr>
  </w:style>
  <w:style w:type="paragraph" w:styleId="TOC2">
    <w:name w:val="toc 2"/>
    <w:basedOn w:val="Normal"/>
    <w:next w:val="Normal"/>
    <w:autoRedefine/>
    <w:uiPriority w:val="39"/>
    <w:unhideWhenUsed/>
    <w:rsid w:val="00E65338"/>
    <w:pPr>
      <w:spacing w:before="120" w:after="0"/>
      <w:ind w:left="220"/>
      <w:jc w:val="left"/>
    </w:pPr>
    <w:rPr>
      <w:rFonts w:asciiTheme="minorHAnsi" w:hAnsiTheme="minorHAnsi" w:cstheme="minorHAnsi"/>
      <w:i/>
      <w:iCs/>
      <w:sz w:val="20"/>
      <w:szCs w:val="24"/>
    </w:rPr>
  </w:style>
  <w:style w:type="paragraph" w:styleId="TOC3">
    <w:name w:val="toc 3"/>
    <w:basedOn w:val="Normal"/>
    <w:next w:val="Normal"/>
    <w:autoRedefine/>
    <w:uiPriority w:val="39"/>
    <w:unhideWhenUsed/>
    <w:rsid w:val="00E65338"/>
    <w:pPr>
      <w:spacing w:after="0"/>
      <w:ind w:left="440"/>
      <w:jc w:val="left"/>
    </w:pPr>
    <w:rPr>
      <w:rFonts w:asciiTheme="minorHAnsi" w:hAnsiTheme="minorHAnsi" w:cstheme="minorHAnsi"/>
      <w:sz w:val="20"/>
      <w:szCs w:val="24"/>
    </w:rPr>
  </w:style>
  <w:style w:type="character" w:styleId="Hyperlink">
    <w:name w:val="Hyperlink"/>
    <w:basedOn w:val="DefaultParagraphFont"/>
    <w:uiPriority w:val="99"/>
    <w:unhideWhenUsed/>
    <w:rsid w:val="00E65338"/>
    <w:rPr>
      <w:color w:val="0563C1" w:themeColor="hyperlink"/>
      <w:u w:val="single"/>
    </w:rPr>
  </w:style>
  <w:style w:type="paragraph" w:styleId="TOC4">
    <w:name w:val="toc 4"/>
    <w:basedOn w:val="Normal"/>
    <w:next w:val="Normal"/>
    <w:autoRedefine/>
    <w:uiPriority w:val="39"/>
    <w:semiHidden/>
    <w:unhideWhenUsed/>
    <w:rsid w:val="00E65338"/>
    <w:pPr>
      <w:spacing w:after="0"/>
      <w:ind w:left="660"/>
      <w:jc w:val="left"/>
    </w:pPr>
    <w:rPr>
      <w:rFonts w:asciiTheme="minorHAnsi" w:hAnsiTheme="minorHAnsi" w:cstheme="minorHAnsi"/>
      <w:sz w:val="20"/>
      <w:szCs w:val="24"/>
    </w:rPr>
  </w:style>
  <w:style w:type="paragraph" w:styleId="TOC5">
    <w:name w:val="toc 5"/>
    <w:basedOn w:val="Normal"/>
    <w:next w:val="Normal"/>
    <w:autoRedefine/>
    <w:uiPriority w:val="39"/>
    <w:semiHidden/>
    <w:unhideWhenUsed/>
    <w:rsid w:val="00E65338"/>
    <w:pPr>
      <w:spacing w:after="0"/>
      <w:ind w:left="880"/>
      <w:jc w:val="left"/>
    </w:pPr>
    <w:rPr>
      <w:rFonts w:asciiTheme="minorHAnsi" w:hAnsiTheme="minorHAnsi" w:cstheme="minorHAnsi"/>
      <w:sz w:val="20"/>
      <w:szCs w:val="24"/>
    </w:rPr>
  </w:style>
  <w:style w:type="paragraph" w:styleId="TOC6">
    <w:name w:val="toc 6"/>
    <w:basedOn w:val="Normal"/>
    <w:next w:val="Normal"/>
    <w:autoRedefine/>
    <w:uiPriority w:val="39"/>
    <w:semiHidden/>
    <w:unhideWhenUsed/>
    <w:rsid w:val="00E65338"/>
    <w:pPr>
      <w:spacing w:after="0"/>
      <w:ind w:left="1100"/>
      <w:jc w:val="left"/>
    </w:pPr>
    <w:rPr>
      <w:rFonts w:asciiTheme="minorHAnsi" w:hAnsiTheme="minorHAnsi" w:cstheme="minorHAnsi"/>
      <w:sz w:val="20"/>
      <w:szCs w:val="24"/>
    </w:rPr>
  </w:style>
  <w:style w:type="paragraph" w:styleId="TOC7">
    <w:name w:val="toc 7"/>
    <w:basedOn w:val="Normal"/>
    <w:next w:val="Normal"/>
    <w:autoRedefine/>
    <w:uiPriority w:val="39"/>
    <w:semiHidden/>
    <w:unhideWhenUsed/>
    <w:rsid w:val="00E65338"/>
    <w:pPr>
      <w:spacing w:after="0"/>
      <w:ind w:left="1320"/>
      <w:jc w:val="left"/>
    </w:pPr>
    <w:rPr>
      <w:rFonts w:asciiTheme="minorHAnsi" w:hAnsiTheme="minorHAnsi" w:cstheme="minorHAnsi"/>
      <w:sz w:val="20"/>
      <w:szCs w:val="24"/>
    </w:rPr>
  </w:style>
  <w:style w:type="paragraph" w:styleId="TOC8">
    <w:name w:val="toc 8"/>
    <w:basedOn w:val="Normal"/>
    <w:next w:val="Normal"/>
    <w:autoRedefine/>
    <w:uiPriority w:val="39"/>
    <w:semiHidden/>
    <w:unhideWhenUsed/>
    <w:rsid w:val="00E65338"/>
    <w:pPr>
      <w:spacing w:after="0"/>
      <w:ind w:left="1540"/>
      <w:jc w:val="left"/>
    </w:pPr>
    <w:rPr>
      <w:rFonts w:asciiTheme="minorHAnsi" w:hAnsiTheme="minorHAnsi" w:cstheme="minorHAnsi"/>
      <w:sz w:val="20"/>
      <w:szCs w:val="24"/>
    </w:rPr>
  </w:style>
  <w:style w:type="paragraph" w:styleId="TOC9">
    <w:name w:val="toc 9"/>
    <w:basedOn w:val="Normal"/>
    <w:next w:val="Normal"/>
    <w:autoRedefine/>
    <w:uiPriority w:val="39"/>
    <w:semiHidden/>
    <w:unhideWhenUsed/>
    <w:rsid w:val="00E65338"/>
    <w:pPr>
      <w:spacing w:after="0"/>
      <w:ind w:left="1760"/>
      <w:jc w:val="left"/>
    </w:pPr>
    <w:rPr>
      <w:rFonts w:asciiTheme="minorHAnsi" w:hAnsiTheme="minorHAnsi" w:cstheme="minorHAnsi"/>
      <w:sz w:val="20"/>
      <w:szCs w:val="24"/>
    </w:rPr>
  </w:style>
  <w:style w:type="paragraph" w:styleId="NoSpacing">
    <w:name w:val="No Spacing"/>
    <w:uiPriority w:val="1"/>
    <w:qFormat/>
    <w:rsid w:val="00E65338"/>
    <w:pPr>
      <w:jc w:val="both"/>
    </w:pPr>
    <w:rPr>
      <w:rFonts w:ascii="Arial" w:hAnsi="Arial" w:cs="Arial"/>
      <w:noProof/>
      <w:sz w:val="22"/>
      <w:szCs w:val="22"/>
      <w:lang w:val="en-GB"/>
    </w:rPr>
  </w:style>
  <w:style w:type="paragraph" w:styleId="TableofFigures">
    <w:name w:val="table of figures"/>
    <w:basedOn w:val="Normal"/>
    <w:next w:val="Normal"/>
    <w:uiPriority w:val="99"/>
    <w:unhideWhenUsed/>
    <w:rsid w:val="00E6533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3994">
      <w:bodyDiv w:val="1"/>
      <w:marLeft w:val="0"/>
      <w:marRight w:val="0"/>
      <w:marTop w:val="0"/>
      <w:marBottom w:val="0"/>
      <w:divBdr>
        <w:top w:val="none" w:sz="0" w:space="0" w:color="auto"/>
        <w:left w:val="none" w:sz="0" w:space="0" w:color="auto"/>
        <w:bottom w:val="none" w:sz="0" w:space="0" w:color="auto"/>
        <w:right w:val="none" w:sz="0" w:space="0" w:color="auto"/>
      </w:divBdr>
    </w:div>
    <w:div w:id="9333457">
      <w:bodyDiv w:val="1"/>
      <w:marLeft w:val="0"/>
      <w:marRight w:val="0"/>
      <w:marTop w:val="0"/>
      <w:marBottom w:val="0"/>
      <w:divBdr>
        <w:top w:val="none" w:sz="0" w:space="0" w:color="auto"/>
        <w:left w:val="none" w:sz="0" w:space="0" w:color="auto"/>
        <w:bottom w:val="none" w:sz="0" w:space="0" w:color="auto"/>
        <w:right w:val="none" w:sz="0" w:space="0" w:color="auto"/>
      </w:divBdr>
    </w:div>
    <w:div w:id="32116364">
      <w:bodyDiv w:val="1"/>
      <w:marLeft w:val="0"/>
      <w:marRight w:val="0"/>
      <w:marTop w:val="0"/>
      <w:marBottom w:val="0"/>
      <w:divBdr>
        <w:top w:val="none" w:sz="0" w:space="0" w:color="auto"/>
        <w:left w:val="none" w:sz="0" w:space="0" w:color="auto"/>
        <w:bottom w:val="none" w:sz="0" w:space="0" w:color="auto"/>
        <w:right w:val="none" w:sz="0" w:space="0" w:color="auto"/>
      </w:divBdr>
    </w:div>
    <w:div w:id="35013386">
      <w:bodyDiv w:val="1"/>
      <w:marLeft w:val="0"/>
      <w:marRight w:val="0"/>
      <w:marTop w:val="0"/>
      <w:marBottom w:val="0"/>
      <w:divBdr>
        <w:top w:val="none" w:sz="0" w:space="0" w:color="auto"/>
        <w:left w:val="none" w:sz="0" w:space="0" w:color="auto"/>
        <w:bottom w:val="none" w:sz="0" w:space="0" w:color="auto"/>
        <w:right w:val="none" w:sz="0" w:space="0" w:color="auto"/>
      </w:divBdr>
    </w:div>
    <w:div w:id="43482772">
      <w:bodyDiv w:val="1"/>
      <w:marLeft w:val="0"/>
      <w:marRight w:val="0"/>
      <w:marTop w:val="0"/>
      <w:marBottom w:val="0"/>
      <w:divBdr>
        <w:top w:val="none" w:sz="0" w:space="0" w:color="auto"/>
        <w:left w:val="none" w:sz="0" w:space="0" w:color="auto"/>
        <w:bottom w:val="none" w:sz="0" w:space="0" w:color="auto"/>
        <w:right w:val="none" w:sz="0" w:space="0" w:color="auto"/>
      </w:divBdr>
    </w:div>
    <w:div w:id="73430273">
      <w:bodyDiv w:val="1"/>
      <w:marLeft w:val="0"/>
      <w:marRight w:val="0"/>
      <w:marTop w:val="0"/>
      <w:marBottom w:val="0"/>
      <w:divBdr>
        <w:top w:val="none" w:sz="0" w:space="0" w:color="auto"/>
        <w:left w:val="none" w:sz="0" w:space="0" w:color="auto"/>
        <w:bottom w:val="none" w:sz="0" w:space="0" w:color="auto"/>
        <w:right w:val="none" w:sz="0" w:space="0" w:color="auto"/>
      </w:divBdr>
    </w:div>
    <w:div w:id="102773657">
      <w:bodyDiv w:val="1"/>
      <w:marLeft w:val="0"/>
      <w:marRight w:val="0"/>
      <w:marTop w:val="0"/>
      <w:marBottom w:val="0"/>
      <w:divBdr>
        <w:top w:val="none" w:sz="0" w:space="0" w:color="auto"/>
        <w:left w:val="none" w:sz="0" w:space="0" w:color="auto"/>
        <w:bottom w:val="none" w:sz="0" w:space="0" w:color="auto"/>
        <w:right w:val="none" w:sz="0" w:space="0" w:color="auto"/>
      </w:divBdr>
    </w:div>
    <w:div w:id="128017956">
      <w:bodyDiv w:val="1"/>
      <w:marLeft w:val="0"/>
      <w:marRight w:val="0"/>
      <w:marTop w:val="0"/>
      <w:marBottom w:val="0"/>
      <w:divBdr>
        <w:top w:val="none" w:sz="0" w:space="0" w:color="auto"/>
        <w:left w:val="none" w:sz="0" w:space="0" w:color="auto"/>
        <w:bottom w:val="none" w:sz="0" w:space="0" w:color="auto"/>
        <w:right w:val="none" w:sz="0" w:space="0" w:color="auto"/>
      </w:divBdr>
    </w:div>
    <w:div w:id="130487738">
      <w:bodyDiv w:val="1"/>
      <w:marLeft w:val="0"/>
      <w:marRight w:val="0"/>
      <w:marTop w:val="0"/>
      <w:marBottom w:val="0"/>
      <w:divBdr>
        <w:top w:val="none" w:sz="0" w:space="0" w:color="auto"/>
        <w:left w:val="none" w:sz="0" w:space="0" w:color="auto"/>
        <w:bottom w:val="none" w:sz="0" w:space="0" w:color="auto"/>
        <w:right w:val="none" w:sz="0" w:space="0" w:color="auto"/>
      </w:divBdr>
    </w:div>
    <w:div w:id="150757697">
      <w:bodyDiv w:val="1"/>
      <w:marLeft w:val="0"/>
      <w:marRight w:val="0"/>
      <w:marTop w:val="0"/>
      <w:marBottom w:val="0"/>
      <w:divBdr>
        <w:top w:val="none" w:sz="0" w:space="0" w:color="auto"/>
        <w:left w:val="none" w:sz="0" w:space="0" w:color="auto"/>
        <w:bottom w:val="none" w:sz="0" w:space="0" w:color="auto"/>
        <w:right w:val="none" w:sz="0" w:space="0" w:color="auto"/>
      </w:divBdr>
    </w:div>
    <w:div w:id="152065427">
      <w:bodyDiv w:val="1"/>
      <w:marLeft w:val="0"/>
      <w:marRight w:val="0"/>
      <w:marTop w:val="0"/>
      <w:marBottom w:val="0"/>
      <w:divBdr>
        <w:top w:val="none" w:sz="0" w:space="0" w:color="auto"/>
        <w:left w:val="none" w:sz="0" w:space="0" w:color="auto"/>
        <w:bottom w:val="none" w:sz="0" w:space="0" w:color="auto"/>
        <w:right w:val="none" w:sz="0" w:space="0" w:color="auto"/>
      </w:divBdr>
    </w:div>
    <w:div w:id="152185703">
      <w:bodyDiv w:val="1"/>
      <w:marLeft w:val="0"/>
      <w:marRight w:val="0"/>
      <w:marTop w:val="0"/>
      <w:marBottom w:val="0"/>
      <w:divBdr>
        <w:top w:val="none" w:sz="0" w:space="0" w:color="auto"/>
        <w:left w:val="none" w:sz="0" w:space="0" w:color="auto"/>
        <w:bottom w:val="none" w:sz="0" w:space="0" w:color="auto"/>
        <w:right w:val="none" w:sz="0" w:space="0" w:color="auto"/>
      </w:divBdr>
    </w:div>
    <w:div w:id="174855009">
      <w:bodyDiv w:val="1"/>
      <w:marLeft w:val="0"/>
      <w:marRight w:val="0"/>
      <w:marTop w:val="0"/>
      <w:marBottom w:val="0"/>
      <w:divBdr>
        <w:top w:val="none" w:sz="0" w:space="0" w:color="auto"/>
        <w:left w:val="none" w:sz="0" w:space="0" w:color="auto"/>
        <w:bottom w:val="none" w:sz="0" w:space="0" w:color="auto"/>
        <w:right w:val="none" w:sz="0" w:space="0" w:color="auto"/>
      </w:divBdr>
    </w:div>
    <w:div w:id="176164298">
      <w:bodyDiv w:val="1"/>
      <w:marLeft w:val="0"/>
      <w:marRight w:val="0"/>
      <w:marTop w:val="0"/>
      <w:marBottom w:val="0"/>
      <w:divBdr>
        <w:top w:val="none" w:sz="0" w:space="0" w:color="auto"/>
        <w:left w:val="none" w:sz="0" w:space="0" w:color="auto"/>
        <w:bottom w:val="none" w:sz="0" w:space="0" w:color="auto"/>
        <w:right w:val="none" w:sz="0" w:space="0" w:color="auto"/>
      </w:divBdr>
    </w:div>
    <w:div w:id="197396057">
      <w:bodyDiv w:val="1"/>
      <w:marLeft w:val="0"/>
      <w:marRight w:val="0"/>
      <w:marTop w:val="0"/>
      <w:marBottom w:val="0"/>
      <w:divBdr>
        <w:top w:val="none" w:sz="0" w:space="0" w:color="auto"/>
        <w:left w:val="none" w:sz="0" w:space="0" w:color="auto"/>
        <w:bottom w:val="none" w:sz="0" w:space="0" w:color="auto"/>
        <w:right w:val="none" w:sz="0" w:space="0" w:color="auto"/>
      </w:divBdr>
    </w:div>
    <w:div w:id="208954937">
      <w:bodyDiv w:val="1"/>
      <w:marLeft w:val="0"/>
      <w:marRight w:val="0"/>
      <w:marTop w:val="0"/>
      <w:marBottom w:val="0"/>
      <w:divBdr>
        <w:top w:val="none" w:sz="0" w:space="0" w:color="auto"/>
        <w:left w:val="none" w:sz="0" w:space="0" w:color="auto"/>
        <w:bottom w:val="none" w:sz="0" w:space="0" w:color="auto"/>
        <w:right w:val="none" w:sz="0" w:space="0" w:color="auto"/>
      </w:divBdr>
    </w:div>
    <w:div w:id="209657412">
      <w:bodyDiv w:val="1"/>
      <w:marLeft w:val="0"/>
      <w:marRight w:val="0"/>
      <w:marTop w:val="0"/>
      <w:marBottom w:val="0"/>
      <w:divBdr>
        <w:top w:val="none" w:sz="0" w:space="0" w:color="auto"/>
        <w:left w:val="none" w:sz="0" w:space="0" w:color="auto"/>
        <w:bottom w:val="none" w:sz="0" w:space="0" w:color="auto"/>
        <w:right w:val="none" w:sz="0" w:space="0" w:color="auto"/>
      </w:divBdr>
    </w:div>
    <w:div w:id="210043044">
      <w:bodyDiv w:val="1"/>
      <w:marLeft w:val="0"/>
      <w:marRight w:val="0"/>
      <w:marTop w:val="0"/>
      <w:marBottom w:val="0"/>
      <w:divBdr>
        <w:top w:val="none" w:sz="0" w:space="0" w:color="auto"/>
        <w:left w:val="none" w:sz="0" w:space="0" w:color="auto"/>
        <w:bottom w:val="none" w:sz="0" w:space="0" w:color="auto"/>
        <w:right w:val="none" w:sz="0" w:space="0" w:color="auto"/>
      </w:divBdr>
    </w:div>
    <w:div w:id="216209775">
      <w:bodyDiv w:val="1"/>
      <w:marLeft w:val="0"/>
      <w:marRight w:val="0"/>
      <w:marTop w:val="0"/>
      <w:marBottom w:val="0"/>
      <w:divBdr>
        <w:top w:val="none" w:sz="0" w:space="0" w:color="auto"/>
        <w:left w:val="none" w:sz="0" w:space="0" w:color="auto"/>
        <w:bottom w:val="none" w:sz="0" w:space="0" w:color="auto"/>
        <w:right w:val="none" w:sz="0" w:space="0" w:color="auto"/>
      </w:divBdr>
      <w:divsChild>
        <w:div w:id="1855142299">
          <w:marLeft w:val="0"/>
          <w:marRight w:val="0"/>
          <w:marTop w:val="0"/>
          <w:marBottom w:val="0"/>
          <w:divBdr>
            <w:top w:val="none" w:sz="0" w:space="0" w:color="auto"/>
            <w:left w:val="none" w:sz="0" w:space="0" w:color="auto"/>
            <w:bottom w:val="none" w:sz="0" w:space="0" w:color="auto"/>
            <w:right w:val="none" w:sz="0" w:space="0" w:color="auto"/>
          </w:divBdr>
        </w:div>
        <w:div w:id="163131654">
          <w:marLeft w:val="0"/>
          <w:marRight w:val="0"/>
          <w:marTop w:val="0"/>
          <w:marBottom w:val="0"/>
          <w:divBdr>
            <w:top w:val="none" w:sz="0" w:space="0" w:color="auto"/>
            <w:left w:val="none" w:sz="0" w:space="0" w:color="auto"/>
            <w:bottom w:val="none" w:sz="0" w:space="0" w:color="auto"/>
            <w:right w:val="none" w:sz="0" w:space="0" w:color="auto"/>
          </w:divBdr>
        </w:div>
        <w:div w:id="1235748394">
          <w:marLeft w:val="0"/>
          <w:marRight w:val="0"/>
          <w:marTop w:val="0"/>
          <w:marBottom w:val="0"/>
          <w:divBdr>
            <w:top w:val="none" w:sz="0" w:space="0" w:color="auto"/>
            <w:left w:val="none" w:sz="0" w:space="0" w:color="auto"/>
            <w:bottom w:val="none" w:sz="0" w:space="0" w:color="auto"/>
            <w:right w:val="none" w:sz="0" w:space="0" w:color="auto"/>
          </w:divBdr>
        </w:div>
        <w:div w:id="299002801">
          <w:marLeft w:val="0"/>
          <w:marRight w:val="0"/>
          <w:marTop w:val="0"/>
          <w:marBottom w:val="0"/>
          <w:divBdr>
            <w:top w:val="none" w:sz="0" w:space="0" w:color="auto"/>
            <w:left w:val="none" w:sz="0" w:space="0" w:color="auto"/>
            <w:bottom w:val="none" w:sz="0" w:space="0" w:color="auto"/>
            <w:right w:val="none" w:sz="0" w:space="0" w:color="auto"/>
          </w:divBdr>
        </w:div>
        <w:div w:id="405805653">
          <w:marLeft w:val="0"/>
          <w:marRight w:val="0"/>
          <w:marTop w:val="0"/>
          <w:marBottom w:val="0"/>
          <w:divBdr>
            <w:top w:val="none" w:sz="0" w:space="0" w:color="auto"/>
            <w:left w:val="none" w:sz="0" w:space="0" w:color="auto"/>
            <w:bottom w:val="none" w:sz="0" w:space="0" w:color="auto"/>
            <w:right w:val="none" w:sz="0" w:space="0" w:color="auto"/>
          </w:divBdr>
        </w:div>
        <w:div w:id="1148280441">
          <w:marLeft w:val="0"/>
          <w:marRight w:val="0"/>
          <w:marTop w:val="0"/>
          <w:marBottom w:val="0"/>
          <w:divBdr>
            <w:top w:val="none" w:sz="0" w:space="0" w:color="auto"/>
            <w:left w:val="none" w:sz="0" w:space="0" w:color="auto"/>
            <w:bottom w:val="none" w:sz="0" w:space="0" w:color="auto"/>
            <w:right w:val="none" w:sz="0" w:space="0" w:color="auto"/>
          </w:divBdr>
        </w:div>
        <w:div w:id="2018077147">
          <w:marLeft w:val="0"/>
          <w:marRight w:val="0"/>
          <w:marTop w:val="0"/>
          <w:marBottom w:val="0"/>
          <w:divBdr>
            <w:top w:val="none" w:sz="0" w:space="0" w:color="auto"/>
            <w:left w:val="none" w:sz="0" w:space="0" w:color="auto"/>
            <w:bottom w:val="none" w:sz="0" w:space="0" w:color="auto"/>
            <w:right w:val="none" w:sz="0" w:space="0" w:color="auto"/>
          </w:divBdr>
        </w:div>
        <w:div w:id="346372926">
          <w:marLeft w:val="0"/>
          <w:marRight w:val="0"/>
          <w:marTop w:val="0"/>
          <w:marBottom w:val="0"/>
          <w:divBdr>
            <w:top w:val="none" w:sz="0" w:space="0" w:color="auto"/>
            <w:left w:val="none" w:sz="0" w:space="0" w:color="auto"/>
            <w:bottom w:val="none" w:sz="0" w:space="0" w:color="auto"/>
            <w:right w:val="none" w:sz="0" w:space="0" w:color="auto"/>
          </w:divBdr>
        </w:div>
        <w:div w:id="1241017888">
          <w:marLeft w:val="0"/>
          <w:marRight w:val="0"/>
          <w:marTop w:val="0"/>
          <w:marBottom w:val="0"/>
          <w:divBdr>
            <w:top w:val="none" w:sz="0" w:space="0" w:color="auto"/>
            <w:left w:val="none" w:sz="0" w:space="0" w:color="auto"/>
            <w:bottom w:val="none" w:sz="0" w:space="0" w:color="auto"/>
            <w:right w:val="none" w:sz="0" w:space="0" w:color="auto"/>
          </w:divBdr>
        </w:div>
        <w:div w:id="1922448709">
          <w:marLeft w:val="0"/>
          <w:marRight w:val="0"/>
          <w:marTop w:val="0"/>
          <w:marBottom w:val="0"/>
          <w:divBdr>
            <w:top w:val="none" w:sz="0" w:space="0" w:color="auto"/>
            <w:left w:val="none" w:sz="0" w:space="0" w:color="auto"/>
            <w:bottom w:val="none" w:sz="0" w:space="0" w:color="auto"/>
            <w:right w:val="none" w:sz="0" w:space="0" w:color="auto"/>
          </w:divBdr>
        </w:div>
        <w:div w:id="440993309">
          <w:marLeft w:val="0"/>
          <w:marRight w:val="0"/>
          <w:marTop w:val="0"/>
          <w:marBottom w:val="0"/>
          <w:divBdr>
            <w:top w:val="none" w:sz="0" w:space="0" w:color="auto"/>
            <w:left w:val="none" w:sz="0" w:space="0" w:color="auto"/>
            <w:bottom w:val="none" w:sz="0" w:space="0" w:color="auto"/>
            <w:right w:val="none" w:sz="0" w:space="0" w:color="auto"/>
          </w:divBdr>
        </w:div>
        <w:div w:id="2141723524">
          <w:marLeft w:val="0"/>
          <w:marRight w:val="0"/>
          <w:marTop w:val="0"/>
          <w:marBottom w:val="0"/>
          <w:divBdr>
            <w:top w:val="none" w:sz="0" w:space="0" w:color="auto"/>
            <w:left w:val="none" w:sz="0" w:space="0" w:color="auto"/>
            <w:bottom w:val="none" w:sz="0" w:space="0" w:color="auto"/>
            <w:right w:val="none" w:sz="0" w:space="0" w:color="auto"/>
          </w:divBdr>
        </w:div>
        <w:div w:id="471558700">
          <w:marLeft w:val="0"/>
          <w:marRight w:val="0"/>
          <w:marTop w:val="0"/>
          <w:marBottom w:val="0"/>
          <w:divBdr>
            <w:top w:val="none" w:sz="0" w:space="0" w:color="auto"/>
            <w:left w:val="none" w:sz="0" w:space="0" w:color="auto"/>
            <w:bottom w:val="none" w:sz="0" w:space="0" w:color="auto"/>
            <w:right w:val="none" w:sz="0" w:space="0" w:color="auto"/>
          </w:divBdr>
        </w:div>
        <w:div w:id="885723517">
          <w:marLeft w:val="0"/>
          <w:marRight w:val="0"/>
          <w:marTop w:val="0"/>
          <w:marBottom w:val="0"/>
          <w:divBdr>
            <w:top w:val="none" w:sz="0" w:space="0" w:color="auto"/>
            <w:left w:val="none" w:sz="0" w:space="0" w:color="auto"/>
            <w:bottom w:val="none" w:sz="0" w:space="0" w:color="auto"/>
            <w:right w:val="none" w:sz="0" w:space="0" w:color="auto"/>
          </w:divBdr>
        </w:div>
        <w:div w:id="144200897">
          <w:marLeft w:val="0"/>
          <w:marRight w:val="0"/>
          <w:marTop w:val="0"/>
          <w:marBottom w:val="0"/>
          <w:divBdr>
            <w:top w:val="none" w:sz="0" w:space="0" w:color="auto"/>
            <w:left w:val="none" w:sz="0" w:space="0" w:color="auto"/>
            <w:bottom w:val="none" w:sz="0" w:space="0" w:color="auto"/>
            <w:right w:val="none" w:sz="0" w:space="0" w:color="auto"/>
          </w:divBdr>
        </w:div>
        <w:div w:id="305279141">
          <w:marLeft w:val="0"/>
          <w:marRight w:val="0"/>
          <w:marTop w:val="0"/>
          <w:marBottom w:val="0"/>
          <w:divBdr>
            <w:top w:val="none" w:sz="0" w:space="0" w:color="auto"/>
            <w:left w:val="none" w:sz="0" w:space="0" w:color="auto"/>
            <w:bottom w:val="none" w:sz="0" w:space="0" w:color="auto"/>
            <w:right w:val="none" w:sz="0" w:space="0" w:color="auto"/>
          </w:divBdr>
        </w:div>
        <w:div w:id="1136294598">
          <w:marLeft w:val="0"/>
          <w:marRight w:val="0"/>
          <w:marTop w:val="0"/>
          <w:marBottom w:val="0"/>
          <w:divBdr>
            <w:top w:val="none" w:sz="0" w:space="0" w:color="auto"/>
            <w:left w:val="none" w:sz="0" w:space="0" w:color="auto"/>
            <w:bottom w:val="none" w:sz="0" w:space="0" w:color="auto"/>
            <w:right w:val="none" w:sz="0" w:space="0" w:color="auto"/>
          </w:divBdr>
        </w:div>
        <w:div w:id="730496251">
          <w:marLeft w:val="0"/>
          <w:marRight w:val="0"/>
          <w:marTop w:val="0"/>
          <w:marBottom w:val="0"/>
          <w:divBdr>
            <w:top w:val="none" w:sz="0" w:space="0" w:color="auto"/>
            <w:left w:val="none" w:sz="0" w:space="0" w:color="auto"/>
            <w:bottom w:val="none" w:sz="0" w:space="0" w:color="auto"/>
            <w:right w:val="none" w:sz="0" w:space="0" w:color="auto"/>
          </w:divBdr>
        </w:div>
        <w:div w:id="1610502507">
          <w:marLeft w:val="0"/>
          <w:marRight w:val="0"/>
          <w:marTop w:val="0"/>
          <w:marBottom w:val="0"/>
          <w:divBdr>
            <w:top w:val="none" w:sz="0" w:space="0" w:color="auto"/>
            <w:left w:val="none" w:sz="0" w:space="0" w:color="auto"/>
            <w:bottom w:val="none" w:sz="0" w:space="0" w:color="auto"/>
            <w:right w:val="none" w:sz="0" w:space="0" w:color="auto"/>
          </w:divBdr>
        </w:div>
        <w:div w:id="596793046">
          <w:marLeft w:val="0"/>
          <w:marRight w:val="0"/>
          <w:marTop w:val="0"/>
          <w:marBottom w:val="0"/>
          <w:divBdr>
            <w:top w:val="none" w:sz="0" w:space="0" w:color="auto"/>
            <w:left w:val="none" w:sz="0" w:space="0" w:color="auto"/>
            <w:bottom w:val="none" w:sz="0" w:space="0" w:color="auto"/>
            <w:right w:val="none" w:sz="0" w:space="0" w:color="auto"/>
          </w:divBdr>
        </w:div>
        <w:div w:id="1938295763">
          <w:marLeft w:val="0"/>
          <w:marRight w:val="0"/>
          <w:marTop w:val="0"/>
          <w:marBottom w:val="0"/>
          <w:divBdr>
            <w:top w:val="none" w:sz="0" w:space="0" w:color="auto"/>
            <w:left w:val="none" w:sz="0" w:space="0" w:color="auto"/>
            <w:bottom w:val="none" w:sz="0" w:space="0" w:color="auto"/>
            <w:right w:val="none" w:sz="0" w:space="0" w:color="auto"/>
          </w:divBdr>
        </w:div>
        <w:div w:id="423956545">
          <w:marLeft w:val="0"/>
          <w:marRight w:val="0"/>
          <w:marTop w:val="0"/>
          <w:marBottom w:val="0"/>
          <w:divBdr>
            <w:top w:val="none" w:sz="0" w:space="0" w:color="auto"/>
            <w:left w:val="none" w:sz="0" w:space="0" w:color="auto"/>
            <w:bottom w:val="none" w:sz="0" w:space="0" w:color="auto"/>
            <w:right w:val="none" w:sz="0" w:space="0" w:color="auto"/>
          </w:divBdr>
        </w:div>
        <w:div w:id="544565777">
          <w:marLeft w:val="0"/>
          <w:marRight w:val="0"/>
          <w:marTop w:val="0"/>
          <w:marBottom w:val="0"/>
          <w:divBdr>
            <w:top w:val="none" w:sz="0" w:space="0" w:color="auto"/>
            <w:left w:val="none" w:sz="0" w:space="0" w:color="auto"/>
            <w:bottom w:val="none" w:sz="0" w:space="0" w:color="auto"/>
            <w:right w:val="none" w:sz="0" w:space="0" w:color="auto"/>
          </w:divBdr>
        </w:div>
        <w:div w:id="978847837">
          <w:marLeft w:val="0"/>
          <w:marRight w:val="0"/>
          <w:marTop w:val="0"/>
          <w:marBottom w:val="0"/>
          <w:divBdr>
            <w:top w:val="none" w:sz="0" w:space="0" w:color="auto"/>
            <w:left w:val="none" w:sz="0" w:space="0" w:color="auto"/>
            <w:bottom w:val="none" w:sz="0" w:space="0" w:color="auto"/>
            <w:right w:val="none" w:sz="0" w:space="0" w:color="auto"/>
          </w:divBdr>
        </w:div>
        <w:div w:id="1509170190">
          <w:marLeft w:val="0"/>
          <w:marRight w:val="0"/>
          <w:marTop w:val="0"/>
          <w:marBottom w:val="0"/>
          <w:divBdr>
            <w:top w:val="none" w:sz="0" w:space="0" w:color="auto"/>
            <w:left w:val="none" w:sz="0" w:space="0" w:color="auto"/>
            <w:bottom w:val="none" w:sz="0" w:space="0" w:color="auto"/>
            <w:right w:val="none" w:sz="0" w:space="0" w:color="auto"/>
          </w:divBdr>
        </w:div>
        <w:div w:id="1433934091">
          <w:marLeft w:val="0"/>
          <w:marRight w:val="0"/>
          <w:marTop w:val="0"/>
          <w:marBottom w:val="0"/>
          <w:divBdr>
            <w:top w:val="none" w:sz="0" w:space="0" w:color="auto"/>
            <w:left w:val="none" w:sz="0" w:space="0" w:color="auto"/>
            <w:bottom w:val="none" w:sz="0" w:space="0" w:color="auto"/>
            <w:right w:val="none" w:sz="0" w:space="0" w:color="auto"/>
          </w:divBdr>
        </w:div>
        <w:div w:id="995375783">
          <w:marLeft w:val="0"/>
          <w:marRight w:val="0"/>
          <w:marTop w:val="0"/>
          <w:marBottom w:val="0"/>
          <w:divBdr>
            <w:top w:val="none" w:sz="0" w:space="0" w:color="auto"/>
            <w:left w:val="none" w:sz="0" w:space="0" w:color="auto"/>
            <w:bottom w:val="none" w:sz="0" w:space="0" w:color="auto"/>
            <w:right w:val="none" w:sz="0" w:space="0" w:color="auto"/>
          </w:divBdr>
        </w:div>
        <w:div w:id="544105335">
          <w:marLeft w:val="0"/>
          <w:marRight w:val="0"/>
          <w:marTop w:val="0"/>
          <w:marBottom w:val="0"/>
          <w:divBdr>
            <w:top w:val="none" w:sz="0" w:space="0" w:color="auto"/>
            <w:left w:val="none" w:sz="0" w:space="0" w:color="auto"/>
            <w:bottom w:val="none" w:sz="0" w:space="0" w:color="auto"/>
            <w:right w:val="none" w:sz="0" w:space="0" w:color="auto"/>
          </w:divBdr>
        </w:div>
        <w:div w:id="2104492798">
          <w:marLeft w:val="0"/>
          <w:marRight w:val="0"/>
          <w:marTop w:val="0"/>
          <w:marBottom w:val="0"/>
          <w:divBdr>
            <w:top w:val="none" w:sz="0" w:space="0" w:color="auto"/>
            <w:left w:val="none" w:sz="0" w:space="0" w:color="auto"/>
            <w:bottom w:val="none" w:sz="0" w:space="0" w:color="auto"/>
            <w:right w:val="none" w:sz="0" w:space="0" w:color="auto"/>
          </w:divBdr>
        </w:div>
        <w:div w:id="1105616612">
          <w:marLeft w:val="0"/>
          <w:marRight w:val="0"/>
          <w:marTop w:val="0"/>
          <w:marBottom w:val="0"/>
          <w:divBdr>
            <w:top w:val="none" w:sz="0" w:space="0" w:color="auto"/>
            <w:left w:val="none" w:sz="0" w:space="0" w:color="auto"/>
            <w:bottom w:val="none" w:sz="0" w:space="0" w:color="auto"/>
            <w:right w:val="none" w:sz="0" w:space="0" w:color="auto"/>
          </w:divBdr>
        </w:div>
        <w:div w:id="1833643601">
          <w:marLeft w:val="0"/>
          <w:marRight w:val="0"/>
          <w:marTop w:val="0"/>
          <w:marBottom w:val="0"/>
          <w:divBdr>
            <w:top w:val="none" w:sz="0" w:space="0" w:color="auto"/>
            <w:left w:val="none" w:sz="0" w:space="0" w:color="auto"/>
            <w:bottom w:val="none" w:sz="0" w:space="0" w:color="auto"/>
            <w:right w:val="none" w:sz="0" w:space="0" w:color="auto"/>
          </w:divBdr>
        </w:div>
        <w:div w:id="1910529574">
          <w:marLeft w:val="0"/>
          <w:marRight w:val="0"/>
          <w:marTop w:val="0"/>
          <w:marBottom w:val="0"/>
          <w:divBdr>
            <w:top w:val="none" w:sz="0" w:space="0" w:color="auto"/>
            <w:left w:val="none" w:sz="0" w:space="0" w:color="auto"/>
            <w:bottom w:val="none" w:sz="0" w:space="0" w:color="auto"/>
            <w:right w:val="none" w:sz="0" w:space="0" w:color="auto"/>
          </w:divBdr>
        </w:div>
        <w:div w:id="1909881623">
          <w:marLeft w:val="0"/>
          <w:marRight w:val="0"/>
          <w:marTop w:val="0"/>
          <w:marBottom w:val="0"/>
          <w:divBdr>
            <w:top w:val="none" w:sz="0" w:space="0" w:color="auto"/>
            <w:left w:val="none" w:sz="0" w:space="0" w:color="auto"/>
            <w:bottom w:val="none" w:sz="0" w:space="0" w:color="auto"/>
            <w:right w:val="none" w:sz="0" w:space="0" w:color="auto"/>
          </w:divBdr>
        </w:div>
        <w:div w:id="1116294095">
          <w:marLeft w:val="0"/>
          <w:marRight w:val="0"/>
          <w:marTop w:val="0"/>
          <w:marBottom w:val="0"/>
          <w:divBdr>
            <w:top w:val="none" w:sz="0" w:space="0" w:color="auto"/>
            <w:left w:val="none" w:sz="0" w:space="0" w:color="auto"/>
            <w:bottom w:val="none" w:sz="0" w:space="0" w:color="auto"/>
            <w:right w:val="none" w:sz="0" w:space="0" w:color="auto"/>
          </w:divBdr>
        </w:div>
        <w:div w:id="1541698118">
          <w:marLeft w:val="0"/>
          <w:marRight w:val="0"/>
          <w:marTop w:val="0"/>
          <w:marBottom w:val="0"/>
          <w:divBdr>
            <w:top w:val="none" w:sz="0" w:space="0" w:color="auto"/>
            <w:left w:val="none" w:sz="0" w:space="0" w:color="auto"/>
            <w:bottom w:val="none" w:sz="0" w:space="0" w:color="auto"/>
            <w:right w:val="none" w:sz="0" w:space="0" w:color="auto"/>
          </w:divBdr>
        </w:div>
      </w:divsChild>
    </w:div>
    <w:div w:id="226109674">
      <w:bodyDiv w:val="1"/>
      <w:marLeft w:val="0"/>
      <w:marRight w:val="0"/>
      <w:marTop w:val="0"/>
      <w:marBottom w:val="0"/>
      <w:divBdr>
        <w:top w:val="none" w:sz="0" w:space="0" w:color="auto"/>
        <w:left w:val="none" w:sz="0" w:space="0" w:color="auto"/>
        <w:bottom w:val="none" w:sz="0" w:space="0" w:color="auto"/>
        <w:right w:val="none" w:sz="0" w:space="0" w:color="auto"/>
      </w:divBdr>
    </w:div>
    <w:div w:id="237441983">
      <w:bodyDiv w:val="1"/>
      <w:marLeft w:val="0"/>
      <w:marRight w:val="0"/>
      <w:marTop w:val="0"/>
      <w:marBottom w:val="0"/>
      <w:divBdr>
        <w:top w:val="none" w:sz="0" w:space="0" w:color="auto"/>
        <w:left w:val="none" w:sz="0" w:space="0" w:color="auto"/>
        <w:bottom w:val="none" w:sz="0" w:space="0" w:color="auto"/>
        <w:right w:val="none" w:sz="0" w:space="0" w:color="auto"/>
      </w:divBdr>
    </w:div>
    <w:div w:id="238056992">
      <w:bodyDiv w:val="1"/>
      <w:marLeft w:val="0"/>
      <w:marRight w:val="0"/>
      <w:marTop w:val="0"/>
      <w:marBottom w:val="0"/>
      <w:divBdr>
        <w:top w:val="none" w:sz="0" w:space="0" w:color="auto"/>
        <w:left w:val="none" w:sz="0" w:space="0" w:color="auto"/>
        <w:bottom w:val="none" w:sz="0" w:space="0" w:color="auto"/>
        <w:right w:val="none" w:sz="0" w:space="0" w:color="auto"/>
      </w:divBdr>
    </w:div>
    <w:div w:id="241722363">
      <w:bodyDiv w:val="1"/>
      <w:marLeft w:val="0"/>
      <w:marRight w:val="0"/>
      <w:marTop w:val="0"/>
      <w:marBottom w:val="0"/>
      <w:divBdr>
        <w:top w:val="none" w:sz="0" w:space="0" w:color="auto"/>
        <w:left w:val="none" w:sz="0" w:space="0" w:color="auto"/>
        <w:bottom w:val="none" w:sz="0" w:space="0" w:color="auto"/>
        <w:right w:val="none" w:sz="0" w:space="0" w:color="auto"/>
      </w:divBdr>
    </w:div>
    <w:div w:id="242228438">
      <w:bodyDiv w:val="1"/>
      <w:marLeft w:val="0"/>
      <w:marRight w:val="0"/>
      <w:marTop w:val="0"/>
      <w:marBottom w:val="0"/>
      <w:divBdr>
        <w:top w:val="none" w:sz="0" w:space="0" w:color="auto"/>
        <w:left w:val="none" w:sz="0" w:space="0" w:color="auto"/>
        <w:bottom w:val="none" w:sz="0" w:space="0" w:color="auto"/>
        <w:right w:val="none" w:sz="0" w:space="0" w:color="auto"/>
      </w:divBdr>
    </w:div>
    <w:div w:id="258297607">
      <w:bodyDiv w:val="1"/>
      <w:marLeft w:val="0"/>
      <w:marRight w:val="0"/>
      <w:marTop w:val="0"/>
      <w:marBottom w:val="0"/>
      <w:divBdr>
        <w:top w:val="none" w:sz="0" w:space="0" w:color="auto"/>
        <w:left w:val="none" w:sz="0" w:space="0" w:color="auto"/>
        <w:bottom w:val="none" w:sz="0" w:space="0" w:color="auto"/>
        <w:right w:val="none" w:sz="0" w:space="0" w:color="auto"/>
      </w:divBdr>
    </w:div>
    <w:div w:id="278683561">
      <w:bodyDiv w:val="1"/>
      <w:marLeft w:val="0"/>
      <w:marRight w:val="0"/>
      <w:marTop w:val="0"/>
      <w:marBottom w:val="0"/>
      <w:divBdr>
        <w:top w:val="none" w:sz="0" w:space="0" w:color="auto"/>
        <w:left w:val="none" w:sz="0" w:space="0" w:color="auto"/>
        <w:bottom w:val="none" w:sz="0" w:space="0" w:color="auto"/>
        <w:right w:val="none" w:sz="0" w:space="0" w:color="auto"/>
      </w:divBdr>
    </w:div>
    <w:div w:id="280460319">
      <w:bodyDiv w:val="1"/>
      <w:marLeft w:val="0"/>
      <w:marRight w:val="0"/>
      <w:marTop w:val="0"/>
      <w:marBottom w:val="0"/>
      <w:divBdr>
        <w:top w:val="none" w:sz="0" w:space="0" w:color="auto"/>
        <w:left w:val="none" w:sz="0" w:space="0" w:color="auto"/>
        <w:bottom w:val="none" w:sz="0" w:space="0" w:color="auto"/>
        <w:right w:val="none" w:sz="0" w:space="0" w:color="auto"/>
      </w:divBdr>
    </w:div>
    <w:div w:id="289672473">
      <w:bodyDiv w:val="1"/>
      <w:marLeft w:val="0"/>
      <w:marRight w:val="0"/>
      <w:marTop w:val="0"/>
      <w:marBottom w:val="0"/>
      <w:divBdr>
        <w:top w:val="none" w:sz="0" w:space="0" w:color="auto"/>
        <w:left w:val="none" w:sz="0" w:space="0" w:color="auto"/>
        <w:bottom w:val="none" w:sz="0" w:space="0" w:color="auto"/>
        <w:right w:val="none" w:sz="0" w:space="0" w:color="auto"/>
      </w:divBdr>
    </w:div>
    <w:div w:id="295717032">
      <w:bodyDiv w:val="1"/>
      <w:marLeft w:val="0"/>
      <w:marRight w:val="0"/>
      <w:marTop w:val="0"/>
      <w:marBottom w:val="0"/>
      <w:divBdr>
        <w:top w:val="none" w:sz="0" w:space="0" w:color="auto"/>
        <w:left w:val="none" w:sz="0" w:space="0" w:color="auto"/>
        <w:bottom w:val="none" w:sz="0" w:space="0" w:color="auto"/>
        <w:right w:val="none" w:sz="0" w:space="0" w:color="auto"/>
      </w:divBdr>
    </w:div>
    <w:div w:id="309135572">
      <w:bodyDiv w:val="1"/>
      <w:marLeft w:val="0"/>
      <w:marRight w:val="0"/>
      <w:marTop w:val="0"/>
      <w:marBottom w:val="0"/>
      <w:divBdr>
        <w:top w:val="none" w:sz="0" w:space="0" w:color="auto"/>
        <w:left w:val="none" w:sz="0" w:space="0" w:color="auto"/>
        <w:bottom w:val="none" w:sz="0" w:space="0" w:color="auto"/>
        <w:right w:val="none" w:sz="0" w:space="0" w:color="auto"/>
      </w:divBdr>
    </w:div>
    <w:div w:id="322126438">
      <w:bodyDiv w:val="1"/>
      <w:marLeft w:val="0"/>
      <w:marRight w:val="0"/>
      <w:marTop w:val="0"/>
      <w:marBottom w:val="0"/>
      <w:divBdr>
        <w:top w:val="none" w:sz="0" w:space="0" w:color="auto"/>
        <w:left w:val="none" w:sz="0" w:space="0" w:color="auto"/>
        <w:bottom w:val="none" w:sz="0" w:space="0" w:color="auto"/>
        <w:right w:val="none" w:sz="0" w:space="0" w:color="auto"/>
      </w:divBdr>
    </w:div>
    <w:div w:id="322203710">
      <w:bodyDiv w:val="1"/>
      <w:marLeft w:val="0"/>
      <w:marRight w:val="0"/>
      <w:marTop w:val="0"/>
      <w:marBottom w:val="0"/>
      <w:divBdr>
        <w:top w:val="none" w:sz="0" w:space="0" w:color="auto"/>
        <w:left w:val="none" w:sz="0" w:space="0" w:color="auto"/>
        <w:bottom w:val="none" w:sz="0" w:space="0" w:color="auto"/>
        <w:right w:val="none" w:sz="0" w:space="0" w:color="auto"/>
      </w:divBdr>
    </w:div>
    <w:div w:id="346559093">
      <w:bodyDiv w:val="1"/>
      <w:marLeft w:val="0"/>
      <w:marRight w:val="0"/>
      <w:marTop w:val="0"/>
      <w:marBottom w:val="0"/>
      <w:divBdr>
        <w:top w:val="none" w:sz="0" w:space="0" w:color="auto"/>
        <w:left w:val="none" w:sz="0" w:space="0" w:color="auto"/>
        <w:bottom w:val="none" w:sz="0" w:space="0" w:color="auto"/>
        <w:right w:val="none" w:sz="0" w:space="0" w:color="auto"/>
      </w:divBdr>
    </w:div>
    <w:div w:id="354160407">
      <w:bodyDiv w:val="1"/>
      <w:marLeft w:val="0"/>
      <w:marRight w:val="0"/>
      <w:marTop w:val="0"/>
      <w:marBottom w:val="0"/>
      <w:divBdr>
        <w:top w:val="none" w:sz="0" w:space="0" w:color="auto"/>
        <w:left w:val="none" w:sz="0" w:space="0" w:color="auto"/>
        <w:bottom w:val="none" w:sz="0" w:space="0" w:color="auto"/>
        <w:right w:val="none" w:sz="0" w:space="0" w:color="auto"/>
      </w:divBdr>
    </w:div>
    <w:div w:id="366374217">
      <w:bodyDiv w:val="1"/>
      <w:marLeft w:val="0"/>
      <w:marRight w:val="0"/>
      <w:marTop w:val="0"/>
      <w:marBottom w:val="0"/>
      <w:divBdr>
        <w:top w:val="none" w:sz="0" w:space="0" w:color="auto"/>
        <w:left w:val="none" w:sz="0" w:space="0" w:color="auto"/>
        <w:bottom w:val="none" w:sz="0" w:space="0" w:color="auto"/>
        <w:right w:val="none" w:sz="0" w:space="0" w:color="auto"/>
      </w:divBdr>
    </w:div>
    <w:div w:id="386270008">
      <w:bodyDiv w:val="1"/>
      <w:marLeft w:val="0"/>
      <w:marRight w:val="0"/>
      <w:marTop w:val="0"/>
      <w:marBottom w:val="0"/>
      <w:divBdr>
        <w:top w:val="none" w:sz="0" w:space="0" w:color="auto"/>
        <w:left w:val="none" w:sz="0" w:space="0" w:color="auto"/>
        <w:bottom w:val="none" w:sz="0" w:space="0" w:color="auto"/>
        <w:right w:val="none" w:sz="0" w:space="0" w:color="auto"/>
      </w:divBdr>
    </w:div>
    <w:div w:id="395519238">
      <w:bodyDiv w:val="1"/>
      <w:marLeft w:val="0"/>
      <w:marRight w:val="0"/>
      <w:marTop w:val="0"/>
      <w:marBottom w:val="0"/>
      <w:divBdr>
        <w:top w:val="none" w:sz="0" w:space="0" w:color="auto"/>
        <w:left w:val="none" w:sz="0" w:space="0" w:color="auto"/>
        <w:bottom w:val="none" w:sz="0" w:space="0" w:color="auto"/>
        <w:right w:val="none" w:sz="0" w:space="0" w:color="auto"/>
      </w:divBdr>
    </w:div>
    <w:div w:id="398209544">
      <w:bodyDiv w:val="1"/>
      <w:marLeft w:val="0"/>
      <w:marRight w:val="0"/>
      <w:marTop w:val="0"/>
      <w:marBottom w:val="0"/>
      <w:divBdr>
        <w:top w:val="none" w:sz="0" w:space="0" w:color="auto"/>
        <w:left w:val="none" w:sz="0" w:space="0" w:color="auto"/>
        <w:bottom w:val="none" w:sz="0" w:space="0" w:color="auto"/>
        <w:right w:val="none" w:sz="0" w:space="0" w:color="auto"/>
      </w:divBdr>
    </w:div>
    <w:div w:id="410272737">
      <w:bodyDiv w:val="1"/>
      <w:marLeft w:val="0"/>
      <w:marRight w:val="0"/>
      <w:marTop w:val="0"/>
      <w:marBottom w:val="0"/>
      <w:divBdr>
        <w:top w:val="none" w:sz="0" w:space="0" w:color="auto"/>
        <w:left w:val="none" w:sz="0" w:space="0" w:color="auto"/>
        <w:bottom w:val="none" w:sz="0" w:space="0" w:color="auto"/>
        <w:right w:val="none" w:sz="0" w:space="0" w:color="auto"/>
      </w:divBdr>
    </w:div>
    <w:div w:id="413010830">
      <w:bodyDiv w:val="1"/>
      <w:marLeft w:val="0"/>
      <w:marRight w:val="0"/>
      <w:marTop w:val="0"/>
      <w:marBottom w:val="0"/>
      <w:divBdr>
        <w:top w:val="none" w:sz="0" w:space="0" w:color="auto"/>
        <w:left w:val="none" w:sz="0" w:space="0" w:color="auto"/>
        <w:bottom w:val="none" w:sz="0" w:space="0" w:color="auto"/>
        <w:right w:val="none" w:sz="0" w:space="0" w:color="auto"/>
      </w:divBdr>
    </w:div>
    <w:div w:id="415329343">
      <w:bodyDiv w:val="1"/>
      <w:marLeft w:val="0"/>
      <w:marRight w:val="0"/>
      <w:marTop w:val="0"/>
      <w:marBottom w:val="0"/>
      <w:divBdr>
        <w:top w:val="none" w:sz="0" w:space="0" w:color="auto"/>
        <w:left w:val="none" w:sz="0" w:space="0" w:color="auto"/>
        <w:bottom w:val="none" w:sz="0" w:space="0" w:color="auto"/>
        <w:right w:val="none" w:sz="0" w:space="0" w:color="auto"/>
      </w:divBdr>
    </w:div>
    <w:div w:id="420107325">
      <w:bodyDiv w:val="1"/>
      <w:marLeft w:val="0"/>
      <w:marRight w:val="0"/>
      <w:marTop w:val="0"/>
      <w:marBottom w:val="0"/>
      <w:divBdr>
        <w:top w:val="none" w:sz="0" w:space="0" w:color="auto"/>
        <w:left w:val="none" w:sz="0" w:space="0" w:color="auto"/>
        <w:bottom w:val="none" w:sz="0" w:space="0" w:color="auto"/>
        <w:right w:val="none" w:sz="0" w:space="0" w:color="auto"/>
      </w:divBdr>
    </w:div>
    <w:div w:id="429358564">
      <w:bodyDiv w:val="1"/>
      <w:marLeft w:val="0"/>
      <w:marRight w:val="0"/>
      <w:marTop w:val="0"/>
      <w:marBottom w:val="0"/>
      <w:divBdr>
        <w:top w:val="none" w:sz="0" w:space="0" w:color="auto"/>
        <w:left w:val="none" w:sz="0" w:space="0" w:color="auto"/>
        <w:bottom w:val="none" w:sz="0" w:space="0" w:color="auto"/>
        <w:right w:val="none" w:sz="0" w:space="0" w:color="auto"/>
      </w:divBdr>
    </w:div>
    <w:div w:id="431164746">
      <w:bodyDiv w:val="1"/>
      <w:marLeft w:val="0"/>
      <w:marRight w:val="0"/>
      <w:marTop w:val="0"/>
      <w:marBottom w:val="0"/>
      <w:divBdr>
        <w:top w:val="none" w:sz="0" w:space="0" w:color="auto"/>
        <w:left w:val="none" w:sz="0" w:space="0" w:color="auto"/>
        <w:bottom w:val="none" w:sz="0" w:space="0" w:color="auto"/>
        <w:right w:val="none" w:sz="0" w:space="0" w:color="auto"/>
      </w:divBdr>
    </w:div>
    <w:div w:id="435444124">
      <w:bodyDiv w:val="1"/>
      <w:marLeft w:val="0"/>
      <w:marRight w:val="0"/>
      <w:marTop w:val="0"/>
      <w:marBottom w:val="0"/>
      <w:divBdr>
        <w:top w:val="none" w:sz="0" w:space="0" w:color="auto"/>
        <w:left w:val="none" w:sz="0" w:space="0" w:color="auto"/>
        <w:bottom w:val="none" w:sz="0" w:space="0" w:color="auto"/>
        <w:right w:val="none" w:sz="0" w:space="0" w:color="auto"/>
      </w:divBdr>
    </w:div>
    <w:div w:id="446851288">
      <w:bodyDiv w:val="1"/>
      <w:marLeft w:val="0"/>
      <w:marRight w:val="0"/>
      <w:marTop w:val="0"/>
      <w:marBottom w:val="0"/>
      <w:divBdr>
        <w:top w:val="none" w:sz="0" w:space="0" w:color="auto"/>
        <w:left w:val="none" w:sz="0" w:space="0" w:color="auto"/>
        <w:bottom w:val="none" w:sz="0" w:space="0" w:color="auto"/>
        <w:right w:val="none" w:sz="0" w:space="0" w:color="auto"/>
      </w:divBdr>
    </w:div>
    <w:div w:id="455828925">
      <w:bodyDiv w:val="1"/>
      <w:marLeft w:val="0"/>
      <w:marRight w:val="0"/>
      <w:marTop w:val="0"/>
      <w:marBottom w:val="0"/>
      <w:divBdr>
        <w:top w:val="none" w:sz="0" w:space="0" w:color="auto"/>
        <w:left w:val="none" w:sz="0" w:space="0" w:color="auto"/>
        <w:bottom w:val="none" w:sz="0" w:space="0" w:color="auto"/>
        <w:right w:val="none" w:sz="0" w:space="0" w:color="auto"/>
      </w:divBdr>
    </w:div>
    <w:div w:id="459346466">
      <w:bodyDiv w:val="1"/>
      <w:marLeft w:val="0"/>
      <w:marRight w:val="0"/>
      <w:marTop w:val="0"/>
      <w:marBottom w:val="0"/>
      <w:divBdr>
        <w:top w:val="none" w:sz="0" w:space="0" w:color="auto"/>
        <w:left w:val="none" w:sz="0" w:space="0" w:color="auto"/>
        <w:bottom w:val="none" w:sz="0" w:space="0" w:color="auto"/>
        <w:right w:val="none" w:sz="0" w:space="0" w:color="auto"/>
      </w:divBdr>
    </w:div>
    <w:div w:id="464468006">
      <w:bodyDiv w:val="1"/>
      <w:marLeft w:val="0"/>
      <w:marRight w:val="0"/>
      <w:marTop w:val="0"/>
      <w:marBottom w:val="0"/>
      <w:divBdr>
        <w:top w:val="none" w:sz="0" w:space="0" w:color="auto"/>
        <w:left w:val="none" w:sz="0" w:space="0" w:color="auto"/>
        <w:bottom w:val="none" w:sz="0" w:space="0" w:color="auto"/>
        <w:right w:val="none" w:sz="0" w:space="0" w:color="auto"/>
      </w:divBdr>
    </w:div>
    <w:div w:id="473643151">
      <w:bodyDiv w:val="1"/>
      <w:marLeft w:val="0"/>
      <w:marRight w:val="0"/>
      <w:marTop w:val="0"/>
      <w:marBottom w:val="0"/>
      <w:divBdr>
        <w:top w:val="none" w:sz="0" w:space="0" w:color="auto"/>
        <w:left w:val="none" w:sz="0" w:space="0" w:color="auto"/>
        <w:bottom w:val="none" w:sz="0" w:space="0" w:color="auto"/>
        <w:right w:val="none" w:sz="0" w:space="0" w:color="auto"/>
      </w:divBdr>
    </w:div>
    <w:div w:id="480387635">
      <w:bodyDiv w:val="1"/>
      <w:marLeft w:val="0"/>
      <w:marRight w:val="0"/>
      <w:marTop w:val="0"/>
      <w:marBottom w:val="0"/>
      <w:divBdr>
        <w:top w:val="none" w:sz="0" w:space="0" w:color="auto"/>
        <w:left w:val="none" w:sz="0" w:space="0" w:color="auto"/>
        <w:bottom w:val="none" w:sz="0" w:space="0" w:color="auto"/>
        <w:right w:val="none" w:sz="0" w:space="0" w:color="auto"/>
      </w:divBdr>
    </w:div>
    <w:div w:id="495463520">
      <w:bodyDiv w:val="1"/>
      <w:marLeft w:val="0"/>
      <w:marRight w:val="0"/>
      <w:marTop w:val="0"/>
      <w:marBottom w:val="0"/>
      <w:divBdr>
        <w:top w:val="none" w:sz="0" w:space="0" w:color="auto"/>
        <w:left w:val="none" w:sz="0" w:space="0" w:color="auto"/>
        <w:bottom w:val="none" w:sz="0" w:space="0" w:color="auto"/>
        <w:right w:val="none" w:sz="0" w:space="0" w:color="auto"/>
      </w:divBdr>
    </w:div>
    <w:div w:id="497115257">
      <w:bodyDiv w:val="1"/>
      <w:marLeft w:val="0"/>
      <w:marRight w:val="0"/>
      <w:marTop w:val="0"/>
      <w:marBottom w:val="0"/>
      <w:divBdr>
        <w:top w:val="none" w:sz="0" w:space="0" w:color="auto"/>
        <w:left w:val="none" w:sz="0" w:space="0" w:color="auto"/>
        <w:bottom w:val="none" w:sz="0" w:space="0" w:color="auto"/>
        <w:right w:val="none" w:sz="0" w:space="0" w:color="auto"/>
      </w:divBdr>
    </w:div>
    <w:div w:id="500661412">
      <w:bodyDiv w:val="1"/>
      <w:marLeft w:val="0"/>
      <w:marRight w:val="0"/>
      <w:marTop w:val="0"/>
      <w:marBottom w:val="0"/>
      <w:divBdr>
        <w:top w:val="none" w:sz="0" w:space="0" w:color="auto"/>
        <w:left w:val="none" w:sz="0" w:space="0" w:color="auto"/>
        <w:bottom w:val="none" w:sz="0" w:space="0" w:color="auto"/>
        <w:right w:val="none" w:sz="0" w:space="0" w:color="auto"/>
      </w:divBdr>
    </w:div>
    <w:div w:id="501047160">
      <w:bodyDiv w:val="1"/>
      <w:marLeft w:val="0"/>
      <w:marRight w:val="0"/>
      <w:marTop w:val="0"/>
      <w:marBottom w:val="0"/>
      <w:divBdr>
        <w:top w:val="none" w:sz="0" w:space="0" w:color="auto"/>
        <w:left w:val="none" w:sz="0" w:space="0" w:color="auto"/>
        <w:bottom w:val="none" w:sz="0" w:space="0" w:color="auto"/>
        <w:right w:val="none" w:sz="0" w:space="0" w:color="auto"/>
      </w:divBdr>
    </w:div>
    <w:div w:id="512959977">
      <w:bodyDiv w:val="1"/>
      <w:marLeft w:val="0"/>
      <w:marRight w:val="0"/>
      <w:marTop w:val="0"/>
      <w:marBottom w:val="0"/>
      <w:divBdr>
        <w:top w:val="none" w:sz="0" w:space="0" w:color="auto"/>
        <w:left w:val="none" w:sz="0" w:space="0" w:color="auto"/>
        <w:bottom w:val="none" w:sz="0" w:space="0" w:color="auto"/>
        <w:right w:val="none" w:sz="0" w:space="0" w:color="auto"/>
      </w:divBdr>
      <w:divsChild>
        <w:div w:id="1684477194">
          <w:marLeft w:val="0"/>
          <w:marRight w:val="0"/>
          <w:marTop w:val="0"/>
          <w:marBottom w:val="0"/>
          <w:divBdr>
            <w:top w:val="none" w:sz="0" w:space="0" w:color="auto"/>
            <w:left w:val="none" w:sz="0" w:space="0" w:color="auto"/>
            <w:bottom w:val="none" w:sz="0" w:space="0" w:color="auto"/>
            <w:right w:val="none" w:sz="0" w:space="0" w:color="auto"/>
          </w:divBdr>
          <w:divsChild>
            <w:div w:id="116720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163411">
      <w:bodyDiv w:val="1"/>
      <w:marLeft w:val="0"/>
      <w:marRight w:val="0"/>
      <w:marTop w:val="0"/>
      <w:marBottom w:val="0"/>
      <w:divBdr>
        <w:top w:val="none" w:sz="0" w:space="0" w:color="auto"/>
        <w:left w:val="none" w:sz="0" w:space="0" w:color="auto"/>
        <w:bottom w:val="none" w:sz="0" w:space="0" w:color="auto"/>
        <w:right w:val="none" w:sz="0" w:space="0" w:color="auto"/>
      </w:divBdr>
      <w:divsChild>
        <w:div w:id="358893000">
          <w:marLeft w:val="0"/>
          <w:marRight w:val="0"/>
          <w:marTop w:val="0"/>
          <w:marBottom w:val="0"/>
          <w:divBdr>
            <w:top w:val="none" w:sz="0" w:space="0" w:color="auto"/>
            <w:left w:val="none" w:sz="0" w:space="0" w:color="auto"/>
            <w:bottom w:val="none" w:sz="0" w:space="0" w:color="auto"/>
            <w:right w:val="none" w:sz="0" w:space="0" w:color="auto"/>
          </w:divBdr>
          <w:divsChild>
            <w:div w:id="127979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745393">
      <w:bodyDiv w:val="1"/>
      <w:marLeft w:val="0"/>
      <w:marRight w:val="0"/>
      <w:marTop w:val="0"/>
      <w:marBottom w:val="0"/>
      <w:divBdr>
        <w:top w:val="none" w:sz="0" w:space="0" w:color="auto"/>
        <w:left w:val="none" w:sz="0" w:space="0" w:color="auto"/>
        <w:bottom w:val="none" w:sz="0" w:space="0" w:color="auto"/>
        <w:right w:val="none" w:sz="0" w:space="0" w:color="auto"/>
      </w:divBdr>
    </w:div>
    <w:div w:id="599988508">
      <w:bodyDiv w:val="1"/>
      <w:marLeft w:val="0"/>
      <w:marRight w:val="0"/>
      <w:marTop w:val="0"/>
      <w:marBottom w:val="0"/>
      <w:divBdr>
        <w:top w:val="none" w:sz="0" w:space="0" w:color="auto"/>
        <w:left w:val="none" w:sz="0" w:space="0" w:color="auto"/>
        <w:bottom w:val="none" w:sz="0" w:space="0" w:color="auto"/>
        <w:right w:val="none" w:sz="0" w:space="0" w:color="auto"/>
      </w:divBdr>
    </w:div>
    <w:div w:id="600458304">
      <w:bodyDiv w:val="1"/>
      <w:marLeft w:val="0"/>
      <w:marRight w:val="0"/>
      <w:marTop w:val="0"/>
      <w:marBottom w:val="0"/>
      <w:divBdr>
        <w:top w:val="none" w:sz="0" w:space="0" w:color="auto"/>
        <w:left w:val="none" w:sz="0" w:space="0" w:color="auto"/>
        <w:bottom w:val="none" w:sz="0" w:space="0" w:color="auto"/>
        <w:right w:val="none" w:sz="0" w:space="0" w:color="auto"/>
      </w:divBdr>
    </w:div>
    <w:div w:id="610360180">
      <w:bodyDiv w:val="1"/>
      <w:marLeft w:val="0"/>
      <w:marRight w:val="0"/>
      <w:marTop w:val="0"/>
      <w:marBottom w:val="0"/>
      <w:divBdr>
        <w:top w:val="none" w:sz="0" w:space="0" w:color="auto"/>
        <w:left w:val="none" w:sz="0" w:space="0" w:color="auto"/>
        <w:bottom w:val="none" w:sz="0" w:space="0" w:color="auto"/>
        <w:right w:val="none" w:sz="0" w:space="0" w:color="auto"/>
      </w:divBdr>
    </w:div>
    <w:div w:id="614676315">
      <w:bodyDiv w:val="1"/>
      <w:marLeft w:val="0"/>
      <w:marRight w:val="0"/>
      <w:marTop w:val="0"/>
      <w:marBottom w:val="0"/>
      <w:divBdr>
        <w:top w:val="none" w:sz="0" w:space="0" w:color="auto"/>
        <w:left w:val="none" w:sz="0" w:space="0" w:color="auto"/>
        <w:bottom w:val="none" w:sz="0" w:space="0" w:color="auto"/>
        <w:right w:val="none" w:sz="0" w:space="0" w:color="auto"/>
      </w:divBdr>
    </w:div>
    <w:div w:id="619802853">
      <w:bodyDiv w:val="1"/>
      <w:marLeft w:val="0"/>
      <w:marRight w:val="0"/>
      <w:marTop w:val="0"/>
      <w:marBottom w:val="0"/>
      <w:divBdr>
        <w:top w:val="none" w:sz="0" w:space="0" w:color="auto"/>
        <w:left w:val="none" w:sz="0" w:space="0" w:color="auto"/>
        <w:bottom w:val="none" w:sz="0" w:space="0" w:color="auto"/>
        <w:right w:val="none" w:sz="0" w:space="0" w:color="auto"/>
      </w:divBdr>
    </w:div>
    <w:div w:id="620650517">
      <w:bodyDiv w:val="1"/>
      <w:marLeft w:val="0"/>
      <w:marRight w:val="0"/>
      <w:marTop w:val="0"/>
      <w:marBottom w:val="0"/>
      <w:divBdr>
        <w:top w:val="none" w:sz="0" w:space="0" w:color="auto"/>
        <w:left w:val="none" w:sz="0" w:space="0" w:color="auto"/>
        <w:bottom w:val="none" w:sz="0" w:space="0" w:color="auto"/>
        <w:right w:val="none" w:sz="0" w:space="0" w:color="auto"/>
      </w:divBdr>
      <w:divsChild>
        <w:div w:id="789783112">
          <w:marLeft w:val="0"/>
          <w:marRight w:val="0"/>
          <w:marTop w:val="0"/>
          <w:marBottom w:val="0"/>
          <w:divBdr>
            <w:top w:val="none" w:sz="0" w:space="0" w:color="auto"/>
            <w:left w:val="none" w:sz="0" w:space="0" w:color="auto"/>
            <w:bottom w:val="none" w:sz="0" w:space="0" w:color="auto"/>
            <w:right w:val="none" w:sz="0" w:space="0" w:color="auto"/>
          </w:divBdr>
          <w:divsChild>
            <w:div w:id="70158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791362">
      <w:bodyDiv w:val="1"/>
      <w:marLeft w:val="0"/>
      <w:marRight w:val="0"/>
      <w:marTop w:val="0"/>
      <w:marBottom w:val="0"/>
      <w:divBdr>
        <w:top w:val="none" w:sz="0" w:space="0" w:color="auto"/>
        <w:left w:val="none" w:sz="0" w:space="0" w:color="auto"/>
        <w:bottom w:val="none" w:sz="0" w:space="0" w:color="auto"/>
        <w:right w:val="none" w:sz="0" w:space="0" w:color="auto"/>
      </w:divBdr>
    </w:div>
    <w:div w:id="639649631">
      <w:bodyDiv w:val="1"/>
      <w:marLeft w:val="0"/>
      <w:marRight w:val="0"/>
      <w:marTop w:val="0"/>
      <w:marBottom w:val="0"/>
      <w:divBdr>
        <w:top w:val="none" w:sz="0" w:space="0" w:color="auto"/>
        <w:left w:val="none" w:sz="0" w:space="0" w:color="auto"/>
        <w:bottom w:val="none" w:sz="0" w:space="0" w:color="auto"/>
        <w:right w:val="none" w:sz="0" w:space="0" w:color="auto"/>
      </w:divBdr>
    </w:div>
    <w:div w:id="651101286">
      <w:bodyDiv w:val="1"/>
      <w:marLeft w:val="0"/>
      <w:marRight w:val="0"/>
      <w:marTop w:val="0"/>
      <w:marBottom w:val="0"/>
      <w:divBdr>
        <w:top w:val="none" w:sz="0" w:space="0" w:color="auto"/>
        <w:left w:val="none" w:sz="0" w:space="0" w:color="auto"/>
        <w:bottom w:val="none" w:sz="0" w:space="0" w:color="auto"/>
        <w:right w:val="none" w:sz="0" w:space="0" w:color="auto"/>
      </w:divBdr>
    </w:div>
    <w:div w:id="661390821">
      <w:bodyDiv w:val="1"/>
      <w:marLeft w:val="0"/>
      <w:marRight w:val="0"/>
      <w:marTop w:val="0"/>
      <w:marBottom w:val="0"/>
      <w:divBdr>
        <w:top w:val="none" w:sz="0" w:space="0" w:color="auto"/>
        <w:left w:val="none" w:sz="0" w:space="0" w:color="auto"/>
        <w:bottom w:val="none" w:sz="0" w:space="0" w:color="auto"/>
        <w:right w:val="none" w:sz="0" w:space="0" w:color="auto"/>
      </w:divBdr>
    </w:div>
    <w:div w:id="691031278">
      <w:bodyDiv w:val="1"/>
      <w:marLeft w:val="0"/>
      <w:marRight w:val="0"/>
      <w:marTop w:val="0"/>
      <w:marBottom w:val="0"/>
      <w:divBdr>
        <w:top w:val="none" w:sz="0" w:space="0" w:color="auto"/>
        <w:left w:val="none" w:sz="0" w:space="0" w:color="auto"/>
        <w:bottom w:val="none" w:sz="0" w:space="0" w:color="auto"/>
        <w:right w:val="none" w:sz="0" w:space="0" w:color="auto"/>
      </w:divBdr>
    </w:div>
    <w:div w:id="702705905">
      <w:bodyDiv w:val="1"/>
      <w:marLeft w:val="0"/>
      <w:marRight w:val="0"/>
      <w:marTop w:val="0"/>
      <w:marBottom w:val="0"/>
      <w:divBdr>
        <w:top w:val="none" w:sz="0" w:space="0" w:color="auto"/>
        <w:left w:val="none" w:sz="0" w:space="0" w:color="auto"/>
        <w:bottom w:val="none" w:sz="0" w:space="0" w:color="auto"/>
        <w:right w:val="none" w:sz="0" w:space="0" w:color="auto"/>
      </w:divBdr>
    </w:div>
    <w:div w:id="718282091">
      <w:bodyDiv w:val="1"/>
      <w:marLeft w:val="0"/>
      <w:marRight w:val="0"/>
      <w:marTop w:val="0"/>
      <w:marBottom w:val="0"/>
      <w:divBdr>
        <w:top w:val="none" w:sz="0" w:space="0" w:color="auto"/>
        <w:left w:val="none" w:sz="0" w:space="0" w:color="auto"/>
        <w:bottom w:val="none" w:sz="0" w:space="0" w:color="auto"/>
        <w:right w:val="none" w:sz="0" w:space="0" w:color="auto"/>
      </w:divBdr>
    </w:div>
    <w:div w:id="729160308">
      <w:bodyDiv w:val="1"/>
      <w:marLeft w:val="0"/>
      <w:marRight w:val="0"/>
      <w:marTop w:val="0"/>
      <w:marBottom w:val="0"/>
      <w:divBdr>
        <w:top w:val="none" w:sz="0" w:space="0" w:color="auto"/>
        <w:left w:val="none" w:sz="0" w:space="0" w:color="auto"/>
        <w:bottom w:val="none" w:sz="0" w:space="0" w:color="auto"/>
        <w:right w:val="none" w:sz="0" w:space="0" w:color="auto"/>
      </w:divBdr>
      <w:divsChild>
        <w:div w:id="1544946366">
          <w:marLeft w:val="0"/>
          <w:marRight w:val="0"/>
          <w:marTop w:val="0"/>
          <w:marBottom w:val="0"/>
          <w:divBdr>
            <w:top w:val="none" w:sz="0" w:space="0" w:color="auto"/>
            <w:left w:val="none" w:sz="0" w:space="0" w:color="auto"/>
            <w:bottom w:val="none" w:sz="0" w:space="0" w:color="auto"/>
            <w:right w:val="none" w:sz="0" w:space="0" w:color="auto"/>
          </w:divBdr>
          <w:divsChild>
            <w:div w:id="16810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310613">
      <w:bodyDiv w:val="1"/>
      <w:marLeft w:val="0"/>
      <w:marRight w:val="0"/>
      <w:marTop w:val="0"/>
      <w:marBottom w:val="0"/>
      <w:divBdr>
        <w:top w:val="none" w:sz="0" w:space="0" w:color="auto"/>
        <w:left w:val="none" w:sz="0" w:space="0" w:color="auto"/>
        <w:bottom w:val="none" w:sz="0" w:space="0" w:color="auto"/>
        <w:right w:val="none" w:sz="0" w:space="0" w:color="auto"/>
      </w:divBdr>
    </w:div>
    <w:div w:id="754396392">
      <w:bodyDiv w:val="1"/>
      <w:marLeft w:val="0"/>
      <w:marRight w:val="0"/>
      <w:marTop w:val="0"/>
      <w:marBottom w:val="0"/>
      <w:divBdr>
        <w:top w:val="none" w:sz="0" w:space="0" w:color="auto"/>
        <w:left w:val="none" w:sz="0" w:space="0" w:color="auto"/>
        <w:bottom w:val="none" w:sz="0" w:space="0" w:color="auto"/>
        <w:right w:val="none" w:sz="0" w:space="0" w:color="auto"/>
      </w:divBdr>
    </w:div>
    <w:div w:id="757289222">
      <w:bodyDiv w:val="1"/>
      <w:marLeft w:val="0"/>
      <w:marRight w:val="0"/>
      <w:marTop w:val="0"/>
      <w:marBottom w:val="0"/>
      <w:divBdr>
        <w:top w:val="none" w:sz="0" w:space="0" w:color="auto"/>
        <w:left w:val="none" w:sz="0" w:space="0" w:color="auto"/>
        <w:bottom w:val="none" w:sz="0" w:space="0" w:color="auto"/>
        <w:right w:val="none" w:sz="0" w:space="0" w:color="auto"/>
      </w:divBdr>
    </w:div>
    <w:div w:id="760756954">
      <w:bodyDiv w:val="1"/>
      <w:marLeft w:val="0"/>
      <w:marRight w:val="0"/>
      <w:marTop w:val="0"/>
      <w:marBottom w:val="0"/>
      <w:divBdr>
        <w:top w:val="none" w:sz="0" w:space="0" w:color="auto"/>
        <w:left w:val="none" w:sz="0" w:space="0" w:color="auto"/>
        <w:bottom w:val="none" w:sz="0" w:space="0" w:color="auto"/>
        <w:right w:val="none" w:sz="0" w:space="0" w:color="auto"/>
      </w:divBdr>
    </w:div>
    <w:div w:id="762149130">
      <w:bodyDiv w:val="1"/>
      <w:marLeft w:val="0"/>
      <w:marRight w:val="0"/>
      <w:marTop w:val="0"/>
      <w:marBottom w:val="0"/>
      <w:divBdr>
        <w:top w:val="none" w:sz="0" w:space="0" w:color="auto"/>
        <w:left w:val="none" w:sz="0" w:space="0" w:color="auto"/>
        <w:bottom w:val="none" w:sz="0" w:space="0" w:color="auto"/>
        <w:right w:val="none" w:sz="0" w:space="0" w:color="auto"/>
      </w:divBdr>
    </w:div>
    <w:div w:id="776145507">
      <w:bodyDiv w:val="1"/>
      <w:marLeft w:val="0"/>
      <w:marRight w:val="0"/>
      <w:marTop w:val="0"/>
      <w:marBottom w:val="0"/>
      <w:divBdr>
        <w:top w:val="none" w:sz="0" w:space="0" w:color="auto"/>
        <w:left w:val="none" w:sz="0" w:space="0" w:color="auto"/>
        <w:bottom w:val="none" w:sz="0" w:space="0" w:color="auto"/>
        <w:right w:val="none" w:sz="0" w:space="0" w:color="auto"/>
      </w:divBdr>
    </w:div>
    <w:div w:id="778719631">
      <w:bodyDiv w:val="1"/>
      <w:marLeft w:val="0"/>
      <w:marRight w:val="0"/>
      <w:marTop w:val="0"/>
      <w:marBottom w:val="0"/>
      <w:divBdr>
        <w:top w:val="none" w:sz="0" w:space="0" w:color="auto"/>
        <w:left w:val="none" w:sz="0" w:space="0" w:color="auto"/>
        <w:bottom w:val="none" w:sz="0" w:space="0" w:color="auto"/>
        <w:right w:val="none" w:sz="0" w:space="0" w:color="auto"/>
      </w:divBdr>
    </w:div>
    <w:div w:id="790708187">
      <w:bodyDiv w:val="1"/>
      <w:marLeft w:val="0"/>
      <w:marRight w:val="0"/>
      <w:marTop w:val="0"/>
      <w:marBottom w:val="0"/>
      <w:divBdr>
        <w:top w:val="none" w:sz="0" w:space="0" w:color="auto"/>
        <w:left w:val="none" w:sz="0" w:space="0" w:color="auto"/>
        <w:bottom w:val="none" w:sz="0" w:space="0" w:color="auto"/>
        <w:right w:val="none" w:sz="0" w:space="0" w:color="auto"/>
      </w:divBdr>
    </w:div>
    <w:div w:id="800878925">
      <w:bodyDiv w:val="1"/>
      <w:marLeft w:val="0"/>
      <w:marRight w:val="0"/>
      <w:marTop w:val="0"/>
      <w:marBottom w:val="0"/>
      <w:divBdr>
        <w:top w:val="none" w:sz="0" w:space="0" w:color="auto"/>
        <w:left w:val="none" w:sz="0" w:space="0" w:color="auto"/>
        <w:bottom w:val="none" w:sz="0" w:space="0" w:color="auto"/>
        <w:right w:val="none" w:sz="0" w:space="0" w:color="auto"/>
      </w:divBdr>
    </w:div>
    <w:div w:id="806166291">
      <w:bodyDiv w:val="1"/>
      <w:marLeft w:val="0"/>
      <w:marRight w:val="0"/>
      <w:marTop w:val="0"/>
      <w:marBottom w:val="0"/>
      <w:divBdr>
        <w:top w:val="none" w:sz="0" w:space="0" w:color="auto"/>
        <w:left w:val="none" w:sz="0" w:space="0" w:color="auto"/>
        <w:bottom w:val="none" w:sz="0" w:space="0" w:color="auto"/>
        <w:right w:val="none" w:sz="0" w:space="0" w:color="auto"/>
      </w:divBdr>
    </w:div>
    <w:div w:id="815342910">
      <w:bodyDiv w:val="1"/>
      <w:marLeft w:val="0"/>
      <w:marRight w:val="0"/>
      <w:marTop w:val="0"/>
      <w:marBottom w:val="0"/>
      <w:divBdr>
        <w:top w:val="none" w:sz="0" w:space="0" w:color="auto"/>
        <w:left w:val="none" w:sz="0" w:space="0" w:color="auto"/>
        <w:bottom w:val="none" w:sz="0" w:space="0" w:color="auto"/>
        <w:right w:val="none" w:sz="0" w:space="0" w:color="auto"/>
      </w:divBdr>
    </w:div>
    <w:div w:id="822425918">
      <w:bodyDiv w:val="1"/>
      <w:marLeft w:val="0"/>
      <w:marRight w:val="0"/>
      <w:marTop w:val="0"/>
      <w:marBottom w:val="0"/>
      <w:divBdr>
        <w:top w:val="none" w:sz="0" w:space="0" w:color="auto"/>
        <w:left w:val="none" w:sz="0" w:space="0" w:color="auto"/>
        <w:bottom w:val="none" w:sz="0" w:space="0" w:color="auto"/>
        <w:right w:val="none" w:sz="0" w:space="0" w:color="auto"/>
      </w:divBdr>
    </w:div>
    <w:div w:id="833111327">
      <w:bodyDiv w:val="1"/>
      <w:marLeft w:val="0"/>
      <w:marRight w:val="0"/>
      <w:marTop w:val="0"/>
      <w:marBottom w:val="0"/>
      <w:divBdr>
        <w:top w:val="none" w:sz="0" w:space="0" w:color="auto"/>
        <w:left w:val="none" w:sz="0" w:space="0" w:color="auto"/>
        <w:bottom w:val="none" w:sz="0" w:space="0" w:color="auto"/>
        <w:right w:val="none" w:sz="0" w:space="0" w:color="auto"/>
      </w:divBdr>
    </w:div>
    <w:div w:id="849296846">
      <w:bodyDiv w:val="1"/>
      <w:marLeft w:val="0"/>
      <w:marRight w:val="0"/>
      <w:marTop w:val="0"/>
      <w:marBottom w:val="0"/>
      <w:divBdr>
        <w:top w:val="none" w:sz="0" w:space="0" w:color="auto"/>
        <w:left w:val="none" w:sz="0" w:space="0" w:color="auto"/>
        <w:bottom w:val="none" w:sz="0" w:space="0" w:color="auto"/>
        <w:right w:val="none" w:sz="0" w:space="0" w:color="auto"/>
      </w:divBdr>
    </w:div>
    <w:div w:id="855003370">
      <w:bodyDiv w:val="1"/>
      <w:marLeft w:val="0"/>
      <w:marRight w:val="0"/>
      <w:marTop w:val="0"/>
      <w:marBottom w:val="0"/>
      <w:divBdr>
        <w:top w:val="none" w:sz="0" w:space="0" w:color="auto"/>
        <w:left w:val="none" w:sz="0" w:space="0" w:color="auto"/>
        <w:bottom w:val="none" w:sz="0" w:space="0" w:color="auto"/>
        <w:right w:val="none" w:sz="0" w:space="0" w:color="auto"/>
      </w:divBdr>
    </w:div>
    <w:div w:id="868489743">
      <w:bodyDiv w:val="1"/>
      <w:marLeft w:val="0"/>
      <w:marRight w:val="0"/>
      <w:marTop w:val="0"/>
      <w:marBottom w:val="0"/>
      <w:divBdr>
        <w:top w:val="none" w:sz="0" w:space="0" w:color="auto"/>
        <w:left w:val="none" w:sz="0" w:space="0" w:color="auto"/>
        <w:bottom w:val="none" w:sz="0" w:space="0" w:color="auto"/>
        <w:right w:val="none" w:sz="0" w:space="0" w:color="auto"/>
      </w:divBdr>
    </w:div>
    <w:div w:id="871768910">
      <w:bodyDiv w:val="1"/>
      <w:marLeft w:val="0"/>
      <w:marRight w:val="0"/>
      <w:marTop w:val="0"/>
      <w:marBottom w:val="0"/>
      <w:divBdr>
        <w:top w:val="none" w:sz="0" w:space="0" w:color="auto"/>
        <w:left w:val="none" w:sz="0" w:space="0" w:color="auto"/>
        <w:bottom w:val="none" w:sz="0" w:space="0" w:color="auto"/>
        <w:right w:val="none" w:sz="0" w:space="0" w:color="auto"/>
      </w:divBdr>
    </w:div>
    <w:div w:id="872571157">
      <w:bodyDiv w:val="1"/>
      <w:marLeft w:val="0"/>
      <w:marRight w:val="0"/>
      <w:marTop w:val="0"/>
      <w:marBottom w:val="0"/>
      <w:divBdr>
        <w:top w:val="none" w:sz="0" w:space="0" w:color="auto"/>
        <w:left w:val="none" w:sz="0" w:space="0" w:color="auto"/>
        <w:bottom w:val="none" w:sz="0" w:space="0" w:color="auto"/>
        <w:right w:val="none" w:sz="0" w:space="0" w:color="auto"/>
      </w:divBdr>
    </w:div>
    <w:div w:id="875508411">
      <w:bodyDiv w:val="1"/>
      <w:marLeft w:val="0"/>
      <w:marRight w:val="0"/>
      <w:marTop w:val="0"/>
      <w:marBottom w:val="0"/>
      <w:divBdr>
        <w:top w:val="none" w:sz="0" w:space="0" w:color="auto"/>
        <w:left w:val="none" w:sz="0" w:space="0" w:color="auto"/>
        <w:bottom w:val="none" w:sz="0" w:space="0" w:color="auto"/>
        <w:right w:val="none" w:sz="0" w:space="0" w:color="auto"/>
      </w:divBdr>
    </w:div>
    <w:div w:id="881595013">
      <w:bodyDiv w:val="1"/>
      <w:marLeft w:val="0"/>
      <w:marRight w:val="0"/>
      <w:marTop w:val="0"/>
      <w:marBottom w:val="0"/>
      <w:divBdr>
        <w:top w:val="none" w:sz="0" w:space="0" w:color="auto"/>
        <w:left w:val="none" w:sz="0" w:space="0" w:color="auto"/>
        <w:bottom w:val="none" w:sz="0" w:space="0" w:color="auto"/>
        <w:right w:val="none" w:sz="0" w:space="0" w:color="auto"/>
      </w:divBdr>
    </w:div>
    <w:div w:id="907610524">
      <w:bodyDiv w:val="1"/>
      <w:marLeft w:val="0"/>
      <w:marRight w:val="0"/>
      <w:marTop w:val="0"/>
      <w:marBottom w:val="0"/>
      <w:divBdr>
        <w:top w:val="none" w:sz="0" w:space="0" w:color="auto"/>
        <w:left w:val="none" w:sz="0" w:space="0" w:color="auto"/>
        <w:bottom w:val="none" w:sz="0" w:space="0" w:color="auto"/>
        <w:right w:val="none" w:sz="0" w:space="0" w:color="auto"/>
      </w:divBdr>
    </w:div>
    <w:div w:id="912395572">
      <w:bodyDiv w:val="1"/>
      <w:marLeft w:val="0"/>
      <w:marRight w:val="0"/>
      <w:marTop w:val="0"/>
      <w:marBottom w:val="0"/>
      <w:divBdr>
        <w:top w:val="none" w:sz="0" w:space="0" w:color="auto"/>
        <w:left w:val="none" w:sz="0" w:space="0" w:color="auto"/>
        <w:bottom w:val="none" w:sz="0" w:space="0" w:color="auto"/>
        <w:right w:val="none" w:sz="0" w:space="0" w:color="auto"/>
      </w:divBdr>
    </w:div>
    <w:div w:id="921644501">
      <w:bodyDiv w:val="1"/>
      <w:marLeft w:val="0"/>
      <w:marRight w:val="0"/>
      <w:marTop w:val="0"/>
      <w:marBottom w:val="0"/>
      <w:divBdr>
        <w:top w:val="none" w:sz="0" w:space="0" w:color="auto"/>
        <w:left w:val="none" w:sz="0" w:space="0" w:color="auto"/>
        <w:bottom w:val="none" w:sz="0" w:space="0" w:color="auto"/>
        <w:right w:val="none" w:sz="0" w:space="0" w:color="auto"/>
      </w:divBdr>
    </w:div>
    <w:div w:id="924218882">
      <w:bodyDiv w:val="1"/>
      <w:marLeft w:val="0"/>
      <w:marRight w:val="0"/>
      <w:marTop w:val="0"/>
      <w:marBottom w:val="0"/>
      <w:divBdr>
        <w:top w:val="none" w:sz="0" w:space="0" w:color="auto"/>
        <w:left w:val="none" w:sz="0" w:space="0" w:color="auto"/>
        <w:bottom w:val="none" w:sz="0" w:space="0" w:color="auto"/>
        <w:right w:val="none" w:sz="0" w:space="0" w:color="auto"/>
      </w:divBdr>
    </w:div>
    <w:div w:id="924530308">
      <w:bodyDiv w:val="1"/>
      <w:marLeft w:val="0"/>
      <w:marRight w:val="0"/>
      <w:marTop w:val="0"/>
      <w:marBottom w:val="0"/>
      <w:divBdr>
        <w:top w:val="none" w:sz="0" w:space="0" w:color="auto"/>
        <w:left w:val="none" w:sz="0" w:space="0" w:color="auto"/>
        <w:bottom w:val="none" w:sz="0" w:space="0" w:color="auto"/>
        <w:right w:val="none" w:sz="0" w:space="0" w:color="auto"/>
      </w:divBdr>
    </w:div>
    <w:div w:id="928272581">
      <w:bodyDiv w:val="1"/>
      <w:marLeft w:val="0"/>
      <w:marRight w:val="0"/>
      <w:marTop w:val="0"/>
      <w:marBottom w:val="0"/>
      <w:divBdr>
        <w:top w:val="none" w:sz="0" w:space="0" w:color="auto"/>
        <w:left w:val="none" w:sz="0" w:space="0" w:color="auto"/>
        <w:bottom w:val="none" w:sz="0" w:space="0" w:color="auto"/>
        <w:right w:val="none" w:sz="0" w:space="0" w:color="auto"/>
      </w:divBdr>
    </w:div>
    <w:div w:id="942883746">
      <w:bodyDiv w:val="1"/>
      <w:marLeft w:val="0"/>
      <w:marRight w:val="0"/>
      <w:marTop w:val="0"/>
      <w:marBottom w:val="0"/>
      <w:divBdr>
        <w:top w:val="none" w:sz="0" w:space="0" w:color="auto"/>
        <w:left w:val="none" w:sz="0" w:space="0" w:color="auto"/>
        <w:bottom w:val="none" w:sz="0" w:space="0" w:color="auto"/>
        <w:right w:val="none" w:sz="0" w:space="0" w:color="auto"/>
      </w:divBdr>
    </w:div>
    <w:div w:id="950628929">
      <w:bodyDiv w:val="1"/>
      <w:marLeft w:val="0"/>
      <w:marRight w:val="0"/>
      <w:marTop w:val="0"/>
      <w:marBottom w:val="0"/>
      <w:divBdr>
        <w:top w:val="none" w:sz="0" w:space="0" w:color="auto"/>
        <w:left w:val="none" w:sz="0" w:space="0" w:color="auto"/>
        <w:bottom w:val="none" w:sz="0" w:space="0" w:color="auto"/>
        <w:right w:val="none" w:sz="0" w:space="0" w:color="auto"/>
      </w:divBdr>
    </w:div>
    <w:div w:id="987051008">
      <w:bodyDiv w:val="1"/>
      <w:marLeft w:val="0"/>
      <w:marRight w:val="0"/>
      <w:marTop w:val="0"/>
      <w:marBottom w:val="0"/>
      <w:divBdr>
        <w:top w:val="none" w:sz="0" w:space="0" w:color="auto"/>
        <w:left w:val="none" w:sz="0" w:space="0" w:color="auto"/>
        <w:bottom w:val="none" w:sz="0" w:space="0" w:color="auto"/>
        <w:right w:val="none" w:sz="0" w:space="0" w:color="auto"/>
      </w:divBdr>
    </w:div>
    <w:div w:id="999115244">
      <w:bodyDiv w:val="1"/>
      <w:marLeft w:val="0"/>
      <w:marRight w:val="0"/>
      <w:marTop w:val="0"/>
      <w:marBottom w:val="0"/>
      <w:divBdr>
        <w:top w:val="none" w:sz="0" w:space="0" w:color="auto"/>
        <w:left w:val="none" w:sz="0" w:space="0" w:color="auto"/>
        <w:bottom w:val="none" w:sz="0" w:space="0" w:color="auto"/>
        <w:right w:val="none" w:sz="0" w:space="0" w:color="auto"/>
      </w:divBdr>
    </w:div>
    <w:div w:id="1008602953">
      <w:bodyDiv w:val="1"/>
      <w:marLeft w:val="0"/>
      <w:marRight w:val="0"/>
      <w:marTop w:val="0"/>
      <w:marBottom w:val="0"/>
      <w:divBdr>
        <w:top w:val="none" w:sz="0" w:space="0" w:color="auto"/>
        <w:left w:val="none" w:sz="0" w:space="0" w:color="auto"/>
        <w:bottom w:val="none" w:sz="0" w:space="0" w:color="auto"/>
        <w:right w:val="none" w:sz="0" w:space="0" w:color="auto"/>
      </w:divBdr>
    </w:div>
    <w:div w:id="1032456282">
      <w:bodyDiv w:val="1"/>
      <w:marLeft w:val="0"/>
      <w:marRight w:val="0"/>
      <w:marTop w:val="0"/>
      <w:marBottom w:val="0"/>
      <w:divBdr>
        <w:top w:val="none" w:sz="0" w:space="0" w:color="auto"/>
        <w:left w:val="none" w:sz="0" w:space="0" w:color="auto"/>
        <w:bottom w:val="none" w:sz="0" w:space="0" w:color="auto"/>
        <w:right w:val="none" w:sz="0" w:space="0" w:color="auto"/>
      </w:divBdr>
    </w:div>
    <w:div w:id="1042286406">
      <w:bodyDiv w:val="1"/>
      <w:marLeft w:val="0"/>
      <w:marRight w:val="0"/>
      <w:marTop w:val="0"/>
      <w:marBottom w:val="0"/>
      <w:divBdr>
        <w:top w:val="none" w:sz="0" w:space="0" w:color="auto"/>
        <w:left w:val="none" w:sz="0" w:space="0" w:color="auto"/>
        <w:bottom w:val="none" w:sz="0" w:space="0" w:color="auto"/>
        <w:right w:val="none" w:sz="0" w:space="0" w:color="auto"/>
      </w:divBdr>
    </w:div>
    <w:div w:id="1066416593">
      <w:bodyDiv w:val="1"/>
      <w:marLeft w:val="0"/>
      <w:marRight w:val="0"/>
      <w:marTop w:val="0"/>
      <w:marBottom w:val="0"/>
      <w:divBdr>
        <w:top w:val="none" w:sz="0" w:space="0" w:color="auto"/>
        <w:left w:val="none" w:sz="0" w:space="0" w:color="auto"/>
        <w:bottom w:val="none" w:sz="0" w:space="0" w:color="auto"/>
        <w:right w:val="none" w:sz="0" w:space="0" w:color="auto"/>
      </w:divBdr>
    </w:div>
    <w:div w:id="1092312944">
      <w:bodyDiv w:val="1"/>
      <w:marLeft w:val="0"/>
      <w:marRight w:val="0"/>
      <w:marTop w:val="0"/>
      <w:marBottom w:val="0"/>
      <w:divBdr>
        <w:top w:val="none" w:sz="0" w:space="0" w:color="auto"/>
        <w:left w:val="none" w:sz="0" w:space="0" w:color="auto"/>
        <w:bottom w:val="none" w:sz="0" w:space="0" w:color="auto"/>
        <w:right w:val="none" w:sz="0" w:space="0" w:color="auto"/>
      </w:divBdr>
    </w:div>
    <w:div w:id="1104107299">
      <w:bodyDiv w:val="1"/>
      <w:marLeft w:val="0"/>
      <w:marRight w:val="0"/>
      <w:marTop w:val="0"/>
      <w:marBottom w:val="0"/>
      <w:divBdr>
        <w:top w:val="none" w:sz="0" w:space="0" w:color="auto"/>
        <w:left w:val="none" w:sz="0" w:space="0" w:color="auto"/>
        <w:bottom w:val="none" w:sz="0" w:space="0" w:color="auto"/>
        <w:right w:val="none" w:sz="0" w:space="0" w:color="auto"/>
      </w:divBdr>
    </w:div>
    <w:div w:id="1129322424">
      <w:bodyDiv w:val="1"/>
      <w:marLeft w:val="0"/>
      <w:marRight w:val="0"/>
      <w:marTop w:val="0"/>
      <w:marBottom w:val="0"/>
      <w:divBdr>
        <w:top w:val="none" w:sz="0" w:space="0" w:color="auto"/>
        <w:left w:val="none" w:sz="0" w:space="0" w:color="auto"/>
        <w:bottom w:val="none" w:sz="0" w:space="0" w:color="auto"/>
        <w:right w:val="none" w:sz="0" w:space="0" w:color="auto"/>
      </w:divBdr>
    </w:div>
    <w:div w:id="1167745466">
      <w:bodyDiv w:val="1"/>
      <w:marLeft w:val="0"/>
      <w:marRight w:val="0"/>
      <w:marTop w:val="0"/>
      <w:marBottom w:val="0"/>
      <w:divBdr>
        <w:top w:val="none" w:sz="0" w:space="0" w:color="auto"/>
        <w:left w:val="none" w:sz="0" w:space="0" w:color="auto"/>
        <w:bottom w:val="none" w:sz="0" w:space="0" w:color="auto"/>
        <w:right w:val="none" w:sz="0" w:space="0" w:color="auto"/>
      </w:divBdr>
    </w:div>
    <w:div w:id="1175270493">
      <w:bodyDiv w:val="1"/>
      <w:marLeft w:val="0"/>
      <w:marRight w:val="0"/>
      <w:marTop w:val="0"/>
      <w:marBottom w:val="0"/>
      <w:divBdr>
        <w:top w:val="none" w:sz="0" w:space="0" w:color="auto"/>
        <w:left w:val="none" w:sz="0" w:space="0" w:color="auto"/>
        <w:bottom w:val="none" w:sz="0" w:space="0" w:color="auto"/>
        <w:right w:val="none" w:sz="0" w:space="0" w:color="auto"/>
      </w:divBdr>
    </w:div>
    <w:div w:id="1190029027">
      <w:bodyDiv w:val="1"/>
      <w:marLeft w:val="0"/>
      <w:marRight w:val="0"/>
      <w:marTop w:val="0"/>
      <w:marBottom w:val="0"/>
      <w:divBdr>
        <w:top w:val="none" w:sz="0" w:space="0" w:color="auto"/>
        <w:left w:val="none" w:sz="0" w:space="0" w:color="auto"/>
        <w:bottom w:val="none" w:sz="0" w:space="0" w:color="auto"/>
        <w:right w:val="none" w:sz="0" w:space="0" w:color="auto"/>
      </w:divBdr>
    </w:div>
    <w:div w:id="1191381054">
      <w:bodyDiv w:val="1"/>
      <w:marLeft w:val="0"/>
      <w:marRight w:val="0"/>
      <w:marTop w:val="0"/>
      <w:marBottom w:val="0"/>
      <w:divBdr>
        <w:top w:val="none" w:sz="0" w:space="0" w:color="auto"/>
        <w:left w:val="none" w:sz="0" w:space="0" w:color="auto"/>
        <w:bottom w:val="none" w:sz="0" w:space="0" w:color="auto"/>
        <w:right w:val="none" w:sz="0" w:space="0" w:color="auto"/>
      </w:divBdr>
    </w:div>
    <w:div w:id="1193764657">
      <w:bodyDiv w:val="1"/>
      <w:marLeft w:val="0"/>
      <w:marRight w:val="0"/>
      <w:marTop w:val="0"/>
      <w:marBottom w:val="0"/>
      <w:divBdr>
        <w:top w:val="none" w:sz="0" w:space="0" w:color="auto"/>
        <w:left w:val="none" w:sz="0" w:space="0" w:color="auto"/>
        <w:bottom w:val="none" w:sz="0" w:space="0" w:color="auto"/>
        <w:right w:val="none" w:sz="0" w:space="0" w:color="auto"/>
      </w:divBdr>
    </w:div>
    <w:div w:id="1215702617">
      <w:bodyDiv w:val="1"/>
      <w:marLeft w:val="0"/>
      <w:marRight w:val="0"/>
      <w:marTop w:val="0"/>
      <w:marBottom w:val="0"/>
      <w:divBdr>
        <w:top w:val="none" w:sz="0" w:space="0" w:color="auto"/>
        <w:left w:val="none" w:sz="0" w:space="0" w:color="auto"/>
        <w:bottom w:val="none" w:sz="0" w:space="0" w:color="auto"/>
        <w:right w:val="none" w:sz="0" w:space="0" w:color="auto"/>
      </w:divBdr>
    </w:div>
    <w:div w:id="1261717294">
      <w:bodyDiv w:val="1"/>
      <w:marLeft w:val="0"/>
      <w:marRight w:val="0"/>
      <w:marTop w:val="0"/>
      <w:marBottom w:val="0"/>
      <w:divBdr>
        <w:top w:val="none" w:sz="0" w:space="0" w:color="auto"/>
        <w:left w:val="none" w:sz="0" w:space="0" w:color="auto"/>
        <w:bottom w:val="none" w:sz="0" w:space="0" w:color="auto"/>
        <w:right w:val="none" w:sz="0" w:space="0" w:color="auto"/>
      </w:divBdr>
    </w:div>
    <w:div w:id="1278020957">
      <w:bodyDiv w:val="1"/>
      <w:marLeft w:val="0"/>
      <w:marRight w:val="0"/>
      <w:marTop w:val="0"/>
      <w:marBottom w:val="0"/>
      <w:divBdr>
        <w:top w:val="none" w:sz="0" w:space="0" w:color="auto"/>
        <w:left w:val="none" w:sz="0" w:space="0" w:color="auto"/>
        <w:bottom w:val="none" w:sz="0" w:space="0" w:color="auto"/>
        <w:right w:val="none" w:sz="0" w:space="0" w:color="auto"/>
      </w:divBdr>
    </w:div>
    <w:div w:id="1280913678">
      <w:bodyDiv w:val="1"/>
      <w:marLeft w:val="0"/>
      <w:marRight w:val="0"/>
      <w:marTop w:val="0"/>
      <w:marBottom w:val="0"/>
      <w:divBdr>
        <w:top w:val="none" w:sz="0" w:space="0" w:color="auto"/>
        <w:left w:val="none" w:sz="0" w:space="0" w:color="auto"/>
        <w:bottom w:val="none" w:sz="0" w:space="0" w:color="auto"/>
        <w:right w:val="none" w:sz="0" w:space="0" w:color="auto"/>
      </w:divBdr>
    </w:div>
    <w:div w:id="1306275550">
      <w:bodyDiv w:val="1"/>
      <w:marLeft w:val="0"/>
      <w:marRight w:val="0"/>
      <w:marTop w:val="0"/>
      <w:marBottom w:val="0"/>
      <w:divBdr>
        <w:top w:val="none" w:sz="0" w:space="0" w:color="auto"/>
        <w:left w:val="none" w:sz="0" w:space="0" w:color="auto"/>
        <w:bottom w:val="none" w:sz="0" w:space="0" w:color="auto"/>
        <w:right w:val="none" w:sz="0" w:space="0" w:color="auto"/>
      </w:divBdr>
    </w:div>
    <w:div w:id="1309821756">
      <w:bodyDiv w:val="1"/>
      <w:marLeft w:val="0"/>
      <w:marRight w:val="0"/>
      <w:marTop w:val="0"/>
      <w:marBottom w:val="0"/>
      <w:divBdr>
        <w:top w:val="none" w:sz="0" w:space="0" w:color="auto"/>
        <w:left w:val="none" w:sz="0" w:space="0" w:color="auto"/>
        <w:bottom w:val="none" w:sz="0" w:space="0" w:color="auto"/>
        <w:right w:val="none" w:sz="0" w:space="0" w:color="auto"/>
      </w:divBdr>
    </w:div>
    <w:div w:id="1310789533">
      <w:bodyDiv w:val="1"/>
      <w:marLeft w:val="0"/>
      <w:marRight w:val="0"/>
      <w:marTop w:val="0"/>
      <w:marBottom w:val="0"/>
      <w:divBdr>
        <w:top w:val="none" w:sz="0" w:space="0" w:color="auto"/>
        <w:left w:val="none" w:sz="0" w:space="0" w:color="auto"/>
        <w:bottom w:val="none" w:sz="0" w:space="0" w:color="auto"/>
        <w:right w:val="none" w:sz="0" w:space="0" w:color="auto"/>
      </w:divBdr>
    </w:div>
    <w:div w:id="1316907939">
      <w:bodyDiv w:val="1"/>
      <w:marLeft w:val="0"/>
      <w:marRight w:val="0"/>
      <w:marTop w:val="0"/>
      <w:marBottom w:val="0"/>
      <w:divBdr>
        <w:top w:val="none" w:sz="0" w:space="0" w:color="auto"/>
        <w:left w:val="none" w:sz="0" w:space="0" w:color="auto"/>
        <w:bottom w:val="none" w:sz="0" w:space="0" w:color="auto"/>
        <w:right w:val="none" w:sz="0" w:space="0" w:color="auto"/>
      </w:divBdr>
    </w:div>
    <w:div w:id="1318874350">
      <w:bodyDiv w:val="1"/>
      <w:marLeft w:val="0"/>
      <w:marRight w:val="0"/>
      <w:marTop w:val="0"/>
      <w:marBottom w:val="0"/>
      <w:divBdr>
        <w:top w:val="none" w:sz="0" w:space="0" w:color="auto"/>
        <w:left w:val="none" w:sz="0" w:space="0" w:color="auto"/>
        <w:bottom w:val="none" w:sz="0" w:space="0" w:color="auto"/>
        <w:right w:val="none" w:sz="0" w:space="0" w:color="auto"/>
      </w:divBdr>
    </w:div>
    <w:div w:id="1322270876">
      <w:bodyDiv w:val="1"/>
      <w:marLeft w:val="0"/>
      <w:marRight w:val="0"/>
      <w:marTop w:val="0"/>
      <w:marBottom w:val="0"/>
      <w:divBdr>
        <w:top w:val="none" w:sz="0" w:space="0" w:color="auto"/>
        <w:left w:val="none" w:sz="0" w:space="0" w:color="auto"/>
        <w:bottom w:val="none" w:sz="0" w:space="0" w:color="auto"/>
        <w:right w:val="none" w:sz="0" w:space="0" w:color="auto"/>
      </w:divBdr>
    </w:div>
    <w:div w:id="1346322538">
      <w:bodyDiv w:val="1"/>
      <w:marLeft w:val="0"/>
      <w:marRight w:val="0"/>
      <w:marTop w:val="0"/>
      <w:marBottom w:val="0"/>
      <w:divBdr>
        <w:top w:val="none" w:sz="0" w:space="0" w:color="auto"/>
        <w:left w:val="none" w:sz="0" w:space="0" w:color="auto"/>
        <w:bottom w:val="none" w:sz="0" w:space="0" w:color="auto"/>
        <w:right w:val="none" w:sz="0" w:space="0" w:color="auto"/>
      </w:divBdr>
    </w:div>
    <w:div w:id="1352805408">
      <w:bodyDiv w:val="1"/>
      <w:marLeft w:val="0"/>
      <w:marRight w:val="0"/>
      <w:marTop w:val="0"/>
      <w:marBottom w:val="0"/>
      <w:divBdr>
        <w:top w:val="none" w:sz="0" w:space="0" w:color="auto"/>
        <w:left w:val="none" w:sz="0" w:space="0" w:color="auto"/>
        <w:bottom w:val="none" w:sz="0" w:space="0" w:color="auto"/>
        <w:right w:val="none" w:sz="0" w:space="0" w:color="auto"/>
      </w:divBdr>
    </w:div>
    <w:div w:id="1368750195">
      <w:bodyDiv w:val="1"/>
      <w:marLeft w:val="0"/>
      <w:marRight w:val="0"/>
      <w:marTop w:val="0"/>
      <w:marBottom w:val="0"/>
      <w:divBdr>
        <w:top w:val="none" w:sz="0" w:space="0" w:color="auto"/>
        <w:left w:val="none" w:sz="0" w:space="0" w:color="auto"/>
        <w:bottom w:val="none" w:sz="0" w:space="0" w:color="auto"/>
        <w:right w:val="none" w:sz="0" w:space="0" w:color="auto"/>
      </w:divBdr>
    </w:div>
    <w:div w:id="1375305635">
      <w:bodyDiv w:val="1"/>
      <w:marLeft w:val="0"/>
      <w:marRight w:val="0"/>
      <w:marTop w:val="0"/>
      <w:marBottom w:val="0"/>
      <w:divBdr>
        <w:top w:val="none" w:sz="0" w:space="0" w:color="auto"/>
        <w:left w:val="none" w:sz="0" w:space="0" w:color="auto"/>
        <w:bottom w:val="none" w:sz="0" w:space="0" w:color="auto"/>
        <w:right w:val="none" w:sz="0" w:space="0" w:color="auto"/>
      </w:divBdr>
    </w:div>
    <w:div w:id="1383283254">
      <w:bodyDiv w:val="1"/>
      <w:marLeft w:val="0"/>
      <w:marRight w:val="0"/>
      <w:marTop w:val="0"/>
      <w:marBottom w:val="0"/>
      <w:divBdr>
        <w:top w:val="none" w:sz="0" w:space="0" w:color="auto"/>
        <w:left w:val="none" w:sz="0" w:space="0" w:color="auto"/>
        <w:bottom w:val="none" w:sz="0" w:space="0" w:color="auto"/>
        <w:right w:val="none" w:sz="0" w:space="0" w:color="auto"/>
      </w:divBdr>
    </w:div>
    <w:div w:id="1384208017">
      <w:bodyDiv w:val="1"/>
      <w:marLeft w:val="0"/>
      <w:marRight w:val="0"/>
      <w:marTop w:val="0"/>
      <w:marBottom w:val="0"/>
      <w:divBdr>
        <w:top w:val="none" w:sz="0" w:space="0" w:color="auto"/>
        <w:left w:val="none" w:sz="0" w:space="0" w:color="auto"/>
        <w:bottom w:val="none" w:sz="0" w:space="0" w:color="auto"/>
        <w:right w:val="none" w:sz="0" w:space="0" w:color="auto"/>
      </w:divBdr>
    </w:div>
    <w:div w:id="1387529770">
      <w:bodyDiv w:val="1"/>
      <w:marLeft w:val="0"/>
      <w:marRight w:val="0"/>
      <w:marTop w:val="0"/>
      <w:marBottom w:val="0"/>
      <w:divBdr>
        <w:top w:val="none" w:sz="0" w:space="0" w:color="auto"/>
        <w:left w:val="none" w:sz="0" w:space="0" w:color="auto"/>
        <w:bottom w:val="none" w:sz="0" w:space="0" w:color="auto"/>
        <w:right w:val="none" w:sz="0" w:space="0" w:color="auto"/>
      </w:divBdr>
    </w:div>
    <w:div w:id="1399665247">
      <w:bodyDiv w:val="1"/>
      <w:marLeft w:val="0"/>
      <w:marRight w:val="0"/>
      <w:marTop w:val="0"/>
      <w:marBottom w:val="0"/>
      <w:divBdr>
        <w:top w:val="none" w:sz="0" w:space="0" w:color="auto"/>
        <w:left w:val="none" w:sz="0" w:space="0" w:color="auto"/>
        <w:bottom w:val="none" w:sz="0" w:space="0" w:color="auto"/>
        <w:right w:val="none" w:sz="0" w:space="0" w:color="auto"/>
      </w:divBdr>
    </w:div>
    <w:div w:id="1419668236">
      <w:bodyDiv w:val="1"/>
      <w:marLeft w:val="0"/>
      <w:marRight w:val="0"/>
      <w:marTop w:val="0"/>
      <w:marBottom w:val="0"/>
      <w:divBdr>
        <w:top w:val="none" w:sz="0" w:space="0" w:color="auto"/>
        <w:left w:val="none" w:sz="0" w:space="0" w:color="auto"/>
        <w:bottom w:val="none" w:sz="0" w:space="0" w:color="auto"/>
        <w:right w:val="none" w:sz="0" w:space="0" w:color="auto"/>
      </w:divBdr>
    </w:div>
    <w:div w:id="1427924346">
      <w:bodyDiv w:val="1"/>
      <w:marLeft w:val="0"/>
      <w:marRight w:val="0"/>
      <w:marTop w:val="0"/>
      <w:marBottom w:val="0"/>
      <w:divBdr>
        <w:top w:val="none" w:sz="0" w:space="0" w:color="auto"/>
        <w:left w:val="none" w:sz="0" w:space="0" w:color="auto"/>
        <w:bottom w:val="none" w:sz="0" w:space="0" w:color="auto"/>
        <w:right w:val="none" w:sz="0" w:space="0" w:color="auto"/>
      </w:divBdr>
    </w:div>
    <w:div w:id="1437557183">
      <w:bodyDiv w:val="1"/>
      <w:marLeft w:val="0"/>
      <w:marRight w:val="0"/>
      <w:marTop w:val="0"/>
      <w:marBottom w:val="0"/>
      <w:divBdr>
        <w:top w:val="none" w:sz="0" w:space="0" w:color="auto"/>
        <w:left w:val="none" w:sz="0" w:space="0" w:color="auto"/>
        <w:bottom w:val="none" w:sz="0" w:space="0" w:color="auto"/>
        <w:right w:val="none" w:sz="0" w:space="0" w:color="auto"/>
      </w:divBdr>
    </w:div>
    <w:div w:id="1458714654">
      <w:bodyDiv w:val="1"/>
      <w:marLeft w:val="0"/>
      <w:marRight w:val="0"/>
      <w:marTop w:val="0"/>
      <w:marBottom w:val="0"/>
      <w:divBdr>
        <w:top w:val="none" w:sz="0" w:space="0" w:color="auto"/>
        <w:left w:val="none" w:sz="0" w:space="0" w:color="auto"/>
        <w:bottom w:val="none" w:sz="0" w:space="0" w:color="auto"/>
        <w:right w:val="none" w:sz="0" w:space="0" w:color="auto"/>
      </w:divBdr>
    </w:div>
    <w:div w:id="1465005769">
      <w:bodyDiv w:val="1"/>
      <w:marLeft w:val="0"/>
      <w:marRight w:val="0"/>
      <w:marTop w:val="0"/>
      <w:marBottom w:val="0"/>
      <w:divBdr>
        <w:top w:val="none" w:sz="0" w:space="0" w:color="auto"/>
        <w:left w:val="none" w:sz="0" w:space="0" w:color="auto"/>
        <w:bottom w:val="none" w:sz="0" w:space="0" w:color="auto"/>
        <w:right w:val="none" w:sz="0" w:space="0" w:color="auto"/>
      </w:divBdr>
    </w:div>
    <w:div w:id="1475683107">
      <w:bodyDiv w:val="1"/>
      <w:marLeft w:val="0"/>
      <w:marRight w:val="0"/>
      <w:marTop w:val="0"/>
      <w:marBottom w:val="0"/>
      <w:divBdr>
        <w:top w:val="none" w:sz="0" w:space="0" w:color="auto"/>
        <w:left w:val="none" w:sz="0" w:space="0" w:color="auto"/>
        <w:bottom w:val="none" w:sz="0" w:space="0" w:color="auto"/>
        <w:right w:val="none" w:sz="0" w:space="0" w:color="auto"/>
      </w:divBdr>
    </w:div>
    <w:div w:id="1489857198">
      <w:bodyDiv w:val="1"/>
      <w:marLeft w:val="0"/>
      <w:marRight w:val="0"/>
      <w:marTop w:val="0"/>
      <w:marBottom w:val="0"/>
      <w:divBdr>
        <w:top w:val="none" w:sz="0" w:space="0" w:color="auto"/>
        <w:left w:val="none" w:sz="0" w:space="0" w:color="auto"/>
        <w:bottom w:val="none" w:sz="0" w:space="0" w:color="auto"/>
        <w:right w:val="none" w:sz="0" w:space="0" w:color="auto"/>
      </w:divBdr>
    </w:div>
    <w:div w:id="1499929084">
      <w:bodyDiv w:val="1"/>
      <w:marLeft w:val="0"/>
      <w:marRight w:val="0"/>
      <w:marTop w:val="0"/>
      <w:marBottom w:val="0"/>
      <w:divBdr>
        <w:top w:val="none" w:sz="0" w:space="0" w:color="auto"/>
        <w:left w:val="none" w:sz="0" w:space="0" w:color="auto"/>
        <w:bottom w:val="none" w:sz="0" w:space="0" w:color="auto"/>
        <w:right w:val="none" w:sz="0" w:space="0" w:color="auto"/>
      </w:divBdr>
    </w:div>
    <w:div w:id="1509103247">
      <w:bodyDiv w:val="1"/>
      <w:marLeft w:val="0"/>
      <w:marRight w:val="0"/>
      <w:marTop w:val="0"/>
      <w:marBottom w:val="0"/>
      <w:divBdr>
        <w:top w:val="none" w:sz="0" w:space="0" w:color="auto"/>
        <w:left w:val="none" w:sz="0" w:space="0" w:color="auto"/>
        <w:bottom w:val="none" w:sz="0" w:space="0" w:color="auto"/>
        <w:right w:val="none" w:sz="0" w:space="0" w:color="auto"/>
      </w:divBdr>
    </w:div>
    <w:div w:id="1525245015">
      <w:bodyDiv w:val="1"/>
      <w:marLeft w:val="0"/>
      <w:marRight w:val="0"/>
      <w:marTop w:val="0"/>
      <w:marBottom w:val="0"/>
      <w:divBdr>
        <w:top w:val="none" w:sz="0" w:space="0" w:color="auto"/>
        <w:left w:val="none" w:sz="0" w:space="0" w:color="auto"/>
        <w:bottom w:val="none" w:sz="0" w:space="0" w:color="auto"/>
        <w:right w:val="none" w:sz="0" w:space="0" w:color="auto"/>
      </w:divBdr>
    </w:div>
    <w:div w:id="1543597660">
      <w:bodyDiv w:val="1"/>
      <w:marLeft w:val="0"/>
      <w:marRight w:val="0"/>
      <w:marTop w:val="0"/>
      <w:marBottom w:val="0"/>
      <w:divBdr>
        <w:top w:val="none" w:sz="0" w:space="0" w:color="auto"/>
        <w:left w:val="none" w:sz="0" w:space="0" w:color="auto"/>
        <w:bottom w:val="none" w:sz="0" w:space="0" w:color="auto"/>
        <w:right w:val="none" w:sz="0" w:space="0" w:color="auto"/>
      </w:divBdr>
    </w:div>
    <w:div w:id="1546676999">
      <w:bodyDiv w:val="1"/>
      <w:marLeft w:val="0"/>
      <w:marRight w:val="0"/>
      <w:marTop w:val="0"/>
      <w:marBottom w:val="0"/>
      <w:divBdr>
        <w:top w:val="none" w:sz="0" w:space="0" w:color="auto"/>
        <w:left w:val="none" w:sz="0" w:space="0" w:color="auto"/>
        <w:bottom w:val="none" w:sz="0" w:space="0" w:color="auto"/>
        <w:right w:val="none" w:sz="0" w:space="0" w:color="auto"/>
      </w:divBdr>
    </w:div>
    <w:div w:id="1551771717">
      <w:bodyDiv w:val="1"/>
      <w:marLeft w:val="0"/>
      <w:marRight w:val="0"/>
      <w:marTop w:val="0"/>
      <w:marBottom w:val="0"/>
      <w:divBdr>
        <w:top w:val="none" w:sz="0" w:space="0" w:color="auto"/>
        <w:left w:val="none" w:sz="0" w:space="0" w:color="auto"/>
        <w:bottom w:val="none" w:sz="0" w:space="0" w:color="auto"/>
        <w:right w:val="none" w:sz="0" w:space="0" w:color="auto"/>
      </w:divBdr>
    </w:div>
    <w:div w:id="1559512698">
      <w:bodyDiv w:val="1"/>
      <w:marLeft w:val="0"/>
      <w:marRight w:val="0"/>
      <w:marTop w:val="0"/>
      <w:marBottom w:val="0"/>
      <w:divBdr>
        <w:top w:val="none" w:sz="0" w:space="0" w:color="auto"/>
        <w:left w:val="none" w:sz="0" w:space="0" w:color="auto"/>
        <w:bottom w:val="none" w:sz="0" w:space="0" w:color="auto"/>
        <w:right w:val="none" w:sz="0" w:space="0" w:color="auto"/>
      </w:divBdr>
    </w:div>
    <w:div w:id="1569605741">
      <w:bodyDiv w:val="1"/>
      <w:marLeft w:val="0"/>
      <w:marRight w:val="0"/>
      <w:marTop w:val="0"/>
      <w:marBottom w:val="0"/>
      <w:divBdr>
        <w:top w:val="none" w:sz="0" w:space="0" w:color="auto"/>
        <w:left w:val="none" w:sz="0" w:space="0" w:color="auto"/>
        <w:bottom w:val="none" w:sz="0" w:space="0" w:color="auto"/>
        <w:right w:val="none" w:sz="0" w:space="0" w:color="auto"/>
      </w:divBdr>
    </w:div>
    <w:div w:id="1575361636">
      <w:bodyDiv w:val="1"/>
      <w:marLeft w:val="0"/>
      <w:marRight w:val="0"/>
      <w:marTop w:val="0"/>
      <w:marBottom w:val="0"/>
      <w:divBdr>
        <w:top w:val="none" w:sz="0" w:space="0" w:color="auto"/>
        <w:left w:val="none" w:sz="0" w:space="0" w:color="auto"/>
        <w:bottom w:val="none" w:sz="0" w:space="0" w:color="auto"/>
        <w:right w:val="none" w:sz="0" w:space="0" w:color="auto"/>
      </w:divBdr>
    </w:div>
    <w:div w:id="1587348727">
      <w:bodyDiv w:val="1"/>
      <w:marLeft w:val="0"/>
      <w:marRight w:val="0"/>
      <w:marTop w:val="0"/>
      <w:marBottom w:val="0"/>
      <w:divBdr>
        <w:top w:val="none" w:sz="0" w:space="0" w:color="auto"/>
        <w:left w:val="none" w:sz="0" w:space="0" w:color="auto"/>
        <w:bottom w:val="none" w:sz="0" w:space="0" w:color="auto"/>
        <w:right w:val="none" w:sz="0" w:space="0" w:color="auto"/>
      </w:divBdr>
    </w:div>
    <w:div w:id="1597134699">
      <w:bodyDiv w:val="1"/>
      <w:marLeft w:val="0"/>
      <w:marRight w:val="0"/>
      <w:marTop w:val="0"/>
      <w:marBottom w:val="0"/>
      <w:divBdr>
        <w:top w:val="none" w:sz="0" w:space="0" w:color="auto"/>
        <w:left w:val="none" w:sz="0" w:space="0" w:color="auto"/>
        <w:bottom w:val="none" w:sz="0" w:space="0" w:color="auto"/>
        <w:right w:val="none" w:sz="0" w:space="0" w:color="auto"/>
      </w:divBdr>
    </w:div>
    <w:div w:id="1617251249">
      <w:bodyDiv w:val="1"/>
      <w:marLeft w:val="0"/>
      <w:marRight w:val="0"/>
      <w:marTop w:val="0"/>
      <w:marBottom w:val="0"/>
      <w:divBdr>
        <w:top w:val="none" w:sz="0" w:space="0" w:color="auto"/>
        <w:left w:val="none" w:sz="0" w:space="0" w:color="auto"/>
        <w:bottom w:val="none" w:sz="0" w:space="0" w:color="auto"/>
        <w:right w:val="none" w:sz="0" w:space="0" w:color="auto"/>
      </w:divBdr>
    </w:div>
    <w:div w:id="1631741324">
      <w:bodyDiv w:val="1"/>
      <w:marLeft w:val="0"/>
      <w:marRight w:val="0"/>
      <w:marTop w:val="0"/>
      <w:marBottom w:val="0"/>
      <w:divBdr>
        <w:top w:val="none" w:sz="0" w:space="0" w:color="auto"/>
        <w:left w:val="none" w:sz="0" w:space="0" w:color="auto"/>
        <w:bottom w:val="none" w:sz="0" w:space="0" w:color="auto"/>
        <w:right w:val="none" w:sz="0" w:space="0" w:color="auto"/>
      </w:divBdr>
    </w:div>
    <w:div w:id="1632401918">
      <w:bodyDiv w:val="1"/>
      <w:marLeft w:val="0"/>
      <w:marRight w:val="0"/>
      <w:marTop w:val="0"/>
      <w:marBottom w:val="0"/>
      <w:divBdr>
        <w:top w:val="none" w:sz="0" w:space="0" w:color="auto"/>
        <w:left w:val="none" w:sz="0" w:space="0" w:color="auto"/>
        <w:bottom w:val="none" w:sz="0" w:space="0" w:color="auto"/>
        <w:right w:val="none" w:sz="0" w:space="0" w:color="auto"/>
      </w:divBdr>
    </w:div>
    <w:div w:id="1637368702">
      <w:bodyDiv w:val="1"/>
      <w:marLeft w:val="0"/>
      <w:marRight w:val="0"/>
      <w:marTop w:val="0"/>
      <w:marBottom w:val="0"/>
      <w:divBdr>
        <w:top w:val="none" w:sz="0" w:space="0" w:color="auto"/>
        <w:left w:val="none" w:sz="0" w:space="0" w:color="auto"/>
        <w:bottom w:val="none" w:sz="0" w:space="0" w:color="auto"/>
        <w:right w:val="none" w:sz="0" w:space="0" w:color="auto"/>
      </w:divBdr>
    </w:div>
    <w:div w:id="1644773017">
      <w:bodyDiv w:val="1"/>
      <w:marLeft w:val="0"/>
      <w:marRight w:val="0"/>
      <w:marTop w:val="0"/>
      <w:marBottom w:val="0"/>
      <w:divBdr>
        <w:top w:val="none" w:sz="0" w:space="0" w:color="auto"/>
        <w:left w:val="none" w:sz="0" w:space="0" w:color="auto"/>
        <w:bottom w:val="none" w:sz="0" w:space="0" w:color="auto"/>
        <w:right w:val="none" w:sz="0" w:space="0" w:color="auto"/>
      </w:divBdr>
    </w:div>
    <w:div w:id="1646472098">
      <w:bodyDiv w:val="1"/>
      <w:marLeft w:val="0"/>
      <w:marRight w:val="0"/>
      <w:marTop w:val="0"/>
      <w:marBottom w:val="0"/>
      <w:divBdr>
        <w:top w:val="none" w:sz="0" w:space="0" w:color="auto"/>
        <w:left w:val="none" w:sz="0" w:space="0" w:color="auto"/>
        <w:bottom w:val="none" w:sz="0" w:space="0" w:color="auto"/>
        <w:right w:val="none" w:sz="0" w:space="0" w:color="auto"/>
      </w:divBdr>
    </w:div>
    <w:div w:id="1664968896">
      <w:bodyDiv w:val="1"/>
      <w:marLeft w:val="0"/>
      <w:marRight w:val="0"/>
      <w:marTop w:val="0"/>
      <w:marBottom w:val="0"/>
      <w:divBdr>
        <w:top w:val="none" w:sz="0" w:space="0" w:color="auto"/>
        <w:left w:val="none" w:sz="0" w:space="0" w:color="auto"/>
        <w:bottom w:val="none" w:sz="0" w:space="0" w:color="auto"/>
        <w:right w:val="none" w:sz="0" w:space="0" w:color="auto"/>
      </w:divBdr>
    </w:div>
    <w:div w:id="1677069819">
      <w:bodyDiv w:val="1"/>
      <w:marLeft w:val="0"/>
      <w:marRight w:val="0"/>
      <w:marTop w:val="0"/>
      <w:marBottom w:val="0"/>
      <w:divBdr>
        <w:top w:val="none" w:sz="0" w:space="0" w:color="auto"/>
        <w:left w:val="none" w:sz="0" w:space="0" w:color="auto"/>
        <w:bottom w:val="none" w:sz="0" w:space="0" w:color="auto"/>
        <w:right w:val="none" w:sz="0" w:space="0" w:color="auto"/>
      </w:divBdr>
    </w:div>
    <w:div w:id="1677074312">
      <w:bodyDiv w:val="1"/>
      <w:marLeft w:val="0"/>
      <w:marRight w:val="0"/>
      <w:marTop w:val="0"/>
      <w:marBottom w:val="0"/>
      <w:divBdr>
        <w:top w:val="none" w:sz="0" w:space="0" w:color="auto"/>
        <w:left w:val="none" w:sz="0" w:space="0" w:color="auto"/>
        <w:bottom w:val="none" w:sz="0" w:space="0" w:color="auto"/>
        <w:right w:val="none" w:sz="0" w:space="0" w:color="auto"/>
      </w:divBdr>
    </w:div>
    <w:div w:id="1696423893">
      <w:bodyDiv w:val="1"/>
      <w:marLeft w:val="0"/>
      <w:marRight w:val="0"/>
      <w:marTop w:val="0"/>
      <w:marBottom w:val="0"/>
      <w:divBdr>
        <w:top w:val="none" w:sz="0" w:space="0" w:color="auto"/>
        <w:left w:val="none" w:sz="0" w:space="0" w:color="auto"/>
        <w:bottom w:val="none" w:sz="0" w:space="0" w:color="auto"/>
        <w:right w:val="none" w:sz="0" w:space="0" w:color="auto"/>
      </w:divBdr>
    </w:div>
    <w:div w:id="1705868256">
      <w:bodyDiv w:val="1"/>
      <w:marLeft w:val="0"/>
      <w:marRight w:val="0"/>
      <w:marTop w:val="0"/>
      <w:marBottom w:val="0"/>
      <w:divBdr>
        <w:top w:val="none" w:sz="0" w:space="0" w:color="auto"/>
        <w:left w:val="none" w:sz="0" w:space="0" w:color="auto"/>
        <w:bottom w:val="none" w:sz="0" w:space="0" w:color="auto"/>
        <w:right w:val="none" w:sz="0" w:space="0" w:color="auto"/>
      </w:divBdr>
    </w:div>
    <w:div w:id="1717196117">
      <w:bodyDiv w:val="1"/>
      <w:marLeft w:val="0"/>
      <w:marRight w:val="0"/>
      <w:marTop w:val="0"/>
      <w:marBottom w:val="0"/>
      <w:divBdr>
        <w:top w:val="none" w:sz="0" w:space="0" w:color="auto"/>
        <w:left w:val="none" w:sz="0" w:space="0" w:color="auto"/>
        <w:bottom w:val="none" w:sz="0" w:space="0" w:color="auto"/>
        <w:right w:val="none" w:sz="0" w:space="0" w:color="auto"/>
      </w:divBdr>
    </w:div>
    <w:div w:id="1727486309">
      <w:bodyDiv w:val="1"/>
      <w:marLeft w:val="0"/>
      <w:marRight w:val="0"/>
      <w:marTop w:val="0"/>
      <w:marBottom w:val="0"/>
      <w:divBdr>
        <w:top w:val="none" w:sz="0" w:space="0" w:color="auto"/>
        <w:left w:val="none" w:sz="0" w:space="0" w:color="auto"/>
        <w:bottom w:val="none" w:sz="0" w:space="0" w:color="auto"/>
        <w:right w:val="none" w:sz="0" w:space="0" w:color="auto"/>
      </w:divBdr>
    </w:div>
    <w:div w:id="1735616685">
      <w:bodyDiv w:val="1"/>
      <w:marLeft w:val="0"/>
      <w:marRight w:val="0"/>
      <w:marTop w:val="0"/>
      <w:marBottom w:val="0"/>
      <w:divBdr>
        <w:top w:val="none" w:sz="0" w:space="0" w:color="auto"/>
        <w:left w:val="none" w:sz="0" w:space="0" w:color="auto"/>
        <w:bottom w:val="none" w:sz="0" w:space="0" w:color="auto"/>
        <w:right w:val="none" w:sz="0" w:space="0" w:color="auto"/>
      </w:divBdr>
    </w:div>
    <w:div w:id="1743523253">
      <w:bodyDiv w:val="1"/>
      <w:marLeft w:val="0"/>
      <w:marRight w:val="0"/>
      <w:marTop w:val="0"/>
      <w:marBottom w:val="0"/>
      <w:divBdr>
        <w:top w:val="none" w:sz="0" w:space="0" w:color="auto"/>
        <w:left w:val="none" w:sz="0" w:space="0" w:color="auto"/>
        <w:bottom w:val="none" w:sz="0" w:space="0" w:color="auto"/>
        <w:right w:val="none" w:sz="0" w:space="0" w:color="auto"/>
      </w:divBdr>
    </w:div>
    <w:div w:id="1754929436">
      <w:bodyDiv w:val="1"/>
      <w:marLeft w:val="0"/>
      <w:marRight w:val="0"/>
      <w:marTop w:val="0"/>
      <w:marBottom w:val="0"/>
      <w:divBdr>
        <w:top w:val="none" w:sz="0" w:space="0" w:color="auto"/>
        <w:left w:val="none" w:sz="0" w:space="0" w:color="auto"/>
        <w:bottom w:val="none" w:sz="0" w:space="0" w:color="auto"/>
        <w:right w:val="none" w:sz="0" w:space="0" w:color="auto"/>
      </w:divBdr>
    </w:div>
    <w:div w:id="1755390819">
      <w:bodyDiv w:val="1"/>
      <w:marLeft w:val="0"/>
      <w:marRight w:val="0"/>
      <w:marTop w:val="0"/>
      <w:marBottom w:val="0"/>
      <w:divBdr>
        <w:top w:val="none" w:sz="0" w:space="0" w:color="auto"/>
        <w:left w:val="none" w:sz="0" w:space="0" w:color="auto"/>
        <w:bottom w:val="none" w:sz="0" w:space="0" w:color="auto"/>
        <w:right w:val="none" w:sz="0" w:space="0" w:color="auto"/>
      </w:divBdr>
    </w:div>
    <w:div w:id="1758479596">
      <w:bodyDiv w:val="1"/>
      <w:marLeft w:val="0"/>
      <w:marRight w:val="0"/>
      <w:marTop w:val="0"/>
      <w:marBottom w:val="0"/>
      <w:divBdr>
        <w:top w:val="none" w:sz="0" w:space="0" w:color="auto"/>
        <w:left w:val="none" w:sz="0" w:space="0" w:color="auto"/>
        <w:bottom w:val="none" w:sz="0" w:space="0" w:color="auto"/>
        <w:right w:val="none" w:sz="0" w:space="0" w:color="auto"/>
      </w:divBdr>
    </w:div>
    <w:div w:id="1766997559">
      <w:bodyDiv w:val="1"/>
      <w:marLeft w:val="0"/>
      <w:marRight w:val="0"/>
      <w:marTop w:val="0"/>
      <w:marBottom w:val="0"/>
      <w:divBdr>
        <w:top w:val="none" w:sz="0" w:space="0" w:color="auto"/>
        <w:left w:val="none" w:sz="0" w:space="0" w:color="auto"/>
        <w:bottom w:val="none" w:sz="0" w:space="0" w:color="auto"/>
        <w:right w:val="none" w:sz="0" w:space="0" w:color="auto"/>
      </w:divBdr>
    </w:div>
    <w:div w:id="1791700905">
      <w:bodyDiv w:val="1"/>
      <w:marLeft w:val="0"/>
      <w:marRight w:val="0"/>
      <w:marTop w:val="0"/>
      <w:marBottom w:val="0"/>
      <w:divBdr>
        <w:top w:val="none" w:sz="0" w:space="0" w:color="auto"/>
        <w:left w:val="none" w:sz="0" w:space="0" w:color="auto"/>
        <w:bottom w:val="none" w:sz="0" w:space="0" w:color="auto"/>
        <w:right w:val="none" w:sz="0" w:space="0" w:color="auto"/>
      </w:divBdr>
    </w:div>
    <w:div w:id="1794400369">
      <w:bodyDiv w:val="1"/>
      <w:marLeft w:val="0"/>
      <w:marRight w:val="0"/>
      <w:marTop w:val="0"/>
      <w:marBottom w:val="0"/>
      <w:divBdr>
        <w:top w:val="none" w:sz="0" w:space="0" w:color="auto"/>
        <w:left w:val="none" w:sz="0" w:space="0" w:color="auto"/>
        <w:bottom w:val="none" w:sz="0" w:space="0" w:color="auto"/>
        <w:right w:val="none" w:sz="0" w:space="0" w:color="auto"/>
      </w:divBdr>
    </w:div>
    <w:div w:id="1800879478">
      <w:bodyDiv w:val="1"/>
      <w:marLeft w:val="0"/>
      <w:marRight w:val="0"/>
      <w:marTop w:val="0"/>
      <w:marBottom w:val="0"/>
      <w:divBdr>
        <w:top w:val="none" w:sz="0" w:space="0" w:color="auto"/>
        <w:left w:val="none" w:sz="0" w:space="0" w:color="auto"/>
        <w:bottom w:val="none" w:sz="0" w:space="0" w:color="auto"/>
        <w:right w:val="none" w:sz="0" w:space="0" w:color="auto"/>
      </w:divBdr>
    </w:div>
    <w:div w:id="1805462432">
      <w:bodyDiv w:val="1"/>
      <w:marLeft w:val="0"/>
      <w:marRight w:val="0"/>
      <w:marTop w:val="0"/>
      <w:marBottom w:val="0"/>
      <w:divBdr>
        <w:top w:val="none" w:sz="0" w:space="0" w:color="auto"/>
        <w:left w:val="none" w:sz="0" w:space="0" w:color="auto"/>
        <w:bottom w:val="none" w:sz="0" w:space="0" w:color="auto"/>
        <w:right w:val="none" w:sz="0" w:space="0" w:color="auto"/>
      </w:divBdr>
    </w:div>
    <w:div w:id="1806968363">
      <w:bodyDiv w:val="1"/>
      <w:marLeft w:val="0"/>
      <w:marRight w:val="0"/>
      <w:marTop w:val="0"/>
      <w:marBottom w:val="0"/>
      <w:divBdr>
        <w:top w:val="none" w:sz="0" w:space="0" w:color="auto"/>
        <w:left w:val="none" w:sz="0" w:space="0" w:color="auto"/>
        <w:bottom w:val="none" w:sz="0" w:space="0" w:color="auto"/>
        <w:right w:val="none" w:sz="0" w:space="0" w:color="auto"/>
      </w:divBdr>
    </w:div>
    <w:div w:id="1821114921">
      <w:bodyDiv w:val="1"/>
      <w:marLeft w:val="0"/>
      <w:marRight w:val="0"/>
      <w:marTop w:val="0"/>
      <w:marBottom w:val="0"/>
      <w:divBdr>
        <w:top w:val="none" w:sz="0" w:space="0" w:color="auto"/>
        <w:left w:val="none" w:sz="0" w:space="0" w:color="auto"/>
        <w:bottom w:val="none" w:sz="0" w:space="0" w:color="auto"/>
        <w:right w:val="none" w:sz="0" w:space="0" w:color="auto"/>
      </w:divBdr>
    </w:div>
    <w:div w:id="1834880919">
      <w:bodyDiv w:val="1"/>
      <w:marLeft w:val="0"/>
      <w:marRight w:val="0"/>
      <w:marTop w:val="0"/>
      <w:marBottom w:val="0"/>
      <w:divBdr>
        <w:top w:val="none" w:sz="0" w:space="0" w:color="auto"/>
        <w:left w:val="none" w:sz="0" w:space="0" w:color="auto"/>
        <w:bottom w:val="none" w:sz="0" w:space="0" w:color="auto"/>
        <w:right w:val="none" w:sz="0" w:space="0" w:color="auto"/>
      </w:divBdr>
    </w:div>
    <w:div w:id="1837763356">
      <w:bodyDiv w:val="1"/>
      <w:marLeft w:val="0"/>
      <w:marRight w:val="0"/>
      <w:marTop w:val="0"/>
      <w:marBottom w:val="0"/>
      <w:divBdr>
        <w:top w:val="none" w:sz="0" w:space="0" w:color="auto"/>
        <w:left w:val="none" w:sz="0" w:space="0" w:color="auto"/>
        <w:bottom w:val="none" w:sz="0" w:space="0" w:color="auto"/>
        <w:right w:val="none" w:sz="0" w:space="0" w:color="auto"/>
      </w:divBdr>
    </w:div>
    <w:div w:id="1842815088">
      <w:bodyDiv w:val="1"/>
      <w:marLeft w:val="0"/>
      <w:marRight w:val="0"/>
      <w:marTop w:val="0"/>
      <w:marBottom w:val="0"/>
      <w:divBdr>
        <w:top w:val="none" w:sz="0" w:space="0" w:color="auto"/>
        <w:left w:val="none" w:sz="0" w:space="0" w:color="auto"/>
        <w:bottom w:val="none" w:sz="0" w:space="0" w:color="auto"/>
        <w:right w:val="none" w:sz="0" w:space="0" w:color="auto"/>
      </w:divBdr>
    </w:div>
    <w:div w:id="1846437757">
      <w:bodyDiv w:val="1"/>
      <w:marLeft w:val="0"/>
      <w:marRight w:val="0"/>
      <w:marTop w:val="0"/>
      <w:marBottom w:val="0"/>
      <w:divBdr>
        <w:top w:val="none" w:sz="0" w:space="0" w:color="auto"/>
        <w:left w:val="none" w:sz="0" w:space="0" w:color="auto"/>
        <w:bottom w:val="none" w:sz="0" w:space="0" w:color="auto"/>
        <w:right w:val="none" w:sz="0" w:space="0" w:color="auto"/>
      </w:divBdr>
    </w:div>
    <w:div w:id="1870409454">
      <w:bodyDiv w:val="1"/>
      <w:marLeft w:val="0"/>
      <w:marRight w:val="0"/>
      <w:marTop w:val="0"/>
      <w:marBottom w:val="0"/>
      <w:divBdr>
        <w:top w:val="none" w:sz="0" w:space="0" w:color="auto"/>
        <w:left w:val="none" w:sz="0" w:space="0" w:color="auto"/>
        <w:bottom w:val="none" w:sz="0" w:space="0" w:color="auto"/>
        <w:right w:val="none" w:sz="0" w:space="0" w:color="auto"/>
      </w:divBdr>
    </w:div>
    <w:div w:id="1871527335">
      <w:bodyDiv w:val="1"/>
      <w:marLeft w:val="0"/>
      <w:marRight w:val="0"/>
      <w:marTop w:val="0"/>
      <w:marBottom w:val="0"/>
      <w:divBdr>
        <w:top w:val="none" w:sz="0" w:space="0" w:color="auto"/>
        <w:left w:val="none" w:sz="0" w:space="0" w:color="auto"/>
        <w:bottom w:val="none" w:sz="0" w:space="0" w:color="auto"/>
        <w:right w:val="none" w:sz="0" w:space="0" w:color="auto"/>
      </w:divBdr>
    </w:div>
    <w:div w:id="1877425435">
      <w:bodyDiv w:val="1"/>
      <w:marLeft w:val="0"/>
      <w:marRight w:val="0"/>
      <w:marTop w:val="0"/>
      <w:marBottom w:val="0"/>
      <w:divBdr>
        <w:top w:val="none" w:sz="0" w:space="0" w:color="auto"/>
        <w:left w:val="none" w:sz="0" w:space="0" w:color="auto"/>
        <w:bottom w:val="none" w:sz="0" w:space="0" w:color="auto"/>
        <w:right w:val="none" w:sz="0" w:space="0" w:color="auto"/>
      </w:divBdr>
    </w:div>
    <w:div w:id="1904246545">
      <w:bodyDiv w:val="1"/>
      <w:marLeft w:val="0"/>
      <w:marRight w:val="0"/>
      <w:marTop w:val="0"/>
      <w:marBottom w:val="0"/>
      <w:divBdr>
        <w:top w:val="none" w:sz="0" w:space="0" w:color="auto"/>
        <w:left w:val="none" w:sz="0" w:space="0" w:color="auto"/>
        <w:bottom w:val="none" w:sz="0" w:space="0" w:color="auto"/>
        <w:right w:val="none" w:sz="0" w:space="0" w:color="auto"/>
      </w:divBdr>
    </w:div>
    <w:div w:id="1906380243">
      <w:bodyDiv w:val="1"/>
      <w:marLeft w:val="0"/>
      <w:marRight w:val="0"/>
      <w:marTop w:val="0"/>
      <w:marBottom w:val="0"/>
      <w:divBdr>
        <w:top w:val="none" w:sz="0" w:space="0" w:color="auto"/>
        <w:left w:val="none" w:sz="0" w:space="0" w:color="auto"/>
        <w:bottom w:val="none" w:sz="0" w:space="0" w:color="auto"/>
        <w:right w:val="none" w:sz="0" w:space="0" w:color="auto"/>
      </w:divBdr>
    </w:div>
    <w:div w:id="1911889239">
      <w:bodyDiv w:val="1"/>
      <w:marLeft w:val="0"/>
      <w:marRight w:val="0"/>
      <w:marTop w:val="0"/>
      <w:marBottom w:val="0"/>
      <w:divBdr>
        <w:top w:val="none" w:sz="0" w:space="0" w:color="auto"/>
        <w:left w:val="none" w:sz="0" w:space="0" w:color="auto"/>
        <w:bottom w:val="none" w:sz="0" w:space="0" w:color="auto"/>
        <w:right w:val="none" w:sz="0" w:space="0" w:color="auto"/>
      </w:divBdr>
    </w:div>
    <w:div w:id="1922712696">
      <w:bodyDiv w:val="1"/>
      <w:marLeft w:val="0"/>
      <w:marRight w:val="0"/>
      <w:marTop w:val="0"/>
      <w:marBottom w:val="0"/>
      <w:divBdr>
        <w:top w:val="none" w:sz="0" w:space="0" w:color="auto"/>
        <w:left w:val="none" w:sz="0" w:space="0" w:color="auto"/>
        <w:bottom w:val="none" w:sz="0" w:space="0" w:color="auto"/>
        <w:right w:val="none" w:sz="0" w:space="0" w:color="auto"/>
      </w:divBdr>
    </w:div>
    <w:div w:id="1937445179">
      <w:bodyDiv w:val="1"/>
      <w:marLeft w:val="0"/>
      <w:marRight w:val="0"/>
      <w:marTop w:val="0"/>
      <w:marBottom w:val="0"/>
      <w:divBdr>
        <w:top w:val="none" w:sz="0" w:space="0" w:color="auto"/>
        <w:left w:val="none" w:sz="0" w:space="0" w:color="auto"/>
        <w:bottom w:val="none" w:sz="0" w:space="0" w:color="auto"/>
        <w:right w:val="none" w:sz="0" w:space="0" w:color="auto"/>
      </w:divBdr>
    </w:div>
    <w:div w:id="1942491192">
      <w:bodyDiv w:val="1"/>
      <w:marLeft w:val="0"/>
      <w:marRight w:val="0"/>
      <w:marTop w:val="0"/>
      <w:marBottom w:val="0"/>
      <w:divBdr>
        <w:top w:val="none" w:sz="0" w:space="0" w:color="auto"/>
        <w:left w:val="none" w:sz="0" w:space="0" w:color="auto"/>
        <w:bottom w:val="none" w:sz="0" w:space="0" w:color="auto"/>
        <w:right w:val="none" w:sz="0" w:space="0" w:color="auto"/>
      </w:divBdr>
    </w:div>
    <w:div w:id="1943805362">
      <w:bodyDiv w:val="1"/>
      <w:marLeft w:val="0"/>
      <w:marRight w:val="0"/>
      <w:marTop w:val="0"/>
      <w:marBottom w:val="0"/>
      <w:divBdr>
        <w:top w:val="none" w:sz="0" w:space="0" w:color="auto"/>
        <w:left w:val="none" w:sz="0" w:space="0" w:color="auto"/>
        <w:bottom w:val="none" w:sz="0" w:space="0" w:color="auto"/>
        <w:right w:val="none" w:sz="0" w:space="0" w:color="auto"/>
      </w:divBdr>
    </w:div>
    <w:div w:id="1960255446">
      <w:bodyDiv w:val="1"/>
      <w:marLeft w:val="0"/>
      <w:marRight w:val="0"/>
      <w:marTop w:val="0"/>
      <w:marBottom w:val="0"/>
      <w:divBdr>
        <w:top w:val="none" w:sz="0" w:space="0" w:color="auto"/>
        <w:left w:val="none" w:sz="0" w:space="0" w:color="auto"/>
        <w:bottom w:val="none" w:sz="0" w:space="0" w:color="auto"/>
        <w:right w:val="none" w:sz="0" w:space="0" w:color="auto"/>
      </w:divBdr>
    </w:div>
    <w:div w:id="1964459213">
      <w:bodyDiv w:val="1"/>
      <w:marLeft w:val="0"/>
      <w:marRight w:val="0"/>
      <w:marTop w:val="0"/>
      <w:marBottom w:val="0"/>
      <w:divBdr>
        <w:top w:val="none" w:sz="0" w:space="0" w:color="auto"/>
        <w:left w:val="none" w:sz="0" w:space="0" w:color="auto"/>
        <w:bottom w:val="none" w:sz="0" w:space="0" w:color="auto"/>
        <w:right w:val="none" w:sz="0" w:space="0" w:color="auto"/>
      </w:divBdr>
    </w:div>
    <w:div w:id="1967856145">
      <w:bodyDiv w:val="1"/>
      <w:marLeft w:val="0"/>
      <w:marRight w:val="0"/>
      <w:marTop w:val="0"/>
      <w:marBottom w:val="0"/>
      <w:divBdr>
        <w:top w:val="none" w:sz="0" w:space="0" w:color="auto"/>
        <w:left w:val="none" w:sz="0" w:space="0" w:color="auto"/>
        <w:bottom w:val="none" w:sz="0" w:space="0" w:color="auto"/>
        <w:right w:val="none" w:sz="0" w:space="0" w:color="auto"/>
      </w:divBdr>
    </w:div>
    <w:div w:id="1970743896">
      <w:bodyDiv w:val="1"/>
      <w:marLeft w:val="0"/>
      <w:marRight w:val="0"/>
      <w:marTop w:val="0"/>
      <w:marBottom w:val="0"/>
      <w:divBdr>
        <w:top w:val="none" w:sz="0" w:space="0" w:color="auto"/>
        <w:left w:val="none" w:sz="0" w:space="0" w:color="auto"/>
        <w:bottom w:val="none" w:sz="0" w:space="0" w:color="auto"/>
        <w:right w:val="none" w:sz="0" w:space="0" w:color="auto"/>
      </w:divBdr>
    </w:div>
    <w:div w:id="1974629842">
      <w:bodyDiv w:val="1"/>
      <w:marLeft w:val="0"/>
      <w:marRight w:val="0"/>
      <w:marTop w:val="0"/>
      <w:marBottom w:val="0"/>
      <w:divBdr>
        <w:top w:val="none" w:sz="0" w:space="0" w:color="auto"/>
        <w:left w:val="none" w:sz="0" w:space="0" w:color="auto"/>
        <w:bottom w:val="none" w:sz="0" w:space="0" w:color="auto"/>
        <w:right w:val="none" w:sz="0" w:space="0" w:color="auto"/>
      </w:divBdr>
    </w:div>
    <w:div w:id="1988893900">
      <w:bodyDiv w:val="1"/>
      <w:marLeft w:val="0"/>
      <w:marRight w:val="0"/>
      <w:marTop w:val="0"/>
      <w:marBottom w:val="0"/>
      <w:divBdr>
        <w:top w:val="none" w:sz="0" w:space="0" w:color="auto"/>
        <w:left w:val="none" w:sz="0" w:space="0" w:color="auto"/>
        <w:bottom w:val="none" w:sz="0" w:space="0" w:color="auto"/>
        <w:right w:val="none" w:sz="0" w:space="0" w:color="auto"/>
      </w:divBdr>
    </w:div>
    <w:div w:id="1997873176">
      <w:bodyDiv w:val="1"/>
      <w:marLeft w:val="0"/>
      <w:marRight w:val="0"/>
      <w:marTop w:val="0"/>
      <w:marBottom w:val="0"/>
      <w:divBdr>
        <w:top w:val="none" w:sz="0" w:space="0" w:color="auto"/>
        <w:left w:val="none" w:sz="0" w:space="0" w:color="auto"/>
        <w:bottom w:val="none" w:sz="0" w:space="0" w:color="auto"/>
        <w:right w:val="none" w:sz="0" w:space="0" w:color="auto"/>
      </w:divBdr>
    </w:div>
    <w:div w:id="2017686672">
      <w:bodyDiv w:val="1"/>
      <w:marLeft w:val="0"/>
      <w:marRight w:val="0"/>
      <w:marTop w:val="0"/>
      <w:marBottom w:val="0"/>
      <w:divBdr>
        <w:top w:val="none" w:sz="0" w:space="0" w:color="auto"/>
        <w:left w:val="none" w:sz="0" w:space="0" w:color="auto"/>
        <w:bottom w:val="none" w:sz="0" w:space="0" w:color="auto"/>
        <w:right w:val="none" w:sz="0" w:space="0" w:color="auto"/>
      </w:divBdr>
    </w:div>
    <w:div w:id="2042045300">
      <w:bodyDiv w:val="1"/>
      <w:marLeft w:val="0"/>
      <w:marRight w:val="0"/>
      <w:marTop w:val="0"/>
      <w:marBottom w:val="0"/>
      <w:divBdr>
        <w:top w:val="none" w:sz="0" w:space="0" w:color="auto"/>
        <w:left w:val="none" w:sz="0" w:space="0" w:color="auto"/>
        <w:bottom w:val="none" w:sz="0" w:space="0" w:color="auto"/>
        <w:right w:val="none" w:sz="0" w:space="0" w:color="auto"/>
      </w:divBdr>
      <w:divsChild>
        <w:div w:id="493644911">
          <w:marLeft w:val="0"/>
          <w:marRight w:val="0"/>
          <w:marTop w:val="0"/>
          <w:marBottom w:val="0"/>
          <w:divBdr>
            <w:top w:val="none" w:sz="0" w:space="0" w:color="auto"/>
            <w:left w:val="none" w:sz="0" w:space="0" w:color="auto"/>
            <w:bottom w:val="none" w:sz="0" w:space="0" w:color="auto"/>
            <w:right w:val="none" w:sz="0" w:space="0" w:color="auto"/>
          </w:divBdr>
          <w:divsChild>
            <w:div w:id="3409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137578">
      <w:bodyDiv w:val="1"/>
      <w:marLeft w:val="0"/>
      <w:marRight w:val="0"/>
      <w:marTop w:val="0"/>
      <w:marBottom w:val="0"/>
      <w:divBdr>
        <w:top w:val="none" w:sz="0" w:space="0" w:color="auto"/>
        <w:left w:val="none" w:sz="0" w:space="0" w:color="auto"/>
        <w:bottom w:val="none" w:sz="0" w:space="0" w:color="auto"/>
        <w:right w:val="none" w:sz="0" w:space="0" w:color="auto"/>
      </w:divBdr>
    </w:div>
    <w:div w:id="2047023380">
      <w:bodyDiv w:val="1"/>
      <w:marLeft w:val="0"/>
      <w:marRight w:val="0"/>
      <w:marTop w:val="0"/>
      <w:marBottom w:val="0"/>
      <w:divBdr>
        <w:top w:val="none" w:sz="0" w:space="0" w:color="auto"/>
        <w:left w:val="none" w:sz="0" w:space="0" w:color="auto"/>
        <w:bottom w:val="none" w:sz="0" w:space="0" w:color="auto"/>
        <w:right w:val="none" w:sz="0" w:space="0" w:color="auto"/>
      </w:divBdr>
    </w:div>
    <w:div w:id="2053072337">
      <w:bodyDiv w:val="1"/>
      <w:marLeft w:val="0"/>
      <w:marRight w:val="0"/>
      <w:marTop w:val="0"/>
      <w:marBottom w:val="0"/>
      <w:divBdr>
        <w:top w:val="none" w:sz="0" w:space="0" w:color="auto"/>
        <w:left w:val="none" w:sz="0" w:space="0" w:color="auto"/>
        <w:bottom w:val="none" w:sz="0" w:space="0" w:color="auto"/>
        <w:right w:val="none" w:sz="0" w:space="0" w:color="auto"/>
      </w:divBdr>
    </w:div>
    <w:div w:id="2053377616">
      <w:bodyDiv w:val="1"/>
      <w:marLeft w:val="0"/>
      <w:marRight w:val="0"/>
      <w:marTop w:val="0"/>
      <w:marBottom w:val="0"/>
      <w:divBdr>
        <w:top w:val="none" w:sz="0" w:space="0" w:color="auto"/>
        <w:left w:val="none" w:sz="0" w:space="0" w:color="auto"/>
        <w:bottom w:val="none" w:sz="0" w:space="0" w:color="auto"/>
        <w:right w:val="none" w:sz="0" w:space="0" w:color="auto"/>
      </w:divBdr>
    </w:div>
    <w:div w:id="2074965381">
      <w:bodyDiv w:val="1"/>
      <w:marLeft w:val="0"/>
      <w:marRight w:val="0"/>
      <w:marTop w:val="0"/>
      <w:marBottom w:val="0"/>
      <w:divBdr>
        <w:top w:val="none" w:sz="0" w:space="0" w:color="auto"/>
        <w:left w:val="none" w:sz="0" w:space="0" w:color="auto"/>
        <w:bottom w:val="none" w:sz="0" w:space="0" w:color="auto"/>
        <w:right w:val="none" w:sz="0" w:space="0" w:color="auto"/>
      </w:divBdr>
    </w:div>
    <w:div w:id="2076273371">
      <w:bodyDiv w:val="1"/>
      <w:marLeft w:val="0"/>
      <w:marRight w:val="0"/>
      <w:marTop w:val="0"/>
      <w:marBottom w:val="0"/>
      <w:divBdr>
        <w:top w:val="none" w:sz="0" w:space="0" w:color="auto"/>
        <w:left w:val="none" w:sz="0" w:space="0" w:color="auto"/>
        <w:bottom w:val="none" w:sz="0" w:space="0" w:color="auto"/>
        <w:right w:val="none" w:sz="0" w:space="0" w:color="auto"/>
      </w:divBdr>
    </w:div>
    <w:div w:id="2083064314">
      <w:bodyDiv w:val="1"/>
      <w:marLeft w:val="0"/>
      <w:marRight w:val="0"/>
      <w:marTop w:val="0"/>
      <w:marBottom w:val="0"/>
      <w:divBdr>
        <w:top w:val="none" w:sz="0" w:space="0" w:color="auto"/>
        <w:left w:val="none" w:sz="0" w:space="0" w:color="auto"/>
        <w:bottom w:val="none" w:sz="0" w:space="0" w:color="auto"/>
        <w:right w:val="none" w:sz="0" w:space="0" w:color="auto"/>
      </w:divBdr>
    </w:div>
    <w:div w:id="2083604442">
      <w:bodyDiv w:val="1"/>
      <w:marLeft w:val="0"/>
      <w:marRight w:val="0"/>
      <w:marTop w:val="0"/>
      <w:marBottom w:val="0"/>
      <w:divBdr>
        <w:top w:val="none" w:sz="0" w:space="0" w:color="auto"/>
        <w:left w:val="none" w:sz="0" w:space="0" w:color="auto"/>
        <w:bottom w:val="none" w:sz="0" w:space="0" w:color="auto"/>
        <w:right w:val="none" w:sz="0" w:space="0" w:color="auto"/>
      </w:divBdr>
    </w:div>
    <w:div w:id="2098204702">
      <w:bodyDiv w:val="1"/>
      <w:marLeft w:val="0"/>
      <w:marRight w:val="0"/>
      <w:marTop w:val="0"/>
      <w:marBottom w:val="0"/>
      <w:divBdr>
        <w:top w:val="none" w:sz="0" w:space="0" w:color="auto"/>
        <w:left w:val="none" w:sz="0" w:space="0" w:color="auto"/>
        <w:bottom w:val="none" w:sz="0" w:space="0" w:color="auto"/>
        <w:right w:val="none" w:sz="0" w:space="0" w:color="auto"/>
      </w:divBdr>
    </w:div>
    <w:div w:id="2108498310">
      <w:bodyDiv w:val="1"/>
      <w:marLeft w:val="0"/>
      <w:marRight w:val="0"/>
      <w:marTop w:val="0"/>
      <w:marBottom w:val="0"/>
      <w:divBdr>
        <w:top w:val="none" w:sz="0" w:space="0" w:color="auto"/>
        <w:left w:val="none" w:sz="0" w:space="0" w:color="auto"/>
        <w:bottom w:val="none" w:sz="0" w:space="0" w:color="auto"/>
        <w:right w:val="none" w:sz="0" w:space="0" w:color="auto"/>
      </w:divBdr>
    </w:div>
    <w:div w:id="2111468183">
      <w:bodyDiv w:val="1"/>
      <w:marLeft w:val="0"/>
      <w:marRight w:val="0"/>
      <w:marTop w:val="0"/>
      <w:marBottom w:val="0"/>
      <w:divBdr>
        <w:top w:val="none" w:sz="0" w:space="0" w:color="auto"/>
        <w:left w:val="none" w:sz="0" w:space="0" w:color="auto"/>
        <w:bottom w:val="none" w:sz="0" w:space="0" w:color="auto"/>
        <w:right w:val="none" w:sz="0" w:space="0" w:color="auto"/>
      </w:divBdr>
    </w:div>
    <w:div w:id="2116627624">
      <w:bodyDiv w:val="1"/>
      <w:marLeft w:val="0"/>
      <w:marRight w:val="0"/>
      <w:marTop w:val="0"/>
      <w:marBottom w:val="0"/>
      <w:divBdr>
        <w:top w:val="none" w:sz="0" w:space="0" w:color="auto"/>
        <w:left w:val="none" w:sz="0" w:space="0" w:color="auto"/>
        <w:bottom w:val="none" w:sz="0" w:space="0" w:color="auto"/>
        <w:right w:val="none" w:sz="0" w:space="0" w:color="auto"/>
      </w:divBdr>
    </w:div>
    <w:div w:id="2119525523">
      <w:bodyDiv w:val="1"/>
      <w:marLeft w:val="0"/>
      <w:marRight w:val="0"/>
      <w:marTop w:val="0"/>
      <w:marBottom w:val="0"/>
      <w:divBdr>
        <w:top w:val="none" w:sz="0" w:space="0" w:color="auto"/>
        <w:left w:val="none" w:sz="0" w:space="0" w:color="auto"/>
        <w:bottom w:val="none" w:sz="0" w:space="0" w:color="auto"/>
        <w:right w:val="none" w:sz="0" w:space="0" w:color="auto"/>
      </w:divBdr>
    </w:div>
    <w:div w:id="211990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Users/mac/Desktop/DSG&amp;S/Deepthi/Deepthi%20DSG&amp;S%20Report.docx" TargetMode="External"/><Relationship Id="rId18" Type="http://schemas.openxmlformats.org/officeDocument/2006/relationships/image" Target="media/image2.png"/><Relationship Id="rId26" Type="http://schemas.microsoft.com/office/2007/relationships/diagramDrawing" Target="diagrams/drawing1.xml"/><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Users/mac/Desktop/DSG&amp;S/Deepthi/Deepthi%20DSG&amp;S%20Report.docx" TargetMode="External"/><Relationship Id="rId17" Type="http://schemas.openxmlformats.org/officeDocument/2006/relationships/footer" Target="footer1.xml"/><Relationship Id="rId25" Type="http://schemas.openxmlformats.org/officeDocument/2006/relationships/diagramColors" Target="diagrams/colors1.xml"/><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file:////Users/mac/Desktop/DSG&amp;S/Deepthi/Deepthi%20DSG&amp;S%20Report.docx" TargetMode="External"/><Relationship Id="rId20" Type="http://schemas.openxmlformats.org/officeDocument/2006/relationships/image" Target="media/image4.png"/><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Users/mac/Desktop/DSG&amp;S/Deepthi/Deepthi%20DSG&amp;S%20Report.docx" TargetMode="External"/><Relationship Id="rId24" Type="http://schemas.openxmlformats.org/officeDocument/2006/relationships/diagramQuickStyle" Target="diagrams/quickStyle1.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Users/mac/Desktop/DSG&amp;S/Deepthi/Deepthi%20DSG&amp;S%20Report.docx" TargetMode="External"/><Relationship Id="rId23" Type="http://schemas.openxmlformats.org/officeDocument/2006/relationships/diagramLayout" Target="diagrams/layout1.xml"/><Relationship Id="rId28" Type="http://schemas.openxmlformats.org/officeDocument/2006/relationships/image" Target="media/image7.png"/><Relationship Id="rId10" Type="http://schemas.openxmlformats.org/officeDocument/2006/relationships/hyperlink" Target="file:////Users/mac/Desktop/DSG&amp;S/Deepthi/Deepthi%20DSG&amp;S%20Report.docx" TargetMode="External"/><Relationship Id="rId19" Type="http://schemas.openxmlformats.org/officeDocument/2006/relationships/image" Target="media/image3.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file:////Users/mac/Desktop/DSG&amp;S/Deepthi/Deepthi%20DSG&amp;S%20Report.docx" TargetMode="External"/><Relationship Id="rId22" Type="http://schemas.openxmlformats.org/officeDocument/2006/relationships/diagramData" Target="diagrams/data1.xml"/><Relationship Id="rId27" Type="http://schemas.openxmlformats.org/officeDocument/2006/relationships/image" Target="media/image6.png"/><Relationship Id="rId30" Type="http://schemas.openxmlformats.org/officeDocument/2006/relationships/image" Target="media/image9.png"/><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782F20B-F676-1E42-8867-FF1428DF4E13}" type="doc">
      <dgm:prSet loTypeId="urn:microsoft.com/office/officeart/2005/8/layout/venn2" loCatId="" qsTypeId="urn:microsoft.com/office/officeart/2005/8/quickstyle/3d1" qsCatId="3D" csTypeId="urn:microsoft.com/office/officeart/2005/8/colors/accent1_4" csCatId="accent1" phldr="1"/>
      <dgm:spPr/>
      <dgm:t>
        <a:bodyPr/>
        <a:lstStyle/>
        <a:p>
          <a:endParaRPr lang="en-US"/>
        </a:p>
      </dgm:t>
    </dgm:pt>
    <dgm:pt modelId="{07F76662-32D2-B543-9B5E-4C4EA26F65EF}">
      <dgm:prSet phldrT="[Text]" custT="1"/>
      <dgm:spPr/>
      <dgm:t>
        <a:bodyPr/>
        <a:lstStyle/>
        <a:p>
          <a:r>
            <a:rPr lang="en-US" sz="1000" b="0">
              <a:latin typeface="Arial" panose="020B0604020202020204" pitchFamily="34" charset="0"/>
              <a:cs typeface="Arial" panose="020B0604020202020204" pitchFamily="34" charset="0"/>
            </a:rPr>
            <a:t>Governance Layer</a:t>
          </a:r>
        </a:p>
      </dgm:t>
    </dgm:pt>
    <dgm:pt modelId="{156A569C-C361-494E-A04E-C6BB67ABE8C4}" type="parTrans" cxnId="{CB1EDD9E-2CE1-FE44-A6BF-E8B9E8F22BE9}">
      <dgm:prSet/>
      <dgm:spPr/>
      <dgm:t>
        <a:bodyPr/>
        <a:lstStyle/>
        <a:p>
          <a:endParaRPr lang="en-US" sz="1000">
            <a:latin typeface="Arial" panose="020B0604020202020204" pitchFamily="34" charset="0"/>
            <a:cs typeface="Arial" panose="020B0604020202020204" pitchFamily="34" charset="0"/>
          </a:endParaRPr>
        </a:p>
      </dgm:t>
    </dgm:pt>
    <dgm:pt modelId="{C511856F-79F6-1446-B88C-59572604C233}" type="sibTrans" cxnId="{CB1EDD9E-2CE1-FE44-A6BF-E8B9E8F22BE9}">
      <dgm:prSet/>
      <dgm:spPr/>
      <dgm:t>
        <a:bodyPr/>
        <a:lstStyle/>
        <a:p>
          <a:endParaRPr lang="en-US" sz="1000">
            <a:latin typeface="Arial" panose="020B0604020202020204" pitchFamily="34" charset="0"/>
            <a:cs typeface="Arial" panose="020B0604020202020204" pitchFamily="34" charset="0"/>
          </a:endParaRPr>
        </a:p>
      </dgm:t>
    </dgm:pt>
    <dgm:pt modelId="{8B7FBCC9-150C-E046-95FA-4919931061D3}">
      <dgm:prSet phldrT="[Text]" custT="1"/>
      <dgm:spPr/>
      <dgm:t>
        <a:bodyPr/>
        <a:lstStyle/>
        <a:p>
          <a:r>
            <a:rPr lang="en-US" sz="1000">
              <a:latin typeface="Arial" panose="020B0604020202020204" pitchFamily="34" charset="0"/>
              <a:cs typeface="Arial" panose="020B0604020202020204" pitchFamily="34" charset="0"/>
            </a:rPr>
            <a:t>Management Layer</a:t>
          </a:r>
        </a:p>
      </dgm:t>
    </dgm:pt>
    <dgm:pt modelId="{9B43B5C3-6CE2-2746-8E8B-9E1E9BEFFE44}" type="parTrans" cxnId="{D2F65BD1-0315-3A4A-8574-E6DF27742E34}">
      <dgm:prSet/>
      <dgm:spPr/>
      <dgm:t>
        <a:bodyPr/>
        <a:lstStyle/>
        <a:p>
          <a:endParaRPr lang="en-US" sz="1000">
            <a:latin typeface="Arial" panose="020B0604020202020204" pitchFamily="34" charset="0"/>
            <a:cs typeface="Arial" panose="020B0604020202020204" pitchFamily="34" charset="0"/>
          </a:endParaRPr>
        </a:p>
      </dgm:t>
    </dgm:pt>
    <dgm:pt modelId="{E9AA8FC6-B034-8240-BB12-60D94650C127}" type="sibTrans" cxnId="{D2F65BD1-0315-3A4A-8574-E6DF27742E34}">
      <dgm:prSet/>
      <dgm:spPr/>
      <dgm:t>
        <a:bodyPr/>
        <a:lstStyle/>
        <a:p>
          <a:endParaRPr lang="en-US" sz="1000">
            <a:latin typeface="Arial" panose="020B0604020202020204" pitchFamily="34" charset="0"/>
            <a:cs typeface="Arial" panose="020B0604020202020204" pitchFamily="34" charset="0"/>
          </a:endParaRPr>
        </a:p>
      </dgm:t>
    </dgm:pt>
    <dgm:pt modelId="{F2004E05-136D-EC46-9343-A9BFB683E357}">
      <dgm:prSet phldrT="[Text]" custT="1"/>
      <dgm:spPr/>
      <dgm:t>
        <a:bodyPr/>
        <a:lstStyle/>
        <a:p>
          <a:r>
            <a:rPr lang="en-GB" sz="1000">
              <a:latin typeface="Arial" panose="020B0604020202020204" pitchFamily="34" charset="0"/>
              <a:cs typeface="Arial" panose="020B0604020202020204" pitchFamily="34" charset="0"/>
            </a:rPr>
            <a:t>Operational Layer</a:t>
          </a:r>
          <a:endParaRPr lang="en-US" sz="1000">
            <a:latin typeface="Arial" panose="020B0604020202020204" pitchFamily="34" charset="0"/>
            <a:cs typeface="Arial" panose="020B0604020202020204" pitchFamily="34" charset="0"/>
          </a:endParaRPr>
        </a:p>
      </dgm:t>
    </dgm:pt>
    <dgm:pt modelId="{6726D0E6-C55D-9A42-A446-AE8C992D40ED}" type="parTrans" cxnId="{594204B5-FC52-B048-9A42-67BE3D3AF01D}">
      <dgm:prSet/>
      <dgm:spPr/>
      <dgm:t>
        <a:bodyPr/>
        <a:lstStyle/>
        <a:p>
          <a:endParaRPr lang="en-US" sz="1000">
            <a:latin typeface="Arial" panose="020B0604020202020204" pitchFamily="34" charset="0"/>
            <a:cs typeface="Arial" panose="020B0604020202020204" pitchFamily="34" charset="0"/>
          </a:endParaRPr>
        </a:p>
      </dgm:t>
    </dgm:pt>
    <dgm:pt modelId="{829BCFF1-68DE-2144-ACEE-B6F062A4518A}" type="sibTrans" cxnId="{594204B5-FC52-B048-9A42-67BE3D3AF01D}">
      <dgm:prSet/>
      <dgm:spPr/>
      <dgm:t>
        <a:bodyPr/>
        <a:lstStyle/>
        <a:p>
          <a:endParaRPr lang="en-US" sz="1000">
            <a:latin typeface="Arial" panose="020B0604020202020204" pitchFamily="34" charset="0"/>
            <a:cs typeface="Arial" panose="020B0604020202020204" pitchFamily="34" charset="0"/>
          </a:endParaRPr>
        </a:p>
      </dgm:t>
    </dgm:pt>
    <dgm:pt modelId="{5E9F05E2-208D-0146-93DE-A41C676947DC}">
      <dgm:prSet phldrT="[Text]" custT="1"/>
      <dgm:spPr/>
      <dgm:t>
        <a:bodyPr/>
        <a:lstStyle/>
        <a:p>
          <a:r>
            <a:rPr lang="en-GB" sz="1000">
              <a:latin typeface="Arial" panose="020B0604020202020204" pitchFamily="34" charset="0"/>
              <a:cs typeface="Arial" panose="020B0604020202020204" pitchFamily="34" charset="0"/>
            </a:rPr>
            <a:t>Technology and Control Layer</a:t>
          </a:r>
          <a:endParaRPr lang="en-US" sz="1000">
            <a:latin typeface="Arial" panose="020B0604020202020204" pitchFamily="34" charset="0"/>
            <a:cs typeface="Arial" panose="020B0604020202020204" pitchFamily="34" charset="0"/>
          </a:endParaRPr>
        </a:p>
      </dgm:t>
    </dgm:pt>
    <dgm:pt modelId="{3EFA4FF0-C6A7-4849-BDBA-BA88314F3EC8}" type="parTrans" cxnId="{84E326C5-4DD6-594A-8E04-5CFD82E2A7E0}">
      <dgm:prSet/>
      <dgm:spPr/>
      <dgm:t>
        <a:bodyPr/>
        <a:lstStyle/>
        <a:p>
          <a:endParaRPr lang="en-US" sz="1000">
            <a:latin typeface="Arial" panose="020B0604020202020204" pitchFamily="34" charset="0"/>
            <a:cs typeface="Arial" panose="020B0604020202020204" pitchFamily="34" charset="0"/>
          </a:endParaRPr>
        </a:p>
      </dgm:t>
    </dgm:pt>
    <dgm:pt modelId="{569FB144-890F-F940-8D9C-10CFB7857F9D}" type="sibTrans" cxnId="{84E326C5-4DD6-594A-8E04-5CFD82E2A7E0}">
      <dgm:prSet/>
      <dgm:spPr/>
      <dgm:t>
        <a:bodyPr/>
        <a:lstStyle/>
        <a:p>
          <a:endParaRPr lang="en-US" sz="1000">
            <a:latin typeface="Arial" panose="020B0604020202020204" pitchFamily="34" charset="0"/>
            <a:cs typeface="Arial" panose="020B0604020202020204" pitchFamily="34" charset="0"/>
          </a:endParaRPr>
        </a:p>
      </dgm:t>
    </dgm:pt>
    <dgm:pt modelId="{9D5E4CC3-F9CD-8949-81E7-DBF547AE49EC}" type="pres">
      <dgm:prSet presAssocID="{D782F20B-F676-1E42-8867-FF1428DF4E13}" presName="Name0" presStyleCnt="0">
        <dgm:presLayoutVars>
          <dgm:chMax val="7"/>
          <dgm:resizeHandles val="exact"/>
        </dgm:presLayoutVars>
      </dgm:prSet>
      <dgm:spPr/>
    </dgm:pt>
    <dgm:pt modelId="{BE828E44-766B-1C41-A279-D2E401E42A5C}" type="pres">
      <dgm:prSet presAssocID="{D782F20B-F676-1E42-8867-FF1428DF4E13}" presName="comp1" presStyleCnt="0"/>
      <dgm:spPr/>
    </dgm:pt>
    <dgm:pt modelId="{C8ABBFB7-72AE-6844-A571-CD07A8D82D0E}" type="pres">
      <dgm:prSet presAssocID="{D782F20B-F676-1E42-8867-FF1428DF4E13}" presName="circle1" presStyleLbl="node1" presStyleIdx="0" presStyleCnt="4"/>
      <dgm:spPr/>
    </dgm:pt>
    <dgm:pt modelId="{D3232B5F-2090-884B-9AC2-5982B4348EDD}" type="pres">
      <dgm:prSet presAssocID="{D782F20B-F676-1E42-8867-FF1428DF4E13}" presName="c1text" presStyleLbl="node1" presStyleIdx="0" presStyleCnt="4">
        <dgm:presLayoutVars>
          <dgm:bulletEnabled val="1"/>
        </dgm:presLayoutVars>
      </dgm:prSet>
      <dgm:spPr/>
    </dgm:pt>
    <dgm:pt modelId="{C8FF683E-40C2-1547-B913-6472EB1C7C4E}" type="pres">
      <dgm:prSet presAssocID="{D782F20B-F676-1E42-8867-FF1428DF4E13}" presName="comp2" presStyleCnt="0"/>
      <dgm:spPr/>
    </dgm:pt>
    <dgm:pt modelId="{0FEA3E39-6B3E-A649-97E0-C8EF0AF775E0}" type="pres">
      <dgm:prSet presAssocID="{D782F20B-F676-1E42-8867-FF1428DF4E13}" presName="circle2" presStyleLbl="node1" presStyleIdx="1" presStyleCnt="4"/>
      <dgm:spPr/>
    </dgm:pt>
    <dgm:pt modelId="{2AE7D11C-5D59-374D-ADE9-48C6CAA50860}" type="pres">
      <dgm:prSet presAssocID="{D782F20B-F676-1E42-8867-FF1428DF4E13}" presName="c2text" presStyleLbl="node1" presStyleIdx="1" presStyleCnt="4">
        <dgm:presLayoutVars>
          <dgm:bulletEnabled val="1"/>
        </dgm:presLayoutVars>
      </dgm:prSet>
      <dgm:spPr/>
    </dgm:pt>
    <dgm:pt modelId="{5451E23A-6E4E-564A-8429-DEE8259F31B4}" type="pres">
      <dgm:prSet presAssocID="{D782F20B-F676-1E42-8867-FF1428DF4E13}" presName="comp3" presStyleCnt="0"/>
      <dgm:spPr/>
    </dgm:pt>
    <dgm:pt modelId="{77DBAAD7-82CB-444E-8D58-ACE48588E9D3}" type="pres">
      <dgm:prSet presAssocID="{D782F20B-F676-1E42-8867-FF1428DF4E13}" presName="circle3" presStyleLbl="node1" presStyleIdx="2" presStyleCnt="4"/>
      <dgm:spPr/>
    </dgm:pt>
    <dgm:pt modelId="{C077449B-45BC-6C49-B4EC-EBEA18804FBF}" type="pres">
      <dgm:prSet presAssocID="{D782F20B-F676-1E42-8867-FF1428DF4E13}" presName="c3text" presStyleLbl="node1" presStyleIdx="2" presStyleCnt="4">
        <dgm:presLayoutVars>
          <dgm:bulletEnabled val="1"/>
        </dgm:presLayoutVars>
      </dgm:prSet>
      <dgm:spPr/>
    </dgm:pt>
    <dgm:pt modelId="{F085F46A-B226-7A4D-83F2-87AFA35CFC28}" type="pres">
      <dgm:prSet presAssocID="{D782F20B-F676-1E42-8867-FF1428DF4E13}" presName="comp4" presStyleCnt="0"/>
      <dgm:spPr/>
    </dgm:pt>
    <dgm:pt modelId="{ED6FE14C-3B77-A144-BF9B-F455AD367A60}" type="pres">
      <dgm:prSet presAssocID="{D782F20B-F676-1E42-8867-FF1428DF4E13}" presName="circle4" presStyleLbl="node1" presStyleIdx="3" presStyleCnt="4"/>
      <dgm:spPr/>
    </dgm:pt>
    <dgm:pt modelId="{673616DE-5636-1548-989F-FDC5E337EE9B}" type="pres">
      <dgm:prSet presAssocID="{D782F20B-F676-1E42-8867-FF1428DF4E13}" presName="c4text" presStyleLbl="node1" presStyleIdx="3" presStyleCnt="4">
        <dgm:presLayoutVars>
          <dgm:bulletEnabled val="1"/>
        </dgm:presLayoutVars>
      </dgm:prSet>
      <dgm:spPr/>
    </dgm:pt>
  </dgm:ptLst>
  <dgm:cxnLst>
    <dgm:cxn modelId="{5AD9B11F-272C-6E42-8F5E-807405937D4D}" type="presOf" srcId="{F2004E05-136D-EC46-9343-A9BFB683E357}" destId="{77DBAAD7-82CB-444E-8D58-ACE48588E9D3}" srcOrd="0" destOrd="0" presId="urn:microsoft.com/office/officeart/2005/8/layout/venn2"/>
    <dgm:cxn modelId="{BA0BA120-10B7-B54F-8619-DA3BC37922F0}" type="presOf" srcId="{07F76662-32D2-B543-9B5E-4C4EA26F65EF}" destId="{C8ABBFB7-72AE-6844-A571-CD07A8D82D0E}" srcOrd="0" destOrd="0" presId="urn:microsoft.com/office/officeart/2005/8/layout/venn2"/>
    <dgm:cxn modelId="{A2F09753-E926-8546-9F05-C3BAC49DC4C4}" type="presOf" srcId="{8B7FBCC9-150C-E046-95FA-4919931061D3}" destId="{2AE7D11C-5D59-374D-ADE9-48C6CAA50860}" srcOrd="1" destOrd="0" presId="urn:microsoft.com/office/officeart/2005/8/layout/venn2"/>
    <dgm:cxn modelId="{47185776-3D1B-2548-9C77-970FFE9FC28E}" type="presOf" srcId="{5E9F05E2-208D-0146-93DE-A41C676947DC}" destId="{ED6FE14C-3B77-A144-BF9B-F455AD367A60}" srcOrd="0" destOrd="0" presId="urn:microsoft.com/office/officeart/2005/8/layout/venn2"/>
    <dgm:cxn modelId="{CB1EDD9E-2CE1-FE44-A6BF-E8B9E8F22BE9}" srcId="{D782F20B-F676-1E42-8867-FF1428DF4E13}" destId="{07F76662-32D2-B543-9B5E-4C4EA26F65EF}" srcOrd="0" destOrd="0" parTransId="{156A569C-C361-494E-A04E-C6BB67ABE8C4}" sibTransId="{C511856F-79F6-1446-B88C-59572604C233}"/>
    <dgm:cxn modelId="{C22285AE-3D72-2F46-AA2B-ADFE58DB8ABE}" type="presOf" srcId="{8B7FBCC9-150C-E046-95FA-4919931061D3}" destId="{0FEA3E39-6B3E-A649-97E0-C8EF0AF775E0}" srcOrd="0" destOrd="0" presId="urn:microsoft.com/office/officeart/2005/8/layout/venn2"/>
    <dgm:cxn modelId="{594204B5-FC52-B048-9A42-67BE3D3AF01D}" srcId="{D782F20B-F676-1E42-8867-FF1428DF4E13}" destId="{F2004E05-136D-EC46-9343-A9BFB683E357}" srcOrd="2" destOrd="0" parTransId="{6726D0E6-C55D-9A42-A446-AE8C992D40ED}" sibTransId="{829BCFF1-68DE-2144-ACEE-B6F062A4518A}"/>
    <dgm:cxn modelId="{2D0B6DBF-018A-7642-BFA8-122AF10A3FAC}" type="presOf" srcId="{F2004E05-136D-EC46-9343-A9BFB683E357}" destId="{C077449B-45BC-6C49-B4EC-EBEA18804FBF}" srcOrd="1" destOrd="0" presId="urn:microsoft.com/office/officeart/2005/8/layout/venn2"/>
    <dgm:cxn modelId="{BE5922C4-05AE-DE41-8C46-02EB31CE93DB}" type="presOf" srcId="{07F76662-32D2-B543-9B5E-4C4EA26F65EF}" destId="{D3232B5F-2090-884B-9AC2-5982B4348EDD}" srcOrd="1" destOrd="0" presId="urn:microsoft.com/office/officeart/2005/8/layout/venn2"/>
    <dgm:cxn modelId="{84E326C5-4DD6-594A-8E04-5CFD82E2A7E0}" srcId="{D782F20B-F676-1E42-8867-FF1428DF4E13}" destId="{5E9F05E2-208D-0146-93DE-A41C676947DC}" srcOrd="3" destOrd="0" parTransId="{3EFA4FF0-C6A7-4849-BDBA-BA88314F3EC8}" sibTransId="{569FB144-890F-F940-8D9C-10CFB7857F9D}"/>
    <dgm:cxn modelId="{C62C3DCF-95B0-864D-AB3E-BE06296B955D}" type="presOf" srcId="{D782F20B-F676-1E42-8867-FF1428DF4E13}" destId="{9D5E4CC3-F9CD-8949-81E7-DBF547AE49EC}" srcOrd="0" destOrd="0" presId="urn:microsoft.com/office/officeart/2005/8/layout/venn2"/>
    <dgm:cxn modelId="{D2F65BD1-0315-3A4A-8574-E6DF27742E34}" srcId="{D782F20B-F676-1E42-8867-FF1428DF4E13}" destId="{8B7FBCC9-150C-E046-95FA-4919931061D3}" srcOrd="1" destOrd="0" parTransId="{9B43B5C3-6CE2-2746-8E8B-9E1E9BEFFE44}" sibTransId="{E9AA8FC6-B034-8240-BB12-60D94650C127}"/>
    <dgm:cxn modelId="{985207F5-2EB3-2B40-92C5-201D6AA67435}" type="presOf" srcId="{5E9F05E2-208D-0146-93DE-A41C676947DC}" destId="{673616DE-5636-1548-989F-FDC5E337EE9B}" srcOrd="1" destOrd="0" presId="urn:microsoft.com/office/officeart/2005/8/layout/venn2"/>
    <dgm:cxn modelId="{B0050080-0BCF-FE4C-90FA-FA2C04EDF39B}" type="presParOf" srcId="{9D5E4CC3-F9CD-8949-81E7-DBF547AE49EC}" destId="{BE828E44-766B-1C41-A279-D2E401E42A5C}" srcOrd="0" destOrd="0" presId="urn:microsoft.com/office/officeart/2005/8/layout/venn2"/>
    <dgm:cxn modelId="{0547A234-87E6-2C47-BEA7-EEAD53C87FCB}" type="presParOf" srcId="{BE828E44-766B-1C41-A279-D2E401E42A5C}" destId="{C8ABBFB7-72AE-6844-A571-CD07A8D82D0E}" srcOrd="0" destOrd="0" presId="urn:microsoft.com/office/officeart/2005/8/layout/venn2"/>
    <dgm:cxn modelId="{DC257359-EE16-E948-929B-EBA5DF7B2A0D}" type="presParOf" srcId="{BE828E44-766B-1C41-A279-D2E401E42A5C}" destId="{D3232B5F-2090-884B-9AC2-5982B4348EDD}" srcOrd="1" destOrd="0" presId="urn:microsoft.com/office/officeart/2005/8/layout/venn2"/>
    <dgm:cxn modelId="{71C2BDC8-D0DF-2F44-A6F9-2802EFBA7338}" type="presParOf" srcId="{9D5E4CC3-F9CD-8949-81E7-DBF547AE49EC}" destId="{C8FF683E-40C2-1547-B913-6472EB1C7C4E}" srcOrd="1" destOrd="0" presId="urn:microsoft.com/office/officeart/2005/8/layout/venn2"/>
    <dgm:cxn modelId="{AD7BBFAD-580C-EB49-8C40-07A9E6D17B34}" type="presParOf" srcId="{C8FF683E-40C2-1547-B913-6472EB1C7C4E}" destId="{0FEA3E39-6B3E-A649-97E0-C8EF0AF775E0}" srcOrd="0" destOrd="0" presId="urn:microsoft.com/office/officeart/2005/8/layout/venn2"/>
    <dgm:cxn modelId="{CA36C57C-DFBB-494E-A001-58A4AC4DFD33}" type="presParOf" srcId="{C8FF683E-40C2-1547-B913-6472EB1C7C4E}" destId="{2AE7D11C-5D59-374D-ADE9-48C6CAA50860}" srcOrd="1" destOrd="0" presId="urn:microsoft.com/office/officeart/2005/8/layout/venn2"/>
    <dgm:cxn modelId="{3169849A-F5C0-7D4B-8E5A-6DD0A7EED9D5}" type="presParOf" srcId="{9D5E4CC3-F9CD-8949-81E7-DBF547AE49EC}" destId="{5451E23A-6E4E-564A-8429-DEE8259F31B4}" srcOrd="2" destOrd="0" presId="urn:microsoft.com/office/officeart/2005/8/layout/venn2"/>
    <dgm:cxn modelId="{B8A71E8E-F221-9D45-9164-41001C07C016}" type="presParOf" srcId="{5451E23A-6E4E-564A-8429-DEE8259F31B4}" destId="{77DBAAD7-82CB-444E-8D58-ACE48588E9D3}" srcOrd="0" destOrd="0" presId="urn:microsoft.com/office/officeart/2005/8/layout/venn2"/>
    <dgm:cxn modelId="{5156AD42-58CB-5A45-BB4B-250390F1BFE5}" type="presParOf" srcId="{5451E23A-6E4E-564A-8429-DEE8259F31B4}" destId="{C077449B-45BC-6C49-B4EC-EBEA18804FBF}" srcOrd="1" destOrd="0" presId="urn:microsoft.com/office/officeart/2005/8/layout/venn2"/>
    <dgm:cxn modelId="{79A97498-F11B-9D40-A753-64F6668A0233}" type="presParOf" srcId="{9D5E4CC3-F9CD-8949-81E7-DBF547AE49EC}" destId="{F085F46A-B226-7A4D-83F2-87AFA35CFC28}" srcOrd="3" destOrd="0" presId="urn:microsoft.com/office/officeart/2005/8/layout/venn2"/>
    <dgm:cxn modelId="{D95B73D0-2799-1C41-A83C-FAC76F0471EC}" type="presParOf" srcId="{F085F46A-B226-7A4D-83F2-87AFA35CFC28}" destId="{ED6FE14C-3B77-A144-BF9B-F455AD367A60}" srcOrd="0" destOrd="0" presId="urn:microsoft.com/office/officeart/2005/8/layout/venn2"/>
    <dgm:cxn modelId="{F63F1E16-2E8A-8243-95CB-4E60C37FB947}" type="presParOf" srcId="{F085F46A-B226-7A4D-83F2-87AFA35CFC28}" destId="{673616DE-5636-1548-989F-FDC5E337EE9B}" srcOrd="1" destOrd="0" presId="urn:microsoft.com/office/officeart/2005/8/layout/venn2"/>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ABBFB7-72AE-6844-A571-CD07A8D82D0E}">
      <dsp:nvSpPr>
        <dsp:cNvPr id="0" name=""/>
        <dsp:cNvSpPr/>
      </dsp:nvSpPr>
      <dsp:spPr>
        <a:xfrm>
          <a:off x="1525587" y="0"/>
          <a:ext cx="3200400" cy="3200400"/>
        </a:xfrm>
        <a:prstGeom prst="ellipse">
          <a:avLst/>
        </a:prstGeom>
        <a:gradFill rotWithShape="0">
          <a:gsLst>
            <a:gs pos="0">
              <a:schemeClr val="accent1">
                <a:shade val="50000"/>
                <a:hueOff val="0"/>
                <a:satOff val="0"/>
                <a:lumOff val="0"/>
                <a:alphaOff val="0"/>
                <a:satMod val="103000"/>
                <a:lumMod val="102000"/>
                <a:tint val="94000"/>
              </a:schemeClr>
            </a:gs>
            <a:gs pos="50000">
              <a:schemeClr val="accent1">
                <a:shade val="50000"/>
                <a:hueOff val="0"/>
                <a:satOff val="0"/>
                <a:lumOff val="0"/>
                <a:alphaOff val="0"/>
                <a:satMod val="110000"/>
                <a:lumMod val="100000"/>
                <a:shade val="100000"/>
              </a:schemeClr>
            </a:gs>
            <a:gs pos="100000">
              <a:schemeClr val="accent1">
                <a:shade val="5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0" kern="1200">
              <a:latin typeface="Arial" panose="020B0604020202020204" pitchFamily="34" charset="0"/>
              <a:cs typeface="Arial" panose="020B0604020202020204" pitchFamily="34" charset="0"/>
            </a:rPr>
            <a:t>Governance Layer</a:t>
          </a:r>
        </a:p>
      </dsp:txBody>
      <dsp:txXfrm>
        <a:off x="2678371" y="160019"/>
        <a:ext cx="894831" cy="480060"/>
      </dsp:txXfrm>
    </dsp:sp>
    <dsp:sp modelId="{0FEA3E39-6B3E-A649-97E0-C8EF0AF775E0}">
      <dsp:nvSpPr>
        <dsp:cNvPr id="0" name=""/>
        <dsp:cNvSpPr/>
      </dsp:nvSpPr>
      <dsp:spPr>
        <a:xfrm>
          <a:off x="1845627" y="640080"/>
          <a:ext cx="2560320" cy="2560320"/>
        </a:xfrm>
        <a:prstGeom prst="ellipse">
          <a:avLst/>
        </a:prstGeom>
        <a:gradFill rotWithShape="0">
          <a:gsLst>
            <a:gs pos="0">
              <a:schemeClr val="accent1">
                <a:shade val="50000"/>
                <a:hueOff val="201247"/>
                <a:satOff val="-4901"/>
                <a:lumOff val="21448"/>
                <a:alphaOff val="0"/>
                <a:satMod val="103000"/>
                <a:lumMod val="102000"/>
                <a:tint val="94000"/>
              </a:schemeClr>
            </a:gs>
            <a:gs pos="50000">
              <a:schemeClr val="accent1">
                <a:shade val="50000"/>
                <a:hueOff val="201247"/>
                <a:satOff val="-4901"/>
                <a:lumOff val="21448"/>
                <a:alphaOff val="0"/>
                <a:satMod val="110000"/>
                <a:lumMod val="100000"/>
                <a:shade val="100000"/>
              </a:schemeClr>
            </a:gs>
            <a:gs pos="100000">
              <a:schemeClr val="accent1">
                <a:shade val="50000"/>
                <a:hueOff val="201247"/>
                <a:satOff val="-4901"/>
                <a:lumOff val="2144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Management Layer</a:t>
          </a:r>
        </a:p>
      </dsp:txBody>
      <dsp:txXfrm>
        <a:off x="2678371" y="793699"/>
        <a:ext cx="894831" cy="460857"/>
      </dsp:txXfrm>
    </dsp:sp>
    <dsp:sp modelId="{77DBAAD7-82CB-444E-8D58-ACE48588E9D3}">
      <dsp:nvSpPr>
        <dsp:cNvPr id="0" name=""/>
        <dsp:cNvSpPr/>
      </dsp:nvSpPr>
      <dsp:spPr>
        <a:xfrm>
          <a:off x="2165667" y="1280159"/>
          <a:ext cx="1920240" cy="1920240"/>
        </a:xfrm>
        <a:prstGeom prst="ellipse">
          <a:avLst/>
        </a:prstGeom>
        <a:gradFill rotWithShape="0">
          <a:gsLst>
            <a:gs pos="0">
              <a:schemeClr val="accent1">
                <a:shade val="50000"/>
                <a:hueOff val="402493"/>
                <a:satOff val="-9802"/>
                <a:lumOff val="42896"/>
                <a:alphaOff val="0"/>
                <a:satMod val="103000"/>
                <a:lumMod val="102000"/>
                <a:tint val="94000"/>
              </a:schemeClr>
            </a:gs>
            <a:gs pos="50000">
              <a:schemeClr val="accent1">
                <a:shade val="50000"/>
                <a:hueOff val="402493"/>
                <a:satOff val="-9802"/>
                <a:lumOff val="42896"/>
                <a:alphaOff val="0"/>
                <a:satMod val="110000"/>
                <a:lumMod val="100000"/>
                <a:shade val="100000"/>
              </a:schemeClr>
            </a:gs>
            <a:gs pos="100000">
              <a:schemeClr val="accent1">
                <a:shade val="50000"/>
                <a:hueOff val="402493"/>
                <a:satOff val="-9802"/>
                <a:lumOff val="4289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Operational Layer</a:t>
          </a:r>
          <a:endParaRPr lang="en-US" sz="1000" kern="1200">
            <a:latin typeface="Arial" panose="020B0604020202020204" pitchFamily="34" charset="0"/>
            <a:cs typeface="Arial" panose="020B0604020202020204" pitchFamily="34" charset="0"/>
          </a:endParaRPr>
        </a:p>
      </dsp:txBody>
      <dsp:txXfrm>
        <a:off x="2678371" y="1424178"/>
        <a:ext cx="894831" cy="432054"/>
      </dsp:txXfrm>
    </dsp:sp>
    <dsp:sp modelId="{ED6FE14C-3B77-A144-BF9B-F455AD367A60}">
      <dsp:nvSpPr>
        <dsp:cNvPr id="0" name=""/>
        <dsp:cNvSpPr/>
      </dsp:nvSpPr>
      <dsp:spPr>
        <a:xfrm>
          <a:off x="2485707" y="1920240"/>
          <a:ext cx="1280160" cy="1280160"/>
        </a:xfrm>
        <a:prstGeom prst="ellipse">
          <a:avLst/>
        </a:prstGeom>
        <a:gradFill rotWithShape="0">
          <a:gsLst>
            <a:gs pos="0">
              <a:schemeClr val="accent1">
                <a:shade val="50000"/>
                <a:hueOff val="201247"/>
                <a:satOff val="-4901"/>
                <a:lumOff val="21448"/>
                <a:alphaOff val="0"/>
                <a:satMod val="103000"/>
                <a:lumMod val="102000"/>
                <a:tint val="94000"/>
              </a:schemeClr>
            </a:gs>
            <a:gs pos="50000">
              <a:schemeClr val="accent1">
                <a:shade val="50000"/>
                <a:hueOff val="201247"/>
                <a:satOff val="-4901"/>
                <a:lumOff val="21448"/>
                <a:alphaOff val="0"/>
                <a:satMod val="110000"/>
                <a:lumMod val="100000"/>
                <a:shade val="100000"/>
              </a:schemeClr>
            </a:gs>
            <a:gs pos="100000">
              <a:schemeClr val="accent1">
                <a:shade val="50000"/>
                <a:hueOff val="201247"/>
                <a:satOff val="-4901"/>
                <a:lumOff val="2144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Technology and Control Layer</a:t>
          </a:r>
          <a:endParaRPr lang="en-US" sz="1000" kern="1200">
            <a:latin typeface="Arial" panose="020B0604020202020204" pitchFamily="34" charset="0"/>
            <a:cs typeface="Arial" panose="020B0604020202020204" pitchFamily="34" charset="0"/>
          </a:endParaRPr>
        </a:p>
      </dsp:txBody>
      <dsp:txXfrm>
        <a:off x="2673182" y="2240280"/>
        <a:ext cx="905209" cy="640080"/>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3C19DB44-E858-3F4E-8D55-EE200C1540ED}"/>
      </w:docPartPr>
      <w:docPartBody>
        <w:p w:rsidR="00A81C0F" w:rsidRDefault="00F576FD">
          <w:r w:rsidRPr="00983FE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6FD"/>
    <w:rsid w:val="00151850"/>
    <w:rsid w:val="00371E01"/>
    <w:rsid w:val="0056362C"/>
    <w:rsid w:val="005B46FF"/>
    <w:rsid w:val="00A81C0F"/>
    <w:rsid w:val="00C43A36"/>
    <w:rsid w:val="00CF5879"/>
    <w:rsid w:val="00F576FD"/>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576FD"/>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528F6E7-2353-024E-AA80-EF98F8046E19}">
  <we:reference id="wa104382081" version="1.55.1.0" store="en-US" storeType="OMEX"/>
  <we:alternateReferences>
    <we:reference id="wa104382081" version="1.55.1.0" store="wa104382081" storeType="OMEX"/>
  </we:alternateReferences>
  <we:properties>
    <we:property name="MENDELEY_BIBLIOGRAPHY_IS_DIRTY" value="true"/>
    <we:property name="MENDELEY_BIBLIOGRAPHY_LAST_MODIFIED" value="1762432290646"/>
    <we:property name="MENDELEY_CITATIONS" value="[{&quot;citationID&quot;:&quot;MENDELEY_CITATION_5e26b58d-3576-4f70-8ff5-ee327cd47a3f&quot;,&quot;properties&quot;:{&quot;noteIndex&quot;:0},&quot;isEdited&quot;:false,&quot;manualOverride&quot;:{&quot;isManuallyOverridden&quot;:false,&quot;citeprocText&quot;:&quot;(Soomro, Shah and Ahmed, 2016)&quot;,&quot;manualOverrideText&quot;:&quot;&quot;},&quot;citationTag&quot;:&quot;MENDELEY_CITATION_v3_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&quot;,&quot;citationItems&quot;:[{&quot;id&quot;:&quot;d9ed7029-7c41-3460-a348-a1f100186b4e&quot;,&quot;itemData&quot;:{&quot;type&quot;:&quot;article-journal&quot;,&quot;id&quot;:&quot;d9ed7029-7c41-3460-a348-a1f100186b4e&quot;,&quot;title&quot;:&quot;Information security management needs more holistic approach: A literature review&quot;,&quot;author&quot;:[{&quot;family&quot;:&quot;Soomro&quot;,&quot;given&quot;:&quot;Zahoor Ahmed&quot;,&quot;parse-names&quot;:false,&quot;dropping-particle&quot;:&quot;&quot;,&quot;non-dropping-particle&quot;:&quot;&quot;},{&quot;family&quot;:&quot;Shah&quot;,&quot;given&quot;:&quot;Mahmood Hussain&quot;,&quot;parse-names&quot;:false,&quot;dropping-particle&quot;:&quot;&quot;,&quot;non-dropping-particle&quot;:&quot;&quot;},{&quot;family&quot;:&quot;Ahmed&quot;,&quot;given&quot;:&quot;Javed&quot;,&quot;parse-names&quot;:false,&quot;dropping-particle&quot;:&quot;&quot;,&quot;non-dropping-particle&quot;:&quot;&quot;}],&quot;container-title&quot;:&quot;International Journal of Information Management&quot;,&quot;container-title-short&quot;:&quot;Int J Inf Manage&quot;,&quot;DOI&quot;:&quot;10.1016/j.ijinfomgt.2015.11.009&quot;,&quot;ISSN&quot;:&quot;0268-4012&quot;,&quot;URL&quot;:&quot;https://www.sciencedirect.com/science/article/pii/S0268401215001103&quot;,&quot;issued&quot;:{&quot;date-parts&quot;:[[2016,4,1]]},&quot;page&quot;:&quot;215-225&quot;,&quot;language&quot;:&quot;English&quot;,&quot;abstract&quot;:&quot;Information technology has dramatically increased online business opportunities; however these opportunities have also created serious risks in relation to information security. Previously, information security issues were studied in a technological context, but growing security needs have extended researchers' attention to explore the management role in information security management. Various studies have explored different management roles and activities, but none has given a comprehensive picture of these roles and activities to manage information security effectively. So it is necessary to accumulate knowledge about various managerial roles and activities from literature to enable managers to adopt these for a more holistic approach to information security management. In this paper, using a systematic literature review approach, we synthesised literature related to management's roles in information security to explore specific managerial activities to enhance information security management. We found that numerous activities of management, particularly development and execution of information security policy, awareness, compliance training, development of effective enterprise information architecture, IT infrastructure management, business and IT alignment and human resources management, had a significant impact on the quality of management of information security. Thus, this research makes a novel contribution by arguing that a more holistic approach to information security is needed and we suggest the ways in which managers can play an effective role in information security. This research also opens up many new avenues for further research in this area.&quot;,&quot;publisher&quot;:&quot;Pergamon&quot;,&quot;issue&quot;:&quot;2&quot;,&quot;volume&quot;:&quot;36&quot;},&quot;isTemporary&quot;:false}]},{&quot;citationID&quot;:&quot;MENDELEY_CITATION_b3ffab11-51dc-4887-bef9-0f5e26499409&quot;,&quot;properties&quot;:{&quot;noteIndex&quot;:0},&quot;isEdited&quot;:false,&quot;manualOverride&quot;:{&quot;isManuallyOverridden&quot;:false,&quot;citeprocText&quot;:&quot;(Alder, 2025)&quot;,&quot;manualOverrideText&quot;:&quot;&quot;},&quot;citationTag&quot;:&quot;MENDELEY_CITATION_v3_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&quot;,&quot;citationItems&quot;:[{&quot;id&quot;:&quot;df5cad4e-9ccb-364a-80a4-635ff1456665&quot;,&quot;itemData&quot;:{&quot;type&quot;:&quot;webpage&quot;,&quot;id&quot;:&quot;df5cad4e-9ccb-364a-80a4-635ff1456665&quot;,&quot;title&quot;:&quot;Cybersecurity Firm Reports 36% YOY Increase in Ransomware Attacks&quot;,&quot;author&quot;:[{&quot;family&quot;:&quot;Alder&quot;,&quot;given&quot;:&quot;Steve&quot;,&quot;parse-names&quot;:false,&quot;dropping-particle&quot;:&quot;&quot;,&quot;non-dropping-particle&quot;:&quot;&quot;}],&quot;container-title&quot;:&quot;HIPAA&quot;,&quot;accessed&quot;:{&quot;date-parts&quot;:[[2025,11,6]]},&quot;URL&quot;:&quot;https://www.hipaajournal.com/q3-2025-ransomware-report/&quot;,&quot;issued&quot;:{&quot;date-parts&quot;:[[2025,10,17]]},&quot;container-title-short&quot;:&quot;&quot;},&quot;isTemporary&quot;:false}]},{&quot;citationID&quot;:&quot;MENDELEY_CITATION_9a85aa67-4827-4943-b3e3-e05209c80278&quot;,&quot;properties&quot;:{&quot;noteIndex&quot;:0},&quot;isEdited&quot;:false,&quot;manualOverride&quot;:{&quot;isManuallyOverridden&quot;:false,&quot;citeprocText&quot;:&quot;(Lim and Oh, 2025; UK Legislation, 2019)&quot;,&quot;manualOverrideText&quot;:&quot;&quot;},&quot;citationTag&quot;:&quot;MENDELEY_CITATION_v3_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&quot;,&quot;citationItems&quot;:[{&quot;id&quot;:&quot;fde948c2-a45d-32e8-b4a2-eed4fcfef5ae&quot;,&quot;itemData&quot;:{&quot;type&quot;:&quot;article-journal&quot;,&quot;id&quot;:&quot;fde948c2-a45d-32e8-b4a2-eed4fcfef5ae&quot;,&quot;title&quot;:&quot;Navigating Privacy: A Global Comparative Analysis of Data Protection Laws&quot;,&quot;author&quot;:[{&quot;family&quot;:&quot;Lim&quot;,&quot;given&quot;:&quot;Sungjin&quot;,&quot;parse-names&quot;:false,&quot;dropping-particle&quot;:&quot;&quot;,&quot;non-dropping-particle&quot;:&quot;&quot;},{&quot;family&quot;:&quot;Oh&quot;,&quot;given&quot;:&quot;Junhyoung&quot;,&quot;parse-names&quot;:false,&quot;dropping-particle&quot;:&quot;&quot;,&quot;non-dropping-particle&quot;:&quot;&quot;}],&quot;container-title&quot;:&quot;IET Information Security&quot;,&quot;container-title-short&quot;:&quot;IET Inf Secur&quot;,&quot;accessed&quot;:{&quot;date-parts&quot;:[[2025,11,6]]},&quot;DOI&quot;:&quot;10.1049/ISE2/5536763&quot;,&quot;ISSN&quot;:&quot;17518717&quot;,&quot;URL&quot;:&quot;https://www.researchgate.net/publication/388401409_Navigating_Privacy_A_Global_Comparative_Analysis_of_Data_Protection_Laws&quot;,&quot;issued&quot;:{&quot;date-parts&quot;:[[2025]]},&quot;abstract&quot;:&quot;The increasing reliance on big data and artificial intelligence (AI) in the Fourth Industrial Revolution has raised significant concerns about individual privacy protection. This has led various countries to enact or amend privacy protection acts to address these concerns. However, there is a lack of comprehensive research comparing these laws across multiple countries, especially considering recent legislative developments. This study fills this gap by conducting a comparative analysis of privacy information protection acts in five major regions: the European Union (EU), the United States (focusing on California), China, Japan, and South Korea. The analysis explores the diverse approaches to privacy protection adopted by each region, influenced by their unique historical, political, and cultural contexts. For instance, the EU’s General Data Protection Regulation (GDPR) emphasizes individual rights influenced by historical abuses of personal information. At the same time, the California Consumer Privacy Act (CCPA) prioritizes consumer rights within a self-regulatory framework, reflecting the state’s technology-driven economy. The study also examines China’s Personal Information Protection Law (PIPL), which prioritizes national security; Japan’s Act on the Protection of Personal Information (APPI), which navigates the tension between individual privacy and societal norms; and South Korea’s Personal Information Protection Act (PIPA), which balances individual autonomy with a sense of community, reflecting Confucian values. By identifying specific limitations and areas for improvement in each region’s data protection laws, this study contributes to the ongoing discourse on international data privacy regulation. It offers valuable insights for policymakers and stakeholders seeking to navigate the complexities of the data economy while ensuring robust safeguards for individual privacy.&quot;,&quot;publisher&quot;:&quot;John Wiley and Sons Ltd&quot;,&quot;issue&quot;:&quot;1&quot;,&quot;volume&quot;:&quot;2025&quot;},&quot;isTemporary&quot;:false},{&quot;id&quot;:&quot;3a8d6885-7a97-3b16-89a0-4bf69f8a0b73&quot;,&quot;itemData&quot;:{&quot;type&quot;:&quot;article&quot;,&quot;id&quot;:&quot;3a8d6885-7a97-3b16-89a0-4bf69f8a0b73&quot;,&quot;title&quot;:&quot;Data Protection Act&quot;,&quot;author&quot;:[{&quot;family&quot;:&quot;UK Legislation&quot;,&quot;given&quot;:&quot;&quot;,&quot;parse-names&quot;:false,&quot;dropping-particle&quot;:&quot;&quot;,&quot;non-dropping-particle&quot;:&quot;&quot;}],&quot;URL&quot;:&quot;https://www.legislation.gov.uk/ukpga/2018/12/contents/enacted&quot;,&quot;issued&quot;:{&quot;date-parts&quot;:[[2019,3,26]]},&quot;language&quot;:&quot;English&quot;,&quot;publisher&quot;:&quot;King's Printer of Acts of Parliament&quot;,&quot;container-title-short&quot;:&quot;&quot;},&quot;isTemporary&quot;:false}]},{&quot;citationID&quot;:&quot;MENDELEY_CITATION_152096c6-3650-4f22-9f46-c6caa8b5862e&quot;,&quot;properties&quot;:{&quot;noteIndex&quot;:0},&quot;isEdited&quot;:false,&quot;manualOverride&quot;:{&quot;isManuallyOverridden&quot;:false,&quot;citeprocText&quot;:&quot;(Rose &lt;i&gt;et al.&lt;/i&gt;, 2020)&quot;,&quot;manualOverrideText&quot;:&quot;&quot;},&quot;citationTag&quot;:&quot;MENDELEY_CITATION_v3_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&quot;,&quot;citationItems&quot;:[{&quot;id&quot;:&quot;2956355c-bac3-369f-ac95-c4ce51ba74e5&quot;,&quot;itemData&quot;:{&quot;type&quot;:&quot;article-journal&quot;,&quot;id&quot;:&quot;2956355c-bac3-369f-ac95-c4ce51ba74e5&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container-title&quot;:&quot;NIST Special Publication 800-207&quot;,&quot;accessed&quot;:{&quot;date-parts&quot;:[[2025,11,6]]},&quot;DOI&quot;:&quot;10.6028/NIST.SP.800-207&quot;,&quot;URL&quot;:&quot;https://doi.org/10.6028/NIST.SP.800-207&quot;,&quot;issued&quot;:{&quot;date-parts&quot;:[[2020]]}},&quot;isTemporary&quot;:false}]},{&quot;citationID&quot;:&quot;MENDELEY_CITATION_7d8a73d3-dee5-4798-a926-30cde8c682fc&quot;,&quot;properties&quot;:{&quot;noteIndex&quot;:0},&quot;isEdited&quot;:false,&quot;manualOverride&quot;:{&quot;isManuallyOverridden&quot;:false,&quot;citeprocText&quot;:&quot;(Peltier, 2016)&quot;,&quot;manualOverrideText&quot;:&quot;&quot;},&quot;citationTag&quot;:&quot;MENDELEY_CITATION_v3_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&quot;,&quot;citationItems&quot;:[{&quot;id&quot;:&quot;3ff5da17-4c29-3caa-b23c-4204773ea68b&quot;,&quot;itemData&quot;:{&quot;type&quot;:&quot;book&quot;,&quot;id&quot;:&quot;3ff5da17-4c29-3caa-b23c-4204773ea68b&quot;,&quot;title&quot;:&quot;Information Security Policies, Procedures, and Standards&quot;,&quot;author&quot;:[{&quot;family&quot;:&quot;Peltier&quot;,&quot;given&quot;:&quot;Thomas R.&quot;,&quot;parse-names&quot;:false,&quot;dropping-particle&quot;:&quot;&quot;,&quot;non-dropping-particle&quot;:&quot;&quot;}],&quot;DOI&quot;:&quot;10.1201/9780849390326&quot;,&quot;ISBN&quot;:&quot;9780849390326&quot;,&quot;issued&quot;:{&quot;date-parts&quot;:[[2016,4,19]]},&quot;publisher&quot;:&quot;Auerbach Publications&quot;,&quot;container-title-short&quot;:&quot;&quot;},&quot;isTemporary&quot;:false}]},{&quot;citationID&quot;:&quot;MENDELEY_CITATION_07785728-a1f9-4c72-bd15-af4406dc4357&quot;,&quot;properties&quot;:{&quot;noteIndex&quot;:0},&quot;isEdited&quot;:false,&quot;manualOverride&quot;:{&quot;isManuallyOverridden&quot;:false,&quot;citeprocText&quot;:&quot;(ISO, 2022)&quot;,&quot;manualOverrideText&quot;:&quot;&quot;},&quot;citationTag&quot;:&quot;MENDELEY_CITATION_v3_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&quot;,&quot;citationItems&quot;:[{&quot;id&quot;:&quot;fb8f8c86-3013-3e58-a7f8-0c9baed6dcbc&quot;,&quot;itemData&quot;:{&quot;type&quot;:&quot;webpage&quot;,&quot;id&quot;:&quot;fb8f8c86-3013-3e58-a7f8-0c9baed6dcbc&quot;,&quot;title&quot;:&quot;ISO/IEC 27001:2022 - Information security management systems&quot;,&quot;author&quot;:[{&quot;family&quot;:&quot;ISO&quot;,&quot;given&quot;:&quot;&quot;,&quot;parse-names&quot;:false,&quot;dropping-particle&quot;:&quot;&quot;,&quot;non-dropping-particle&quot;:&quot;&quot;}],&quot;accessed&quot;:{&quot;date-parts&quot;:[[2025,9,17]]},&quot;URL&quot;:&quot;https://www.iso.org/standard/27001&quot;,&quot;issued&quot;:{&quot;date-parts&quot;:[[2022]]},&quot;container-title-short&quot;:&quot;&quot;},&quot;isTemporary&quot;:false}]},{&quot;citationID&quot;:&quot;MENDELEY_CITATION_292442e3-cda8-4b2a-89ef-277b537b2490&quot;,&quot;properties&quot;:{&quot;noteIndex&quot;:0},&quot;isEdited&quot;:false,&quot;manualOverride&quot;:{&quot;isManuallyOverridden&quot;:false,&quot;citeprocText&quot;:&quot;(NIST, 2025)&quot;,&quot;manualOverrideText&quot;:&quot;&quot;},&quot;citationTag&quot;:&quot;MENDELEY_CITATION_v3_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&quot;,&quot;citationItems&quot;:[{&quot;id&quot;:&quot;82de10c3-c3f7-346f-8231-660936a47862&quot;,&quot;itemData&quot;:{&quot;type&quot;:&quot;article-journal&quot;,&quot;id&quot;:&quot;82de10c3-c3f7-346f-8231-660936a47862&quot;,&quot;title&quot;:&quot;The NIST Cybersecurity Framework (CSF) 2.0 (Mandarin Chinese translation)&quot;,&quot;author&quot;:[{&quot;family&quot;:&quot;NIST&quot;,&quot;given&quot;:&quot;Gaithersburg MD&quot;,&quot;parse-names&quot;:false,&quot;dropping-particle&quot;:&quot;&quot;,&quot;non-dropping-particle&quot;:&quot;&quot;}],&quot;accessed&quot;:{&quot;date-parts&quot;:[[2025,4,29]]},&quot;DOI&quot;:&quot;10.6028/NIST.CSWP.29.CHI&quot;,&quot;URL&quot;:&quot;https://nvlpubs.nist.gov/nistpubs/CSWP/NIST.CSWP.29.chi.pdf&quot;,&quot;issued&quot;:{&quot;date-parts&quot;:[[2025]]},&quot;container-title-short&quot;:&quot;&quot;},&quot;isTemporary&quot;:false}]},{&quot;citationID&quot;:&quot;MENDELEY_CITATION_5261a746-0369-4bd3-8c82-907a01844bd3&quot;,&quot;properties&quot;:{&quot;noteIndex&quot;:0},&quot;isEdited&quot;:false,&quot;manualOverride&quot;:{&quot;isManuallyOverridden&quot;:false,&quot;citeprocText&quot;:&quot;(Rafeq, CISA and FCA, 2021)&quot;,&quot;manualOverrideText&quot;:&quot;&quot;},&quot;citationTag&quot;:&quot;MENDELEY_CITATION_v3_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&quot;,&quot;citationItems&quot;:[{&quot;id&quot;:&quot;fbb56594-f8b0-35c9-b3e6-191a76544b7f&quot;,&quot;itemData&quot;:{&quot;type&quot;:&quot;webpage&quot;,&quot;id&quot;:&quot;fbb56594-f8b0-35c9-b3e6-191a76544b7f&quot;,&quot;title&quot;:&quot;Industry News 2021 A Systematic Approach to Implementing a Governance System Using Cobit 2019&quot;,&quot;author&quot;:[{&quot;family&quot;:&quot;Rafeq&quot;,&quot;given&quot;:&quot;Abdul&quot;,&quot;parse-names&quot;:false,&quot;dropping-particle&quot;:&quot;&quot;,&quot;non-dropping-particle&quot;:&quot;&quot;},{&quot;family&quot;:&quot;CISA&quot;,&quot;given&quot;:&quot;&quot;,&quot;parse-names&quot;:false,&quot;dropping-particle&quot;:&quot;&quot;,&quot;non-dropping-particle&quot;:&quot;&quot;},{&quot;family&quot;:&quot;FCA&quot;,&quot;given&quot;:&quot;&quot;,&quot;parse-names&quot;:false,&quot;dropping-particle&quot;:&quot;&quot;,&quot;non-dropping-particle&quot;:&quot;&quot;}],&quot;accessed&quot;:{&quot;date-parts&quot;:[[2025,5,8]]},&quot;URL&quot;:&quot;https://www.isaca.org/resources/news-and-trends/industry-news/2021/a-systematic-approach-to-implementing-a-governance-system-using-cobit-2019&quot;,&quot;issued&quot;:{&quot;date-parts&quot;:[[2021,5,6]]},&quot;container-title-short&quot;:&quot;&quot;},&quot;isTemporary&quot;:false}]},{&quot;citationID&quot;:&quot;MENDELEY_CITATION_d30b5270-26a3-462a-8f2c-6f920124cc93&quot;,&quot;properties&quot;:{&quot;noteIndex&quot;:0},&quot;isEdited&quot;:false,&quot;manualOverride&quot;:{&quot;isManuallyOverridden&quot;:false,&quot;citeprocText&quot;:&quot;(Rose &lt;i&gt;et al.&lt;/i&gt;, 2020)&quot;,&quot;manualOverrideText&quot;:&quot;&quot;},&quot;citationTag&quot;:&quot;MENDELEY_CITATION_v3_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&quot;,&quot;citationItems&quot;:[{&quot;id&quot;:&quot;2956355c-bac3-369f-ac95-c4ce51ba74e5&quot;,&quot;itemData&quot;:{&quot;type&quot;:&quot;article-journal&quot;,&quot;id&quot;:&quot;2956355c-bac3-369f-ac95-c4ce51ba74e5&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container-title&quot;:&quot;NIST Special Publication 800-207&quot;,&quot;accessed&quot;:{&quot;date-parts&quot;:[[2025,11,6]]},&quot;DOI&quot;:&quot;10.6028/NIST.SP.800-207&quot;,&quot;URL&quot;:&quot;https://doi.org/10.6028/NIST.SP.800-207&quot;,&quot;issued&quot;:{&quot;date-parts&quot;:[[2020]]},&quot;container-title-short&quot;:&quot;&quot;},&quot;isTemporary&quot;:false}]},{&quot;citationID&quot;:&quot;MENDELEY_CITATION_aec2af31-3058-4e8f-b67f-b6e1b15b8a0d&quot;,&quot;properties&quot;:{&quot;noteIndex&quot;:0},&quot;isEdited&quot;:false,&quot;manualOverride&quot;:{&quot;isManuallyOverridden&quot;:false,&quot;citeprocText&quot;:&quot;(Von Solms and Van Niekerk, 2013)&quot;,&quot;manualOverrideText&quot;:&quot;&quot;},&quot;citationTag&quot;:&quot;MENDELEY_CITATION_v3_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&quot;,&quot;citationItems&quot;:[{&quot;id&quot;:&quot;a79805b7-c74d-3c0e-a475-79a34f2882cd&quot;,&quot;itemData&quot;:{&quot;type&quot;:&quot;article-journal&quot;,&quot;id&quot;:&quot;a79805b7-c74d-3c0e-a475-79a34f2882cd&quot;,&quot;title&quot;:&quot;From information security to cyber security&quot;,&quot;author&quot;:[{&quot;family&quot;:&quot;Solms&quot;,&quot;given&quot;:&quot;Rossouw&quot;,&quot;parse-names&quot;:false,&quot;dropping-particle&quot;:&quot;&quot;,&quot;non-dropping-particle&quot;:&quot;Von&quot;},{&quot;family&quot;:&quot;Niekerk&quot;,&quot;given&quot;:&quot;Johan&quot;,&quot;parse-names&quot;:false,&quot;dropping-particle&quot;:&quot;&quot;,&quot;non-dropping-particle&quot;:&quot;Van&quot;}],&quot;container-title&quot;:&quot;Computers &amp; Security&quot;,&quot;container-title-short&quot;:&quot;Comput Secur&quot;,&quot;accessed&quot;:{&quot;date-parts&quot;:[[2025,11,6]]},&quot;DOI&quot;:&quot;10.1016/J.COSE.2013.04.004&quot;,&quot;ISSN&quot;:&quot;0167-4048&quot;,&quot;URL&quot;:&quot;https://www.sciencedirect.com/science/article/abs/pii/S0167404813000801&quot;,&quot;issued&quot;:{&quot;date-parts&quot;:[[2013,10,1]]},&quot;page&quot;:&quot;97-102&quot;,&quot;abstract&quot;:&quot;The term cyber security is often used interchangeably with the term information security. This paper argues that, although there is a substantial overlap between cyber security and information security, these two concepts are not totally analogous. Moreover, the paper posits that cyber security goes beyond the boundaries of traditional information security to include not only the protection of information resources, but also that of other assets, including the person him/herself. In information security, reference to the human factor usually relates to the role(s) of humans in the security process. In cyber security this factor has an additional dimension, namely, the humans as potential targets of cyber attacks or even unknowingly participating in a cyber attack. This additional dimension has ethical implications for society as a whole, since the protection of certain vulnerable groups, for example children, could be seen as a societal responsibility. © 2013 Elsevier Ltd.&quot;,&quot;publisher&quot;:&quot;Elsevier Advanced Technology&quot;,&quot;volume&quot;:&quot;38&quot;},&quot;isTemporary&quot;:false}]},{&quot;citationID&quot;:&quot;MENDELEY_CITATION_17c36bc3-564c-409d-89ba-3e46d8cb7107&quot;,&quot;properties&quot;:{&quot;noteIndex&quot;:0},&quot;isEdited&quot;:false,&quot;manualOverride&quot;:{&quot;isManuallyOverridden&quot;:false,&quot;citeprocText&quot;:&quot;(Leeson, 2024)&quot;,&quot;manualOverrideText&quot;:&quot;&quot;},&quot;citationTag&quot;:&quot;MENDELEY_CITATION_v3_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&quot;,&quot;citationItems&quot;:[{&quot;id&quot;:&quot;b3c28718-5373-3a45-8c26-4b0b4c6b4e31&quot;,&quot;itemData&quot;:{&quot;type&quot;:&quot;article-journal&quot;,&quot;id&quot;:&quot;b3c28718-5373-3a45-8c26-4b0b4c6b4e31&quot;,&quot;title&quot;:&quot;The Importance of the CIA Triad to Cybersecurity&quot;,&quot;author&quot;:[{&quot;family&quot;:&quot;Leeson&quot;,&quot;given&quot;:&quot;Stephanie&quot;,&quot;parse-names&quot;:false,&quot;dropping-particle&quot;:&quot;&quot;,&quot;non-dropping-particle&quot;:&quot;&quot;}],&quot;container-title&quot;:&quot;YourShortlist&quot;,&quot;URL&quot;:&quot;https://yourshortlist.com/the-importance-of-the-cia-triad-to-cybersecurity&quot;,&quot;issued&quot;:{&quot;date-parts&quot;:[[2024,7,17]]},&quot;language&quot;:&quot;English&quot;,&quot;abstract&quot;:&quot;The importance of CIA in cybersecurity can be highlighted by the fact it serves as the guiding principle of ISO/IEC 27001. This is an internationally recognised information security standard.&quot;,&quot;container-title-short&quot;:&quot;&quot;},&quot;isTemporary&quot;:false}]},{&quot;citationID&quot;:&quot;MENDELEY_CITATION_81d9d324-de18-4e12-ad24-11a9284a9f7a&quot;,&quot;properties&quot;:{&quot;noteIndex&quot;:0},&quot;isEdited&quot;:false,&quot;manualOverride&quot;:{&quot;isManuallyOverridden&quot;:false,&quot;citeprocText&quot;:&quot;(Da Veiga and Eloff, 2010)&quot;,&quot;manualOverrideText&quot;:&quot;&quot;},&quot;citationTag&quot;:&quot;MENDELEY_CITATION_v3_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&quot;,&quot;citationItems&quot;:[{&quot;id&quot;:&quot;59e4d795-3239-365b-bbc0-370f368e3cbe&quot;,&quot;itemData&quot;:{&quot;type&quot;:&quot;article-journal&quot;,&quot;id&quot;:&quot;59e4d795-3239-365b-bbc0-370f368e3cbe&quot;,&quot;title&quot;:&quot;A framework and assessment instrument for information security culture&quot;,&quot;author&quot;:[{&quot;family&quot;:&quot;Veiga&quot;,&quot;given&quot;:&quot;A.&quot;,&quot;parse-names&quot;:false,&quot;dropping-particle&quot;:&quot;&quot;,&quot;non-dropping-particle&quot;:&quot;Da&quot;},{&quot;family&quot;:&quot;Eloff&quot;,&quot;given&quot;:&quot;J. H.P.&quot;,&quot;parse-names&quot;:false,&quot;dropping-particle&quot;:&quot;&quot;,&quot;non-dropping-particle&quot;:&quot;&quot;}],&quot;container-title&quot;:&quot;Computers &amp; Security&quot;,&quot;container-title-short&quot;:&quot;Comput Secur&quot;,&quot;accessed&quot;:{&quot;date-parts&quot;:[[2025,11,6]]},&quot;DOI&quot;:&quot;10.1016/J.COSE.2009.09.002&quot;,&quot;ISSN&quot;:&quot;0167-4048&quot;,&quot;URL&quot;:&quot;https://www.sciencedirect.com/science/article/abs/pii/S0167404809000923&quot;,&quot;issued&quot;:{&quot;date-parts&quot;:[[2010,3,1]]},&quot;page&quot;:&quot;196-207&quot;,&quot;abstract&quot;:&quot;An organisation's approach to information security should focus on employee behaviour, as the organisation's success or failure effectively depends on the things that its employees do or fail to do. An information security-aware culture will minimise risks to information assets and specifically reduce the risk of employee misbehaviour and harmful interaction with information assets. Organisations require guidance in establishing an information security-aware or implementing an acceptable information security culture. They need to measure and report on the state of information security culture in the organisation. Various approaches exist to address the threats that employee behaviour could pose. However, these approaches do not focus specifically on the interaction between the behaviour of an employee and the culture in an organisation. Organisations therefore have need of a comprehensive framework to cultivate a security-aware culture. The objective of this paper is to propose a framework to cultivate an information security culture within an organisation and to illustrate how to use it. An empirical study is performed to aid in validating the proposed Information Security Culture Framework. © 2009 Elsevier Ltd. All rights reserved.&quot;,&quot;publisher&quot;:&quot;Elsevier Advanced Technology&quot;,&quot;issue&quot;:&quot;2&quot;,&quot;volume&quot;:&quot;29&quot;},&quot;isTemporary&quot;:false}]},{&quot;citationID&quot;:&quot;MENDELEY_CITATION_fa90117c-c18f-4be0-b2fe-6cec4afe5aa5&quot;,&quot;properties&quot;:{&quot;noteIndex&quot;:0},&quot;isEdited&quot;:false,&quot;manualOverride&quot;:{&quot;isManuallyOverridden&quot;:false,&quot;citeprocText&quot;:&quot;(IT Governance, 2024)&quot;,&quot;manualOverrideText&quot;:&quot;&quot;},&quot;citationTag&quot;:&quot;MENDELEY_CITATION_v3_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&quot;,&quot;citationItems&quot;:[{&quot;id&quot;:&quot;ccd7bcc4-25f5-3dd2-b2db-280fe73de3db&quot;,&quot;itemData&quot;:{&quot;type&quot;:&quot;webpage&quot;,&quot;id&quot;:&quot;ccd7bcc4-25f5-3dd2-b2db-280fe73de3db&quot;,&quot;title&quot;:&quot;ISO 27001:2022 Annex A Controls - A Complete Guide&quot;,&quot;author&quot;:[{&quot;family&quot;:&quot;IT Governance&quot;,&quot;given&quot;:&quot;&quot;,&quot;parse-names&quot;:false,&quot;dropping-particle&quot;:&quot;&quot;,&quot;non-dropping-particle&quot;:&quot;&quot;}],&quot;container-title&quot;:&quot;IT Governance UK&quot;,&quot;accessed&quot;:{&quot;date-parts&quot;:[[2025,11,6]]},&quot;URL&quot;:&quot;https://www.itgovernance.co.uk/blog/iso-27001-the-14-control-sets-of-annex-a-explained&quot;,&quot;issued&quot;:{&quot;date-parts&quot;:[[2024,3,13]]},&quot;container-title-short&quot;:&quot;&quot;},&quot;isTemporary&quot;:false}]},{&quot;citationID&quot;:&quot;MENDELEY_CITATION_72a4be35-2825-4ad9-8253-6e6f8cbe2a27&quot;,&quot;properties&quot;:{&quot;noteIndex&quot;:0},&quot;isEdited&quot;:false,&quot;manualOverride&quot;:{&quot;isManuallyOverridden&quot;:false,&quot;citeprocText&quot;:&quot;(Siponen and Willison, 2009)&quot;,&quot;manualOverrideText&quot;:&quot;&quot;},&quot;citationTag&quot;:&quot;MENDELEY_CITATION_v3_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&quot;,&quot;citationItems&quot;:[{&quot;id&quot;:&quot;c1d26140-a16f-3356-a6a6-8acb7aeee360&quot;,&quot;itemData&quot;:{&quot;type&quot;:&quot;article-journal&quot;,&quot;id&quot;:&quot;c1d26140-a16f-3356-a6a6-8acb7aeee360&quot;,&quot;title&quot;:&quot;Information security management standards: Problems and solutions&quot;,&quot;author&quot;:[{&quot;family&quot;:&quot;Siponen&quot;,&quot;given&quot;:&quot;Mikko&quot;,&quot;parse-names&quot;:false,&quot;dropping-particle&quot;:&quot;&quot;,&quot;non-dropping-particle&quot;:&quot;&quot;},{&quot;family&quot;:&quot;Willison&quot;,&quot;given&quot;:&quot;Robert&quot;,&quot;parse-names&quot;:false,&quot;dropping-particle&quot;:&quot;&quot;,&quot;non-dropping-particle&quot;:&quot;&quot;}],&quot;container-title&quot;:&quot;Information and Management&quot;,&quot;accessed&quot;:{&quot;date-parts&quot;:[[2025,11,6]]},&quot;DOI&quot;:&quot;10.1016/J.IM.2008.12.007&quot;,&quot;ISSN&quot;:&quot;03787206&quot;,&quot;URL&quot;:&quot;https://www.researchgate.net/publication/221998085_Information_security_management_standards_Problems_and_solutions&quot;,&quot;issued&quot;:{&quot;date-parts&quot;:[[2009,6]]},&quot;page&quot;:&quot;267-270&quot;,&quot;abstract&quot;:&quot;International information security management guidelines play a key role in managing and certifying organizational IS. We analyzed BS7799, BS ISO/IEC17799: 2000, GASPP/GAISP, and the SSE-CMM to determine and compare how these guidelines are validated, and how widely they can be applied. First, we found that BS7799, BS ISO/IEC17799: 2000, GASPP/GAISP and the SSE-CMM were generic or universal in scope; consequently they do not pay enough attention to the differences between organizations and the fact that their security requirements are different. Second, we noted that these guidelines were validated by appeal to common practice and authority and that this was not a sound basis for important international information security guidelines. To address these shortcomings, we believe that information security management guidelines should be seen as a library of material on information security management for practitioners. © 2009 Elsevier B.V. All rights reserved.&quot;,&quot;issue&quot;:&quot;5&quot;,&quot;volume&quot;:&quot;46&quot;,&quot;container-title-short&quot;:&quot;&quot;},&quot;isTemporary&quot;:false}]},{&quot;citationID&quot;:&quot;MENDELEY_CITATION_a501421f-a477-4b59-844f-7f783ac2f643&quot;,&quot;properties&quot;:{&quot;noteIndex&quot;:0},&quot;isEdited&quot;:false,&quot;manualOverride&quot;:{&quot;isManuallyOverridden&quot;:false,&quot;citeprocText&quot;:&quot;(Culot &lt;i&gt;et al.&lt;/i&gt;, 2021)&quot;,&quot;manualOverrideText&quot;:&quot;&quot;},&quot;citationTag&quot;:&quot;MENDELEY_CITATION_v3_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&quot;,&quot;citationItems&quot;:[{&quot;id&quot;:&quot;90eddd70-511c-35eb-a457-60b92564433e&quot;,&quot;itemData&quot;:{&quot;type&quot;:&quot;article-journal&quot;,&quot;id&quot;:&quot;90eddd70-511c-35eb-a457-60b92564433e&quot;,&quot;title&quot;:&quot;The ISO/IEC 27001 information security management standard: literature review and theory-based research agenda&quot;,&quot;author&quot;:[{&quot;family&quot;:&quot;Culot&quot;,&quot;given&quot;:&quot;Giovanna&quot;,&quot;parse-names&quot;:false,&quot;dropping-particle&quot;:&quot;&quot;,&quot;non-dropping-particle&quot;:&quot;&quot;},{&quot;family&quot;:&quot;Nassimbeni&quot;,&quot;given&quot;:&quot;Guido&quot;,&quot;parse-names&quot;:false,&quot;dropping-particle&quot;:&quot;&quot;,&quot;non-dropping-particle&quot;:&quot;&quot;},{&quot;family&quot;:&quot;Podrecca&quot;,&quot;given&quot;:&quot;Matteo&quot;,&quot;parse-names&quot;:false,&quot;dropping-particle&quot;:&quot;&quot;,&quot;non-dropping-particle&quot;:&quot;&quot;},{&quot;family&quot;:&quot;Sartor&quot;,&quot;given&quot;:&quot;Marco&quot;,&quot;parse-names&quot;:false,&quot;dropping-particle&quot;:&quot;&quot;,&quot;non-dropping-particle&quot;:&quot;&quot;}],&quot;container-title&quot;:&quot;TQM Journal&quot;,&quot;accessed&quot;:{&quot;date-parts&quot;:[[2025,11,6]]},&quot;DOI&quot;:&quot;10.1108/TQM-09-2020-0202&quot;,&quot;ISSN&quot;:&quot;17542731&quot;,&quot;URL&quot;:&quot;https://www.researchgate.net/publication/350433247_The_ISOIEC_27001_information_security_management_standard_literature_review_and_theory-based_research_agenda&quot;,&quot;issued&quot;:{&quot;date-parts&quot;:[[2021,3,16]]},&quot;page&quot;:&quot;76-105&quot;,&quot;abstract&quot;:&quot;Purpose: After 15 years of research, this paper aims to present a review of the academic literature on the ISO/IEC 27001, the most renowned standard for information security and the third most widespread ISO certification. Emerging issues are reframed through the lenses of social systems thinking, deriving a theory-based research agenda to inspire interdisciplinary studies in the field. Design/methodology/approach: The study is structured as a systematic literature review. Findings: Research themes and sub-themes are identified on five broad research foci: relation with other standards, motivations, issues in the implementation, possible outcomes and contextual factors. Originality/value: The study presents a structured overview of the academic body of knowledge on ISO/IEC 27001, providing solid foundations for future research on the topic. A set of research opportunities is outlined, with the aim to inspire future interdisciplinary studies at the crossroad between information security and quality management. Managers interested in the implementation of the standard and policymakers can find an overview of academic knowledge useful to inform their decisions related to implementation and regulatory activities.&quot;,&quot;publisher&quot;:&quot;Emerald Group Holdings Ltd.&quot;,&quot;issue&quot;:&quot;7&quot;,&quot;volume&quot;:&quot;33&quot;,&quot;container-title-short&quot;:&quot;&quot;},&quot;isTemporary&quot;:false}]},{&quot;citationID&quot;:&quot;MENDELEY_CITATION_673f39ab-3ddc-47fa-87af-e07e9c58fe9b&quot;,&quot;properties&quot;:{&quot;noteIndex&quot;:0},&quot;isEdited&quot;:false,&quot;manualOverride&quot;:{&quot;isManuallyOverridden&quot;:false,&quot;citeprocText&quot;:&quot;(NIST, 2025)&quot;,&quot;manualOverrideText&quot;:&quot;&quot;},&quot;citationTag&quot;:&quot;MENDELEY_CITATION_v3_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&quot;,&quot;citationItems&quot;:[{&quot;id&quot;:&quot;82de10c3-c3f7-346f-8231-660936a47862&quot;,&quot;itemData&quot;:{&quot;type&quot;:&quot;article-journal&quot;,&quot;id&quot;:&quot;82de10c3-c3f7-346f-8231-660936a47862&quot;,&quot;title&quot;:&quot;The NIST Cybersecurity Framework (CSF) 2.0 (Mandarin Chinese translation)&quot;,&quot;author&quot;:[{&quot;family&quot;:&quot;NIST&quot;,&quot;given&quot;:&quot;Gaithersburg MD&quot;,&quot;parse-names&quot;:false,&quot;dropping-particle&quot;:&quot;&quot;,&quot;non-dropping-particle&quot;:&quot;&quot;}],&quot;accessed&quot;:{&quot;date-parts&quot;:[[2025,4,29]]},&quot;DOI&quot;:&quot;10.6028/NIST.CSWP.29.CHI&quot;,&quot;URL&quot;:&quot;https://nvlpubs.nist.gov/nistpubs/CSWP/NIST.CSWP.29.chi.pdf&quot;,&quot;issued&quot;:{&quot;date-parts&quot;:[[2025]]},&quot;container-title-short&quot;:&quot;&quot;},&quot;isTemporary&quot;:false}]},{&quot;citationID&quot;:&quot;MENDELEY_CITATION_7e16224c-202d-464d-8aa6-bea9b09e1767&quot;,&quot;properties&quot;:{&quot;noteIndex&quot;:0},&quot;isEdited&quot;:false,&quot;manualOverride&quot;:{&quot;isManuallyOverridden&quot;:false,&quot;citeprocText&quot;:&quot;(NIST, 2024; Rose &lt;i&gt;et al.&lt;/i&gt;, 2020; Shen, 2014)&quot;,&quot;manualOverrideText&quot;:&quot;&quot;},&quot;citationTag&quot;:&quot;MENDELEY_CITATION_v3_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&quot;,&quot;citationItems&quot;:[{&quot;id&quot;:&quot;ab043120-32a1-3a8b-8d0b-66b658935562&quot;,&quot;itemData&quot;:{&quot;type&quot;:&quot;article-journal&quot;,&quot;id&quot;:&quot;ab043120-32a1-3a8b-8d0b-66b658935562&quot;,&quot;title&quot;:&quot;The NIST cybersecurity framework: Overview and potential impacts&quot;,&quot;author&quot;:[{&quot;family&quot;:&quot;Shen&quot;,&quot;given&quot;:&quot;Lei&quot;,&quot;parse-names&quot;:false,&quot;dropping-particle&quot;:&quot;&quot;,&quot;non-dropping-particle&quot;:&quot;&quot;}],&quot;container-title&quot;:&quot;Scitech Lawyer&quot;,&quot;ISSN&quot;:&quot;1550-2090&quot;,&quot;issued&quot;:{&quot;date-parts&quot;:[[2014]]},&quot;page&quot;:&quot;16&quot;,&quot;publisher&quot;:&quot;American Bar Association&quot;,&quot;issue&quot;:&quot;4&quot;,&quot;volume&quot;:&quot;10&quot;,&quot;container-title-short&quot;:&quot;&quot;},&quot;isTemporary&quot;:false},{&quot;id&quot;:&quot;4aca01ba-7d77-3cc0-95e4-569675a8d276&quot;,&quot;itemData&quot;:{&quot;type&quot;:&quot;article&quot;,&quot;id&quot;:&quot;4aca01ba-7d77-3cc0-95e4-569675a8d276&quot;,&quot;title&quot;:&quot;NIST Cybersecurity Framework&quot;,&quot;author&quot;:[{&quot;family&quot;:&quot;NIST&quot;,&quot;given&quot;:&quot;&quot;,&quot;parse-names&quot;:false,&quot;dropping-particle&quot;:&quot;&quot;,&quot;non-dropping-particle&quot;:&quot;&quot;}],&quot;container-title&quot;:&quot;NIST&quot;,&quot;URL&quot;:&quot;https://www.nist.gov/itl/smallbusinesscyber/nist-cybersecurity-framework-0&quot;,&quot;issued&quot;:{&quot;date-parts&quot;:[[2024,5,1]]},&quot;language&quot;:&quot;English&quot;,&quot;abstract&quot;:&quot;This page contains information about the NIST Cybersecurity Framework, which is a widely used approach based on existing standa&quot;},&quot;isTemporary&quot;:false},{&quot;id&quot;:&quot;46d3a1d7-1e67-364d-9f88-71a77fff31b1&quot;,&quot;itemData&quot;:{&quot;type&quot;:&quot;article-journal&quot;,&quot;id&quot;:&quot;46d3a1d7-1e67-364d-9f88-71a77fff31b1&quot;,&quot;title&quot;:&quot;Zero trust architecture. NIST SP 800–207&quot;,&quot;author&quot;:[{&quot;family&quot;:&quot;Rose&quot;,&quot;given&quot;:&quot;Scott&quot;,&quot;parse-names&quot;:false,&quot;dropping-particle&quot;:&quot;&quot;,&quot;non-dropping-particle&quot;:&quot;&quot;},{&quot;family&quot;:&quot;Borchert&quot;,&quot;given&quot;:&quot;O&quot;,&quot;parse-names&quot;:false,&quot;dropping-particle&quot;:&quot;&quot;,&quot;non-dropping-particle&quot;:&quot;&quot;},{&quot;family&quot;:&quot;Mitchell&quot;,&quot;given&quot;:&quot;S&quot;,&quot;parse-names&quot;:false,&quot;dropping-particle&quot;:&quot;&quot;,&quot;non-dropping-particle&quot;:&quot;&quot;},{&quot;family&quot;:&quot;Connelly&quot;,&quot;given&quot;:&quot;S&quot;,&quot;parse-names&quot;:false,&quot;dropping-particle&quot;:&quot;&quot;,&quot;non-dropping-particle&quot;:&quot;&quot;}],&quot;container-title&quot;:&quot;NIST, National Institute of Standards and Technology (NIST), URL: https://nvlpubs. nist. gov/nistpubs/SpecialPublications/NIST. SP&quot;,&quot;issued&quot;:{&quot;date-parts&quot;:[[2020]]},&quot;page&quot;:&quot;207-800&quot;},&quot;isTemporary&quot;:false}]},{&quot;citationID&quot;:&quot;MENDELEY_CITATION_748980e5-7b73-4021-a763-bed6e5aeea43&quot;,&quot;properties&quot;:{&quot;noteIndex&quot;:0},&quot;isEdited&quot;:false,&quot;manualOverride&quot;:{&quot;isManuallyOverridden&quot;:false,&quot;citeprocText&quot;:&quot;(Antariksa, Angin and Widodo, 2025)&quot;,&quot;manualOverrideText&quot;:&quot;&quot;},&quot;citationTag&quot;:&quot;MENDELEY_CITATION_v3_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&quot;,&quot;citationItems&quot;:[{&quot;id&quot;:&quot;6c040ea2-bbca-3154-9f29-492c741e7961&quot;,&quot;itemData&quot;:{&quot;type&quot;:&quot;article-journal&quot;,&quot;id&quot;:&quot;6c040ea2-bbca-3154-9f29-492c741e7961&quot;,&quot;title&quot;:&quot;COBIT 2019 Framework in IT Governance: A Systematic Literature Review of Implementation Challenges and Benefits Across Various Industry Sectors&quot;,&quot;author&quot;:[{&quot;family&quot;:&quot;Antariksa&quot;,&quot;given&quot;:&quot;Muhammad Deagama Surya&quot;,&quot;parse-names&quot;:false,&quot;dropping-particle&quot;:&quot;&quot;,&quot;non-dropping-particle&quot;:&quot;&quot;},{&quot;family&quot;:&quot;Angin&quot;,&quot;given&quot;:&quot;Maria Perangin&quot;,&quot;parse-names&quot;:false,&quot;dropping-particle&quot;:&quot;&quot;,&quot;non-dropping-particle&quot;:&quot;&quot;},{&quot;family&quot;:&quot;Widodo&quot;,&quot;given&quot;:&quot;Aris Puji&quot;,&quot;parse-names&quot;:false,&quot;dropping-particle&quot;:&quot;&quot;,&quot;non-dropping-particle&quot;:&quot;&quot;}],&quot;container-title&quot;:&quot;Journal of Renewable Energy, Electrical, and Computer Engineering&quot;,&quot;accessed&quot;:{&quot;date-parts&quot;:[[2025,11,6]]},&quot;DOI&quot;:&quot;10.29103/JREECE.V5I1.19501&quot;,&quot;URL&quot;:&quot;https://www.researchgate.net/publication/391198460_COBIT_2019_Framework_in_IT_Governance_A_Systematic_Literature_Review_of_Implementation_Challenges_and_Benefits_Across_Various_Industry_Sectors&quot;,&quot;issued&quot;:{&quot;date-parts&quot;:[[2025,3,17]]},&quot;page&quot;:&quot;99-105&quot;,&quot;abstract&quot;:&quot;Information technology (IT) governance is a critical factor in ensuring that IT investments align with business objectives, improve operational efficiency, and mitigate risks across various industries. COBIT 2019, a widely used IT governance framework, has been adopted in numerous sectors to address these needs. This study explores the implementation of COBIT 2019 by conducting a systematic literature review (SLR) of 23 relevant articles published between 2020 and 2024, sourced from internationally indexed journals. The research focuses on identifying the challenges, benefits, success factors, and strategies to mitigate the issues encountered during the implementation of COBIT 2019. The findings indicate that COBIT 2019 has been successfully applied in diverse industries such as education, healthcare, logistics, and mineral mining, demonstrating its flexibility and adaptability to different organizational contexts. Key benefits include improved alignment of IT with business strategies, enhanced risk management, better resource optimization, and increased operational efficiency. However, challenges such as the complexity of the framework, limited resources, and a lack of understanding of the frameworks terminology have been identified. Successful implementation is largely dependent on strong management support, stakeholder engagement, and adequate resource allocation. Mitigation strategies such as ongoing training, development of comprehensive communication plans, and regular evaluation of IT governance practices have been suggested to overcome these challenges. This study provides practical insights into the implementation of COBIT 2019, offering organizations guidance on maximizing its benefits while addressing the barriers to successful implementation.&quot;,&quot;publisher&quot;:&quot;LPPM Universitas Malikussaleh&quot;,&quot;issue&quot;:&quot;1&quot;,&quot;volume&quot;:&quot;5&quot;,&quot;container-title-short&quot;:&quot;&quot;},&quot;isTemporary&quot;:false}]},{&quot;citationID&quot;:&quot;MENDELEY_CITATION_94a67841-3cee-4d6c-9c1f-69b4397e7974&quot;,&quot;properties&quot;:{&quot;noteIndex&quot;:0},&quot;isEdited&quot;:false,&quot;manualOverride&quot;:{&quot;isManuallyOverridden&quot;:false,&quot;citeprocText&quot;:&quot;(Hurkadli, 2023)&quot;,&quot;manualOverrideText&quot;:&quot;&quot;},&quot;citationTag&quot;:&quot;MENDELEY_CITATION_v3_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&quot;,&quot;citationItems&quot;:[{&quot;id&quot;:&quot;083516b9-a1b1-30ab-be57-0b78d9db50a2&quot;,&quot;itemData&quot;:{&quot;type&quot;:&quot;webpage&quot;,&quot;id&quot;:&quot;083516b9-a1b1-30ab-be57-0b78d9db50a2&quot;,&quot;title&quot;:&quot;COBIT 2019 Framework &quot;,&quot;author&quot;:[{&quot;family&quot;:&quot;Hurkadli&quot;,&quot;given&quot;:&quot;Rahulprasad&quot;,&quot;parse-names&quot;:false,&quot;dropping-particle&quot;:&quot;&quot;,&quot;non-dropping-particle&quot;:&quot;&quot;}],&quot;container-title&quot;:&quot;ITSM&quot;,&quot;accessed&quot;:{&quot;date-parts&quot;:[[2025,11,6]]},&quot;URL&quot;:&quot;https://www.itsm-docs.com/blogs/cobit/cobit-2019-framework&quot;,&quot;issued&quot;:{&quot;date-parts&quot;:[[2023,8,28]]},&quot;container-title-short&quot;:&quot;&quot;},&quot;isTemporary&quot;:false}]},{&quot;citationID&quot;:&quot;MENDELEY_CITATION_dc477b54-9c3c-4967-aabe-8d1f663646d4&quot;,&quot;properties&quot;:{&quot;noteIndex&quot;:0},&quot;isEdited&quot;:false,&quot;manualOverride&quot;:{&quot;isManuallyOverridden&quot;:false,&quot;citeprocText&quot;:&quot;(Informit, 2024; Ishlahuddin &lt;i&gt;et al.&lt;/i&gt;, 2020)&quot;,&quot;manualOverrideText&quot;:&quot;&quot;},&quot;citationItems&quot;:[{&quot;id&quot;:&quot;5ff2cbab-4927-3f3b-91c1-33c4dfedbe6a&quot;,&quot;itemData&quot;:{&quot;type&quot;:&quot;article-journal&quot;,&quot;id&quot;:&quot;5ff2cbab-4927-3f3b-91c1-33c4dfedbe6a&quot;,&quot;title&quot;:&quot;Analysing IT Governance Maturity Level using COBIT 2019 Framework: A Case Study of Small Size Higher Education Institute (XYZ-edu)&quot;,&quot;author&quot;:[{&quot;family&quot;:&quot;Ishlahuddin&quot;,&quot;given&quot;:&quot;Ahmad&quot;,&quot;parse-names&quot;:false,&quot;dropping-particle&quot;:&quot;&quot;,&quot;non-dropping-particle&quot;:&quot;&quot;},{&quot;family&quot;:&quot;Handayani&quot;,&quot;given&quot;:&quot;Putu Wuri&quot;,&quot;parse-names&quot;:false,&quot;dropping-particle&quot;:&quot;&quot;,&quot;non-dropping-particle&quot;:&quot;&quot;},{&quot;family&quot;:&quot;Hammi&quot;,&quot;given&quot;:&quot;Kasfu&quot;,&quot;parse-names&quot;:false,&quot;dropping-particle&quot;:&quot;&quot;,&quot;non-dropping-particle&quot;:&quot;&quot;},{&quot;family&quot;:&quot;Azzahro&quot;,&quot;given&quot;:&quot;Fatimah&quot;,&quot;parse-names&quot;:false,&quot;dropping-particle&quot;:&quot;&quot;,&quot;non-dropping-particle&quot;:&quot;&quot;}],&quot;container-title&quot;:&quot;2020 3rd International Conference on Computer and Informatics Engineering, IC2IE 2020&quot;,&quot;accessed&quot;:{&quot;date-parts&quot;:[[2025,11,6]]},&quot;DOI&quot;:&quot;10.1109/IC2IE50715.2020.9274599&quot;,&quot;ISBN&quot;:&quot;9781728182476&quot;,&quot;URL&quot;:&quot;https://ieeexplore.ieee.org/document/9274599&quot;,&quot;issued&quot;:{&quot;date-parts&quot;:[[2020,9,15]]},&quot;page&quot;:&quot;236-241&quot;,&quot;abstract&quot;:&quot;The rise of online learning has made information technology (IT) as an essential part of every educational institution. IT enabled business initiatives and requires major investments that, if not managed properly, may impair rather than improve the organization's performance. IT governance in educational institution in the current pandemic era is needed to actualize digital transformations that are safe, effective and accountable. This research explores the use of COBIT 2019, an IT governance framework, to evaluate the maturity of selected IT process in a small higher education institution located in Depok. The data collected using the combination of interviews, questionnaires, and document studies. The results of this study indicate the level of maturity of the organization is at level 0 (incomplete), while the target level is 2. Recommendations for improvement processes are made in reference to best practices at COBIT 2019 to help achieving the target.&quot;,&quot;publisher&quot;:&quot;Institute of Electrical and Electronics Engineers Inc.&quot;,&quot;container-title-short&quot;:&quot;&quot;},&quot;isTemporary&quot;:false},{&quot;id&quot;:&quot;368faef1-0d57-30a0-8659-102e77eead92&quot;,&quot;itemData&quot;:{&quot;type&quot;:&quot;article&quot;,&quot;id&quot;:&quot;368faef1-0d57-30a0-8659-102e77eead92&quot;,&quot;title&quot;:&quot;MOF, ITIL, and Service Manager | Introduction to MOF and ITIL | InformIT&quot;,&quot;author&quot;:[{&quot;family&quot;:&quot;Informit&quot;,&quot;given&quot;:&quot;&quot;,&quot;parse-names&quot;:false,&quot;dropping-particle&quot;:&quot;&quot;,&quot;non-dropping-particle&quot;:&quot;&quot;}],&quot;URL&quot;:&quot;https://www.informit.com/articles/article.aspx?p=1743721&quot;,&quot;issued&quot;:{&quot;date-parts&quot;:[[2024,4,15]]},&quot;abstract&quot;:&quot;This chapter discusses the service management processes specified in the Microsoft Operations Framework (MOF) and Information Technology Information Library (ITIL) supported by System Center Service Manager, including Incident, Problem, Change, and Configuration Management.&quot;},&quot;isTemporary&quot;:false}],&quot;citationTag&quot;:&quot;MENDELEY_CITATION_v3_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&quot;},{&quot;citationID&quot;:&quot;MENDELEY_CITATION_3a826bad-389a-4962-9934-3f2fc954a211&quot;,&quot;properties&quot;:{&quot;noteIndex&quot;:0},&quot;isEdited&quot;:false,&quot;manualOverride&quot;:{&quot;isManuallyOverridden&quot;:false,&quot;citeprocText&quot;:&quot;(Rose &lt;i&gt;et al.&lt;/i&gt;, 2020)&quot;,&quot;manualOverrideText&quot;:&quot;&quot;},&quot;citationTag&quot;:&quot;MENDELEY_CITATION_v3_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&quot;,&quot;citationItems&quot;:[{&quot;id&quot;:&quot;2956355c-bac3-369f-ac95-c4ce51ba74e5&quot;,&quot;itemData&quot;:{&quot;type&quot;:&quot;article-journal&quot;,&quot;id&quot;:&quot;2956355c-bac3-369f-ac95-c4ce51ba74e5&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container-title&quot;:&quot;NIST Special Publication 800-207&quot;,&quot;accessed&quot;:{&quot;date-parts&quot;:[[2025,11,6]]},&quot;DOI&quot;:&quot;10.6028/NIST.SP.800-207&quot;,&quot;URL&quot;:&quot;https://doi.org/10.6028/NIST.SP.800-207&quot;,&quot;issued&quot;:{&quot;date-parts&quot;:[[2020]]},&quot;container-title-short&quot;:&quot;&quot;},&quot;isTemporary&quot;:false}]},{&quot;citationID&quot;:&quot;MENDELEY_CITATION_95f464e9-42f9-4435-a489-42173b9968d9&quot;,&quot;properties&quot;:{&quot;noteIndex&quot;:0},&quot;isEdited&quot;:false,&quot;manualOverride&quot;:{&quot;isManuallyOverridden&quot;:false,&quot;citeprocText&quot;:&quot;(Gambo and Almulhem, 2025)&quot;,&quot;manualOverrideText&quot;:&quot;&quot;},&quot;citationTag&quot;:&quot;MENDELEY_CITATION_v3_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&quot;,&quot;citationItems&quot;:[{&quot;id&quot;:&quot;07695ef5-9321-34d2-be36-d26e42d0696c&quot;,&quot;itemData&quot;:{&quot;type&quot;:&quot;article-journal&quot;,&quot;id&quot;:&quot;07695ef5-9321-34d2-be36-d26e42d0696c&quot;,&quot;title&quot;:&quot;Zero Trust Architecture: A Systematic Literature Review&quot;,&quot;author&quot;:[{&quot;family&quot;:&quot;Gambo&quot;,&quot;given&quot;:&quot;Muhammad Liman&quot;,&quot;parse-names&quot;:false,&quot;dropping-particle&quot;:&quot;&quot;,&quot;non-dropping-particle&quot;:&quot;&quot;},{&quot;family&quot;:&quot;Almulhem&quot;,&quot;given&quot;:&quot;Ahmad&quot;,&quot;parse-names&quot;:false,&quot;dropping-particle&quot;:&quot;&quot;,&quot;non-dropping-particle&quot;:&quot;&quot;}],&quot;accessed&quot;:{&quot;date-parts&quot;:[[2025,11,6]]},&quot;URL&quot;:&quot;https://arxiv.org/pdf/2503.11659v1&quot;,&quot;issued&quot;:{&quot;date-parts&quot;:[[2025,3,21]]},&quot;abstract&quot;:&quot;The increasing complexity of digital ecosystems and evolving cybersecurity threats have highlighted the limitations of traditional perimeter-based security models, leading to the growing adoption of Zero Trust Architecture (ZTA). ZTA operates on the principle of \&quot;never trust, always verify\&quot;, enforcing continuous authentication, conditional access, dynamic trust evaluation, and the principle of least privilege to enhance security across diverse domains. This study applies the PRISMA framework to analyze 10 years of research (2016-2025) on ZTA, presenting a systematic literature review (SLR) that synthesizes its applications, enabling technologies, and associated challenges. It provides a detailed taxonomy that organizes ZTA's application domains, together with the emerging technologies that facilitate its implementation, and critically examines the barriers to ZTA adoption. Additionally, the study traces the historical evolution of ZTA alongside notable events and publications trends while highlighting some potential factors for the surge over the past few years. This comprehensive analysis serves as a practical guide for researchers and practitioners seeking to leverage ZTA for stronger, more adaptive security frameworks in a rapidly shifting threat landscape.&quot;,&quot;container-title-short&quot;:&quot;&quot;},&quot;isTemporary&quot;:false}]},{&quot;citationID&quot;:&quot;MENDELEY_CITATION_8603d13f-365e-4c02-9a91-49f950eedb7d&quot;,&quot;properties&quot;:{&quot;noteIndex&quot;:0},&quot;isEdited&quot;:false,&quot;manualOverride&quot;:{&quot;isManuallyOverridden&quot;:false,&quot;citeprocText&quot;:&quot;(Rose &lt;i&gt;et al.&lt;/i&gt;, 2020)&quot;,&quot;manualOverrideText&quot;:&quot;&quot;},&quot;citationTag&quot;:&quot;MENDELEY_CITATION_v3_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&quot;,&quot;citationItems&quot;:[{&quot;id&quot;:&quot;2956355c-bac3-369f-ac95-c4ce51ba74e5&quot;,&quot;itemData&quot;:{&quot;type&quot;:&quot;article-journal&quot;,&quot;id&quot;:&quot;2956355c-bac3-369f-ac95-c4ce51ba74e5&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container-title&quot;:&quot;NIST Special Publication 800-207&quot;,&quot;accessed&quot;:{&quot;date-parts&quot;:[[2025,11,6]]},&quot;DOI&quot;:&quot;10.6028/NIST.SP.800-207&quot;,&quot;URL&quot;:&quot;https://doi.org/10.6028/NIST.SP.800-207&quot;,&quot;issued&quot;:{&quot;date-parts&quot;:[[2020]]},&quot;container-title-short&quot;:&quot;&quot;},&quot;isTemporary&quot;:false}]},{&quot;citationID&quot;:&quot;MENDELEY_CITATION_235749d7-df95-403b-bfc1-8a6623a61e4c&quot;,&quot;properties&quot;:{&quot;noteIndex&quot;:0},&quot;isEdited&quot;:false,&quot;manualOverride&quot;:{&quot;isManuallyOverridden&quot;:true,&quot;citeprocText&quot;:&quot;(Wu &lt;i&gt;et al.&lt;/i&gt;, 2024)&quot;,&quot;manualOverrideText&quot;:&quot;Wu et al. (2024)&quot;},&quot;citationTag&quot;:&quot;MENDELEY_CITATION_v3_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&quot;,&quot;citationItems&quot;:[{&quot;id&quot;:&quot;b65c89a7-754e-3789-9690-071197cc1a62&quot;,&quot;itemData&quot;:{&quot;type&quot;:&quot;article-journal&quot;,&quot;id&quot;:&quot;b65c89a7-754e-3789-9690-071197cc1a62&quot;,&quot;title&quot;:&quot;Integrating ISO 27001, Nist Csf 2.0, and Cyber Defense Matrix for Enhancing Organizational Cybersecurity Governance&quot;,&quot;author&quot;:[{&quot;family&quot;:&quot;Wu&quot;,&quot;given&quot;:&quot;Fang-Ting&quot;,&quot;parse-names&quot;:false,&quot;dropping-particle&quot;:&quot;&quot;,&quot;non-dropping-particle&quot;:&quot;&quot;},{&quot;family&quot;:&quot;Lee&quot;,&quot;given&quot;:&quot;Wei-Bin&quot;,&quot;parse-names&quot;:false,&quot;dropping-particle&quot;:&quot;&quot;,&quot;non-dropping-particle&quot;:&quot;&quot;},{&quot;family&quot;:&quot;Ku&quot;,&quot;given&quot;:&quot;Cooper  Cheng-Yuan&quot;,&quot;parse-names&quot;:false,&quot;dropping-particle&quot;:&quot;&quot;,&quot;non-dropping-particle&quot;:&quot;&quot;},{&quot;family&quot;:&quot;Wu&quot;,&quot;given&quot;:&quot;Yu-Sung&quot;,&quot;parse-names&quot;:false,&quot;dropping-particle&quot;:&quot;&quot;,&quot;non-dropping-particle&quot;:&quot;&quot;},{&quot;family&quot;:&quot;Shih&quot;,&quot;given&quot;:&quot;Chien-Yu&quot;,&quot;parse-names&quot;:false,&quot;dropping-particle&quot;:&quot;&quot;,&quot;non-dropping-particle&quot;:&quot;&quot;}],&quot;accessed&quot;:{&quot;date-parts&quot;:[[2025,11,6]]},&quot;DOI&quot;:&quot;10.2139/SSRN.4991340&quot;,&quot;URL&quot;:&quot;https://papers.ssrn.com/abstract=4991340&quot;,&quot;issued&quot;:{&quot;date-parts&quot;:[[2024]]},&quot;container-title-short&quot;:&quot;&quot;},&quot;isTemporary&quot;:false}]},{&quot;citationID&quot;:&quot;MENDELEY_CITATION_9a208cd3-dfdf-4d0a-83c6-6635dca6b8dd&quot;,&quot;properties&quot;:{&quot;noteIndex&quot;:0},&quot;isEdited&quot;:false,&quot;manualOverride&quot;:{&quot;isManuallyOverridden&quot;:false,&quot;citeprocText&quot;:&quot;(Kostopoulos, 2017)&quot;,&quot;manualOverrideText&quot;:&quot;&quot;},&quot;citationTag&quot;:&quot;MENDELEY_CITATION_v3_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&quot;,&quot;citationItems&quot;:[{&quot;id&quot;:&quot;1c5cc551-414b-345e-9d48-ccc30c977800&quot;,&quot;itemData&quot;:{&quot;type&quot;:&quot;book&quot;,&quot;id&quot;:&quot;1c5cc551-414b-345e-9d48-ccc30c977800&quot;,&quot;title&quot;:&quot;Cyberspace and cybersecurity&quot;,&quot;author&quot;:[{&quot;family&quot;:&quot;Kostopoulos&quot;,&quot;given&quot;:&quot;George&quot;,&quot;parse-names&quot;:false,&quot;dropping-particle&quot;:&quot;&quot;,&quot;non-dropping-particle&quot;:&quot;&quot;}],&quot;ISBN&quot;:&quot;1315116480&quot;,&quot;issued&quot;:{&quot;date-parts&quot;:[[2017]]},&quot;publisher&quot;:&quot;Auerbach Publications&quot;,&quot;container-title-short&quot;:&quot;&quot;},&quot;isTemporary&quot;:false}]},{&quot;citationID&quot;:&quot;MENDELEY_CITATION_f7e8ba04-76d7-4f78-b2f5-9ad04a737b44&quot;,&quot;properties&quot;:{&quot;noteIndex&quot;:0},&quot;isEdited&quot;:false,&quot;manualOverride&quot;:{&quot;isManuallyOverridden&quot;:false,&quot;citeprocText&quot;:&quot;(Secureframe, 2025)&quot;,&quot;manualOverrideText&quot;:&quot;&quot;},&quot;citationTag&quot;:&quot;MENDELEY_CITATION_v3_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&quot;,&quot;citationItems&quot;:[{&quot;id&quot;:&quot;f95acdc4-8883-3c32-a52a-4b333e83e93f&quot;,&quot;itemData&quot;:{&quot;type&quot;:&quot;webpage&quot;,&quot;id&quot;:&quot;f95acdc4-8883-3c32-a52a-4b333e83e93f&quot;,&quot;title&quot;:&quot;The Core Requirements of ISO 27001 Clauses 4-10&quot;,&quot;author&quot;:[{&quot;family&quot;:&quot;Secureframe&quot;,&quot;given&quot;:&quot;&quot;,&quot;parse-names&quot;:false,&quot;dropping-particle&quot;:&quot;&quot;,&quot;non-dropping-particle&quot;:&quot;&quot;}],&quot;accessed&quot;:{&quot;date-parts&quot;:[[2025,11,6]]},&quot;URL&quot;:&quot;https://secureframe.com/hub/iso-27001/clauses&quot;,&quot;issued&quot;:{&quot;date-parts&quot;:[[2025]]},&quot;container-title-short&quot;:&quot;&quot;},&quot;isTemporary&quot;:false}]},{&quot;citationID&quot;:&quot;MENDELEY_CITATION_766fadb8-e3f1-4687-8cfa-fa05c6030cfa&quot;,&quot;properties&quot;:{&quot;noteIndex&quot;:0},&quot;isEdited&quot;:false,&quot;manualOverride&quot;:{&quot;isManuallyOverridden&quot;:false,&quot;citeprocText&quot;:&quot;(Da Veiga and Eloff, 2010)&quot;,&quot;manualOverrideText&quot;:&quot;&quot;},&quot;citationTag&quot;:&quot;MENDELEY_CITATION_v3_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&quot;,&quot;citationItems&quot;:[{&quot;id&quot;:&quot;59e4d795-3239-365b-bbc0-370f368e3cbe&quot;,&quot;itemData&quot;:{&quot;type&quot;:&quot;article-journal&quot;,&quot;id&quot;:&quot;59e4d795-3239-365b-bbc0-370f368e3cbe&quot;,&quot;title&quot;:&quot;A framework and assessment instrument for information security culture&quot;,&quot;author&quot;:[{&quot;family&quot;:&quot;Veiga&quot;,&quot;given&quot;:&quot;A.&quot;,&quot;parse-names&quot;:false,&quot;dropping-particle&quot;:&quot;&quot;,&quot;non-dropping-particle&quot;:&quot;Da&quot;},{&quot;family&quot;:&quot;Eloff&quot;,&quot;given&quot;:&quot;J. H.P.&quot;,&quot;parse-names&quot;:false,&quot;dropping-particle&quot;:&quot;&quot;,&quot;non-dropping-particle&quot;:&quot;&quot;}],&quot;container-title&quot;:&quot;Computers &amp; Security&quot;,&quot;container-title-short&quot;:&quot;Comput Secur&quot;,&quot;accessed&quot;:{&quot;date-parts&quot;:[[2025,11,6]]},&quot;DOI&quot;:&quot;10.1016/J.COSE.2009.09.002&quot;,&quot;ISSN&quot;:&quot;0167-4048&quot;,&quot;URL&quot;:&quot;https://www.sciencedirect.com/science/article/abs/pii/S0167404809000923&quot;,&quot;issued&quot;:{&quot;date-parts&quot;:[[2010,3,1]]},&quot;page&quot;:&quot;196-207&quot;,&quot;abstract&quot;:&quot;An organisation's approach to information security should focus on employee behaviour, as the organisation's success or failure effectively depends on the things that its employees do or fail to do. An information security-aware culture will minimise risks to information assets and specifically reduce the risk of employee misbehaviour and harmful interaction with information assets. Organisations require guidance in establishing an information security-aware or implementing an acceptable information security culture. They need to measure and report on the state of information security culture in the organisation. Various approaches exist to address the threats that employee behaviour could pose. However, these approaches do not focus specifically on the interaction between the behaviour of an employee and the culture in an organisation. Organisations therefore have need of a comprehensive framework to cultivate a security-aware culture. The objective of this paper is to propose a framework to cultivate an information security culture within an organisation and to illustrate how to use it. An empirical study is performed to aid in validating the proposed Information Security Culture Framework. © 2009 Elsevier Ltd. All rights reserved.&quot;,&quot;publisher&quot;:&quot;Elsevier Advanced Technology&quot;,&quot;issue&quot;:&quot;2&quot;,&quot;volume&quot;:&quot;29&quot;},&quot;isTemporary&quot;:false}]},{&quot;citationID&quot;:&quot;MENDELEY_CITATION_506896cb-b3ce-431f-b07f-5387c82c4b79&quot;,&quot;properties&quot;:{&quot;noteIndex&quot;:0},&quot;isEdited&quot;:false,&quot;manualOverride&quot;:{&quot;isManuallyOverridden&quot;:false,&quot;citeprocText&quot;:&quot;(Peltier, 2016; Blackley, 2004)&quot;,&quot;manualOverrideText&quot;:&quot;&quot;},&quot;citationTag&quot;:&quot;MENDELEY_CITATION_v3_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&quot;,&quot;citationItems&quot;:[{&quot;id&quot;:&quot;3ff5da17-4c29-3caa-b23c-4204773ea68b&quot;,&quot;itemData&quot;:{&quot;type&quot;:&quot;book&quot;,&quot;id&quot;:&quot;3ff5da17-4c29-3caa-b23c-4204773ea68b&quot;,&quot;title&quot;:&quot;Information Security Policies, Procedures, and Standards&quot;,&quot;author&quot;:[{&quot;family&quot;:&quot;Peltier&quot;,&quot;given&quot;:&quot;Thomas R.&quot;,&quot;parse-names&quot;:false,&quot;dropping-particle&quot;:&quot;&quot;,&quot;non-dropping-particle&quot;:&quot;&quot;}],&quot;DOI&quot;:&quot;10.1201/9780849390326&quot;,&quot;ISBN&quot;:&quot;9780849390326&quot;,&quot;issued&quot;:{&quot;date-parts&quot;:[[2016,4,19]]},&quot;publisher&quot;:&quot;Auerbach Publications&quot;,&quot;container-title-short&quot;:&quot;&quot;},&quot;isTemporary&quot;:false},{&quot;id&quot;:&quot;f8f2c816-e3b2-3ffb-acfe-4b784b91e12e&quot;,&quot;itemData&quot;:{&quot;type&quot;:&quot;book&quot;,&quot;id&quot;:&quot;f8f2c816-e3b2-3ffb-acfe-4b784b91e12e&quot;,&quot;title&quot;:&quot;Information Security Fundamentals&quot;,&quot;author&quot;:[{&quot;family&quot;:&quot;Blackley&quot;,&quot;given&quot;:&quot;Peltier&quot;,&quot;parse-names&quot;:false,&quot;dropping-particle&quot;:&quot;&quot;,&quot;non-dropping-particle&quot;:&quot;&quot;}],&quot;container-title&quot;:&quot;Taylor &amp; Francis&quot;,&quot;DOI&quot;:&quot;10.1201/9780203488652&quot;,&quot;ISBN&quot;:&quot;978-0-42920536-1&quot;,&quot;URL&quot;:&quot;https://www.taylorfrancis.com/books/mono/10.1201/9780203488652/information-security-fundamentals-john-blackley-thomas-peltier-justin-peltier&quot;,&quot;issued&quot;:{&quot;date-parts&quot;:[[2004,10,28]]},&quot;publisher-place&quot;:&quot;Andover, England, UK&quot;,&quot;language&quot;:&quot;English&quot;,&quot;abstract&quot;:&quot;Effective security rules and procedures do not exist for their own sake-they are put in place to protect critical assets, thereby supporting overall business&quot;,&quot;publisher&quot;:&quot;Taylor &amp; Francis&quot;,&quot;container-title-short&quot;:&quot;&quot;},&quot;isTemporary&quot;:false}]},{&quot;citationID&quot;:&quot;MENDELEY_CITATION_578350ee-780b-4af8-8ac4-9365ffe03ebc&quot;,&quot;properties&quot;:{&quot;noteIndex&quot;:0},&quot;isEdited&quot;:false,&quot;manualOverride&quot;:{&quot;isManuallyOverridden&quot;:false,&quot;citeprocText&quot;:&quot;(Muskan, 2025)&quot;,&quot;manualOverrideText&quot;:&quot;&quot;},&quot;citationTag&quot;:&quot;MENDELEY_CITATION_v3_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&quot;,&quot;citationItems&quot;:[{&quot;id&quot;:&quot;cc3d76d4-5b37-3678-82da-ad384ac44a84&quot;,&quot;itemData&quot;:{&quot;type&quot;:&quot;article-journal&quot;,&quot;id&quot;:&quot;cc3d76d4-5b37-3678-82da-ad384ac44a84&quot;,&quot;title&quot;:&quot;Post-Pandemic Business Continuity and Strategic Resilience: Innovative Management Practices for a Disrupted World&quot;,&quot;author&quot;:[{&quot;family&quot;:&quot;Muskan&quot;,&quot;given&quot;:&quot;&quot;,&quot;parse-names&quot;:false,&quot;dropping-particle&quot;:&quot;&quot;,&quot;non-dropping-particle&quot;:&quot;&quot;}],&quot;container-title&quot;:&quot;European Economic Letters (EEL)&quot;,&quot;accessed&quot;:{&quot;date-parts&quot;:[[2025,11,6]]},&quot;DOI&quot;:&quot;10.52783/EEL.V15I2.3065&quot;,&quot;ISSN&quot;:&quot;2323-5233&quot;,&quot;URL&quot;:&quot;https://www.eelet.org.uk/index.php/journal/article/view/3065&quot;,&quot;issued&quot;:{&quot;date-parts&quot;:[[2025,5,15]]},&quot;page&quot;:&quot;2312-2326&quot;,&quot;abstract&quot;:&quot;In the backdrop of COVID-19 pandemic, the world has never seen such global disruptions which compelled the businesses across the industry to rethink their operational model, supply chain, leadership strategy and risk management framework. In undertaking this study, the authors focus on the key areas of post pandemic business continuity and strategic resilience as well as what has become the day-to-day practices of the business world in the quest for a becoming more responsive to a more and more volatile and uncertain world. This captures such organizational shift from the way organizations traditionally attempt to scramble and mitigate risks to how they embrace proactive resilience building or organizational building, starting with digital transformation, agile leadership, decentralizing decision-making, as well as operational strategy grounded on sustainability. This work draws on cross sectoral case studies and contemporary empirical research and uncovers key trends, including hybrid work model, supply chain reengineering, scenario based strategic planning and resilience metrics embedded in corporate governance. It highlights the importance of technological innovation, especially in regards to artificial intelligence driven forecasts, blockchain for supply transparency and cloud-based collaboration tools, for organizational adaptability. What the findings suggest is that businesses that succeeded following pandemic embraced flexibility, had a culture of innovation, and had a mentality of stakeholder, putting employee well-being, customer experience and environmental sustainability first. Besides, the paper offers an alternative theoretical model of strategic resilience through proactive risk sensing, continual learning, and modular business design, which would be more robustly to adapt to the future systemic shocks. Overall, this study advances the cutting-edge discussion on organizational sustainability in a world of disruption, providing practical suggestions for business leaders, policymakers and academics setting out to create more powerful, adjustable and goal driven businesses after the pandemics.&quot;,&quot;publisher&quot;:&quot;Science Research Society&quot;,&quot;issue&quot;:&quot;2&quot;,&quot;volume&quot;:&quot;15&quot;,&quot;container-title-short&quot;:&quot;&quot;},&quot;isTemporary&quot;:false}]},{&quot;citationID&quot;:&quot;MENDELEY_CITATION_36d0581f-0218-4553-ab64-8e5ecfe6ae67&quot;,&quot;properties&quot;:{&quot;noteIndex&quot;:0},&quot;isEdited&quot;:false,&quot;manualOverride&quot;:{&quot;isManuallyOverridden&quot;:false,&quot;citeprocText&quot;:&quot;(Steen, Haug and Patriarca, 2024)&quot;,&quot;manualOverrideText&quot;:&quot;&quot;},&quot;citationTag&quot;:&quot;MENDELEY_CITATION_v3_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&quot;,&quot;citationItems&quot;:[{&quot;id&quot;:&quot;4712fb48-ef3d-36f9-ab73-e8d1da2ab01d&quot;,&quot;itemData&quot;:{&quot;type&quot;:&quot;article-journal&quot;,&quot;id&quot;:&quot;4712fb48-ef3d-36f9-ab73-e8d1da2ab01d&quot;,&quot;title&quot;:&quot;Business continuity and resilience management: A conceptual framework&quot;,&quot;author&quot;:[{&quot;family&quot;:&quot;Steen&quot;,&quot;given&quot;:&quot;Riana&quot;,&quot;parse-names&quot;:false,&quot;dropping-particle&quot;:&quot;&quot;,&quot;non-dropping-particle&quot;:&quot;&quot;},{&quot;family&quot;:&quot;Haug&quot;,&quot;given&quot;:&quot;Ole Jacob&quot;,&quot;parse-names&quot;:false,&quot;dropping-particle&quot;:&quot;&quot;,&quot;non-dropping-particle&quot;:&quot;&quot;},{&quot;family&quot;:&quot;Patriarca&quot;,&quot;given&quot;:&quot;Riccardo&quot;,&quot;parse-names&quot;:false,&quot;dropping-particle&quot;:&quot;&quot;,&quot;non-dropping-particle&quot;:&quot;&quot;}],&quot;container-title&quot;:&quot;Journal of Contingencies and Crisis Management&quot;,&quot;accessed&quot;:{&quot;date-parts&quot;:[[2025,11,6]]},&quot;DOI&quot;:&quot;10.1111/1468-5973.12501&quot;,&quot;ISSN&quot;:&quot;14685973&quot;,&quot;issued&quot;:{&quot;date-parts&quot;:[[2024,3,1]]},&quot;abstract&quot;:&quot;The overall objective of business continuity management (BCM) systems is to provide guidance and analytical subcomponents on how to assess and manage risk and sustain operations when facing a disruptive event. Current BCM practices largely follow a standard structure for formal planning processes and risk-assessment activities. An underlying assumption in standard practices is that systems can be decomposed in subsystems in a meaningful way, as they are tractable and data are available to predict the system's future functionality. However, the reality is much more complex in our volatile world. Standard BCM approaches do not pay adequate attention to the treatment of uncertainties. Thus, they fall short of addressing the complexity of operations involved with emergencies and crisis. Lack of focus on uncertainty hampers the ability of BCM systems to provide sufficient support for decision making in highly uncertain situations. Dealing with such situations necessitates a shift from a defensive risk-management approach, grounded on an illusion of control and accountability, to a proactive stance based on resilience thinking. Responding to this call, we use concepts from the resilience engineering (RE) field and link them to different components of a BCM system. We develop a novel BCM framework and identify a set of resilience influence factors to enhance resilience in BCM systems. We use a case-example, hosted by a leading organization in a second-line emergency response operation in Norway to reflect on the application of a suggested BCM framework.&quot;,&quot;publisher&quot;:&quot;John Wiley and Sons Inc&quot;,&quot;issue&quot;:&quot;1&quot;,&quot;volume&quot;:&quot;32&quot;,&quot;container-title-short&quot;:&quot;&quot;},&quot;isTemporary&quot;:false}]},{&quot;citationID&quot;:&quot;MENDELEY_CITATION_5a304b55-1fdc-416e-85f2-76e0a6a6c7bf&quot;,&quot;properties&quot;:{&quot;noteIndex&quot;:0},&quot;isEdited&quot;:false,&quot;manualOverride&quot;:{&quot;isManuallyOverridden&quot;:false,&quot;citeprocText&quot;:&quot;(Smith, 1995)&quot;,&quot;manualOverrideText&quot;:&quot;&quot;},&quot;citationTag&quot;:&quot;MENDELEY_CITATION_v3_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&quot;,&quot;citationItems&quot;:[{&quot;id&quot;:&quot;2500da56-8ad1-3af5-a00d-570db75f7921&quot;,&quot;itemData&quot;:{&quot;type&quot;:&quot;article-journal&quot;,&quot;id&quot;:&quot;2500da56-8ad1-3af5-a00d-570db75f7921&quot;,&quot;title&quot;:&quot;Business continuity planning and service level agreements&quot;,&quot;author&quot;:[{&quot;family&quot;:&quot;Smith&quot;,&quot;given&quot;:&quot;Russell&quot;,&quot;parse-names&quot;:false,&quot;dropping-particle&quot;:&quot;&quot;,&quot;non-dropping-particle&quot;:&quot;&quot;}],&quot;container-title&quot;:&quot;Information Management &amp; Computer Security&quot;,&quot;DOI&quot;:&quot;10.1108/09685229510092048&quot;,&quot;ISSN&quot;:&quot;0968-5227&quot;,&quot;issued&quot;:{&quot;date-parts&quot;:[[1995,8,1]]},&quot;page&quot;:&quot;17-19&quot;,&quot;abstract&quot;:&quot;&lt;p&gt;Business continuity planning is like any other service that is provided and, as such, justifies a service level agreement. Promotes the idea of a master service agreement as an umbrella document for the establishment and maintenance of service level agreements.&lt;/p&gt;&quot;,&quot;issue&quot;:&quot;3&quot;,&quot;volume&quot;:&quot;3&quot;,&quot;container-title-short&quot;:&quot;&quot;},&quot;isTemporary&quot;:false}]},{&quot;citationID&quot;:&quot;MENDELEY_CITATION_2af26be4-c5eb-4fcc-9ba0-561b65f20dbd&quot;,&quot;properties&quot;:{&quot;noteIndex&quot;:0},&quot;isEdited&quot;:false,&quot;manualOverride&quot;:{&quot;isManuallyOverridden&quot;:false,&quot;citeprocText&quot;:&quot;(isms.online, 2023)&quot;,&quot;manualOverrideText&quot;:&quot;&quot;},&quot;citationTag&quot;:&quot;MENDELEY_CITATION_v3_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&quot;,&quot;citationItems&quot;:[{&quot;id&quot;:&quot;dcd49646-28f3-39b4-a5e4-35a0bf1c59c1&quot;,&quot;itemData&quot;:{&quot;type&quot;:&quot;article&quot;,&quot;id&quot;:&quot;dcd49646-28f3-39b4-a5e4-35a0bf1c59c1&quot;,&quot;title&quot;:&quot;ISO 27001 and PCI DSS Integration | ISMS.online&quot;,&quot;author&quot;:[{&quot;family&quot;:&quot;isms.online&quot;,&quot;given&quot;:&quot;&quot;,&quot;parse-names&quot;:false,&quot;dropping-particle&quot;:&quot;&quot;,&quot;non-dropping-particle&quot;:&quot;&quot;}],&quot;container-title&quot;:&quot;ISMS&quot;,&quot;URL&quot;:&quot;https://www.isms.online/iso-27001/integration-with-pci-dss&quot;,&quot;issued&quot;:{&quot;date-parts&quot;:[[2023,12,25]]},&quot;abstract&quot;:&quot;PCI DSS establishes guidelines for protecting payment card data, while ISO 27001 encompasses an information security management system.&quot;,&quot;container-title-short&quot;:&quot;&quot;},&quot;isTemporary&quot;:false}]},{&quot;citationID&quot;:&quot;MENDELEY_CITATION_0cf0f082-1ba7-48d6-8425-8b14d13889a1&quot;,&quot;properties&quot;:{&quot;noteIndex&quot;:0},&quot;isEdited&quot;:false,&quot;manualOverride&quot;:{&quot;isManuallyOverridden&quot;:false,&quot;citeprocText&quot;:&quot;(IBM, 2024)&quot;,&quot;manualOverrideText&quot;:&quot;&quot;},&quot;citationTag&quot;:&quot;MENDELEY_CITATION_v3_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&quot;,&quot;citationItems&quot;:[{&quot;id&quot;:&quot;d4210a9e-e521-369c-934c-0747d8bdd383&quot;,&quot;itemData&quot;:{&quot;type&quot;:&quot;webpage&quot;,&quot;id&quot;:&quot;d4210a9e-e521-369c-934c-0747d8bdd383&quot;,&quot;title&quot;:&quot;Cost of a data breach 2024&quot;,&quot;author&quot;:[{&quot;family&quot;:&quot;IBM&quot;,&quot;given&quot;:&quot;&quot;,&quot;parse-names&quot;:false,&quot;dropping-particle&quot;:&quot;&quot;,&quot;non-dropping-particle&quot;:&quot;&quot;}],&quot;accessed&quot;:{&quot;date-parts&quot;:[[2025,4,29]]},&quot;URL&quot;:&quot;https://www.ibm.com/reports/data-breach&quot;,&quot;issued&quot;:{&quot;date-parts&quot;:[[2024]]},&quot;container-title-short&quot;:&quot;&quot;},&quot;isTemporary&quot;:false}]},{&quot;citationID&quot;:&quot;MENDELEY_CITATION_248a398a-f773-4e5b-b928-293e4efb2830&quot;,&quot;properties&quot;:{&quot;noteIndex&quot;:0},&quot;isEdited&quot;:false,&quot;manualOverride&quot;:{&quot;isManuallyOverridden&quot;:false,&quot;citeprocText&quot;:&quot;(The Guardian, 2024)&quot;,&quot;manualOverrideText&quot;:&quot;&quot;},&quot;citationTag&quot;:&quot;MENDELEY_CITATION_v3_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&quot;,&quot;citationItems&quot;:[{&quot;id&quot;:&quot;e93695cd-e48d-35b6-a0ae-65a79dc00548&quot;,&quot;itemData&quot;:{&quot;type&quot;:&quot;webpage&quot;,&quot;id&quot;:&quot;e93695cd-e48d-35b6-a0ae-65a79dc00548&quot;,&quot;title&quot;:&quot;Online security lapses led to data of 40m UK voters being hacked, says ICO &quot;,&quot;author&quot;:[{&quot;family&quot;:&quot;The Guardian&quot;,&quot;given&quot;:&quot;&quot;,&quot;parse-names&quot;:false,&quot;dropping-particle&quot;:&quot;&quot;,&quot;non-dropping-particle&quot;:&quot;&quot;}],&quot;container-title&quot;:&quot;Electoral Commission &quot;,&quot;accessed&quot;:{&quot;date-parts&quot;:[[2025,11,6]]},&quot;URL&quot;:&quot;https://www.theguardian.com/politics/article/2024/jul/30/online-security-lapses-led-to-data-of-40m-uk-voters-being-hacked-says-ico&quot;,&quot;issued&quot;:{&quot;date-parts&quot;:[[2024,7,30]]},&quot;container-title-short&quot;:&quot;&quot;},&quot;isTemporary&quot;:false}]},{&quot;citationID&quot;:&quot;MENDELEY_CITATION_0563ecea-ee36-496d-a5d0-39b4abf19a69&quot;,&quot;properties&quot;:{&quot;noteIndex&quot;:0},&quot;isEdited&quot;:false,&quot;manualOverride&quot;:{&quot;isManuallyOverridden&quot;:false,&quot;citeprocText&quot;:&quot;(IT Governance, 2024)&quot;,&quot;manualOverrideText&quot;:&quot;&quot;},&quot;citationTag&quot;:&quot;MENDELEY_CITATION_v3_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&quot;,&quot;citationItems&quot;:[{&quot;id&quot;:&quot;ccd7bcc4-25f5-3dd2-b2db-280fe73de3db&quot;,&quot;itemData&quot;:{&quot;type&quot;:&quot;webpage&quot;,&quot;id&quot;:&quot;ccd7bcc4-25f5-3dd2-b2db-280fe73de3db&quot;,&quot;title&quot;:&quot;ISO 27001:2022 Annex A Controls - A Complete Guide&quot;,&quot;author&quot;:[{&quot;family&quot;:&quot;IT Governance&quot;,&quot;given&quot;:&quot;&quot;,&quot;parse-names&quot;:false,&quot;dropping-particle&quot;:&quot;&quot;,&quot;non-dropping-particle&quot;:&quot;&quot;}],&quot;container-title&quot;:&quot;IT Governance UK&quot;,&quot;accessed&quot;:{&quot;date-parts&quot;:[[2025,11,6]]},&quot;URL&quot;:&quot;https://www.itgovernance.co.uk/blog/iso-27001-the-14-control-sets-of-annex-a-explained&quot;,&quot;issued&quot;:{&quot;date-parts&quot;:[[2024,3,13]]},&quot;container-title-short&quot;:&quot;&quot;},&quot;isTemporary&quot;:false}]},{&quot;citationID&quot;:&quot;MENDELEY_CITATION_5c371f20-37e1-48c2-81ac-66a76a9e7900&quot;,&quot;properties&quot;:{&quot;noteIndex&quot;:0},&quot;isEdited&quot;:false,&quot;manualOverride&quot;:{&quot;isManuallyOverridden&quot;:false,&quot;citeprocText&quot;:&quot;(NIST, 2025)&quot;,&quot;manualOverrideText&quot;:&quot;&quot;},&quot;citationTag&quot;:&quot;MENDELEY_CITATION_v3_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&quot;,&quot;citationItems&quot;:[{&quot;id&quot;:&quot;82de10c3-c3f7-346f-8231-660936a47862&quot;,&quot;itemData&quot;:{&quot;type&quot;:&quot;article-journal&quot;,&quot;id&quot;:&quot;82de10c3-c3f7-346f-8231-660936a47862&quot;,&quot;title&quot;:&quot;The NIST Cybersecurity Framework (CSF) 2.0 (Mandarin Chinese translation)&quot;,&quot;author&quot;:[{&quot;family&quot;:&quot;NIST&quot;,&quot;given&quot;:&quot;Gaithersburg MD&quot;,&quot;parse-names&quot;:false,&quot;dropping-particle&quot;:&quot;&quot;,&quot;non-dropping-particle&quot;:&quot;&quot;}],&quot;accessed&quot;:{&quot;date-parts&quot;:[[2025,4,29]]},&quot;DOI&quot;:&quot;10.6028/NIST.CSWP.29.CHI&quot;,&quot;URL&quot;:&quot;https://nvlpubs.nist.gov/nistpubs/CSWP/NIST.CSWP.29.chi.pdf&quot;,&quot;issued&quot;:{&quot;date-parts&quot;:[[2025]]},&quot;container-title-short&quot;:&quot;&quot;},&quot;isTemporary&quot;:false}]},{&quot;citationID&quot;:&quot;MENDELEY_CITATION_ec3548bb-577d-4b39-badd-f31242749c78&quot;,&quot;properties&quot;:{&quot;noteIndex&quot;:0},&quot;isEdited&quot;:false,&quot;manualOverride&quot;:{&quot;isManuallyOverridden&quot;:false,&quot;citeprocText&quot;:&quot;(Shen, 2014)&quot;,&quot;manualOverrideText&quot;:&quot;&quot;},&quot;citationTag&quot;:&quot;MENDELEY_CITATION_v3_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&quot;,&quot;citationItems&quot;:[{&quot;id&quot;:&quot;ab043120-32a1-3a8b-8d0b-66b658935562&quot;,&quot;itemData&quot;:{&quot;type&quot;:&quot;article-journal&quot;,&quot;id&quot;:&quot;ab043120-32a1-3a8b-8d0b-66b658935562&quot;,&quot;title&quot;:&quot;The NIST cybersecurity framework: Overview and potential impacts&quot;,&quot;author&quot;:[{&quot;family&quot;:&quot;Shen&quot;,&quot;given&quot;:&quot;Lei&quot;,&quot;parse-names&quot;:false,&quot;dropping-particle&quot;:&quot;&quot;,&quot;non-dropping-particle&quot;:&quot;&quot;}],&quot;container-title&quot;:&quot;Scitech Lawyer&quot;,&quot;ISSN&quot;:&quot;1550-2090&quot;,&quot;issued&quot;:{&quot;date-parts&quot;:[[2014]]},&quot;page&quot;:&quot;16&quot;,&quot;publisher&quot;:&quot;American Bar Association&quot;,&quot;issue&quot;:&quot;4&quot;,&quot;volume&quot;:&quot;10&quot;,&quot;container-title-short&quot;:&quot;&quot;},&quot;isTemporary&quot;:false}]},{&quot;citationID&quot;:&quot;MENDELEY_CITATION_576bfba1-93ce-4559-b40e-eb1a7bc1842d&quot;,&quot;properties&quot;:{&quot;noteIndex&quot;:0},&quot;isEdited&quot;:false,&quot;manualOverride&quot;:{&quot;isManuallyOverridden&quot;:false,&quot;citeprocText&quot;:&quot;(Siponen and Willison, 2009)&quot;,&quot;manualOverrideText&quot;:&quot;&quot;},&quot;citationTag&quot;:&quot;MENDELEY_CITATION_v3_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&quot;,&quot;citationItems&quot;:[{&quot;id&quot;:&quot;c1d26140-a16f-3356-a6a6-8acb7aeee360&quot;,&quot;itemData&quot;:{&quot;type&quot;:&quot;article-journal&quot;,&quot;id&quot;:&quot;c1d26140-a16f-3356-a6a6-8acb7aeee360&quot;,&quot;title&quot;:&quot;Information security management standards: Problems and solutions&quot;,&quot;author&quot;:[{&quot;family&quot;:&quot;Siponen&quot;,&quot;given&quot;:&quot;Mikko&quot;,&quot;parse-names&quot;:false,&quot;dropping-particle&quot;:&quot;&quot;,&quot;non-dropping-particle&quot;:&quot;&quot;},{&quot;family&quot;:&quot;Willison&quot;,&quot;given&quot;:&quot;Robert&quot;,&quot;parse-names&quot;:false,&quot;dropping-particle&quot;:&quot;&quot;,&quot;non-dropping-particle&quot;:&quot;&quot;}],&quot;container-title&quot;:&quot;Information and Management&quot;,&quot;accessed&quot;:{&quot;date-parts&quot;:[[2025,11,6]]},&quot;DOI&quot;:&quot;10.1016/J.IM.2008.12.007&quot;,&quot;ISSN&quot;:&quot;03787206&quot;,&quot;URL&quot;:&quot;https://www.researchgate.net/publication/221998085_Information_security_management_standards_Problems_and_solutions&quot;,&quot;issued&quot;:{&quot;date-parts&quot;:[[2009,6]]},&quot;page&quot;:&quot;267-270&quot;,&quot;abstract&quot;:&quot;International information security management guidelines play a key role in managing and certifying organizational IS. We analyzed BS7799, BS ISO/IEC17799: 2000, GASPP/GAISP, and the SSE-CMM to determine and compare how these guidelines are validated, and how widely they can be applied. First, we found that BS7799, BS ISO/IEC17799: 2000, GASPP/GAISP and the SSE-CMM were generic or universal in scope; consequently they do not pay enough attention to the differences between organizations and the fact that their security requirements are different. Second, we noted that these guidelines were validated by appeal to common practice and authority and that this was not a sound basis for important international information security guidelines. To address these shortcomings, we believe that information security management guidelines should be seen as a library of material on information security management for practitioners. © 2009 Elsevier B.V. All rights reserved.&quot;,&quot;issue&quot;:&quot;5&quot;,&quot;volume&quot;:&quot;46&quot;,&quot;container-title-short&quot;:&quot;&quot;},&quot;isTemporary&quot;:false}]},{&quot;citationID&quot;:&quot;MENDELEY_CITATION_b6175f72-10f5-45ab-9beb-2291d5ea8a64&quot;,&quot;properties&quot;:{&quot;noteIndex&quot;:0},&quot;isEdited&quot;:false,&quot;manualOverride&quot;:{&quot;isManuallyOverridden&quot;:false,&quot;citeprocText&quot;:&quot;(Rose &lt;i&gt;et al.&lt;/i&gt;, 2020)&quot;,&quot;manualOverrideText&quot;:&quot;&quot;},&quot;citationTag&quot;:&quot;MENDELEY_CITATION_v3_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&quot;,&quot;citationItems&quot;:[{&quot;id&quot;:&quot;2956355c-bac3-369f-ac95-c4ce51ba74e5&quot;,&quot;itemData&quot;:{&quot;type&quot;:&quot;article-journal&quot;,&quot;id&quot;:&quot;2956355c-bac3-369f-ac95-c4ce51ba74e5&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container-title&quot;:&quot;NIST Special Publication 800-207&quot;,&quot;accessed&quot;:{&quot;date-parts&quot;:[[2025,11,6]]},&quot;DOI&quot;:&quot;10.6028/NIST.SP.800-207&quot;,&quot;URL&quot;:&quot;https://doi.org/10.6028/NIST.SP.800-207&quot;,&quot;issued&quot;:{&quot;date-parts&quot;:[[2020]]},&quot;container-title-short&quot;:&quot;&quot;},&quot;isTemporary&quot;:false}]},{&quot;citationID&quot;:&quot;MENDELEY_CITATION_9542a00b-3201-4ff0-8069-cf609f81f3c6&quot;,&quot;properties&quot;:{&quot;noteIndex&quot;:0},&quot;isEdited&quot;:false,&quot;manualOverride&quot;:{&quot;isManuallyOverridden&quot;:false,&quot;citeprocText&quot;:&quot;(Gambo and Almulhem, 2025)&quot;,&quot;manualOverrideText&quot;:&quot;&quot;},&quot;citationTag&quot;:&quot;MENDELEY_CITATION_v3_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&quot;,&quot;citationItems&quot;:[{&quot;id&quot;:&quot;07695ef5-9321-34d2-be36-d26e42d0696c&quot;,&quot;itemData&quot;:{&quot;type&quot;:&quot;article-journal&quot;,&quot;id&quot;:&quot;07695ef5-9321-34d2-be36-d26e42d0696c&quot;,&quot;title&quot;:&quot;Zero Trust Architecture: A Systematic Literature Review&quot;,&quot;author&quot;:[{&quot;family&quot;:&quot;Gambo&quot;,&quot;given&quot;:&quot;Muhammad Liman&quot;,&quot;parse-names&quot;:false,&quot;dropping-particle&quot;:&quot;&quot;,&quot;non-dropping-particle&quot;:&quot;&quot;},{&quot;family&quot;:&quot;Almulhem&quot;,&quot;given&quot;:&quot;Ahmad&quot;,&quot;parse-names&quot;:false,&quot;dropping-particle&quot;:&quot;&quot;,&quot;non-dropping-particle&quot;:&quot;&quot;}],&quot;accessed&quot;:{&quot;date-parts&quot;:[[2025,11,6]]},&quot;URL&quot;:&quot;https://arxiv.org/pdf/2503.11659v1&quot;,&quot;issued&quot;:{&quot;date-parts&quot;:[[2025,3,21]]},&quot;abstract&quot;:&quot;The increasing complexity of digital ecosystems and evolving cybersecurity threats have highlighted the limitations of traditional perimeter-based security models, leading to the growing adoption of Zero Trust Architecture (ZTA). ZTA operates on the principle of \&quot;never trust, always verify\&quot;, enforcing continuous authentication, conditional access, dynamic trust evaluation, and the principle of least privilege to enhance security across diverse domains. This study applies the PRISMA framework to analyze 10 years of research (2016-2025) on ZTA, presenting a systematic literature review (SLR) that synthesizes its applications, enabling technologies, and associated challenges. It provides a detailed taxonomy that organizes ZTA's application domains, together with the emerging technologies that facilitate its implementation, and critically examines the barriers to ZTA adoption. Additionally, the study traces the historical evolution of ZTA alongside notable events and publications trends while highlighting some potential factors for the surge over the past few years. This comprehensive analysis serves as a practical guide for researchers and practitioners seeking to leverage ZTA for stronger, more adaptive security frameworks in a rapidly shifting threat landscape.&quot;,&quot;container-title-short&quot;:&quot;&quot;},&quot;isTemporary&quot;:false}]},{&quot;citationID&quot;:&quot;MENDELEY_CITATION_2e49426b-f405-45aa-b00c-c88e838e7457&quot;,&quot;properties&quot;:{&quot;noteIndex&quot;:0},&quot;isEdited&quot;:false,&quot;manualOverride&quot;:{&quot;isManuallyOverridden&quot;:false,&quot;citeprocText&quot;:&quot;(Wingfield, 2025)&quot;,&quot;manualOverrideText&quot;:&quot;&quot;},&quot;citationTag&quot;:&quot;MENDELEY_CITATION_v3_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&quot;,&quot;citationItems&quot;:[{&quot;id&quot;:&quot;8abf84ec-93ec-33c7-99a1-ce19657b942a&quot;,&quot;itemData&quot;:{&quot;type&quot;:&quot;webpage&quot;,&quot;id&quot;:&quot;8abf84ec-93ec-33c7-99a1-ce19657b942a&quot;,&quot;title&quot;:&quot;The EU AI Act: Where Do We Stand in 2025? &quot;,&quot;author&quot;:[{&quot;family&quot;:&quot;Wingfield&quot;,&quot;given&quot;:&quot;Richard&quot;,&quot;parse-names&quot;:false,&quot;dropping-particle&quot;:&quot;&quot;,&quot;non-dropping-particle&quot;:&quot;&quot;}],&quot;container-title&quot;:&quot;Sustainable Business Network and Advisory Service, BSR&quot;,&quot;accessed&quot;:{&quot;date-parts&quot;:[[2025,11,6]]},&quot;URL&quot;:&quot;https://www.bsr.org/en/blog/the-eu-ai-act-where-do-we-stand-in-2025&quot;,&quot;issued&quot;:{&quot;date-parts&quot;:[[2025,5,6]]},&quot;container-title-short&quot;:&quot;&quot;},&quot;isTemporary&quot;:false}]},{&quot;citationID&quot;:&quot;MENDELEY_CITATION_b543f9eb-54c4-4148-ba99-ed8ed8730b50&quot;,&quot;properties&quot;:{&quot;noteIndex&quot;:0},&quot;isEdited&quot;:false,&quot;manualOverride&quot;:{&quot;isManuallyOverridden&quot;:false,&quot;citeprocText&quot;:&quot;(de Almeida, dos Santos and Farias, 2021)&quot;,&quot;manualOverrideText&quot;:&quot;&quot;},&quot;citationTag&quot;:&quot;MENDELEY_CITATION_v3_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&quot;,&quot;citationItems&quot;:[{&quot;id&quot;:&quot;f9806b0e-d1ec-37ec-a7fe-98a42bc4912f&quot;,&quot;itemData&quot;:{&quot;type&quot;:&quot;article-journal&quot;,&quot;id&quot;:&quot;f9806b0e-d1ec-37ec-a7fe-98a42bc4912f&quot;,&quot;title&quot;:&quot;Artificial Intelligence Regulation: a framework for governance&quot;,&quot;author&quot;:[{&quot;family&quot;:&quot;Almeida&quot;,&quot;given&quot;:&quot;Patricia Gomes Rêgo&quot;,&quot;parse-names&quot;:false,&quot;dropping-particle&quot;:&quot;&quot;,&quot;non-dropping-particle&quot;:&quot;de&quot;},{&quot;family&quot;:&quot;Santos&quot;,&quot;given&quot;:&quot;Carlos Denner&quot;,&quot;parse-names&quot;:false,&quot;dropping-particle&quot;:&quot;&quot;,&quot;non-dropping-particle&quot;:&quot;dos&quot;},{&quot;family&quot;:&quot;Farias&quot;,&quot;given&quot;:&quot;Josivania Silva&quot;,&quot;parse-names&quot;:false,&quot;dropping-particle&quot;:&quot;&quot;,&quot;non-dropping-particle&quot;:&quot;&quot;}],&quot;container-title&quot;:&quot;Ethics and Information Technology&quot;,&quot;container-title-short&quot;:&quot;Ethics Inf Technol&quot;,&quot;DOI&quot;:&quot;10.1007/s10676-021-09593-z&quot;,&quot;ISSN&quot;:&quot;1572-8439&quot;,&quot;URL&quot;:&quot;https://link.springer.com/article/10.1007/s10676-021-09593-z&quot;,&quot;issued&quot;:{&quot;date-parts&quot;:[[2021,9,1]]},&quot;page&quot;:&quot;505-525&quot;,&quot;abstract&quot;:&quot;This article develops a conceptual framework for regulating Artificial Intelligence (AI) that encompasses all stages of modern public policy-making, from the basics to a sustainable governance. Based on a vast systematic review of the literature on Artificial Intelligence Regulation (AIR) published between 2010 and 2020, a dispersed body of knowledge loosely centred around the “framework” concept was organised, described, and pictured for better understanding. The resulting integrative framework encapsulates 21 prior depictions of the policy-making process, aiming to achieve gold-standard societal values, such as fairness, freedom and long-term sustainability. This challenge of integrating the AIR literature was matched by the identification of a structural common ground among different approaches. The AIR framework results from an effort to identify and later analytically deduce synthetic, and generic tool for a country-specific, stakeholder-aware analysis of AIR matters. Theories and principles as diverse as Agile and Ethics were combined in the “AIR framework”, which provides a conceptual lens for societies to think collectively and make informed policy decisions related to what, when, and how the uses and applications of AI should be regulated. Moreover, the AIR framework serves as a theoretically sound starting point for endeavours related to AI regulation, from legislation to research and development. As we know, the (potential) impacts of AI on society are immense, and therefore the discourses, social negotiations, and applications of this technology should be guided by common grounds based on contemporary governance techniques, and social values legitimated via dialogue and scientific research.&quot;,&quot;publisher&quot;:&quot;Springer Netherlands&quot;,&quot;issue&quot;:&quot;3&quot;,&quot;volume&quot;:&quot;23&quot;},&quot;isTemporary&quot;:false}]},{&quot;citationID&quot;:&quot;MENDELEY_CITATION_aecc1d6b-c16c-4ea4-aad0-64fa31d99b63&quot;,&quot;properties&quot;:{&quot;noteIndex&quot;:0},&quot;isEdited&quot;:false,&quot;manualOverride&quot;:{&quot;isManuallyOverridden&quot;:false,&quot;citeprocText&quot;:&quot;(PECB, 2025)&quot;,&quot;manualOverrideText&quot;:&quot;&quot;},&quot;citationTag&quot;:&quot;MENDELEY_CITATION_v3_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&quot;,&quot;citationItems&quot;:[{&quot;id&quot;:&quot;fe9b9dd1-6752-3262-a18f-17d697cee33d&quot;,&quot;itemData&quot;:{&quot;type&quot;:&quot;webpage&quot;,&quot;id&quot;:&quot;fe9b9dd1-6752-3262-a18f-17d697cee33d&quot;,&quot;title&quot;:&quot;ISO/IEC 27001 - What are the main changes in 2022? &quot;,&quot;author&quot;:[{&quot;family&quot;:&quot;PECB&quot;,&quot;given&quot;:&quot;&quot;,&quot;parse-names&quot;:false,&quot;dropping-particle&quot;:&quot;&quot;,&quot;non-dropping-particle&quot;:&quot;&quot;}],&quot;accessed&quot;:{&quot;date-parts&quot;:[[2025,11,6]]},&quot;URL&quot;:&quot;https://pecb.com/en/article/iso-iec-27001-what-are-the-main-changes-in-2022&quot;,&quot;issued&quot;:{&quot;date-parts&quot;:[[2025]]},&quot;container-title-short&quot;:&quot;&quot;},&quot;isTemporary&quot;:false}]},{&quot;citationID&quot;:&quot;MENDELEY_CITATION_993ea897-2712-48f6-8fc8-d4eeb164ceaa&quot;,&quot;properties&quot;:{&quot;noteIndex&quot;:0},&quot;isEdited&quot;:false,&quot;manualOverride&quot;:{&quot;isManuallyOverridden&quot;:false,&quot;citeprocText&quot;:&quot;(NIST, 2025)&quot;,&quot;manualOverrideText&quot;:&quot;&quot;},&quot;citationTag&quot;:&quot;MENDELEY_CITATION_v3_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&quot;,&quot;citationItems&quot;:[{&quot;id&quot;:&quot;82de10c3-c3f7-346f-8231-660936a47862&quot;,&quot;itemData&quot;:{&quot;type&quot;:&quot;article-journal&quot;,&quot;id&quot;:&quot;82de10c3-c3f7-346f-8231-660936a47862&quot;,&quot;title&quot;:&quot;The NIST Cybersecurity Framework (CSF) 2.0 (Mandarin Chinese translation)&quot;,&quot;author&quot;:[{&quot;family&quot;:&quot;NIST&quot;,&quot;given&quot;:&quot;Gaithersburg MD&quot;,&quot;parse-names&quot;:false,&quot;dropping-particle&quot;:&quot;&quot;,&quot;non-dropping-particle&quot;:&quot;&quot;}],&quot;accessed&quot;:{&quot;date-parts&quot;:[[2025,4,29]]},&quot;DOI&quot;:&quot;10.6028/NIST.CSWP.29.CHI&quot;,&quot;URL&quot;:&quot;https://nvlpubs.nist.gov/nistpubs/CSWP/NIST.CSWP.29.chi.pdf&quot;,&quot;issued&quot;:{&quot;date-parts&quot;:[[2025]]},&quot;container-title-short&quot;:&quot;&quot;},&quot;isTemporary&quot;:false}]},{&quot;citationID&quot;:&quot;MENDELEY_CITATION_a245816e-a080-4de6-a5e8-18632e229b02&quot;,&quot;properties&quot;:{&quot;noteIndex&quot;:0},&quot;isEdited&quot;:false,&quot;manualOverride&quot;:{&quot;isManuallyOverridden&quot;:false,&quot;citeprocText&quot;:&quot;(Hurkadli, 2023)&quot;,&quot;manualOverrideText&quot;:&quot;&quot;},&quot;citationTag&quot;:&quot;MENDELEY_CITATION_v3_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&quot;,&quot;citationItems&quot;:[{&quot;id&quot;:&quot;083516b9-a1b1-30ab-be57-0b78d9db50a2&quot;,&quot;itemData&quot;:{&quot;type&quot;:&quot;webpage&quot;,&quot;id&quot;:&quot;083516b9-a1b1-30ab-be57-0b78d9db50a2&quot;,&quot;title&quot;:&quot;COBIT 2019 Framework &quot;,&quot;author&quot;:[{&quot;family&quot;:&quot;Hurkadli&quot;,&quot;given&quot;:&quot;Rahulprasad&quot;,&quot;parse-names&quot;:false,&quot;dropping-particle&quot;:&quot;&quot;,&quot;non-dropping-particle&quot;:&quot;&quot;}],&quot;container-title&quot;:&quot;ITSM&quot;,&quot;accessed&quot;:{&quot;date-parts&quot;:[[2025,11,6]]},&quot;URL&quot;:&quot;https://www.itsm-docs.com/blogs/cobit/cobit-2019-framework&quot;,&quot;issued&quot;:{&quot;date-parts&quot;:[[2023,8,28]]},&quot;container-title-short&quot;:&quot;&quot;},&quot;isTemporary&quot;:false}]},{&quot;citationID&quot;:&quot;MENDELEY_CITATION_3a4fe7de-a311-4e28-9490-f23ce44ff1ca&quot;,&quot;properties&quot;:{&quot;noteIndex&quot;:0},&quot;isEdited&quot;:false,&quot;manualOverride&quot;:{&quot;isManuallyOverridden&quot;:false,&quot;citeprocText&quot;:&quot;(Kumar, 2024)&quot;,&quot;manualOverrideText&quot;:&quot;&quot;},&quot;citationTag&quot;:&quot;MENDELEY_CITATION_v3_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&quot;,&quot;citationItems&quot;:[{&quot;id&quot;:&quot;8f42f0ba-d027-3c52-bb48-136fc55f656e&quot;,&quot;itemData&quot;:{&quot;type&quot;:&quot;webpage&quot;,&quot;id&quot;:&quot;8f42f0ba-d027-3c52-bb48-136fc55f656e&quot;,&quot;title&quot;:&quot;Zero Trust Security: Safeguarding ITSM Against Emerging Threats – ITSM Docs - ITSM Documents &amp; Templates&quot;,&quot;author&quot;:[{&quot;family&quot;:&quot;Kumar&quot;,&quot;given&quot;:&quot;Rajeshwari&quot;,&quot;parse-names&quot;:false,&quot;dropping-particle&quot;:&quot;&quot;,&quot;non-dropping-particle&quot;:&quot;&quot;}],&quot;container-title&quot;:&quot;ITSM&quot;,&quot;accessed&quot;:{&quot;date-parts&quot;:[[2025,11,6]]},&quot;URL&quot;:&quot;https://www.itsm-docs.com/blogs/itil-concepts/zero-trust-security&quot;,&quot;issued&quot;:{&quot;date-parts&quot;:[[2024,9,27]]},&quot;container-title-short&quot;:&quot;&quot;},&quot;isTemporary&quot;:false}]}]"/>
    <we:property name="MENDELEY_CITATIONS_LOCALE_CODE" value="&quot;en-GB&quot;"/>
    <we:property name="MENDELEY_CITATIONS_STYLE" value="{&quot;id&quot;:&quot;https://www.zotero.org/styles/harvard-university-of-the-west-of-england&quot;,&quot;title&quot;:&quot;University of the West of England (Bristol)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DE1EA34-9DAB-9E4C-A8EA-DF5735B18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23</Pages>
  <Words>5815</Words>
  <Characters>33148</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DEEPTHI</dc:creator>
  <cp:keywords/>
  <dc:description/>
  <cp:lastModifiedBy>Deepthi Podili</cp:lastModifiedBy>
  <cp:revision>4</cp:revision>
  <cp:lastPrinted>2025-11-06T14:50:00Z</cp:lastPrinted>
  <dcterms:created xsi:type="dcterms:W3CDTF">2025-11-17T20:02:00Z</dcterms:created>
  <dcterms:modified xsi:type="dcterms:W3CDTF">2025-11-17T20:18:00Z</dcterms:modified>
</cp:coreProperties>
</file>