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D85FD" w14:textId="74DCA6DD" w:rsidR="0070329A" w:rsidRDefault="0070329A" w:rsidP="0070329A">
      <w:pPr>
        <w:jc w:val="left"/>
        <w:rPr>
          <w:b/>
          <w:sz w:val="36"/>
        </w:rPr>
      </w:pPr>
      <w:r>
        <w:rPr>
          <w:b/>
          <w:noProof/>
          <w:sz w:val="36"/>
        </w:rPr>
        <w:drawing>
          <wp:inline distT="0" distB="0" distL="0" distR="0" wp14:anchorId="5A74FF3B" wp14:editId="557069DA">
            <wp:extent cx="2903220" cy="14516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3220" cy="1451610"/>
                    </a:xfrm>
                    <a:prstGeom prst="rect">
                      <a:avLst/>
                    </a:prstGeom>
                    <a:noFill/>
                    <a:ln>
                      <a:noFill/>
                    </a:ln>
                  </pic:spPr>
                </pic:pic>
              </a:graphicData>
            </a:graphic>
          </wp:inline>
        </w:drawing>
      </w:r>
    </w:p>
    <w:p w14:paraId="210A0BD6" w14:textId="77777777" w:rsidR="0070329A" w:rsidRDefault="0070329A" w:rsidP="0070329A">
      <w:pPr>
        <w:jc w:val="left"/>
        <w:rPr>
          <w:b/>
          <w:sz w:val="36"/>
        </w:rPr>
      </w:pPr>
    </w:p>
    <w:p w14:paraId="1974CAD0" w14:textId="77777777" w:rsidR="0070329A" w:rsidRDefault="0070329A" w:rsidP="0070329A">
      <w:pPr>
        <w:jc w:val="left"/>
        <w:rPr>
          <w:b/>
          <w:sz w:val="36"/>
        </w:rPr>
      </w:pPr>
      <w:r>
        <w:rPr>
          <w:b/>
          <w:sz w:val="36"/>
        </w:rPr>
        <w:t>Name of Student: IONELA NICOLETA CIUPLEA</w:t>
      </w:r>
    </w:p>
    <w:p w14:paraId="30955EA3" w14:textId="77777777" w:rsidR="0070329A" w:rsidRDefault="0070329A" w:rsidP="0070329A">
      <w:pPr>
        <w:jc w:val="left"/>
        <w:rPr>
          <w:b/>
          <w:sz w:val="36"/>
        </w:rPr>
      </w:pPr>
      <w:r>
        <w:rPr>
          <w:b/>
          <w:sz w:val="36"/>
        </w:rPr>
        <w:t>Student number: 1906526</w:t>
      </w:r>
    </w:p>
    <w:p w14:paraId="6D5C5B38" w14:textId="73D234A6" w:rsidR="0070329A" w:rsidRDefault="0070329A" w:rsidP="0070329A">
      <w:pPr>
        <w:jc w:val="left"/>
        <w:rPr>
          <w:b/>
          <w:sz w:val="36"/>
        </w:rPr>
      </w:pPr>
      <w:r>
        <w:rPr>
          <w:b/>
          <w:sz w:val="36"/>
        </w:rPr>
        <w:t>Module title: LCBB4005</w:t>
      </w:r>
    </w:p>
    <w:p w14:paraId="0DE510E4" w14:textId="55AE08E3" w:rsidR="0070329A" w:rsidRDefault="0070329A" w:rsidP="0070329A">
      <w:pPr>
        <w:jc w:val="left"/>
        <w:rPr>
          <w:b/>
          <w:sz w:val="36"/>
        </w:rPr>
      </w:pPr>
      <w:r>
        <w:rPr>
          <w:b/>
          <w:sz w:val="36"/>
        </w:rPr>
        <w:t xml:space="preserve">Assignment title: </w:t>
      </w:r>
      <w:r w:rsidR="00447C99">
        <w:rPr>
          <w:b/>
          <w:sz w:val="36"/>
        </w:rPr>
        <w:t>Electric</w:t>
      </w:r>
      <w:r w:rsidR="00420DD4">
        <w:rPr>
          <w:b/>
          <w:sz w:val="36"/>
        </w:rPr>
        <w:t xml:space="preserve"> Vehicle</w:t>
      </w:r>
    </w:p>
    <w:p w14:paraId="27C5BC9E" w14:textId="1E8F6A80" w:rsidR="0070329A" w:rsidRDefault="0070329A" w:rsidP="0070329A">
      <w:pPr>
        <w:tabs>
          <w:tab w:val="center" w:pos="4680"/>
        </w:tabs>
        <w:jc w:val="left"/>
        <w:rPr>
          <w:b/>
          <w:sz w:val="36"/>
        </w:rPr>
      </w:pPr>
      <w:r>
        <w:rPr>
          <w:b/>
          <w:sz w:val="36"/>
        </w:rPr>
        <w:t xml:space="preserve">Module lecturer name: </w:t>
      </w:r>
      <w:r>
        <w:rPr>
          <w:b/>
          <w:sz w:val="36"/>
        </w:rPr>
        <w:tab/>
        <w:t>Kenny Tang</w:t>
      </w:r>
    </w:p>
    <w:p w14:paraId="1D42134E" w14:textId="4FFA4F91" w:rsidR="00F2004D" w:rsidRDefault="00F2004D" w:rsidP="0070329A">
      <w:pPr>
        <w:jc w:val="left"/>
      </w:pPr>
    </w:p>
    <w:p w14:paraId="50CB3B13" w14:textId="1FA63A18" w:rsidR="0070329A" w:rsidRDefault="0070329A" w:rsidP="0070329A">
      <w:pPr>
        <w:jc w:val="left"/>
      </w:pPr>
    </w:p>
    <w:p w14:paraId="470F7DAA" w14:textId="3854BF85" w:rsidR="0070329A" w:rsidRDefault="0070329A" w:rsidP="0070329A">
      <w:pPr>
        <w:jc w:val="left"/>
      </w:pPr>
    </w:p>
    <w:p w14:paraId="26442636" w14:textId="1F7AB7BE" w:rsidR="0070329A" w:rsidRDefault="0070329A" w:rsidP="0070329A">
      <w:pPr>
        <w:jc w:val="left"/>
      </w:pPr>
    </w:p>
    <w:p w14:paraId="41E7AA7F" w14:textId="6F84A5FF" w:rsidR="0070329A" w:rsidRDefault="0070329A" w:rsidP="0070329A">
      <w:pPr>
        <w:jc w:val="left"/>
      </w:pPr>
    </w:p>
    <w:p w14:paraId="4EE11C00" w14:textId="2CFC094A" w:rsidR="0070329A" w:rsidRDefault="0070329A" w:rsidP="0070329A">
      <w:pPr>
        <w:jc w:val="left"/>
      </w:pPr>
    </w:p>
    <w:p w14:paraId="5BFD14D4" w14:textId="1714E4A8" w:rsidR="0070329A" w:rsidRDefault="0070329A" w:rsidP="0070329A">
      <w:pPr>
        <w:jc w:val="left"/>
      </w:pPr>
    </w:p>
    <w:p w14:paraId="1794BA21" w14:textId="3FB54733" w:rsidR="0070329A" w:rsidRDefault="0070329A" w:rsidP="0070329A">
      <w:pPr>
        <w:jc w:val="left"/>
      </w:pPr>
    </w:p>
    <w:p w14:paraId="287946BF" w14:textId="4F9BD159" w:rsidR="0070329A" w:rsidRDefault="0070329A" w:rsidP="0070329A">
      <w:pPr>
        <w:jc w:val="left"/>
      </w:pPr>
    </w:p>
    <w:p w14:paraId="27BB1382" w14:textId="4EE82357" w:rsidR="0070329A" w:rsidRDefault="0070329A" w:rsidP="0070329A">
      <w:pPr>
        <w:jc w:val="left"/>
      </w:pPr>
    </w:p>
    <w:p w14:paraId="4733CD9E" w14:textId="296402F0" w:rsidR="0070329A" w:rsidRDefault="0070329A" w:rsidP="0070329A">
      <w:pPr>
        <w:jc w:val="left"/>
      </w:pPr>
    </w:p>
    <w:p w14:paraId="7CD1712C" w14:textId="47EFD346" w:rsidR="0070329A" w:rsidRDefault="0070329A" w:rsidP="0070329A">
      <w:pPr>
        <w:jc w:val="left"/>
      </w:pPr>
    </w:p>
    <w:p w14:paraId="56890AC8" w14:textId="626F7924" w:rsidR="007F6FFE" w:rsidRDefault="007F6FFE" w:rsidP="0070329A">
      <w:pPr>
        <w:jc w:val="left"/>
      </w:pPr>
    </w:p>
    <w:p w14:paraId="698735CA" w14:textId="77777777" w:rsidR="007F6FFE" w:rsidRPr="00D0591D" w:rsidRDefault="007F6FFE" w:rsidP="0070329A">
      <w:pPr>
        <w:jc w:val="left"/>
      </w:pPr>
    </w:p>
    <w:sdt>
      <w:sdtPr>
        <w:rPr>
          <w:rFonts w:ascii="Times New Roman" w:eastAsiaTheme="minorHAnsi" w:hAnsi="Times New Roman" w:cstheme="minorBidi"/>
          <w:color w:val="auto"/>
          <w:sz w:val="24"/>
          <w:szCs w:val="22"/>
        </w:rPr>
        <w:id w:val="-1392188936"/>
        <w:docPartObj>
          <w:docPartGallery w:val="Table of Contents"/>
          <w:docPartUnique/>
        </w:docPartObj>
      </w:sdtPr>
      <w:sdtEndPr>
        <w:rPr>
          <w:b/>
          <w:bCs/>
          <w:noProof/>
        </w:rPr>
      </w:sdtEndPr>
      <w:sdtContent>
        <w:p w14:paraId="0AEB4663" w14:textId="77777777" w:rsidR="00D0591D" w:rsidRPr="00D0591D" w:rsidRDefault="00C77B89" w:rsidP="00D0591D">
          <w:pPr>
            <w:pStyle w:val="TOCHeading"/>
            <w:spacing w:before="120" w:after="120"/>
            <w:rPr>
              <w:rFonts w:ascii="Times New Roman" w:hAnsi="Times New Roman" w:cs="Times New Roman"/>
              <w:b/>
              <w:color w:val="auto"/>
              <w:sz w:val="28"/>
              <w:szCs w:val="28"/>
            </w:rPr>
          </w:pPr>
          <w:r w:rsidRPr="00D0591D">
            <w:rPr>
              <w:rFonts w:ascii="Times New Roman" w:hAnsi="Times New Roman" w:cs="Times New Roman"/>
              <w:b/>
              <w:color w:val="auto"/>
              <w:sz w:val="28"/>
              <w:szCs w:val="28"/>
            </w:rPr>
            <w:t>Contents</w:t>
          </w:r>
        </w:p>
        <w:p w14:paraId="7EF7EAE3" w14:textId="77777777" w:rsidR="00D0591D" w:rsidRPr="00B879BA" w:rsidRDefault="00C77B89" w:rsidP="00D0591D">
          <w:pPr>
            <w:pStyle w:val="TOC2"/>
            <w:tabs>
              <w:tab w:val="right" w:leader="dot" w:pos="9350"/>
            </w:tabs>
            <w:spacing w:before="120" w:after="120"/>
            <w:rPr>
              <w:rFonts w:cs="Times New Roman"/>
              <w:noProof/>
              <w:szCs w:val="24"/>
            </w:rPr>
          </w:pPr>
          <w:r w:rsidRPr="00D0591D">
            <w:rPr>
              <w:rFonts w:cs="Times New Roman"/>
              <w:b/>
              <w:szCs w:val="24"/>
            </w:rPr>
            <w:fldChar w:fldCharType="begin"/>
          </w:r>
          <w:r w:rsidRPr="00D0591D">
            <w:rPr>
              <w:rFonts w:cs="Times New Roman"/>
              <w:b/>
              <w:szCs w:val="24"/>
            </w:rPr>
            <w:instrText xml:space="preserve"> TOC \o "1-3" \h \z \u </w:instrText>
          </w:r>
          <w:r w:rsidRPr="00D0591D">
            <w:rPr>
              <w:rFonts w:cs="Times New Roman"/>
              <w:b/>
              <w:szCs w:val="24"/>
            </w:rPr>
            <w:fldChar w:fldCharType="separate"/>
          </w:r>
          <w:hyperlink w:anchor="_Toc38423496" w:history="1">
            <w:r w:rsidRPr="00B879BA">
              <w:rPr>
                <w:rStyle w:val="Hyperlink"/>
                <w:rFonts w:cs="Times New Roman"/>
                <w:noProof/>
                <w:szCs w:val="24"/>
              </w:rPr>
              <w:t>Introduction</w:t>
            </w:r>
            <w:r w:rsidRPr="00B879BA">
              <w:rPr>
                <w:rFonts w:cs="Times New Roman"/>
                <w:noProof/>
                <w:webHidden/>
                <w:szCs w:val="24"/>
              </w:rPr>
              <w:tab/>
            </w:r>
            <w:r w:rsidRPr="00B879BA">
              <w:rPr>
                <w:rFonts w:cs="Times New Roman"/>
                <w:noProof/>
                <w:webHidden/>
                <w:szCs w:val="24"/>
              </w:rPr>
              <w:fldChar w:fldCharType="begin"/>
            </w:r>
            <w:r w:rsidRPr="00B879BA">
              <w:rPr>
                <w:rFonts w:cs="Times New Roman"/>
                <w:noProof/>
                <w:webHidden/>
                <w:szCs w:val="24"/>
              </w:rPr>
              <w:instrText xml:space="preserve"> PAGEREF _Toc38423496 \h </w:instrText>
            </w:r>
            <w:r w:rsidRPr="00B879BA">
              <w:rPr>
                <w:rFonts w:cs="Times New Roman"/>
                <w:noProof/>
                <w:webHidden/>
                <w:szCs w:val="24"/>
              </w:rPr>
            </w:r>
            <w:r w:rsidRPr="00B879BA">
              <w:rPr>
                <w:rFonts w:cs="Times New Roman"/>
                <w:noProof/>
                <w:webHidden/>
                <w:szCs w:val="24"/>
              </w:rPr>
              <w:fldChar w:fldCharType="separate"/>
            </w:r>
            <w:r w:rsidRPr="00B879BA">
              <w:rPr>
                <w:rFonts w:cs="Times New Roman"/>
                <w:noProof/>
                <w:webHidden/>
                <w:szCs w:val="24"/>
              </w:rPr>
              <w:t>3</w:t>
            </w:r>
            <w:r w:rsidRPr="00B879BA">
              <w:rPr>
                <w:rFonts w:cs="Times New Roman"/>
                <w:noProof/>
                <w:webHidden/>
                <w:szCs w:val="24"/>
              </w:rPr>
              <w:fldChar w:fldCharType="end"/>
            </w:r>
          </w:hyperlink>
        </w:p>
        <w:p w14:paraId="07FB0163" w14:textId="77777777" w:rsidR="00D0591D" w:rsidRPr="00B879BA" w:rsidRDefault="00597974" w:rsidP="00D0591D">
          <w:pPr>
            <w:pStyle w:val="TOC2"/>
            <w:tabs>
              <w:tab w:val="right" w:leader="dot" w:pos="9350"/>
            </w:tabs>
            <w:spacing w:before="120" w:after="120"/>
            <w:rPr>
              <w:rFonts w:cs="Times New Roman"/>
              <w:noProof/>
              <w:szCs w:val="24"/>
            </w:rPr>
          </w:pPr>
          <w:hyperlink w:anchor="_Toc38423497" w:history="1">
            <w:r w:rsidR="00C77B89" w:rsidRPr="00B879BA">
              <w:rPr>
                <w:rStyle w:val="Hyperlink"/>
                <w:rFonts w:cs="Times New Roman"/>
                <w:noProof/>
                <w:szCs w:val="24"/>
              </w:rPr>
              <w:t>Part A: Emerging Business Opportunities in the Production and Marketing of Electric Cars</w:t>
            </w:r>
            <w:r w:rsidR="00C77B89" w:rsidRPr="00B879BA">
              <w:rPr>
                <w:rFonts w:cs="Times New Roman"/>
                <w:noProof/>
                <w:webHidden/>
                <w:szCs w:val="24"/>
              </w:rPr>
              <w:tab/>
            </w:r>
            <w:r w:rsidR="00C77B89" w:rsidRPr="00B879BA">
              <w:rPr>
                <w:rFonts w:cs="Times New Roman"/>
                <w:noProof/>
                <w:webHidden/>
                <w:szCs w:val="24"/>
              </w:rPr>
              <w:fldChar w:fldCharType="begin"/>
            </w:r>
            <w:r w:rsidR="00C77B89" w:rsidRPr="00B879BA">
              <w:rPr>
                <w:rFonts w:cs="Times New Roman"/>
                <w:noProof/>
                <w:webHidden/>
                <w:szCs w:val="24"/>
              </w:rPr>
              <w:instrText xml:space="preserve"> PAGEREF _Toc38423497 \h </w:instrText>
            </w:r>
            <w:r w:rsidR="00C77B89" w:rsidRPr="00B879BA">
              <w:rPr>
                <w:rFonts w:cs="Times New Roman"/>
                <w:noProof/>
                <w:webHidden/>
                <w:szCs w:val="24"/>
              </w:rPr>
            </w:r>
            <w:r w:rsidR="00C77B89" w:rsidRPr="00B879BA">
              <w:rPr>
                <w:rFonts w:cs="Times New Roman"/>
                <w:noProof/>
                <w:webHidden/>
                <w:szCs w:val="24"/>
              </w:rPr>
              <w:fldChar w:fldCharType="separate"/>
            </w:r>
            <w:r w:rsidR="00C77B89" w:rsidRPr="00B879BA">
              <w:rPr>
                <w:rFonts w:cs="Times New Roman"/>
                <w:noProof/>
                <w:webHidden/>
                <w:szCs w:val="24"/>
              </w:rPr>
              <w:t>4</w:t>
            </w:r>
            <w:r w:rsidR="00C77B89" w:rsidRPr="00B879BA">
              <w:rPr>
                <w:rFonts w:cs="Times New Roman"/>
                <w:noProof/>
                <w:webHidden/>
                <w:szCs w:val="24"/>
              </w:rPr>
              <w:fldChar w:fldCharType="end"/>
            </w:r>
          </w:hyperlink>
        </w:p>
        <w:p w14:paraId="4370F906" w14:textId="77777777" w:rsidR="00D0591D" w:rsidRPr="00B879BA" w:rsidRDefault="00597974" w:rsidP="00D0591D">
          <w:pPr>
            <w:pStyle w:val="TOC2"/>
            <w:tabs>
              <w:tab w:val="right" w:leader="dot" w:pos="9350"/>
            </w:tabs>
            <w:spacing w:before="120" w:after="120"/>
            <w:rPr>
              <w:rFonts w:cs="Times New Roman"/>
              <w:noProof/>
              <w:szCs w:val="24"/>
            </w:rPr>
          </w:pPr>
          <w:hyperlink w:anchor="_Toc38423498" w:history="1">
            <w:r w:rsidR="00C77B89" w:rsidRPr="00B879BA">
              <w:rPr>
                <w:rStyle w:val="Hyperlink"/>
                <w:rFonts w:cs="Times New Roman"/>
                <w:noProof/>
                <w:szCs w:val="24"/>
              </w:rPr>
              <w:t>The Role of Government Stakeholder in the Electric Car Industry</w:t>
            </w:r>
            <w:r w:rsidR="00C77B89" w:rsidRPr="00B879BA">
              <w:rPr>
                <w:rFonts w:cs="Times New Roman"/>
                <w:noProof/>
                <w:webHidden/>
                <w:szCs w:val="24"/>
              </w:rPr>
              <w:tab/>
            </w:r>
            <w:r w:rsidR="00C77B89" w:rsidRPr="00B879BA">
              <w:rPr>
                <w:rFonts w:cs="Times New Roman"/>
                <w:noProof/>
                <w:webHidden/>
                <w:szCs w:val="24"/>
              </w:rPr>
              <w:fldChar w:fldCharType="begin"/>
            </w:r>
            <w:r w:rsidR="00C77B89" w:rsidRPr="00B879BA">
              <w:rPr>
                <w:rFonts w:cs="Times New Roman"/>
                <w:noProof/>
                <w:webHidden/>
                <w:szCs w:val="24"/>
              </w:rPr>
              <w:instrText xml:space="preserve"> PAGEREF _Toc38423498 \h </w:instrText>
            </w:r>
            <w:r w:rsidR="00C77B89" w:rsidRPr="00B879BA">
              <w:rPr>
                <w:rFonts w:cs="Times New Roman"/>
                <w:noProof/>
                <w:webHidden/>
                <w:szCs w:val="24"/>
              </w:rPr>
            </w:r>
            <w:r w:rsidR="00C77B89" w:rsidRPr="00B879BA">
              <w:rPr>
                <w:rFonts w:cs="Times New Roman"/>
                <w:noProof/>
                <w:webHidden/>
                <w:szCs w:val="24"/>
              </w:rPr>
              <w:fldChar w:fldCharType="separate"/>
            </w:r>
            <w:r w:rsidR="00C77B89" w:rsidRPr="00B879BA">
              <w:rPr>
                <w:rFonts w:cs="Times New Roman"/>
                <w:noProof/>
                <w:webHidden/>
                <w:szCs w:val="24"/>
              </w:rPr>
              <w:t>5</w:t>
            </w:r>
            <w:r w:rsidR="00C77B89" w:rsidRPr="00B879BA">
              <w:rPr>
                <w:rFonts w:cs="Times New Roman"/>
                <w:noProof/>
                <w:webHidden/>
                <w:szCs w:val="24"/>
              </w:rPr>
              <w:fldChar w:fldCharType="end"/>
            </w:r>
          </w:hyperlink>
        </w:p>
        <w:p w14:paraId="600E2EA6" w14:textId="77777777" w:rsidR="00D0591D" w:rsidRPr="00B879BA" w:rsidRDefault="00597974" w:rsidP="00D0591D">
          <w:pPr>
            <w:pStyle w:val="TOC2"/>
            <w:tabs>
              <w:tab w:val="right" w:leader="dot" w:pos="9350"/>
            </w:tabs>
            <w:spacing w:before="120" w:after="120"/>
            <w:rPr>
              <w:rFonts w:cs="Times New Roman"/>
              <w:noProof/>
              <w:szCs w:val="24"/>
            </w:rPr>
          </w:pPr>
          <w:hyperlink w:anchor="_Toc38423499" w:history="1">
            <w:r w:rsidR="00C77B89" w:rsidRPr="00B879BA">
              <w:rPr>
                <w:rStyle w:val="Hyperlink"/>
                <w:rFonts w:cs="Times New Roman"/>
                <w:noProof/>
                <w:szCs w:val="24"/>
              </w:rPr>
              <w:t>Part B: Assessment of Other Businesses That Are Linked to the Automotive Industry:</w:t>
            </w:r>
            <w:r w:rsidR="00C77B89" w:rsidRPr="00B879BA">
              <w:rPr>
                <w:rFonts w:cs="Times New Roman"/>
                <w:noProof/>
                <w:webHidden/>
                <w:szCs w:val="24"/>
              </w:rPr>
              <w:tab/>
            </w:r>
            <w:r w:rsidR="00C77B89" w:rsidRPr="00B879BA">
              <w:rPr>
                <w:rFonts w:cs="Times New Roman"/>
                <w:noProof/>
                <w:webHidden/>
                <w:szCs w:val="24"/>
              </w:rPr>
              <w:fldChar w:fldCharType="begin"/>
            </w:r>
            <w:r w:rsidR="00C77B89" w:rsidRPr="00B879BA">
              <w:rPr>
                <w:rFonts w:cs="Times New Roman"/>
                <w:noProof/>
                <w:webHidden/>
                <w:szCs w:val="24"/>
              </w:rPr>
              <w:instrText xml:space="preserve"> PAGEREF _Toc38423499 \h </w:instrText>
            </w:r>
            <w:r w:rsidR="00C77B89" w:rsidRPr="00B879BA">
              <w:rPr>
                <w:rFonts w:cs="Times New Roman"/>
                <w:noProof/>
                <w:webHidden/>
                <w:szCs w:val="24"/>
              </w:rPr>
            </w:r>
            <w:r w:rsidR="00C77B89" w:rsidRPr="00B879BA">
              <w:rPr>
                <w:rFonts w:cs="Times New Roman"/>
                <w:noProof/>
                <w:webHidden/>
                <w:szCs w:val="24"/>
              </w:rPr>
              <w:fldChar w:fldCharType="separate"/>
            </w:r>
            <w:r w:rsidR="00C77B89" w:rsidRPr="00B879BA">
              <w:rPr>
                <w:rFonts w:cs="Times New Roman"/>
                <w:noProof/>
                <w:webHidden/>
                <w:szCs w:val="24"/>
              </w:rPr>
              <w:t>5</w:t>
            </w:r>
            <w:r w:rsidR="00C77B89" w:rsidRPr="00B879BA">
              <w:rPr>
                <w:rFonts w:cs="Times New Roman"/>
                <w:noProof/>
                <w:webHidden/>
                <w:szCs w:val="24"/>
              </w:rPr>
              <w:fldChar w:fldCharType="end"/>
            </w:r>
          </w:hyperlink>
        </w:p>
        <w:p w14:paraId="1B207D7C" w14:textId="77777777" w:rsidR="00D0591D" w:rsidRPr="00B879BA" w:rsidRDefault="00597974" w:rsidP="00D0591D">
          <w:pPr>
            <w:pStyle w:val="TOC2"/>
            <w:tabs>
              <w:tab w:val="right" w:leader="dot" w:pos="9350"/>
            </w:tabs>
            <w:spacing w:before="120" w:after="120"/>
            <w:rPr>
              <w:rFonts w:cs="Times New Roman"/>
              <w:noProof/>
              <w:szCs w:val="24"/>
            </w:rPr>
          </w:pPr>
          <w:hyperlink w:anchor="_Toc38423500" w:history="1">
            <w:r w:rsidR="00C77B89" w:rsidRPr="00B879BA">
              <w:rPr>
                <w:rStyle w:val="Hyperlink"/>
                <w:rFonts w:cs="Times New Roman"/>
                <w:noProof/>
                <w:szCs w:val="24"/>
              </w:rPr>
              <w:t>Conclusion</w:t>
            </w:r>
            <w:r w:rsidR="00C77B89" w:rsidRPr="00B879BA">
              <w:rPr>
                <w:rFonts w:cs="Times New Roman"/>
                <w:noProof/>
                <w:webHidden/>
                <w:szCs w:val="24"/>
              </w:rPr>
              <w:tab/>
            </w:r>
            <w:r w:rsidR="00C77B89" w:rsidRPr="00B879BA">
              <w:rPr>
                <w:rFonts w:cs="Times New Roman"/>
                <w:noProof/>
                <w:webHidden/>
                <w:szCs w:val="24"/>
              </w:rPr>
              <w:fldChar w:fldCharType="begin"/>
            </w:r>
            <w:r w:rsidR="00C77B89" w:rsidRPr="00B879BA">
              <w:rPr>
                <w:rFonts w:cs="Times New Roman"/>
                <w:noProof/>
                <w:webHidden/>
                <w:szCs w:val="24"/>
              </w:rPr>
              <w:instrText xml:space="preserve"> PAGEREF _Toc38423500 \h </w:instrText>
            </w:r>
            <w:r w:rsidR="00C77B89" w:rsidRPr="00B879BA">
              <w:rPr>
                <w:rFonts w:cs="Times New Roman"/>
                <w:noProof/>
                <w:webHidden/>
                <w:szCs w:val="24"/>
              </w:rPr>
            </w:r>
            <w:r w:rsidR="00C77B89" w:rsidRPr="00B879BA">
              <w:rPr>
                <w:rFonts w:cs="Times New Roman"/>
                <w:noProof/>
                <w:webHidden/>
                <w:szCs w:val="24"/>
              </w:rPr>
              <w:fldChar w:fldCharType="separate"/>
            </w:r>
            <w:r w:rsidR="00C77B89" w:rsidRPr="00B879BA">
              <w:rPr>
                <w:rFonts w:cs="Times New Roman"/>
                <w:noProof/>
                <w:webHidden/>
                <w:szCs w:val="24"/>
              </w:rPr>
              <w:t>8</w:t>
            </w:r>
            <w:r w:rsidR="00C77B89" w:rsidRPr="00B879BA">
              <w:rPr>
                <w:rFonts w:cs="Times New Roman"/>
                <w:noProof/>
                <w:webHidden/>
                <w:szCs w:val="24"/>
              </w:rPr>
              <w:fldChar w:fldCharType="end"/>
            </w:r>
          </w:hyperlink>
        </w:p>
        <w:p w14:paraId="487AB618" w14:textId="77777777" w:rsidR="00D0591D" w:rsidRPr="00D0591D" w:rsidRDefault="00597974" w:rsidP="00D0591D">
          <w:pPr>
            <w:pStyle w:val="TOC2"/>
            <w:tabs>
              <w:tab w:val="right" w:leader="dot" w:pos="9350"/>
            </w:tabs>
            <w:spacing w:before="120" w:after="120"/>
            <w:rPr>
              <w:rFonts w:cs="Times New Roman"/>
              <w:b/>
              <w:noProof/>
              <w:szCs w:val="24"/>
            </w:rPr>
          </w:pPr>
          <w:hyperlink w:anchor="_Toc38423501" w:history="1">
            <w:r w:rsidR="00C77B89" w:rsidRPr="00B879BA">
              <w:rPr>
                <w:rStyle w:val="Hyperlink"/>
                <w:rFonts w:eastAsia="Times New Roman" w:cs="Times New Roman"/>
                <w:noProof/>
                <w:szCs w:val="24"/>
              </w:rPr>
              <w:t>References</w:t>
            </w:r>
            <w:r w:rsidR="00C77B89" w:rsidRPr="00B879BA">
              <w:rPr>
                <w:rFonts w:cs="Times New Roman"/>
                <w:noProof/>
                <w:webHidden/>
                <w:szCs w:val="24"/>
              </w:rPr>
              <w:tab/>
            </w:r>
            <w:r w:rsidR="00C77B89" w:rsidRPr="00B879BA">
              <w:rPr>
                <w:rFonts w:cs="Times New Roman"/>
                <w:noProof/>
                <w:webHidden/>
                <w:szCs w:val="24"/>
              </w:rPr>
              <w:fldChar w:fldCharType="begin"/>
            </w:r>
            <w:r w:rsidR="00C77B89" w:rsidRPr="00B879BA">
              <w:rPr>
                <w:rFonts w:cs="Times New Roman"/>
                <w:noProof/>
                <w:webHidden/>
                <w:szCs w:val="24"/>
              </w:rPr>
              <w:instrText xml:space="preserve"> PAGEREF _Toc38423501 \h </w:instrText>
            </w:r>
            <w:r w:rsidR="00C77B89" w:rsidRPr="00B879BA">
              <w:rPr>
                <w:rFonts w:cs="Times New Roman"/>
                <w:noProof/>
                <w:webHidden/>
                <w:szCs w:val="24"/>
              </w:rPr>
            </w:r>
            <w:r w:rsidR="00C77B89" w:rsidRPr="00B879BA">
              <w:rPr>
                <w:rFonts w:cs="Times New Roman"/>
                <w:noProof/>
                <w:webHidden/>
                <w:szCs w:val="24"/>
              </w:rPr>
              <w:fldChar w:fldCharType="separate"/>
            </w:r>
            <w:r w:rsidR="00C77B89" w:rsidRPr="00B879BA">
              <w:rPr>
                <w:rFonts w:cs="Times New Roman"/>
                <w:noProof/>
                <w:webHidden/>
                <w:szCs w:val="24"/>
              </w:rPr>
              <w:t>9</w:t>
            </w:r>
            <w:r w:rsidR="00C77B89" w:rsidRPr="00B879BA">
              <w:rPr>
                <w:rFonts w:cs="Times New Roman"/>
                <w:noProof/>
                <w:webHidden/>
                <w:szCs w:val="24"/>
              </w:rPr>
              <w:fldChar w:fldCharType="end"/>
            </w:r>
          </w:hyperlink>
        </w:p>
        <w:p w14:paraId="26A88B77" w14:textId="77777777" w:rsidR="00D0591D" w:rsidRDefault="00C77B89" w:rsidP="00D0591D">
          <w:pPr>
            <w:spacing w:before="120" w:after="120"/>
          </w:pPr>
          <w:r w:rsidRPr="00D0591D">
            <w:rPr>
              <w:rFonts w:cs="Times New Roman"/>
              <w:b/>
              <w:bCs/>
              <w:noProof/>
              <w:szCs w:val="24"/>
            </w:rPr>
            <w:fldChar w:fldCharType="end"/>
          </w:r>
        </w:p>
      </w:sdtContent>
    </w:sdt>
    <w:p w14:paraId="2AFB186B" w14:textId="77777777" w:rsidR="00AF7E37" w:rsidRDefault="00C77B89" w:rsidP="00D0591D">
      <w:pPr>
        <w:rPr>
          <w:rFonts w:eastAsiaTheme="majorEastAsia" w:cstheme="majorBidi"/>
          <w:b/>
          <w:sz w:val="32"/>
          <w:szCs w:val="32"/>
        </w:rPr>
      </w:pPr>
      <w:r>
        <w:br w:type="page"/>
      </w:r>
    </w:p>
    <w:p w14:paraId="7DE47F95" w14:textId="77777777" w:rsidR="00A43217" w:rsidRDefault="00C77B89" w:rsidP="00317E18">
      <w:pPr>
        <w:pStyle w:val="Heading2"/>
        <w:spacing w:before="120" w:after="120"/>
      </w:pPr>
      <w:bookmarkStart w:id="0" w:name="_Toc38423496"/>
      <w:r>
        <w:lastRenderedPageBreak/>
        <w:t>Introduction</w:t>
      </w:r>
      <w:bookmarkEnd w:id="0"/>
    </w:p>
    <w:p w14:paraId="41FF789B" w14:textId="77777777" w:rsidR="00AF7E37" w:rsidRDefault="00C77B89" w:rsidP="00317E18">
      <w:pPr>
        <w:spacing w:before="120" w:after="120"/>
        <w:rPr>
          <w:b/>
          <w:sz w:val="32"/>
          <w:szCs w:val="32"/>
        </w:rPr>
      </w:pPr>
      <w:r>
        <w:t xml:space="preserve">Electric mobility has become the buzzword in today's technology-based world. This can be termed as the electrification of the powertrain of vehicles. In the past few years, initial adoption stage of this electric mobility has </w:t>
      </w:r>
      <w:r w:rsidR="003E53ED">
        <w:t>been taken by Europe.</w:t>
      </w:r>
      <w:r>
        <w:t xml:space="preserve"> </w:t>
      </w:r>
      <w:r w:rsidR="003E53ED">
        <w:t>Europe is experiencing a drastic change in its automotive industry.</w:t>
      </w:r>
      <w:r w:rsidR="003E53ED" w:rsidRPr="003E53ED">
        <w:t xml:space="preserve"> </w:t>
      </w:r>
      <w:r w:rsidR="003E53ED">
        <w:t xml:space="preserve">Norway and the Netherlands are the leading countries in Europe that had impacted the sales and growth of the EV (Electric Car) dramatically. The uptake rate for these two countries in 2013 is 6.2% and 4.2% respectively. UK, France and Germany also have a huge impact on the increase in overall sales of electric vehicles. In the lifecycle of electric cars, they can make the emerging ecosystem better. For this reason, governments around the world support this electrification and provide subsidies and tax shield in this sector. This sector of the economy is also lucrative for its oligopolistic nature. This industry is much profitable for the high barriers in new entrants. The electric car business </w:t>
      </w:r>
      <w:r w:rsidR="00317E18">
        <w:t xml:space="preserve">is becoming more and more attractive and China is reaching the highest peak of EV sales. This increasing momentum of electric cars' adoption means that in no time the whole world is going to attain electric mobility notably. </w:t>
      </w:r>
      <w:r>
        <w:br w:type="page"/>
      </w:r>
    </w:p>
    <w:p w14:paraId="00C2A75B" w14:textId="77777777" w:rsidR="00C47ABF" w:rsidRDefault="00C77B89" w:rsidP="00317E18">
      <w:pPr>
        <w:pStyle w:val="Heading2"/>
        <w:spacing w:before="120" w:after="120"/>
      </w:pPr>
      <w:bookmarkStart w:id="1" w:name="_Toc38423497"/>
      <w:r>
        <w:lastRenderedPageBreak/>
        <w:t xml:space="preserve">Part A: </w:t>
      </w:r>
      <w:r w:rsidR="00D0591D">
        <w:t>Emerging Business Opportunities in the Production and Marketing of Electric C</w:t>
      </w:r>
      <w:r w:rsidR="00AF7E37">
        <w:t>ars</w:t>
      </w:r>
      <w:bookmarkEnd w:id="1"/>
    </w:p>
    <w:p w14:paraId="469B07C1" w14:textId="77777777" w:rsidR="00A433F8" w:rsidRDefault="00C77B89" w:rsidP="00317E18">
      <w:pPr>
        <w:spacing w:before="120" w:after="120"/>
      </w:pPr>
      <w:r>
        <w:t>Electric cars are also included in the category of electric vehicles. Propulsion</w:t>
      </w:r>
      <w:r w:rsidR="005E2AD9">
        <w:t xml:space="preserve"> of electric </w:t>
      </w:r>
      <w:r>
        <w:t>motor</w:t>
      </w:r>
      <w:r w:rsidR="005E2AD9">
        <w:t>s and rechargeable batteries are the major features of an electric car</w:t>
      </w:r>
      <w:r w:rsidR="00435FF3">
        <w:t>.</w:t>
      </w:r>
      <w:r w:rsidR="005E2AD9">
        <w:t xml:space="preserve"> In the late 19</w:t>
      </w:r>
      <w:r w:rsidR="005E2AD9" w:rsidRPr="005E2AD9">
        <w:rPr>
          <w:vertAlign w:val="superscript"/>
        </w:rPr>
        <w:t>th</w:t>
      </w:r>
      <w:r w:rsidR="005E2AD9">
        <w:rPr>
          <w:vertAlign w:val="superscript"/>
        </w:rPr>
        <w:t xml:space="preserve"> </w:t>
      </w:r>
      <w:r w:rsidR="005E2AD9">
        <w:t>century, these cars were amazingly popular. But when the gasoline vehicles went cheaper, the popularity of electric cars declined.</w:t>
      </w:r>
      <w:r w:rsidR="00886F3A">
        <w:t xml:space="preserve"> Moreover from 2008, electric cars become the most wanted EVs (Electric Vehicles) in all over the world. After the United States, Europe has become third in converting to electric cars from gasoline cars.</w:t>
      </w:r>
      <w:r w:rsidR="00293A7B">
        <w:t xml:space="preserve"> However, according to a survey in December 2018, Europe was seen to become the world's second-largest market of plug-in vehicles</w:t>
      </w:r>
      <w:r w:rsidR="000A09A3">
        <w:t xml:space="preserve"> </w:t>
      </w:r>
      <w:r w:rsidR="00435FF3" w:rsidRPr="00435FF3">
        <w:t>(Freeman, 2012)</w:t>
      </w:r>
      <w:r w:rsidR="00293A7B">
        <w:t>.</w:t>
      </w:r>
    </w:p>
    <w:p w14:paraId="44854BB5" w14:textId="77777777" w:rsidR="00DB00EB" w:rsidRDefault="00C77B89" w:rsidP="00317E18">
      <w:pPr>
        <w:spacing w:before="120" w:after="120"/>
      </w:pPr>
      <w:r>
        <w:t>In the flourishing field of electric vehicles, any EV enthusiasts can take steps to start their business as there are numerous opportunities in this field</w:t>
      </w:r>
      <w:r w:rsidR="00933D14">
        <w:t xml:space="preserve"> </w:t>
      </w:r>
      <w:r w:rsidR="00933D14" w:rsidRPr="00933D14">
        <w:t>(Nieuwenhuis and Wells, 2016)</w:t>
      </w:r>
      <w:r>
        <w:t xml:space="preserve">. </w:t>
      </w:r>
      <w:r w:rsidR="008D3869">
        <w:t>One of the business idea</w:t>
      </w:r>
      <w:r w:rsidR="009F7D4E">
        <w:t>s</w:t>
      </w:r>
      <w:r w:rsidR="008D3869">
        <w:t xml:space="preserve"> can be establishing s</w:t>
      </w:r>
      <w:r w:rsidRPr="008D3869">
        <w:t>ervicing garage of the electric car</w:t>
      </w:r>
      <w:r w:rsidR="008D3869">
        <w:t>.</w:t>
      </w:r>
      <w:r>
        <w:t xml:space="preserve"> As</w:t>
      </w:r>
      <w:r w:rsidR="008D3869">
        <w:t xml:space="preserve"> the servicing of</w:t>
      </w:r>
      <w:r>
        <w:t xml:space="preserve"> </w:t>
      </w:r>
      <w:r w:rsidR="008D3869">
        <w:t xml:space="preserve">electric cars is different from those of ICE (Internal Combustion Engine) vehicles, different kinds of repairing services such as inverter repairing, electric motor repairing etc. can be a strong business idea. EV charging stations can be </w:t>
      </w:r>
      <w:r w:rsidR="00F649E9">
        <w:t>promoted and installed depending on the standards of the certain installed area. Charging stations that are home-based and private can be a profitable business as the popularity of electric cars are crowning today</w:t>
      </w:r>
      <w:r w:rsidR="000A09A3">
        <w:t xml:space="preserve"> </w:t>
      </w:r>
      <w:r w:rsidR="000A09A3" w:rsidRPr="000A09A3">
        <w:t>(Prousalidis, 2013)</w:t>
      </w:r>
      <w:r w:rsidR="00F649E9">
        <w:t xml:space="preserve">. Workshop for electric </w:t>
      </w:r>
      <w:r w:rsidR="009F7D4E">
        <w:t>vehicles will be effective to cover the basics of circuit, inverter, motor etc. Rental service with electric car and manufacturing and selling of spare parts can also be considered as a good business opportunity. Moreover, the portable charging station is a remarkable business opportunity in this era. As there is a shortage of charging stations of electric cars available in all places, there should be a place for charging</w:t>
      </w:r>
      <w:r w:rsidR="00857DEA">
        <w:t xml:space="preserve"> these cars</w:t>
      </w:r>
      <w:r w:rsidR="009F7D4E">
        <w:t xml:space="preserve"> at emergencies.</w:t>
      </w:r>
      <w:r w:rsidR="00A433F8">
        <w:t xml:space="preserve"> There are also prevailing in many more emerging businesses in the whole life cycle of an electric car.</w:t>
      </w:r>
      <w:r w:rsidR="007515CD">
        <w:t xml:space="preserve"> </w:t>
      </w:r>
    </w:p>
    <w:p w14:paraId="48B646D4" w14:textId="77777777" w:rsidR="00CF31BA" w:rsidRDefault="00C77B89" w:rsidP="00317E18">
      <w:pPr>
        <w:spacing w:before="120" w:after="120"/>
      </w:pPr>
      <w:r>
        <w:t>According to product lifecycle</w:t>
      </w:r>
      <w:r w:rsidR="00DB00EB">
        <w:t xml:space="preserve"> model, there</w:t>
      </w:r>
      <w:r>
        <w:t xml:space="preserve"> are five stages. These are</w:t>
      </w:r>
      <w:r w:rsidR="00DB00EB">
        <w:t xml:space="preserve"> development, introduction, growth, maturity and decline</w:t>
      </w:r>
      <w:r w:rsidR="00933D14">
        <w:t xml:space="preserve"> </w:t>
      </w:r>
      <w:r w:rsidR="00933D14" w:rsidRPr="00933D14">
        <w:t>(Onkvisit and Shaw, 2014)</w:t>
      </w:r>
      <w:r w:rsidR="00DB00EB">
        <w:t>. The first phase of the electric car's life cycle is the research and development of the features and characteristics of the car. After this, the car is introduced to the market where the distribution number is low and so the price becomes higher. In the growth stage, the popularity</w:t>
      </w:r>
      <w:r w:rsidR="003B0CF4">
        <w:t xml:space="preserve"> of vehicles </w:t>
      </w:r>
      <w:r w:rsidR="00DB00EB">
        <w:t xml:space="preserve">increases with the passage of time and distributions are increased with the higher demand. </w:t>
      </w:r>
      <w:r w:rsidR="003B0CF4">
        <w:t>Maturity stage of</w:t>
      </w:r>
      <w:r w:rsidR="00DB00EB">
        <w:t xml:space="preserve"> </w:t>
      </w:r>
      <w:r w:rsidR="003B0CF4">
        <w:t>the electric cars deals with differentiation or cost leadership methods to gain a competitive advantage over alternatives</w:t>
      </w:r>
      <w:r w:rsidR="00DB00EB">
        <w:t xml:space="preserve"> </w:t>
      </w:r>
      <w:r w:rsidR="003B0CF4">
        <w:t>and these methods help the product to survive in the market. In the decline stage, vehicles reach their end of life and many distribution channels drop the vehicles.</w:t>
      </w:r>
    </w:p>
    <w:p w14:paraId="13C81852" w14:textId="77777777" w:rsidR="00B47F4E" w:rsidRDefault="00C77B89" w:rsidP="00317E18">
      <w:pPr>
        <w:spacing w:before="120" w:after="120"/>
      </w:pPr>
      <w:r>
        <w:t xml:space="preserve"> </w:t>
      </w:r>
      <w:r w:rsidR="003B0CF4">
        <w:t>Moreover, t</w:t>
      </w:r>
      <w:r>
        <w:t>he</w:t>
      </w:r>
      <w:r w:rsidR="00A84947">
        <w:t xml:space="preserve"> </w:t>
      </w:r>
      <w:r>
        <w:t>life cycle</w:t>
      </w:r>
      <w:r w:rsidR="003B0CF4">
        <w:t xml:space="preserve"> of the electric car</w:t>
      </w:r>
      <w:r>
        <w:t xml:space="preserve"> can be </w:t>
      </w:r>
      <w:r w:rsidR="003B0CF4">
        <w:t>divided into five sequences</w:t>
      </w:r>
      <w:r>
        <w:t>. These are-</w:t>
      </w:r>
    </w:p>
    <w:p w14:paraId="7E59CB71" w14:textId="77777777" w:rsidR="00FE3D22" w:rsidRDefault="00C77B89" w:rsidP="00317E18">
      <w:pPr>
        <w:spacing w:before="120" w:after="120"/>
      </w:pPr>
      <w:r>
        <w:rPr>
          <w:b/>
        </w:rPr>
        <w:t>Allocation and p</w:t>
      </w:r>
      <w:r w:rsidR="00B47F4E" w:rsidRPr="00B47F4E">
        <w:rPr>
          <w:b/>
        </w:rPr>
        <w:t>roduction of raw material</w:t>
      </w:r>
      <w:r>
        <w:rPr>
          <w:b/>
        </w:rPr>
        <w:t>s</w:t>
      </w:r>
      <w:r w:rsidR="00B47F4E" w:rsidRPr="00B47F4E">
        <w:rPr>
          <w:b/>
        </w:rPr>
        <w:t>:</w:t>
      </w:r>
      <w:r w:rsidR="00A433F8">
        <w:t xml:space="preserve"> T</w:t>
      </w:r>
      <w:r w:rsidR="00B47F4E">
        <w:t xml:space="preserve">he very first step is </w:t>
      </w:r>
      <w:r w:rsidR="00A433F8">
        <w:t>to make</w:t>
      </w:r>
      <w:r w:rsidR="00B47F4E">
        <w:t xml:space="preserve"> input for manufacturing </w:t>
      </w:r>
      <w:r w:rsidR="00A433F8">
        <w:t xml:space="preserve">the electric cars by </w:t>
      </w:r>
      <w:r w:rsidR="00B47F4E">
        <w:t xml:space="preserve">converting </w:t>
      </w:r>
      <w:r w:rsidR="00A433F8">
        <w:t>the raw materials. Carbon intensity, total energy consumption etc. are some of the major things that are needed to be considered</w:t>
      </w:r>
      <w:r>
        <w:t xml:space="preserve"> in this stage. A high strength steel namely ferrous meta</w:t>
      </w:r>
      <w:r w:rsidR="00435FF3">
        <w:t>ls are used largely in ICE cars</w:t>
      </w:r>
      <w:r w:rsidR="00933D14">
        <w:t xml:space="preserve"> </w:t>
      </w:r>
      <w:r w:rsidR="00933D14" w:rsidRPr="00933D14">
        <w:t>(Nieuwenhuis and Wells, 2016)</w:t>
      </w:r>
      <w:r w:rsidR="00435FF3">
        <w:t xml:space="preserve">. </w:t>
      </w:r>
      <w:r>
        <w:t>On the other hand, both steel and aluminium are used with significant importance in electric cars.</w:t>
      </w:r>
    </w:p>
    <w:p w14:paraId="55DE9D18" w14:textId="77777777" w:rsidR="00FE3D22" w:rsidRDefault="00C77B89" w:rsidP="00317E18">
      <w:pPr>
        <w:spacing w:before="120" w:after="120"/>
      </w:pPr>
      <w:r w:rsidRPr="00FE3D22">
        <w:rPr>
          <w:b/>
        </w:rPr>
        <w:lastRenderedPageBreak/>
        <w:t>Manufacturing:</w:t>
      </w:r>
      <w:r>
        <w:t xml:space="preserve"> In this stage, the typical range of consumption of</w:t>
      </w:r>
      <w:r w:rsidR="002D2867">
        <w:t xml:space="preserve"> energy is detected and following the standards and brand value of a particular company, these vehicles are produced. </w:t>
      </w:r>
    </w:p>
    <w:p w14:paraId="583D830D" w14:textId="77777777" w:rsidR="00770A66" w:rsidRDefault="00C77B89" w:rsidP="00317E18">
      <w:pPr>
        <w:spacing w:before="120" w:after="120"/>
      </w:pPr>
      <w:r>
        <w:rPr>
          <w:b/>
        </w:rPr>
        <w:t xml:space="preserve">Distribution: </w:t>
      </w:r>
      <w:r w:rsidR="00A84947">
        <w:t xml:space="preserve">From the vehicle plant to the point of use, it is termed as the transportation of vehicles such as the Mitsubishi i-MiEV is supposed to be assembled in </w:t>
      </w:r>
      <w:r w:rsidR="00E828D1">
        <w:t>Kurashiki, Japan which is</w:t>
      </w:r>
      <w:r w:rsidR="00435FF3">
        <w:t xml:space="preserve"> situated 8005km from Vancouver </w:t>
      </w:r>
      <w:r w:rsidR="00435FF3" w:rsidRPr="00435FF3">
        <w:t>(Shacket, 2015)</w:t>
      </w:r>
      <w:r w:rsidR="00435FF3">
        <w:t>.</w:t>
      </w:r>
    </w:p>
    <w:p w14:paraId="4AD961B0" w14:textId="77777777" w:rsidR="002D2867" w:rsidRDefault="00C77B89" w:rsidP="00317E18">
      <w:pPr>
        <w:spacing w:before="120" w:after="120"/>
      </w:pPr>
      <w:r w:rsidRPr="00770A66">
        <w:rPr>
          <w:b/>
        </w:rPr>
        <w:t>Operation:</w:t>
      </w:r>
      <w:r>
        <w:t xml:space="preserve"> </w:t>
      </w:r>
      <w:r w:rsidR="003B0CF4">
        <w:t>Average fuel efficiency and average energy efficiency are detected for the smooth operation of electric cars</w:t>
      </w:r>
      <w:r w:rsidR="000A09A3">
        <w:t xml:space="preserve"> </w:t>
      </w:r>
      <w:r w:rsidR="000A09A3" w:rsidRPr="000A09A3">
        <w:t>(Prousalidis, 2013)</w:t>
      </w:r>
      <w:r w:rsidR="003B0CF4">
        <w:t>.</w:t>
      </w:r>
    </w:p>
    <w:p w14:paraId="10858039" w14:textId="77777777" w:rsidR="003B0CF4" w:rsidRPr="00425C83" w:rsidRDefault="00C77B89" w:rsidP="00317E18">
      <w:pPr>
        <w:spacing w:before="120" w:after="120"/>
      </w:pPr>
      <w:r w:rsidRPr="00425C83">
        <w:rPr>
          <w:b/>
        </w:rPr>
        <w:t>Decommission</w:t>
      </w:r>
      <w:r w:rsidR="00425C83" w:rsidRPr="00425C83">
        <w:rPr>
          <w:b/>
        </w:rPr>
        <w:t>ing:</w:t>
      </w:r>
      <w:r w:rsidRPr="00425C83">
        <w:rPr>
          <w:b/>
        </w:rPr>
        <w:t xml:space="preserve"> </w:t>
      </w:r>
      <w:r w:rsidR="00425C83">
        <w:t>Similar process of dismantling is used by both the EV and ICEV at the time of decommissioning</w:t>
      </w:r>
      <w:r w:rsidR="00933D14">
        <w:t xml:space="preserve"> </w:t>
      </w:r>
      <w:r w:rsidR="00933D14" w:rsidRPr="00933D14">
        <w:t>(Onkvisit and Shaw, 2014)</w:t>
      </w:r>
      <w:r w:rsidR="00425C83">
        <w:t>. Except for the battery pack, al</w:t>
      </w:r>
      <w:r w:rsidR="004D5564">
        <w:t>l other components are disposed</w:t>
      </w:r>
      <w:r w:rsidR="00933D14">
        <w:t>.</w:t>
      </w:r>
    </w:p>
    <w:p w14:paraId="6C94B1AB" w14:textId="77777777" w:rsidR="00CF31BA" w:rsidRDefault="00C77B89" w:rsidP="00317E18">
      <w:pPr>
        <w:pStyle w:val="Heading2"/>
        <w:spacing w:before="120" w:after="120"/>
      </w:pPr>
      <w:bookmarkStart w:id="2" w:name="_Toc38423498"/>
      <w:r>
        <w:t xml:space="preserve">The </w:t>
      </w:r>
      <w:r w:rsidR="00D0591D">
        <w:t>R</w:t>
      </w:r>
      <w:r w:rsidR="00CA3123">
        <w:t xml:space="preserve">ole </w:t>
      </w:r>
      <w:r w:rsidR="00D0591D">
        <w:t>of Government Stakeholder in the Electric Car I</w:t>
      </w:r>
      <w:r>
        <w:t>ndustry</w:t>
      </w:r>
      <w:bookmarkEnd w:id="2"/>
    </w:p>
    <w:p w14:paraId="1F70D859" w14:textId="77777777" w:rsidR="00CF31BA" w:rsidRDefault="00C77B89" w:rsidP="00317E18">
      <w:pPr>
        <w:spacing w:before="120" w:after="120"/>
      </w:pPr>
      <w:r>
        <w:t xml:space="preserve">By giving subsidies and various types of other benefits on both supply and demand sides, EVs are promoted greatly across Europe. Some reasons are working behind this government assistance. But the key reason is the reduction of emissions of both </w:t>
      </w:r>
      <w:r w:rsidRPr="00586B3F">
        <w:t>NO</w:t>
      </w:r>
      <w:r w:rsidR="00586B3F" w:rsidRPr="00586B3F">
        <w:t>x</w:t>
      </w:r>
      <w:r w:rsidR="00586B3F">
        <w:t xml:space="preserve"> a</w:t>
      </w:r>
      <w:r w:rsidR="00586B3F" w:rsidRPr="00586B3F">
        <w:t>nd</w:t>
      </w:r>
      <w:r w:rsidR="00586B3F">
        <w:t xml:space="preserve"> CO</w:t>
      </w:r>
      <w:r w:rsidR="00586B3F">
        <w:rPr>
          <w:vertAlign w:val="subscript"/>
        </w:rPr>
        <w:t xml:space="preserve">2. </w:t>
      </w:r>
      <w:r w:rsidR="00586B3F">
        <w:t>Besides, there are also some economic benefits and achievement of technological excellence. For reducing the emissions of CO</w:t>
      </w:r>
      <w:r w:rsidR="00586B3F">
        <w:rPr>
          <w:vertAlign w:val="subscript"/>
        </w:rPr>
        <w:t>2</w:t>
      </w:r>
      <w:r w:rsidR="00586B3F">
        <w:t>, governments all over the world are placing ambitious targets. But the EU's targets are more ambitious than those of the US, Japan and China</w:t>
      </w:r>
      <w:r w:rsidR="00933D14">
        <w:t xml:space="preserve"> </w:t>
      </w:r>
      <w:r w:rsidR="00933D14" w:rsidRPr="00933D14">
        <w:t>(Nieuwenhuis and Wells, 2016)</w:t>
      </w:r>
      <w:r w:rsidR="000A09A3">
        <w:t xml:space="preserve"> </w:t>
      </w:r>
    </w:p>
    <w:p w14:paraId="47287F1C" w14:textId="77777777" w:rsidR="009C592B" w:rsidRDefault="00C77B89" w:rsidP="00317E18">
      <w:pPr>
        <w:spacing w:before="120" w:after="120"/>
      </w:pPr>
      <w:r>
        <w:t xml:space="preserve">Most of the major European countries possess a desire for higher independence of energy. They also want to switch to the less oil-intensive transportation sector. The governments also aim to be the frontrunner in technology and want to enrich the value chain in the respective country. </w:t>
      </w:r>
      <w:r w:rsidR="00F67FED">
        <w:t>Energy independence, reduced emissions and technology ownership can be gained by taking necessary targets regarding EV adoption. For example, by 2020, almost 8-9 million EVs are targeted to be o</w:t>
      </w:r>
      <w:r w:rsidR="00435FF3">
        <w:t xml:space="preserve">n the road by the members of the EU </w:t>
      </w:r>
      <w:r w:rsidR="00435FF3" w:rsidRPr="00435FF3">
        <w:t>(Shacket, 2015)</w:t>
      </w:r>
      <w:r w:rsidR="00435FF3">
        <w:t xml:space="preserve">. </w:t>
      </w:r>
      <w:r w:rsidR="00F67FED">
        <w:t>The strong commitment and large scale support from national governments will help to achieve this goal effectively. By providing tax breaks in purchase, lease and road taxes, the government makes</w:t>
      </w:r>
      <w:r w:rsidR="007F3080">
        <w:t xml:space="preserve"> electric cars more attractive.</w:t>
      </w:r>
    </w:p>
    <w:p w14:paraId="77A13886" w14:textId="77777777" w:rsidR="007F3080" w:rsidRDefault="00C77B89" w:rsidP="00317E18">
      <w:pPr>
        <w:pStyle w:val="Heading2"/>
        <w:spacing w:before="120" w:after="120"/>
      </w:pPr>
      <w:bookmarkStart w:id="3" w:name="_Toc38423499"/>
      <w:r>
        <w:t xml:space="preserve">Part B: </w:t>
      </w:r>
      <w:r w:rsidR="00D0591D">
        <w:t>Assessment of Other Businesses That Are Linked to the Automotive I</w:t>
      </w:r>
      <w:r>
        <w:t>ndustry</w:t>
      </w:r>
      <w:bookmarkEnd w:id="3"/>
    </w:p>
    <w:p w14:paraId="7F026755" w14:textId="77777777" w:rsidR="008246CA" w:rsidRDefault="00C77B89" w:rsidP="00317E18">
      <w:pPr>
        <w:spacing w:before="120" w:after="120"/>
      </w:pPr>
      <w:r>
        <w:t>In the automo</w:t>
      </w:r>
      <w:r w:rsidR="00AE1F21">
        <w:t>tive industry</w:t>
      </w:r>
      <w:r>
        <w:t xml:space="preserve">, some various organizations and companies are involved in the activities of designing motor vehicles </w:t>
      </w:r>
      <w:r w:rsidRPr="005A7F81">
        <w:t>to selling</w:t>
      </w:r>
      <w:r>
        <w:t xml:space="preserve"> them. </w:t>
      </w:r>
      <w:r w:rsidR="006A20B8">
        <w:t xml:space="preserve">This industry </w:t>
      </w:r>
      <w:r>
        <w:t>is listed in the world’s major economic sectors in consideration of revenue.</w:t>
      </w:r>
      <w:r w:rsidR="00AA3A46">
        <w:t xml:space="preserve"> Toyota, Ford, General Motors, Hyundai and Volkswagen are the top five carmakers of the world. This automotive</w:t>
      </w:r>
      <w:r>
        <w:t xml:space="preserve"> industry is oligopolistic which means this sector is dominated by a few numbers of carmakers</w:t>
      </w:r>
      <w:r w:rsidR="000A09A3">
        <w:t xml:space="preserve"> </w:t>
      </w:r>
      <w:r w:rsidR="000A09A3" w:rsidRPr="000A09A3">
        <w:t>(Freeman, 2012)</w:t>
      </w:r>
      <w:r>
        <w:t xml:space="preserve">. </w:t>
      </w:r>
      <w:r w:rsidR="006A20B8">
        <w:t>To</w:t>
      </w:r>
      <w:r>
        <w:t xml:space="preserve"> </w:t>
      </w:r>
      <w:r w:rsidR="006A20B8">
        <w:t>lower the upcoming risk in this sector and to ensure profitability, companies are teaming up and ensure mobility services. For example, Honda and General Motors teamed up and almost $2.75bn was invested by Honda in General Motors’ driverless uni</w:t>
      </w:r>
      <w:r w:rsidR="000A09A3">
        <w:t xml:space="preserve">t </w:t>
      </w:r>
      <w:r w:rsidR="004D5564">
        <w:t>(Vilardi, 2013</w:t>
      </w:r>
      <w:r w:rsidR="000A09A3" w:rsidRPr="000A09A3">
        <w:t>)</w:t>
      </w:r>
      <w:r w:rsidR="006A20B8">
        <w:t>.</w:t>
      </w:r>
    </w:p>
    <w:p w14:paraId="1A43356C" w14:textId="77777777" w:rsidR="00F67FED" w:rsidRDefault="00C77B89" w:rsidP="00317E18">
      <w:pPr>
        <w:spacing w:before="120" w:after="120"/>
      </w:pPr>
      <w:r>
        <w:t>By using Porter's five forces model, the competitive position of the industry can be analyzed. Threats to the new entrance are low in this sector as it is much difficult to enter in the automotive industry. This ensures profitability in the industry.</w:t>
      </w:r>
      <w:r w:rsidR="00C26F7F">
        <w:t xml:space="preserve"> This also helps to regulate the few competitors. But there is a high threat of substitutes in this sector that decrease the profitability. Any changes </w:t>
      </w:r>
      <w:r w:rsidR="00C26F7F">
        <w:lastRenderedPageBreak/>
        <w:t>in price make the customers switch to substitutes. The competitive rivalry is moderate and the top companies pose sharp competition among themselves. The bargaining power of suppliers is low which makes the industry lucrative</w:t>
      </w:r>
      <w:r w:rsidR="004D5564">
        <w:t xml:space="preserve"> (Vilardi, 2013</w:t>
      </w:r>
      <w:r w:rsidR="000A09A3" w:rsidRPr="000A09A3">
        <w:t>)</w:t>
      </w:r>
      <w:r w:rsidR="00C26F7F">
        <w:t>. Besides this, the bargaining power of buyers is moderate making the industry moderately profitable.</w:t>
      </w:r>
      <w:r w:rsidR="005D71C5">
        <w:t xml:space="preserve"> In conclusion, cost leadership can be an amazing tool to gain a competitive advantage in this automotive industry. </w:t>
      </w:r>
    </w:p>
    <w:p w14:paraId="1F65285C" w14:textId="77777777" w:rsidR="005D71C5" w:rsidRDefault="00C77B89" w:rsidP="00317E18">
      <w:pPr>
        <w:spacing w:before="120" w:after="120"/>
      </w:pPr>
      <w:r>
        <w:t>Numerous businesses have links to this automotive industry. When a value chain is analyzed, these other businesses are identified. By following Porter's value chain model</w:t>
      </w:r>
      <w:r w:rsidR="008D0136">
        <w:t>, the value chain of the automotive industry is given below:</w:t>
      </w:r>
    </w:p>
    <w:p w14:paraId="06CA06C6" w14:textId="77777777" w:rsidR="008D0136" w:rsidRDefault="00C77B89" w:rsidP="00317E18">
      <w:pPr>
        <w:spacing w:before="120" w:after="120"/>
      </w:pPr>
      <w:r w:rsidRPr="008D0136">
        <w:rPr>
          <w:b/>
        </w:rPr>
        <w:t>Inbound logistics:</w:t>
      </w:r>
      <w:r>
        <w:rPr>
          <w:b/>
        </w:rPr>
        <w:t xml:space="preserve"> </w:t>
      </w:r>
      <w:r>
        <w:t>This is the first step in the production process. Raw materials are received from suppliers that are located in different places of the world. Then these materials are distributed to manufacturing units according to their requirements.</w:t>
      </w:r>
      <w:r w:rsidR="007F00B1">
        <w:t xml:space="preserve"> Steel, rubber, aluminium, plastic etc. are primary raw materials</w:t>
      </w:r>
      <w:r w:rsidR="004D5564">
        <w:t>.</w:t>
      </w:r>
    </w:p>
    <w:p w14:paraId="0F7299FF" w14:textId="77777777" w:rsidR="007F00B1" w:rsidRDefault="00C77B89" w:rsidP="00317E18">
      <w:pPr>
        <w:spacing w:before="120" w:after="120"/>
      </w:pPr>
      <w:r w:rsidRPr="007F00B1">
        <w:rPr>
          <w:b/>
        </w:rPr>
        <w:t xml:space="preserve">Design </w:t>
      </w:r>
      <w:r>
        <w:rPr>
          <w:b/>
        </w:rPr>
        <w:t>and M</w:t>
      </w:r>
      <w:r w:rsidRPr="007F00B1">
        <w:rPr>
          <w:b/>
        </w:rPr>
        <w:t>anufacture:</w:t>
      </w:r>
      <w:r>
        <w:rPr>
          <w:b/>
        </w:rPr>
        <w:t xml:space="preserve"> </w:t>
      </w:r>
      <w:r>
        <w:t xml:space="preserve"> This steps mainly includes transforming the raw materials into the final product. This part is termed as operation. The global automobile businesses conduct their businesses all over the world. </w:t>
      </w:r>
    </w:p>
    <w:p w14:paraId="3A8A8ABA" w14:textId="77777777" w:rsidR="007F00B1" w:rsidRDefault="00C77B89" w:rsidP="00317E18">
      <w:pPr>
        <w:spacing w:before="120" w:after="120"/>
      </w:pPr>
      <w:r w:rsidRPr="00557922">
        <w:rPr>
          <w:b/>
        </w:rPr>
        <w:t>Engineering:</w:t>
      </w:r>
      <w:r>
        <w:rPr>
          <w:b/>
        </w:rPr>
        <w:t xml:space="preserve"> </w:t>
      </w:r>
      <w:r>
        <w:t>The research and development part is the heart of the whole value chain. Providing modern solution and minimizing the day to day problems, the engineers ensure the flexibility of motor vehicles</w:t>
      </w:r>
      <w:r w:rsidR="000A09A3">
        <w:t xml:space="preserve"> </w:t>
      </w:r>
      <w:r w:rsidR="000A09A3" w:rsidRPr="000A09A3">
        <w:t>(Prousalidis, 2013)</w:t>
      </w:r>
      <w:r>
        <w:t>. They also plan and design new product process.</w:t>
      </w:r>
    </w:p>
    <w:p w14:paraId="6FF8D929" w14:textId="77777777" w:rsidR="008901A9" w:rsidRDefault="00C77B89" w:rsidP="00317E18">
      <w:pPr>
        <w:spacing w:before="120" w:after="120"/>
      </w:pPr>
      <w:r w:rsidRPr="00557922">
        <w:rPr>
          <w:b/>
        </w:rPr>
        <w:t>Quality and Warranty:</w:t>
      </w:r>
      <w:r>
        <w:rPr>
          <w:b/>
        </w:rPr>
        <w:t xml:space="preserve"> </w:t>
      </w:r>
      <w:r>
        <w:t>It is considered as a crucial part that touches all other parts of this automotive sector. Industry practitioner and suppliers should ensure the quality and make necessary warranty agreements. Sometimes by changing infrastructure, the specific quality can be gained</w:t>
      </w:r>
      <w:r w:rsidR="000A09A3">
        <w:t xml:space="preserve"> </w:t>
      </w:r>
      <w:r w:rsidR="000A09A3" w:rsidRPr="000A09A3">
        <w:t>(Zhang, Lu and Shen, 2018)</w:t>
      </w:r>
      <w:r>
        <w:t>.</w:t>
      </w:r>
    </w:p>
    <w:p w14:paraId="38AFE0B2" w14:textId="77777777" w:rsidR="00557922" w:rsidRDefault="00C77B89" w:rsidP="00317E18">
      <w:pPr>
        <w:spacing w:before="120" w:after="120"/>
      </w:pPr>
      <w:r w:rsidRPr="008901A9">
        <w:rPr>
          <w:b/>
        </w:rPr>
        <w:t>Connected vehicles services:</w:t>
      </w:r>
      <w:r>
        <w:rPr>
          <w:b/>
        </w:rPr>
        <w:t xml:space="preserve"> </w:t>
      </w:r>
      <w:r>
        <w:t>These involve various services such as car-sharing internet access with other devices.</w:t>
      </w:r>
    </w:p>
    <w:p w14:paraId="4E4BEE98" w14:textId="77777777" w:rsidR="008A0929" w:rsidRDefault="00C77B89" w:rsidP="00317E18">
      <w:pPr>
        <w:spacing w:before="120" w:after="120"/>
      </w:pPr>
      <w:r w:rsidRPr="008901A9">
        <w:rPr>
          <w:b/>
        </w:rPr>
        <w:t>Marke</w:t>
      </w:r>
      <w:r>
        <w:rPr>
          <w:b/>
        </w:rPr>
        <w:t xml:space="preserve">ting and </w:t>
      </w:r>
      <w:r w:rsidRPr="008901A9">
        <w:rPr>
          <w:b/>
        </w:rPr>
        <w:t>Sales:</w:t>
      </w:r>
      <w:r>
        <w:rPr>
          <w:b/>
        </w:rPr>
        <w:t xml:space="preserve"> </w:t>
      </w:r>
      <w:r>
        <w:t>This part starts from distribution, advertisement, promotion, management of salesman, customer relationship. This step has a specific objective that is to reach the final product to the targeted customers by ensuring the demanded quality. There are various traditional channels as well as online platforms for advertisement and promotion.</w:t>
      </w:r>
    </w:p>
    <w:p w14:paraId="520D2691" w14:textId="77777777" w:rsidR="008A0929" w:rsidRDefault="00C77B89" w:rsidP="00317E18">
      <w:pPr>
        <w:spacing w:before="120" w:after="120"/>
      </w:pPr>
      <w:r>
        <w:rPr>
          <w:b/>
        </w:rPr>
        <w:t xml:space="preserve">Aftersales </w:t>
      </w:r>
      <w:r w:rsidRPr="008A0929">
        <w:rPr>
          <w:b/>
        </w:rPr>
        <w:t>Services:</w:t>
      </w:r>
      <w:r>
        <w:rPr>
          <w:b/>
        </w:rPr>
        <w:t xml:space="preserve"> </w:t>
      </w:r>
      <w:r>
        <w:t xml:space="preserve">This is the final step of the value chain. It adds value by providing customer services continuously after the sale of the product. It increases customer retention and </w:t>
      </w:r>
      <w:r w:rsidR="00CA3123">
        <w:t xml:space="preserve">ensures customer loyalty. Besides, it helps to gain brand value and make a better image of the vehicles. </w:t>
      </w:r>
    </w:p>
    <w:p w14:paraId="5D8D7159" w14:textId="77777777" w:rsidR="00A1258E" w:rsidRDefault="00C77B89" w:rsidP="00317E18">
      <w:pPr>
        <w:spacing w:before="120" w:after="120"/>
      </w:pPr>
      <w:r>
        <w:t>So, it can be said that the success of the automotive industry relies on the professional activities of the sales force and the other practitioner</w:t>
      </w:r>
      <w:r w:rsidR="00C7013C">
        <w:t>s</w:t>
      </w:r>
      <w:r>
        <w:t xml:space="preserve"> working in the industry. A complete </w:t>
      </w:r>
      <w:r w:rsidR="00C7013C">
        <w:t xml:space="preserve">value chain can give </w:t>
      </w:r>
      <w:r w:rsidR="00BB5691">
        <w:t xml:space="preserve">a </w:t>
      </w:r>
      <w:r w:rsidR="00C7013C">
        <w:t>hint of</w:t>
      </w:r>
      <w:r>
        <w:t xml:space="preserve"> the profitability rate in the industry</w:t>
      </w:r>
      <w:r w:rsidR="000A09A3">
        <w:t xml:space="preserve"> </w:t>
      </w:r>
      <w:r w:rsidR="000A09A3" w:rsidRPr="000A09A3">
        <w:t>(Zhang, Lu and Shen, 2018)</w:t>
      </w:r>
      <w:r>
        <w:t>.</w:t>
      </w:r>
    </w:p>
    <w:p w14:paraId="16425A05" w14:textId="77777777" w:rsidR="00BB5691" w:rsidRDefault="00C77B89" w:rsidP="00317E18">
      <w:pPr>
        <w:spacing w:before="120" w:after="120"/>
      </w:pPr>
      <w:r>
        <w:t>An analysis can be done on the total sales of electronic vehicles among top countries of the world.</w:t>
      </w:r>
    </w:p>
    <w:p w14:paraId="0A8440DF" w14:textId="77777777" w:rsidR="00BB5691" w:rsidRDefault="00BB5691" w:rsidP="00317E18">
      <w:pPr>
        <w:spacing w:before="120" w:after="120"/>
      </w:pPr>
    </w:p>
    <w:p w14:paraId="0EB95054" w14:textId="77777777" w:rsidR="00BB5691" w:rsidRDefault="00C77B89" w:rsidP="00B879BA">
      <w:pPr>
        <w:spacing w:before="120" w:after="120"/>
        <w:jc w:val="center"/>
      </w:pPr>
      <w:r>
        <w:rPr>
          <w:noProof/>
        </w:rPr>
        <w:lastRenderedPageBreak/>
        <w:drawing>
          <wp:inline distT="0" distB="0" distL="0" distR="0" wp14:anchorId="099A59FB" wp14:editId="017AA178">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64B6B86" w14:textId="77777777" w:rsidR="00007F86" w:rsidRPr="00007F86" w:rsidRDefault="00007F86" w:rsidP="00B879BA">
      <w:pPr>
        <w:spacing w:before="120" w:after="120"/>
        <w:jc w:val="center"/>
        <w:rPr>
          <w:rFonts w:cs="Times New Roman"/>
          <w:i/>
        </w:rPr>
      </w:pPr>
      <w:r w:rsidRPr="00007F86">
        <w:rPr>
          <w:rFonts w:cs="Times New Roman"/>
          <w:i/>
        </w:rPr>
        <w:t>(Source: Author)</w:t>
      </w:r>
    </w:p>
    <w:p w14:paraId="4668D8AF" w14:textId="77777777" w:rsidR="007515CD" w:rsidRDefault="00C77B89" w:rsidP="00317E18">
      <w:pPr>
        <w:spacing w:before="120" w:after="120"/>
      </w:pPr>
      <w:r>
        <w:t xml:space="preserve">From the above chart, it can be seen that China has experienced </w:t>
      </w:r>
      <w:r w:rsidR="00703F44">
        <w:t>the highest sales of electric cars in the world after the year 2015</w:t>
      </w:r>
      <w:r w:rsidR="00435FF3">
        <w:t xml:space="preserve"> </w:t>
      </w:r>
      <w:r w:rsidR="00435FF3" w:rsidRPr="00435FF3">
        <w:t>(Automotive Industry of China, 2017)</w:t>
      </w:r>
      <w:r w:rsidR="00703F44">
        <w:t>. Besides this, Europe and the US have placed remarkable sales throughout the years 2013-2019</w:t>
      </w:r>
      <w:r w:rsidR="000A09A3">
        <w:t xml:space="preserve"> </w:t>
      </w:r>
      <w:r w:rsidR="000A09A3" w:rsidRPr="000A09A3">
        <w:t>(Widiantoro, 2011)</w:t>
      </w:r>
      <w:r w:rsidR="00703F44">
        <w:t>. The UK also contributed greatly to the sales rise in Europe</w:t>
      </w:r>
      <w:r w:rsidR="000A09A3">
        <w:t xml:space="preserve"> </w:t>
      </w:r>
      <w:r w:rsidR="000A09A3" w:rsidRPr="000A09A3">
        <w:t>(UK Electric Vehicle Sales, 2020)</w:t>
      </w:r>
      <w:r w:rsidR="00703F44">
        <w:t>. According to the average sales growth rate, EVs' sales have been forecasted from the year 2020-2024. As China has the highest average growth rate, its expected sales are higher compared to others. Therefore, it can be concluded that the modern automotive industry is going to make a milestone in the global technology sector.</w:t>
      </w:r>
    </w:p>
    <w:p w14:paraId="3F4D85B8" w14:textId="77777777" w:rsidR="007515CD" w:rsidRDefault="00C77B89" w:rsidP="00317E18">
      <w:pPr>
        <w:spacing w:before="120" w:after="120"/>
      </w:pPr>
      <w:r>
        <w:br w:type="page"/>
      </w:r>
    </w:p>
    <w:p w14:paraId="1C0FBD03" w14:textId="77777777" w:rsidR="00BB5691" w:rsidRDefault="00C77B89" w:rsidP="00317E18">
      <w:pPr>
        <w:pStyle w:val="Heading2"/>
        <w:spacing w:before="120" w:after="120"/>
      </w:pPr>
      <w:bookmarkStart w:id="4" w:name="_Toc38423500"/>
      <w:r>
        <w:lastRenderedPageBreak/>
        <w:t>Conclusion</w:t>
      </w:r>
      <w:bookmarkEnd w:id="4"/>
    </w:p>
    <w:p w14:paraId="22D2D569" w14:textId="77777777" w:rsidR="00317E18" w:rsidRDefault="00933D14" w:rsidP="00317E18">
      <w:pPr>
        <w:spacing w:before="120" w:after="120"/>
      </w:pPr>
      <w:r>
        <w:t>The adoption rate of EVs</w:t>
      </w:r>
      <w:r w:rsidR="00C77B89">
        <w:t xml:space="preserve"> in Europe is increasing tremendously. There are significant potentials in this automotive sector as the development is done</w:t>
      </w:r>
      <w:r w:rsidR="005878D1">
        <w:t xml:space="preserve"> base</w:t>
      </w:r>
      <w:r w:rsidR="00C77B89">
        <w:t xml:space="preserve"> on recent updates </w:t>
      </w:r>
      <w:r w:rsidR="005878D1">
        <w:t>of techno</w:t>
      </w:r>
      <w:r w:rsidR="00C77B89">
        <w:t>logy</w:t>
      </w:r>
      <w:r w:rsidR="005878D1">
        <w:t>. The recent automotive industry adds more and more values to the value chain and can meet the demand of customers easily</w:t>
      </w:r>
      <w:r>
        <w:t xml:space="preserve"> and</w:t>
      </w:r>
      <w:r w:rsidR="005878D1">
        <w:t xml:space="preserve"> faster than before. The increasing competencies in this industry make the ecosystem better by reducing toxic gas. This benefits can be enlarged by the deep understanding of key drivers of electric vehicles. Emerging business opportunities in this sector can result in better economic</w:t>
      </w:r>
      <w:r>
        <w:t xml:space="preserve"> conditions and the</w:t>
      </w:r>
      <w:r w:rsidR="005878D1">
        <w:t xml:space="preserve"> modern electric solutions can make the world a better place </w:t>
      </w:r>
      <w:r w:rsidR="00A43217">
        <w:t>t</w:t>
      </w:r>
      <w:r w:rsidR="005878D1">
        <w:t>o live</w:t>
      </w:r>
      <w:r w:rsidR="00A43217">
        <w:t xml:space="preserve"> in.</w:t>
      </w:r>
    </w:p>
    <w:p w14:paraId="0D51F543" w14:textId="77777777" w:rsidR="00317E18" w:rsidRDefault="00C77B89">
      <w:pPr>
        <w:jc w:val="left"/>
      </w:pPr>
      <w:r>
        <w:br w:type="page"/>
      </w:r>
    </w:p>
    <w:p w14:paraId="1C3AD632" w14:textId="77777777" w:rsidR="004D5564" w:rsidRPr="004D5564" w:rsidRDefault="004D5564" w:rsidP="004D5564">
      <w:pPr>
        <w:pStyle w:val="Heading2"/>
        <w:spacing w:before="120" w:after="120"/>
        <w:rPr>
          <w:rFonts w:eastAsia="Times New Roman"/>
        </w:rPr>
      </w:pPr>
      <w:r w:rsidRPr="004D5564">
        <w:rPr>
          <w:rFonts w:eastAsia="Times New Roman"/>
        </w:rPr>
        <w:lastRenderedPageBreak/>
        <w:t>References</w:t>
      </w:r>
    </w:p>
    <w:p w14:paraId="18380140"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i/>
          <w:iCs/>
          <w:color w:val="000000"/>
          <w:szCs w:val="27"/>
        </w:rPr>
        <w:t>Computers in Industry</w:t>
      </w:r>
      <w:r w:rsidRPr="006E31ED">
        <w:rPr>
          <w:rFonts w:eastAsia="Times New Roman" w:cs="Times New Roman"/>
          <w:color w:val="000000"/>
          <w:szCs w:val="27"/>
        </w:rPr>
        <w:t>, 2017. Automotive Industry of China. 2(2), pp.163-164.</w:t>
      </w:r>
    </w:p>
    <w:p w14:paraId="3794B9DC"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Freeman, V., 2012. </w:t>
      </w:r>
      <w:r w:rsidRPr="006E31ED">
        <w:rPr>
          <w:rFonts w:eastAsia="Times New Roman" w:cs="Times New Roman"/>
          <w:i/>
          <w:iCs/>
          <w:color w:val="000000"/>
          <w:szCs w:val="27"/>
        </w:rPr>
        <w:t>The Euro And The UK Automotive Industry</w:t>
      </w:r>
      <w:r w:rsidRPr="006E31ED">
        <w:rPr>
          <w:rFonts w:eastAsia="Times New Roman" w:cs="Times New Roman"/>
          <w:color w:val="000000"/>
          <w:szCs w:val="27"/>
        </w:rPr>
        <w:t>. London: Action Centre for Europe.</w:t>
      </w:r>
    </w:p>
    <w:p w14:paraId="5FAAFCF2"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Greentechmedia.com. 2020. </w:t>
      </w:r>
      <w:r w:rsidRPr="006E31ED">
        <w:rPr>
          <w:rFonts w:eastAsia="Times New Roman" w:cs="Times New Roman"/>
          <w:i/>
          <w:iCs/>
          <w:color w:val="000000"/>
          <w:szCs w:val="27"/>
        </w:rPr>
        <w:t>UK Electric Vehicle Sales</w:t>
      </w:r>
      <w:r w:rsidRPr="006E31ED">
        <w:rPr>
          <w:rFonts w:eastAsia="Times New Roman" w:cs="Times New Roman"/>
          <w:color w:val="000000"/>
          <w:szCs w:val="27"/>
        </w:rPr>
        <w:t xml:space="preserve">. &lt;https://www.greentechmedia.com/articles/read/us-electric-vehicle-sales-increase-by-81-in-2018&gt; </w:t>
      </w:r>
    </w:p>
    <w:p w14:paraId="3DB6A974"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Nieuwenhuis, P. and Wells, P., 2016. </w:t>
      </w:r>
      <w:r w:rsidRPr="006E31ED">
        <w:rPr>
          <w:rFonts w:eastAsia="Times New Roman" w:cs="Times New Roman"/>
          <w:i/>
          <w:iCs/>
          <w:color w:val="000000"/>
          <w:szCs w:val="27"/>
        </w:rPr>
        <w:t>The Global Automotive Industry</w:t>
      </w:r>
      <w:r w:rsidRPr="006E31ED">
        <w:rPr>
          <w:rFonts w:eastAsia="Times New Roman" w:cs="Times New Roman"/>
          <w:color w:val="000000"/>
          <w:szCs w:val="27"/>
        </w:rPr>
        <w:t>. 25th ed.</w:t>
      </w:r>
    </w:p>
    <w:p w14:paraId="238FA34E"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Onkvisit, S. and Shaw, J., 2014. </w:t>
      </w:r>
      <w:r w:rsidRPr="006E31ED">
        <w:rPr>
          <w:rFonts w:eastAsia="Times New Roman" w:cs="Times New Roman"/>
          <w:i/>
          <w:iCs/>
          <w:color w:val="000000"/>
          <w:szCs w:val="27"/>
        </w:rPr>
        <w:t>Product Life Cycles And Product Management</w:t>
      </w:r>
      <w:r w:rsidRPr="006E31ED">
        <w:rPr>
          <w:rFonts w:eastAsia="Times New Roman" w:cs="Times New Roman"/>
          <w:color w:val="000000"/>
          <w:szCs w:val="27"/>
        </w:rPr>
        <w:t>. New York: Quorum Books.</w:t>
      </w:r>
    </w:p>
    <w:p w14:paraId="5878AAD8"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Prousalidis, J., 2013. The necessity of reactive power balance in car electric energy systems. </w:t>
      </w:r>
      <w:r w:rsidRPr="006E31ED">
        <w:rPr>
          <w:rFonts w:eastAsia="Times New Roman" w:cs="Times New Roman"/>
          <w:i/>
          <w:iCs/>
          <w:color w:val="000000"/>
          <w:szCs w:val="27"/>
        </w:rPr>
        <w:t>Journal of Marine Engineering &amp; Technology</w:t>
      </w:r>
      <w:r w:rsidRPr="006E31ED">
        <w:rPr>
          <w:rFonts w:eastAsia="Times New Roman" w:cs="Times New Roman"/>
          <w:color w:val="000000"/>
          <w:szCs w:val="27"/>
        </w:rPr>
        <w:t>, 10(1), pp.37-47.</w:t>
      </w:r>
    </w:p>
    <w:p w14:paraId="283F138F"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Shacket, S., 2015. </w:t>
      </w:r>
      <w:r w:rsidRPr="006E31ED">
        <w:rPr>
          <w:rFonts w:eastAsia="Times New Roman" w:cs="Times New Roman"/>
          <w:i/>
          <w:iCs/>
          <w:color w:val="000000"/>
          <w:szCs w:val="27"/>
        </w:rPr>
        <w:t>The Complete Book Of Electric Vehicles</w:t>
      </w:r>
      <w:r w:rsidRPr="006E31ED">
        <w:rPr>
          <w:rFonts w:eastAsia="Times New Roman" w:cs="Times New Roman"/>
          <w:color w:val="000000"/>
          <w:szCs w:val="27"/>
        </w:rPr>
        <w:t>. Northbrook, Ill.: Domus Books.</w:t>
      </w:r>
    </w:p>
    <w:p w14:paraId="16DE2ECB"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Vilardi, D., 2013. </w:t>
      </w:r>
      <w:r w:rsidRPr="006E31ED">
        <w:rPr>
          <w:rFonts w:eastAsia="Times New Roman" w:cs="Times New Roman"/>
          <w:i/>
          <w:iCs/>
          <w:color w:val="000000"/>
          <w:szCs w:val="27"/>
        </w:rPr>
        <w:t>Electric Cars</w:t>
      </w:r>
      <w:r w:rsidRPr="006E31ED">
        <w:rPr>
          <w:rFonts w:eastAsia="Times New Roman" w:cs="Times New Roman"/>
          <w:color w:val="000000"/>
          <w:szCs w:val="27"/>
        </w:rPr>
        <w:t>.</w:t>
      </w:r>
    </w:p>
    <w:p w14:paraId="64B5CD0E"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Widiantoro, D., 2011. Global Entry Mode Strategy for Pure Mobility, Norway. </w:t>
      </w:r>
      <w:r w:rsidRPr="006E31ED">
        <w:rPr>
          <w:rFonts w:eastAsia="Times New Roman" w:cs="Times New Roman"/>
          <w:i/>
          <w:iCs/>
          <w:color w:val="000000"/>
          <w:szCs w:val="27"/>
        </w:rPr>
        <w:t>SSRN Electronic Journal</w:t>
      </w:r>
      <w:r w:rsidRPr="006E31ED">
        <w:rPr>
          <w:rFonts w:eastAsia="Times New Roman" w:cs="Times New Roman"/>
          <w:color w:val="000000"/>
          <w:szCs w:val="27"/>
        </w:rPr>
        <w:t>,.</w:t>
      </w:r>
    </w:p>
    <w:p w14:paraId="2D886B7A" w14:textId="77777777" w:rsidR="004D5564" w:rsidRPr="006E31ED" w:rsidRDefault="004D5564" w:rsidP="004D5564">
      <w:pPr>
        <w:spacing w:after="180" w:line="240" w:lineRule="auto"/>
        <w:ind w:left="450" w:hanging="450"/>
        <w:jc w:val="left"/>
        <w:rPr>
          <w:rFonts w:eastAsia="Times New Roman" w:cs="Times New Roman"/>
          <w:color w:val="000000"/>
          <w:szCs w:val="27"/>
        </w:rPr>
      </w:pPr>
      <w:r w:rsidRPr="006E31ED">
        <w:rPr>
          <w:rFonts w:eastAsia="Times New Roman" w:cs="Times New Roman"/>
          <w:color w:val="000000"/>
          <w:szCs w:val="27"/>
        </w:rPr>
        <w:t>Zhang, Y., Lu, M. and Shen, S., 2018. On the Values of Vehicle-to-Grid Electricity Selling in Electric Vehicle Sharing. </w:t>
      </w:r>
      <w:r w:rsidRPr="006E31ED">
        <w:rPr>
          <w:rFonts w:eastAsia="Times New Roman" w:cs="Times New Roman"/>
          <w:i/>
          <w:iCs/>
          <w:color w:val="000000"/>
          <w:szCs w:val="27"/>
        </w:rPr>
        <w:t>SSRN Electronic Journal</w:t>
      </w:r>
      <w:r w:rsidRPr="006E31ED">
        <w:rPr>
          <w:rFonts w:eastAsia="Times New Roman" w:cs="Times New Roman"/>
          <w:color w:val="000000"/>
          <w:szCs w:val="27"/>
        </w:rPr>
        <w:t>,.</w:t>
      </w:r>
    </w:p>
    <w:p w14:paraId="658FF58B" w14:textId="77777777" w:rsidR="00E56206" w:rsidRPr="00E56206" w:rsidRDefault="00E56206" w:rsidP="00ED1257">
      <w:pPr>
        <w:pStyle w:val="Heading2"/>
        <w:spacing w:before="120" w:after="120"/>
        <w:rPr>
          <w:rFonts w:eastAsia="Times New Roman"/>
        </w:rPr>
      </w:pPr>
    </w:p>
    <w:p w14:paraId="5ECBC79C" w14:textId="77777777" w:rsidR="007515CD" w:rsidRPr="007515CD" w:rsidRDefault="007515CD" w:rsidP="00317E18">
      <w:pPr>
        <w:spacing w:before="120" w:after="120"/>
      </w:pPr>
    </w:p>
    <w:p w14:paraId="4AB59E03" w14:textId="77777777" w:rsidR="008A0929" w:rsidRPr="008901A9" w:rsidRDefault="008A0929" w:rsidP="00CF31BA"/>
    <w:p w14:paraId="347BB9F9" w14:textId="77777777" w:rsidR="008D0136" w:rsidRPr="008D0136" w:rsidRDefault="008D0136" w:rsidP="00CF31BA"/>
    <w:sectPr w:rsidR="008D0136" w:rsidRPr="008D0136" w:rsidSect="00F27380">
      <w:footerReference w:type="defaul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796B02" w14:textId="77777777" w:rsidR="00597974" w:rsidRDefault="00597974">
      <w:pPr>
        <w:spacing w:after="0" w:line="240" w:lineRule="auto"/>
      </w:pPr>
      <w:r>
        <w:separator/>
      </w:r>
    </w:p>
  </w:endnote>
  <w:endnote w:type="continuationSeparator" w:id="0">
    <w:p w14:paraId="45C2414D" w14:textId="77777777" w:rsidR="00597974" w:rsidRDefault="00597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5104025"/>
      <w:docPartObj>
        <w:docPartGallery w:val="Page Numbers (Bottom of Page)"/>
        <w:docPartUnique/>
      </w:docPartObj>
    </w:sdtPr>
    <w:sdtEndPr>
      <w:rPr>
        <w:noProof/>
      </w:rPr>
    </w:sdtEndPr>
    <w:sdtContent>
      <w:p w14:paraId="6EB2AD34" w14:textId="77777777" w:rsidR="000A09A3" w:rsidRDefault="00C77B89">
        <w:pPr>
          <w:pStyle w:val="Footer"/>
          <w:jc w:val="right"/>
        </w:pPr>
        <w:r>
          <w:fldChar w:fldCharType="begin"/>
        </w:r>
        <w:r>
          <w:instrText xml:space="preserve"> PAGE   \* MERGEFORMAT </w:instrText>
        </w:r>
        <w:r>
          <w:fldChar w:fldCharType="separate"/>
        </w:r>
        <w:r w:rsidR="006E31ED">
          <w:rPr>
            <w:noProof/>
          </w:rPr>
          <w:t>8</w:t>
        </w:r>
        <w:r>
          <w:rPr>
            <w:noProof/>
          </w:rPr>
          <w:fldChar w:fldCharType="end"/>
        </w:r>
      </w:p>
    </w:sdtContent>
  </w:sdt>
  <w:p w14:paraId="57AB890B" w14:textId="77777777" w:rsidR="000A09A3" w:rsidRDefault="000A0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4D4FE0" w14:textId="77777777" w:rsidR="00597974" w:rsidRDefault="00597974">
      <w:pPr>
        <w:spacing w:after="0" w:line="240" w:lineRule="auto"/>
      </w:pPr>
      <w:r>
        <w:separator/>
      </w:r>
    </w:p>
  </w:footnote>
  <w:footnote w:type="continuationSeparator" w:id="0">
    <w:p w14:paraId="18535E43" w14:textId="77777777" w:rsidR="00597974" w:rsidRDefault="005979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E37"/>
    <w:rsid w:val="00007F86"/>
    <w:rsid w:val="000A09A3"/>
    <w:rsid w:val="002044BA"/>
    <w:rsid w:val="00293A7B"/>
    <w:rsid w:val="002B0654"/>
    <w:rsid w:val="002D2867"/>
    <w:rsid w:val="00317E18"/>
    <w:rsid w:val="003B0CF4"/>
    <w:rsid w:val="003E53ED"/>
    <w:rsid w:val="003E6D63"/>
    <w:rsid w:val="00420DD4"/>
    <w:rsid w:val="00425C83"/>
    <w:rsid w:val="00435FF3"/>
    <w:rsid w:val="00447C99"/>
    <w:rsid w:val="004D5564"/>
    <w:rsid w:val="00557922"/>
    <w:rsid w:val="00586B3F"/>
    <w:rsid w:val="005878D1"/>
    <w:rsid w:val="00597974"/>
    <w:rsid w:val="005A7F81"/>
    <w:rsid w:val="005D71C5"/>
    <w:rsid w:val="005E1A6F"/>
    <w:rsid w:val="005E2AD9"/>
    <w:rsid w:val="006A20B8"/>
    <w:rsid w:val="006E31ED"/>
    <w:rsid w:val="0070329A"/>
    <w:rsid w:val="00703F44"/>
    <w:rsid w:val="00735CDB"/>
    <w:rsid w:val="007515CD"/>
    <w:rsid w:val="00754F8A"/>
    <w:rsid w:val="00770A66"/>
    <w:rsid w:val="007A5C51"/>
    <w:rsid w:val="007F00B1"/>
    <w:rsid w:val="007F3080"/>
    <w:rsid w:val="007F6FFE"/>
    <w:rsid w:val="008246CA"/>
    <w:rsid w:val="00857DEA"/>
    <w:rsid w:val="00886F3A"/>
    <w:rsid w:val="008901A9"/>
    <w:rsid w:val="008A0929"/>
    <w:rsid w:val="008C665F"/>
    <w:rsid w:val="008D0136"/>
    <w:rsid w:val="008D3869"/>
    <w:rsid w:val="00933D14"/>
    <w:rsid w:val="00934301"/>
    <w:rsid w:val="009C04DB"/>
    <w:rsid w:val="009C592B"/>
    <w:rsid w:val="009E3D2C"/>
    <w:rsid w:val="009F7D4E"/>
    <w:rsid w:val="00A1258E"/>
    <w:rsid w:val="00A43217"/>
    <w:rsid w:val="00A433F8"/>
    <w:rsid w:val="00A84947"/>
    <w:rsid w:val="00AA3A46"/>
    <w:rsid w:val="00AE1F21"/>
    <w:rsid w:val="00AE29E1"/>
    <w:rsid w:val="00AF7E37"/>
    <w:rsid w:val="00B47F4E"/>
    <w:rsid w:val="00B879BA"/>
    <w:rsid w:val="00BB5691"/>
    <w:rsid w:val="00BE0D98"/>
    <w:rsid w:val="00BE4EEE"/>
    <w:rsid w:val="00C26F7F"/>
    <w:rsid w:val="00C47ABF"/>
    <w:rsid w:val="00C7013C"/>
    <w:rsid w:val="00C71EBB"/>
    <w:rsid w:val="00C77B89"/>
    <w:rsid w:val="00CA3123"/>
    <w:rsid w:val="00CA3135"/>
    <w:rsid w:val="00CA590B"/>
    <w:rsid w:val="00CD2676"/>
    <w:rsid w:val="00CF31BA"/>
    <w:rsid w:val="00D0591D"/>
    <w:rsid w:val="00D81245"/>
    <w:rsid w:val="00D90511"/>
    <w:rsid w:val="00DB00EB"/>
    <w:rsid w:val="00E56206"/>
    <w:rsid w:val="00E828D1"/>
    <w:rsid w:val="00ED1257"/>
    <w:rsid w:val="00F2004D"/>
    <w:rsid w:val="00F27380"/>
    <w:rsid w:val="00F649E9"/>
    <w:rsid w:val="00F67FED"/>
    <w:rsid w:val="00F9779D"/>
    <w:rsid w:val="00FA7A50"/>
    <w:rsid w:val="00FC39DD"/>
    <w:rsid w:val="00FE3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884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E37"/>
    <w:pPr>
      <w:jc w:val="both"/>
    </w:pPr>
    <w:rPr>
      <w:rFonts w:ascii="Times New Roman" w:hAnsi="Times New Roman"/>
      <w:sz w:val="24"/>
    </w:rPr>
  </w:style>
  <w:style w:type="paragraph" w:styleId="Heading1">
    <w:name w:val="heading 1"/>
    <w:basedOn w:val="Normal"/>
    <w:next w:val="Normal"/>
    <w:link w:val="Heading1Char"/>
    <w:uiPriority w:val="9"/>
    <w:qFormat/>
    <w:rsid w:val="00AF7E3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7E37"/>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E3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F7E37"/>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0A09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9A3"/>
    <w:rPr>
      <w:rFonts w:ascii="Times New Roman" w:hAnsi="Times New Roman"/>
      <w:sz w:val="24"/>
    </w:rPr>
  </w:style>
  <w:style w:type="paragraph" w:styleId="Footer">
    <w:name w:val="footer"/>
    <w:basedOn w:val="Normal"/>
    <w:link w:val="FooterChar"/>
    <w:uiPriority w:val="99"/>
    <w:unhideWhenUsed/>
    <w:rsid w:val="000A09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9A3"/>
    <w:rPr>
      <w:rFonts w:ascii="Times New Roman" w:hAnsi="Times New Roman"/>
      <w:sz w:val="24"/>
    </w:rPr>
  </w:style>
  <w:style w:type="paragraph" w:styleId="TOCHeading">
    <w:name w:val="TOC Heading"/>
    <w:basedOn w:val="Heading1"/>
    <w:next w:val="Normal"/>
    <w:uiPriority w:val="39"/>
    <w:unhideWhenUsed/>
    <w:qFormat/>
    <w:rsid w:val="00D0591D"/>
    <w:pPr>
      <w:jc w:val="left"/>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D0591D"/>
    <w:pPr>
      <w:spacing w:after="100"/>
      <w:ind w:left="240"/>
    </w:pPr>
  </w:style>
  <w:style w:type="character" w:styleId="Hyperlink">
    <w:name w:val="Hyperlink"/>
    <w:basedOn w:val="DefaultParagraphFont"/>
    <w:uiPriority w:val="99"/>
    <w:unhideWhenUsed/>
    <w:rsid w:val="00D059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553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a:t>
            </a:r>
            <a:r>
              <a:rPr lang="en-US" baseline="0"/>
              <a:t> EV Sales from 2013-2019</a:t>
            </a:r>
          </a:p>
          <a:p>
            <a:pPr>
              <a:defRPr/>
            </a:pPr>
            <a:r>
              <a:rPr lang="en-US" baseline="0"/>
              <a:t>and Total Expected Sales from 2020-2024</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Sheet1!$B$3</c:f>
              <c:strCache>
                <c:ptCount val="1"/>
                <c:pt idx="0">
                  <c:v>UK</c:v>
                </c:pt>
              </c:strCache>
            </c:strRef>
          </c:tx>
          <c:spPr>
            <a:solidFill>
              <a:schemeClr val="accent1"/>
            </a:solidFill>
            <a:ln>
              <a:noFill/>
            </a:ln>
            <a:effectLst/>
          </c:spPr>
          <c:invertIfNegative val="0"/>
          <c:cat>
            <c:strRef>
              <c:f>Sheet1!$C$2:$N$2</c:f>
              <c:strCache>
                <c:ptCount val="12"/>
                <c:pt idx="0">
                  <c:v>2013</c:v>
                </c:pt>
                <c:pt idx="1">
                  <c:v>2014</c:v>
                </c:pt>
                <c:pt idx="2">
                  <c:v>2015</c:v>
                </c:pt>
                <c:pt idx="3">
                  <c:v>2016</c:v>
                </c:pt>
                <c:pt idx="4">
                  <c:v>2017</c:v>
                </c:pt>
                <c:pt idx="5">
                  <c:v>2018</c:v>
                </c:pt>
                <c:pt idx="6">
                  <c:v>2019</c:v>
                </c:pt>
                <c:pt idx="7">
                  <c:v>2020E</c:v>
                </c:pt>
                <c:pt idx="8">
                  <c:v>2021E</c:v>
                </c:pt>
                <c:pt idx="9">
                  <c:v>2022E</c:v>
                </c:pt>
                <c:pt idx="10">
                  <c:v>2023E</c:v>
                </c:pt>
                <c:pt idx="11">
                  <c:v>2024E</c:v>
                </c:pt>
              </c:strCache>
            </c:strRef>
          </c:cat>
          <c:val>
            <c:numRef>
              <c:f>Sheet1!$C$3:$N$3</c:f>
              <c:numCache>
                <c:formatCode>#,##0</c:formatCode>
                <c:ptCount val="12"/>
                <c:pt idx="0">
                  <c:v>3586</c:v>
                </c:pt>
                <c:pt idx="1">
                  <c:v>14518</c:v>
                </c:pt>
                <c:pt idx="2">
                  <c:v>28188</c:v>
                </c:pt>
                <c:pt idx="3">
                  <c:v>37092</c:v>
                </c:pt>
                <c:pt idx="4">
                  <c:v>49182</c:v>
                </c:pt>
                <c:pt idx="5">
                  <c:v>59911</c:v>
                </c:pt>
                <c:pt idx="6">
                  <c:v>116826.45</c:v>
                </c:pt>
                <c:pt idx="7" formatCode="General">
                  <c:v>208535.21324999997</c:v>
                </c:pt>
                <c:pt idx="8" formatCode="General">
                  <c:v>372235.35565124993</c:v>
                </c:pt>
                <c:pt idx="9" formatCode="General">
                  <c:v>664440.10983748105</c:v>
                </c:pt>
                <c:pt idx="10" formatCode="General">
                  <c:v>1186025.5960599037</c:v>
                </c:pt>
                <c:pt idx="11" formatCode="General">
                  <c:v>2117055.688966928</c:v>
                </c:pt>
              </c:numCache>
            </c:numRef>
          </c:val>
          <c:extLst>
            <c:ext xmlns:c16="http://schemas.microsoft.com/office/drawing/2014/chart" uri="{C3380CC4-5D6E-409C-BE32-E72D297353CC}">
              <c16:uniqueId val="{00000000-87A0-4444-A580-5B82B43DE5B0}"/>
            </c:ext>
          </c:extLst>
        </c:ser>
        <c:ser>
          <c:idx val="1"/>
          <c:order val="1"/>
          <c:tx>
            <c:strRef>
              <c:f>Sheet1!$B$4</c:f>
              <c:strCache>
                <c:ptCount val="1"/>
                <c:pt idx="0">
                  <c:v>USA</c:v>
                </c:pt>
              </c:strCache>
            </c:strRef>
          </c:tx>
          <c:spPr>
            <a:solidFill>
              <a:schemeClr val="accent2"/>
            </a:solidFill>
            <a:ln>
              <a:noFill/>
            </a:ln>
            <a:effectLst/>
          </c:spPr>
          <c:invertIfNegative val="0"/>
          <c:cat>
            <c:strRef>
              <c:f>Sheet1!$C$2:$N$2</c:f>
              <c:strCache>
                <c:ptCount val="12"/>
                <c:pt idx="0">
                  <c:v>2013</c:v>
                </c:pt>
                <c:pt idx="1">
                  <c:v>2014</c:v>
                </c:pt>
                <c:pt idx="2">
                  <c:v>2015</c:v>
                </c:pt>
                <c:pt idx="3">
                  <c:v>2016</c:v>
                </c:pt>
                <c:pt idx="4">
                  <c:v>2017</c:v>
                </c:pt>
                <c:pt idx="5">
                  <c:v>2018</c:v>
                </c:pt>
                <c:pt idx="6">
                  <c:v>2019</c:v>
                </c:pt>
                <c:pt idx="7">
                  <c:v>2020E</c:v>
                </c:pt>
                <c:pt idx="8">
                  <c:v>2021E</c:v>
                </c:pt>
                <c:pt idx="9">
                  <c:v>2022E</c:v>
                </c:pt>
                <c:pt idx="10">
                  <c:v>2023E</c:v>
                </c:pt>
                <c:pt idx="11">
                  <c:v>2024E</c:v>
                </c:pt>
              </c:strCache>
            </c:strRef>
          </c:cat>
          <c:val>
            <c:numRef>
              <c:f>Sheet1!$C$4:$N$4</c:f>
              <c:numCache>
                <c:formatCode>General</c:formatCode>
                <c:ptCount val="12"/>
                <c:pt idx="0">
                  <c:v>97000</c:v>
                </c:pt>
                <c:pt idx="1">
                  <c:v>120000</c:v>
                </c:pt>
                <c:pt idx="2">
                  <c:v>114000</c:v>
                </c:pt>
                <c:pt idx="3">
                  <c:v>159139</c:v>
                </c:pt>
                <c:pt idx="4">
                  <c:v>199818</c:v>
                </c:pt>
                <c:pt idx="5">
                  <c:v>361307</c:v>
                </c:pt>
                <c:pt idx="6">
                  <c:v>245000</c:v>
                </c:pt>
                <c:pt idx="7">
                  <c:v>306250</c:v>
                </c:pt>
                <c:pt idx="8">
                  <c:v>382812.5</c:v>
                </c:pt>
                <c:pt idx="9">
                  <c:v>478515.625</c:v>
                </c:pt>
                <c:pt idx="10">
                  <c:v>598144.53125</c:v>
                </c:pt>
                <c:pt idx="11">
                  <c:v>747680.6640625</c:v>
                </c:pt>
              </c:numCache>
            </c:numRef>
          </c:val>
          <c:extLst>
            <c:ext xmlns:c16="http://schemas.microsoft.com/office/drawing/2014/chart" uri="{C3380CC4-5D6E-409C-BE32-E72D297353CC}">
              <c16:uniqueId val="{00000001-87A0-4444-A580-5B82B43DE5B0}"/>
            </c:ext>
          </c:extLst>
        </c:ser>
        <c:ser>
          <c:idx val="2"/>
          <c:order val="2"/>
          <c:tx>
            <c:strRef>
              <c:f>Sheet1!$B$5</c:f>
              <c:strCache>
                <c:ptCount val="1"/>
                <c:pt idx="0">
                  <c:v>China</c:v>
                </c:pt>
              </c:strCache>
            </c:strRef>
          </c:tx>
          <c:spPr>
            <a:solidFill>
              <a:schemeClr val="accent3"/>
            </a:solidFill>
            <a:ln>
              <a:noFill/>
            </a:ln>
            <a:effectLst/>
          </c:spPr>
          <c:invertIfNegative val="0"/>
          <c:cat>
            <c:strRef>
              <c:f>Sheet1!$C$2:$N$2</c:f>
              <c:strCache>
                <c:ptCount val="12"/>
                <c:pt idx="0">
                  <c:v>2013</c:v>
                </c:pt>
                <c:pt idx="1">
                  <c:v>2014</c:v>
                </c:pt>
                <c:pt idx="2">
                  <c:v>2015</c:v>
                </c:pt>
                <c:pt idx="3">
                  <c:v>2016</c:v>
                </c:pt>
                <c:pt idx="4">
                  <c:v>2017</c:v>
                </c:pt>
                <c:pt idx="5">
                  <c:v>2018</c:v>
                </c:pt>
                <c:pt idx="6">
                  <c:v>2019</c:v>
                </c:pt>
                <c:pt idx="7">
                  <c:v>2020E</c:v>
                </c:pt>
                <c:pt idx="8">
                  <c:v>2021E</c:v>
                </c:pt>
                <c:pt idx="9">
                  <c:v>2022E</c:v>
                </c:pt>
                <c:pt idx="10">
                  <c:v>2023E</c:v>
                </c:pt>
                <c:pt idx="11">
                  <c:v>2024E</c:v>
                </c:pt>
              </c:strCache>
            </c:strRef>
          </c:cat>
          <c:val>
            <c:numRef>
              <c:f>Sheet1!$C$5:$N$5</c:f>
              <c:numCache>
                <c:formatCode>#,##0</c:formatCode>
                <c:ptCount val="12"/>
                <c:pt idx="0" formatCode="General">
                  <c:v>17642</c:v>
                </c:pt>
                <c:pt idx="1">
                  <c:v>74763</c:v>
                </c:pt>
                <c:pt idx="2" formatCode="General">
                  <c:v>331090</c:v>
                </c:pt>
                <c:pt idx="3" formatCode="General">
                  <c:v>507000</c:v>
                </c:pt>
                <c:pt idx="4" formatCode="General">
                  <c:v>777000</c:v>
                </c:pt>
                <c:pt idx="5" formatCode="General">
                  <c:v>1094610</c:v>
                </c:pt>
                <c:pt idx="6" formatCode="General">
                  <c:v>1177000</c:v>
                </c:pt>
                <c:pt idx="7" formatCode="General">
                  <c:v>2730640</c:v>
                </c:pt>
                <c:pt idx="8" formatCode="General">
                  <c:v>6335084.7999999998</c:v>
                </c:pt>
                <c:pt idx="9" formatCode="General">
                  <c:v>14697396.735999998</c:v>
                </c:pt>
                <c:pt idx="10" formatCode="General">
                  <c:v>34097960.427519992</c:v>
                </c:pt>
                <c:pt idx="11" formatCode="General">
                  <c:v>79107268.191846371</c:v>
                </c:pt>
              </c:numCache>
            </c:numRef>
          </c:val>
          <c:extLst>
            <c:ext xmlns:c16="http://schemas.microsoft.com/office/drawing/2014/chart" uri="{C3380CC4-5D6E-409C-BE32-E72D297353CC}">
              <c16:uniqueId val="{00000002-87A0-4444-A580-5B82B43DE5B0}"/>
            </c:ext>
          </c:extLst>
        </c:ser>
        <c:ser>
          <c:idx val="3"/>
          <c:order val="3"/>
          <c:tx>
            <c:strRef>
              <c:f>Sheet1!$B$6</c:f>
              <c:strCache>
                <c:ptCount val="1"/>
                <c:pt idx="0">
                  <c:v>Europe</c:v>
                </c:pt>
              </c:strCache>
            </c:strRef>
          </c:tx>
          <c:spPr>
            <a:solidFill>
              <a:schemeClr val="accent4"/>
            </a:solidFill>
            <a:ln>
              <a:noFill/>
            </a:ln>
            <a:effectLst/>
          </c:spPr>
          <c:invertIfNegative val="0"/>
          <c:cat>
            <c:strRef>
              <c:f>Sheet1!$C$2:$N$2</c:f>
              <c:strCache>
                <c:ptCount val="12"/>
                <c:pt idx="0">
                  <c:v>2013</c:v>
                </c:pt>
                <c:pt idx="1">
                  <c:v>2014</c:v>
                </c:pt>
                <c:pt idx="2">
                  <c:v>2015</c:v>
                </c:pt>
                <c:pt idx="3">
                  <c:v>2016</c:v>
                </c:pt>
                <c:pt idx="4">
                  <c:v>2017</c:v>
                </c:pt>
                <c:pt idx="5">
                  <c:v>2018</c:v>
                </c:pt>
                <c:pt idx="6">
                  <c:v>2019</c:v>
                </c:pt>
                <c:pt idx="7">
                  <c:v>2020E</c:v>
                </c:pt>
                <c:pt idx="8">
                  <c:v>2021E</c:v>
                </c:pt>
                <c:pt idx="9">
                  <c:v>2022E</c:v>
                </c:pt>
                <c:pt idx="10">
                  <c:v>2023E</c:v>
                </c:pt>
                <c:pt idx="11">
                  <c:v>2024E</c:v>
                </c:pt>
              </c:strCache>
            </c:strRef>
          </c:cat>
          <c:val>
            <c:numRef>
              <c:f>Sheet1!$C$6:$N$6</c:f>
              <c:numCache>
                <c:formatCode>General</c:formatCode>
                <c:ptCount val="12"/>
                <c:pt idx="0">
                  <c:v>40000</c:v>
                </c:pt>
                <c:pt idx="1">
                  <c:v>98702</c:v>
                </c:pt>
                <c:pt idx="2">
                  <c:v>195651</c:v>
                </c:pt>
                <c:pt idx="3">
                  <c:v>221827</c:v>
                </c:pt>
                <c:pt idx="4">
                  <c:v>307983</c:v>
                </c:pt>
                <c:pt idx="5">
                  <c:v>412110</c:v>
                </c:pt>
                <c:pt idx="6">
                  <c:v>564225</c:v>
                </c:pt>
                <c:pt idx="7">
                  <c:v>910094.92500000005</c:v>
                </c:pt>
                <c:pt idx="8">
                  <c:v>1467983.114025</c:v>
                </c:pt>
                <c:pt idx="9">
                  <c:v>2367856.7629223252</c:v>
                </c:pt>
                <c:pt idx="10">
                  <c:v>3819352.9585937103</c:v>
                </c:pt>
                <c:pt idx="11">
                  <c:v>6160616.3222116549</c:v>
                </c:pt>
              </c:numCache>
            </c:numRef>
          </c:val>
          <c:extLst>
            <c:ext xmlns:c16="http://schemas.microsoft.com/office/drawing/2014/chart" uri="{C3380CC4-5D6E-409C-BE32-E72D297353CC}">
              <c16:uniqueId val="{00000003-87A0-4444-A580-5B82B43DE5B0}"/>
            </c:ext>
          </c:extLst>
        </c:ser>
        <c:dLbls>
          <c:showLegendKey val="0"/>
          <c:showVal val="0"/>
          <c:showCatName val="0"/>
          <c:showSerName val="0"/>
          <c:showPercent val="0"/>
          <c:showBubbleSize val="0"/>
        </c:dLbls>
        <c:gapWidth val="150"/>
        <c:overlap val="100"/>
        <c:axId val="835875728"/>
        <c:axId val="835876272"/>
      </c:barChart>
      <c:catAx>
        <c:axId val="8358757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876272"/>
        <c:crosses val="autoZero"/>
        <c:auto val="1"/>
        <c:lblAlgn val="ctr"/>
        <c:lblOffset val="100"/>
        <c:noMultiLvlLbl val="0"/>
      </c:catAx>
      <c:valAx>
        <c:axId val="835876272"/>
        <c:scaling>
          <c:orientation val="minMax"/>
        </c:scaling>
        <c:delete val="0"/>
        <c:axPos val="l"/>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875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9AD0C-583D-410D-90FF-B1765867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2154</Words>
  <Characters>12282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2020-05-08T10:47:00Z</dcterms:created>
  <dcterms:modified xsi:type="dcterms:W3CDTF">2020-05-15T18:05:00Z</dcterms:modified>
</cp:coreProperties>
</file>