
<file path=[Content_Types].xml><?xml version="1.0" encoding="utf-8"?>
<Types xmlns="http://schemas.openxmlformats.org/package/2006/content-types">
  <Default ContentType="application/vnd.openxmlformats-officedocument.spreadsheetml.sheet" Extension="xlsx"/>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drawingml.chart+xml" PartName="/word/charts/chart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7405.0" w:type="dxa"/>
        <w:jc w:val="left"/>
        <w:tblInd w:w="-115.0" w:type="dxa"/>
        <w:tblBorders>
          <w:left w:color="4f81bd" w:space="0" w:sz="18" w:val="single"/>
        </w:tblBorders>
        <w:tblLayout w:type="fixed"/>
        <w:tblLook w:val="0400"/>
      </w:tblPr>
      <w:tblGrid>
        <w:gridCol w:w="7405"/>
        <w:tblGridChange w:id="0">
          <w:tblGrid>
            <w:gridCol w:w="7405"/>
          </w:tblGrid>
        </w:tblGridChange>
      </w:tblGrid>
      <w:tr>
        <w:trPr>
          <w:cantSplit w:val="0"/>
          <w:tblHeader w:val="0"/>
        </w:trPr>
        <w:tc>
          <w:tcPr>
            <w:tcMar>
              <w:top w:w="216.0" w:type="dxa"/>
              <w:left w:w="115.0" w:type="dxa"/>
              <w:bottom w:w="216.0" w:type="dxa"/>
              <w:right w:w="115.0" w:type="dxa"/>
            </w:tcM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4f81bd"/>
                <w:sz w:val="80"/>
                <w:szCs w:val="80"/>
                <w:u w:val="single"/>
                <w:shd w:fill="auto" w:val="clear"/>
                <w:vertAlign w:val="baseline"/>
              </w:rPr>
            </w:pPr>
            <w:r w:rsidDel="00000000" w:rsidR="00000000" w:rsidRPr="00000000">
              <w:rPr>
                <w:rFonts w:ascii="Cambria" w:cs="Cambria" w:eastAsia="Cambria" w:hAnsi="Cambria"/>
                <w:b w:val="0"/>
                <w:i w:val="0"/>
                <w:smallCaps w:val="0"/>
                <w:strike w:val="0"/>
                <w:color w:val="4f81bd"/>
                <w:sz w:val="80"/>
                <w:szCs w:val="80"/>
                <w:u w:val="single"/>
                <w:shd w:fill="auto" w:val="clear"/>
                <w:vertAlign w:val="baseline"/>
                <w:rtl w:val="0"/>
              </w:rPr>
              <w:t xml:space="preserve">Human Resource Management</w:t>
            </w:r>
          </w:p>
        </w:tc>
      </w:tr>
      <w:tr>
        <w:trPr>
          <w:cantSplit w:val="0"/>
          <w:tblHeader w:val="0"/>
        </w:trPr>
        <w:tc>
          <w:tcPr>
            <w:tcMar>
              <w:top w:w="216.0" w:type="dxa"/>
              <w:left w:w="115.0" w:type="dxa"/>
              <w:bottom w:w="216.0" w:type="dxa"/>
              <w:right w:w="115.0" w:type="dxa"/>
            </w:tcM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single"/>
                <w:shd w:fill="auto" w:val="clear"/>
                <w:vertAlign w:val="baseline"/>
              </w:rPr>
            </w:pPr>
            <w:r w:rsidDel="00000000" w:rsidR="00000000" w:rsidRPr="00000000">
              <w:rPr>
                <w:rtl w:val="0"/>
              </w:rPr>
            </w:r>
          </w:p>
        </w:tc>
      </w:tr>
    </w:tbl>
    <w:p w:rsidR="00000000" w:rsidDel="00000000" w:rsidP="00000000" w:rsidRDefault="00000000" w:rsidRPr="00000000" w14:paraId="00000009">
      <w:pPr>
        <w:jc w:val="center"/>
        <w:rPr/>
      </w:pPr>
      <w:r w:rsidDel="00000000" w:rsidR="00000000" w:rsidRPr="00000000">
        <w:rPr>
          <w:b w:val="1"/>
          <w:color w:val="000000"/>
          <w:sz w:val="32"/>
          <w:szCs w:val="32"/>
        </w:rPr>
        <w:drawing>
          <wp:inline distB="0" distT="0" distL="0" distR="0">
            <wp:extent cx="4755515" cy="1265581"/>
            <wp:effectExtent b="0" l="0" r="0" t="0"/>
            <wp:docPr descr="C:\Users\hp\Desktop\Capture.PNG" id="2" name="image1.png"/>
            <a:graphic>
              <a:graphicData uri="http://schemas.openxmlformats.org/drawingml/2006/picture">
                <pic:pic>
                  <pic:nvPicPr>
                    <pic:cNvPr descr="C:\Users\hp\Desktop\Capture.PNG" id="0" name="image1.png"/>
                    <pic:cNvPicPr preferRelativeResize="0"/>
                  </pic:nvPicPr>
                  <pic:blipFill>
                    <a:blip r:embed="rId6"/>
                    <a:srcRect b="0" l="0" r="0" t="0"/>
                    <a:stretch>
                      <a:fillRect/>
                    </a:stretch>
                  </pic:blipFill>
                  <pic:spPr>
                    <a:xfrm>
                      <a:off x="0" y="0"/>
                      <a:ext cx="4755515" cy="1265581"/>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center"/>
        <w:rPr/>
      </w:pPr>
      <w:bookmarkStart w:colFirst="0" w:colLast="0" w:name="_gjdgxs" w:id="0"/>
      <w:bookmarkEnd w:id="0"/>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tbl>
      <w:tblPr>
        <w:tblStyle w:val="Table2"/>
        <w:tblW w:w="7405.0" w:type="dxa"/>
        <w:jc w:val="left"/>
        <w:tblInd w:w="-115.0" w:type="dxa"/>
        <w:tblLayout w:type="fixed"/>
        <w:tblLook w:val="0400"/>
      </w:tblPr>
      <w:tblGrid>
        <w:gridCol w:w="7405"/>
        <w:tblGridChange w:id="0">
          <w:tblGrid>
            <w:gridCol w:w="7405"/>
          </w:tblGrid>
        </w:tblGridChange>
      </w:tblGrid>
      <w:tr>
        <w:trPr>
          <w:cantSplit w:val="0"/>
          <w:tblHeader w:val="0"/>
        </w:trPr>
        <w:tc>
          <w:tcPr>
            <w:tcMar>
              <w:top w:w="216.0" w:type="dxa"/>
              <w:left w:w="115.0" w:type="dxa"/>
              <w:bottom w:w="216.0" w:type="dxa"/>
              <w:right w:w="115.0" w:type="dxa"/>
            </w:tcMar>
          </w:tcPr>
          <w:p w:rsidR="00000000" w:rsidDel="00000000" w:rsidP="00000000" w:rsidRDefault="00000000" w:rsidRPr="00000000" w14:paraId="0000000C">
            <w:pPr>
              <w:rPr>
                <w:sz w:val="32"/>
                <w:szCs w:val="32"/>
              </w:rPr>
            </w:pPr>
            <w:r w:rsidDel="00000000" w:rsidR="00000000" w:rsidRPr="00000000">
              <w:rPr>
                <w:sz w:val="32"/>
                <w:szCs w:val="32"/>
                <w:rtl w:val="0"/>
              </w:rPr>
              <w:t xml:space="preserve">Name: - Meet Mukeshbhai Patel</w:t>
            </w:r>
          </w:p>
          <w:p w:rsidR="00000000" w:rsidDel="00000000" w:rsidP="00000000" w:rsidRDefault="00000000" w:rsidRPr="00000000" w14:paraId="0000000D">
            <w:pPr>
              <w:rPr>
                <w:sz w:val="32"/>
                <w:szCs w:val="32"/>
              </w:rPr>
            </w:pPr>
            <w:r w:rsidDel="00000000" w:rsidR="00000000" w:rsidRPr="00000000">
              <w:rPr>
                <w:sz w:val="32"/>
                <w:szCs w:val="32"/>
                <w:rtl w:val="0"/>
              </w:rPr>
              <w:t xml:space="preserve">Student-id: - 2241321</w:t>
            </w:r>
          </w:p>
          <w:p w:rsidR="00000000" w:rsidDel="00000000" w:rsidP="00000000" w:rsidRDefault="00000000" w:rsidRPr="00000000" w14:paraId="0000000E">
            <w:pPr>
              <w:rPr>
                <w:sz w:val="32"/>
                <w:szCs w:val="32"/>
              </w:rPr>
            </w:pPr>
            <w:r w:rsidDel="00000000" w:rsidR="00000000" w:rsidRPr="00000000">
              <w:rPr>
                <w:sz w:val="32"/>
                <w:szCs w:val="32"/>
                <w:rtl w:val="0"/>
              </w:rPr>
              <w:t xml:space="preserve">Module code:- LCMB7000</w:t>
            </w:r>
          </w:p>
          <w:p w:rsidR="00000000" w:rsidDel="00000000" w:rsidP="00000000" w:rsidRDefault="00000000" w:rsidRPr="00000000" w14:paraId="0000000F">
            <w:pPr>
              <w:rPr>
                <w:sz w:val="32"/>
                <w:szCs w:val="32"/>
              </w:rPr>
            </w:pPr>
            <w:r w:rsidDel="00000000" w:rsidR="00000000" w:rsidRPr="00000000">
              <w:rPr>
                <w:sz w:val="32"/>
                <w:szCs w:val="32"/>
                <w:rtl w:val="0"/>
              </w:rPr>
              <w:t xml:space="preserve">Module Name:- Human Resource managment</w:t>
            </w:r>
          </w:p>
          <w:p w:rsidR="00000000" w:rsidDel="00000000" w:rsidP="00000000" w:rsidRDefault="00000000" w:rsidRPr="00000000" w14:paraId="00000010">
            <w:pPr>
              <w:rPr>
                <w:sz w:val="32"/>
                <w:szCs w:val="32"/>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4f81bd"/>
                <w:sz w:val="22"/>
                <w:szCs w:val="22"/>
                <w:u w:val="none"/>
                <w:shd w:fill="auto" w:val="clear"/>
                <w:vertAlign w:val="baseline"/>
              </w:rPr>
            </w:pPr>
            <w:r w:rsidDel="00000000" w:rsidR="00000000" w:rsidRPr="00000000">
              <w:rPr>
                <w:rtl w:val="0"/>
              </w:rPr>
            </w:r>
          </w:p>
        </w:tc>
      </w:tr>
      <w:tr>
        <w:trPr>
          <w:cantSplit w:val="0"/>
          <w:tblHeader w:val="0"/>
        </w:trPr>
        <w:tc>
          <w:tcPr>
            <w:tcMar>
              <w:top w:w="216.0" w:type="dxa"/>
              <w:left w:w="115.0" w:type="dxa"/>
              <w:bottom w:w="216.0" w:type="dxa"/>
              <w:right w:w="115.0" w:type="dxa"/>
            </w:tcMar>
          </w:tcPr>
          <w:p w:rsidR="00000000" w:rsidDel="00000000" w:rsidP="00000000" w:rsidRDefault="00000000" w:rsidRPr="00000000" w14:paraId="00000012">
            <w:pPr>
              <w:rPr>
                <w:sz w:val="32"/>
                <w:szCs w:val="32"/>
              </w:rPr>
            </w:pPr>
            <w:r w:rsidDel="00000000" w:rsidR="00000000" w:rsidRPr="00000000">
              <w:rPr>
                <w:rtl w:val="0"/>
              </w:rPr>
            </w:r>
          </w:p>
        </w:tc>
      </w:tr>
    </w:tbl>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current state of the labor market in the UK</w:t>
              <w:tab/>
              <w:t xml:space="preserve">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Participation Rate and Economic Inactivity</w:t>
              <w:tab/>
              <w:t xml:space="preserve">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Great Resignation</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Skills and Occupational Shortages</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Stagnant Productivity</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Rising Share of Self-Employment</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Pay, Inflation and Industrial Action</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Demographic Changes</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Labor Market Deregulation</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emerging changes in Human Resourcing Strategies in the post Covid, post Brexit external environment.</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Remote and Hybrid Working Models</w:t>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Flexible Work Arrangements</w:t>
              <w:tab/>
              <w:t xml:space="preserve">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Recruitment and Retention Challenges</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Focus on Wellbeing and Engagement</w:t>
              <w:tab/>
              <w:t xml:space="preserve">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Diversity, Equity and Inclusion</w:t>
              <w:tab/>
              <w:t xml:space="preserve">8</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Digital Transformation and Reskilling</w:t>
              <w:tab/>
              <w:t xml:space="preserve">8</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Rise of People Analytics</w:t>
              <w:tab/>
              <w:t xml:space="preserve">9</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Building Organizational Resilience</w:t>
              <w:tab/>
              <w:t xml:space="preserve">10</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y810tw">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i7ojh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2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pStyle w:val="Heading1"/>
        <w:jc w:val="both"/>
        <w:rPr>
          <w:u w:val="single"/>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pStyle w:val="Heading2"/>
        <w:jc w:val="both"/>
        <w:rPr>
          <w:color w:val="000000"/>
        </w:rPr>
      </w:pPr>
      <w:bookmarkStart w:colFirst="0" w:colLast="0" w:name="_30j0zll" w:id="1"/>
      <w:bookmarkEnd w:id="1"/>
      <w:r w:rsidDel="00000000" w:rsidR="00000000" w:rsidRPr="00000000">
        <w:rPr>
          <w:color w:val="000000"/>
          <w:rtl w:val="0"/>
        </w:rPr>
        <w:t xml:space="preserve">Introduction</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labor market in the United Kingdom has undergone significant changes in recent years. While unemployment rates fell to historic lows prior to the COVID-19 pandemic, the labor market has faced new challenges since 2020. This paper examines the current state of the UK labor market, analyzing trends in employment, unemployment, workforce participation, job vacancies, wages, and other key indicators. It provides an overview of how the labor market has evolved since the 2008 global financial crisis and assesses the impact of more recent events like Brexit and COVID-19. Factors influencing labor supply and demand are discussed. The introduction summarizes the paper's key findings regarding the strengths and weaknesses characterizing the contemporary UK labor market and highlights areas requiring policy attention to ensure stable, equitable, and efficient employment outcomes. Current data from reputable sources like the Office for National Statistics is utilized to provide an accurate, up-to-date profile of the post-pandemic labor market as of 2023. The paper contributes to understanding ongoing structural and cyclical changes in the UK labor market in the context of a recovering economy, evolving skill demands, and global uncertainties.</w:t>
      </w:r>
    </w:p>
    <w:p w:rsidR="00000000" w:rsidDel="00000000" w:rsidP="00000000" w:rsidRDefault="00000000" w:rsidRPr="00000000" w14:paraId="00000037">
      <w:pPr>
        <w:pStyle w:val="Heading1"/>
        <w:jc w:val="both"/>
        <w:rPr>
          <w:u w:val="single"/>
        </w:rPr>
      </w:pPr>
      <w:bookmarkStart w:colFirst="0" w:colLast="0" w:name="_1fob9te" w:id="2"/>
      <w:bookmarkEnd w:id="2"/>
      <w:r w:rsidDel="00000000" w:rsidR="00000000" w:rsidRPr="00000000">
        <w:rPr>
          <w:u w:val="single"/>
          <w:rtl w:val="0"/>
        </w:rPr>
        <w:t xml:space="preserve">The current state of the labor market in the UK</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pStyle w:val="Heading2"/>
        <w:jc w:val="both"/>
        <w:rPr>
          <w:color w:val="000000"/>
        </w:rPr>
      </w:pPr>
      <w:bookmarkStart w:colFirst="0" w:colLast="0" w:name="_3znysh7" w:id="3"/>
      <w:bookmarkEnd w:id="3"/>
      <w:r w:rsidDel="00000000" w:rsidR="00000000" w:rsidRPr="00000000">
        <w:rPr>
          <w:color w:val="000000"/>
          <w:rtl w:val="0"/>
        </w:rPr>
        <w:t xml:space="preserve">Participation Rate and Economic Inactivity </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UK's labor participation rate remains below pre-pandemic levels at 78.7% for 16-64 year olds (March-May 2022), while economic inactivity stands at 21.3% (around 9 million adults). Early retirement, sickness, and studying explain much of this inactivity. Bringing inactive people back to work is vital to address labor shortages. Groups with higher inactivity include women with children, older adults, the disabled, those with health conditions, and ethnic minorities. Removing barriers around childcare, flexible working, transport, and discrimination could boost participation.</w:t>
      </w:r>
    </w:p>
    <w:p w:rsidR="00000000" w:rsidDel="00000000" w:rsidP="00000000" w:rsidRDefault="00000000" w:rsidRPr="00000000" w14:paraId="0000003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019675" cy="2914650"/>
            <wp:effectExtent b="0" l="0" r="9525" t="0"/>
            <wp:docPr id="1" name=""/>
            <a:graphic>
              <a:graphicData uri="http://schemas.openxmlformats.org/drawingml/2006/chart">
                <c:chart r:id="rId7"/>
              </a:graphicData>
            </a:graphic>
          </wp:inline>
        </w:drawing>
      </w: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Figure: Labour Participation rate of UK</w:t>
      </w:r>
    </w:p>
    <w:p w:rsidR="00000000" w:rsidDel="00000000" w:rsidP="00000000" w:rsidRDefault="00000000" w:rsidRPr="00000000" w14:paraId="0000003D">
      <w:pPr>
        <w:pStyle w:val="Heading2"/>
        <w:jc w:val="both"/>
        <w:rPr>
          <w:color w:val="000000"/>
        </w:rPr>
      </w:pPr>
      <w:bookmarkStart w:colFirst="0" w:colLast="0" w:name="_2et92p0" w:id="4"/>
      <w:bookmarkEnd w:id="4"/>
      <w:r w:rsidDel="00000000" w:rsidR="00000000" w:rsidRPr="00000000">
        <w:rPr>
          <w:color w:val="000000"/>
          <w:rtl w:val="0"/>
        </w:rPr>
        <w:t xml:space="preserve">The Great Resignation</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pandemic prompted many workers to re-evaluate their jobs and priorities. This translated into high quit rates as part of the "Great Resignation" in the UK. In April-June 2022, the number of vacancies in the UK outpaced unemployed people by around 1 million, the widest gap on record. Job-to-job moves also reached a record high of 935,000 as workers switched roles. </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Retention and recruitment difficulties are impacting many industries from hospitality to manufacturing. Employers are being forced to raise wages, offer bonuses and improve benefits to attract and retain staff</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(Sheather and Slattery, 2021). However, such incentives are often unevenly distributed, benefiting experienced or skilled workers most. Pricing out low-pay employers may simply displace labor shortages elsewhere. Sustainably expanding the workforce through training, migration and other channels may be a more effective solution.</w:t>
      </w:r>
    </w:p>
    <w:p w:rsidR="00000000" w:rsidDel="00000000" w:rsidP="00000000" w:rsidRDefault="00000000" w:rsidRPr="00000000" w14:paraId="00000040">
      <w:pPr>
        <w:pStyle w:val="Heading2"/>
        <w:jc w:val="both"/>
        <w:rPr>
          <w:color w:val="000000"/>
        </w:rPr>
      </w:pPr>
      <w:bookmarkStart w:colFirst="0" w:colLast="0" w:name="_tyjcwt" w:id="5"/>
      <w:bookmarkEnd w:id="5"/>
      <w:r w:rsidDel="00000000" w:rsidR="00000000" w:rsidRPr="00000000">
        <w:rPr>
          <w:color w:val="000000"/>
          <w:rtl w:val="0"/>
        </w:rPr>
        <w:t xml:space="preserve">Skills and Occupational Shortages</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 occupations are especially impacted by hiring difficulties, including truck drivers, chefs, nurses and software developers. Brexit has exacerbated labor shortages in some sectors reliant on EU workers such as food processing, logistics and construction. The shortage of workers with requisite skills is a growing concern. Manufacturing, computing and engineering graduates are still below pre-financial crisis levels. </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Apprenticeship starts also fell during the pandemic</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(Sheather and Slattery, 2021). Critics argue the apprenticeship levy has overly emphasized graduate-level programs at the expense of entry-level opportunities. Quality varies greatly between apprenticeship providers. There have been calls on the government to relax immigration rules as well as improve training and access to apprenticeships. Developing skills accreditation and bridging programs will be important moving forward.</w:t>
      </w:r>
    </w:p>
    <w:p w:rsidR="00000000" w:rsidDel="00000000" w:rsidP="00000000" w:rsidRDefault="00000000" w:rsidRPr="00000000" w14:paraId="00000043">
      <w:pPr>
        <w:pStyle w:val="Heading2"/>
        <w:jc w:val="both"/>
        <w:rPr>
          <w:color w:val="000000"/>
        </w:rPr>
      </w:pPr>
      <w:bookmarkStart w:colFirst="0" w:colLast="0" w:name="_3dy6vkm" w:id="6"/>
      <w:bookmarkEnd w:id="6"/>
      <w:r w:rsidDel="00000000" w:rsidR="00000000" w:rsidRPr="00000000">
        <w:rPr>
          <w:color w:val="000000"/>
          <w:rtl w:val="0"/>
        </w:rPr>
        <w:t xml:space="preserve">Stagnant Productivity  </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UK productivity has stagnated over the last decade compared to other G7 nations. Output per hour remains around 20% below the G7 average. Weak investment levels, skills shortages, poor management practices, and limited technology diffusion are seen as contributing factors. The UK has a long tail of low productivity firms compared to leading innovators. </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Boosting productivity through automation, digitization, new technologies, management training and workforce upskilling may help alleviate wage and labor supply pressures over the long-term</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(Carlin and Soskice, 2018). However, uncertainty over Brexit, Covid-19 and soaring energy costs provides challenges for business investment and growth. Access to finance is also disproportionately limited for small businesses and start-ups trying to scale.</w:t>
      </w:r>
    </w:p>
    <w:p w:rsidR="00000000" w:rsidDel="00000000" w:rsidP="00000000" w:rsidRDefault="00000000" w:rsidRPr="00000000" w14:paraId="00000046">
      <w:pPr>
        <w:pStyle w:val="Heading2"/>
        <w:jc w:val="both"/>
        <w:rPr>
          <w:color w:val="000000"/>
        </w:rPr>
      </w:pPr>
      <w:bookmarkStart w:colFirst="0" w:colLast="0" w:name="_1t3h5sf" w:id="7"/>
      <w:bookmarkEnd w:id="7"/>
      <w:r w:rsidDel="00000000" w:rsidR="00000000" w:rsidRPr="00000000">
        <w:rPr>
          <w:color w:val="000000"/>
          <w:rtl w:val="0"/>
        </w:rPr>
        <w:t xml:space="preserve">Rising Share of Self-Employment</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Self-employment accounts for around 15% of total UK employment, rising from 13% in 2008. The gig economy, enabled by digital platforms like Uber and Deliveroo, has facilitated independent and flexible working. However, there are concerns around job security, holiday pay and workers' rights within the gig economy. Most self-employed workers remain sole traders with limited scope to grow. </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is introducing more protections for self-employed and gig workers, while also making it easier for businesses to utilize flexible staffing. Navigating this changing landscape poses challenges for policymakers in balancing flexibility and autonomy with employment rights and social security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(Carlin and Soskice, 2018). Clarifying employment status tests and expanding protections may benefit gig workers without reducing innovation.</w:t>
      </w:r>
    </w:p>
    <w:p w:rsidR="00000000" w:rsidDel="00000000" w:rsidP="00000000" w:rsidRDefault="00000000" w:rsidRPr="00000000" w14:paraId="00000049">
      <w:pPr>
        <w:pStyle w:val="Heading2"/>
        <w:jc w:val="both"/>
        <w:rPr>
          <w:color w:val="000000"/>
        </w:rPr>
      </w:pPr>
      <w:bookmarkStart w:colFirst="0" w:colLast="0" w:name="_4d34og8" w:id="8"/>
      <w:bookmarkEnd w:id="8"/>
      <w:r w:rsidDel="00000000" w:rsidR="00000000" w:rsidRPr="00000000">
        <w:rPr>
          <w:color w:val="000000"/>
          <w:rtl w:val="0"/>
        </w:rPr>
        <w:t xml:space="preserve">Pay, Inflation and Industrial Action</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attract and retain staff in the tight labor market, pay rates have been rising rapidly - average total pay (including bonuses) grew by 6.2% for April-June 2022</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(Alonso, 1968). However, with UK inflation now at 9.4%, real wages are falling sharply. Household budgets are being increasingly squeezed by rising living costs. </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Unions are demanding significant pay raises to combat the cost of living crisis. Threats of strike action are growing across transport, healthcare, education and other public sectors. This industrial unrest may continue without resolution between unions and employers on pay. However, overly generous pay deals risk further fuelling inflation. Careful wage-setting policies are required to maintain economic stability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(Alonso, 1968). The government also faces pressure to increase benefits and provide greater cost of living support.</w:t>
      </w:r>
    </w:p>
    <w:p w:rsidR="00000000" w:rsidDel="00000000" w:rsidP="00000000" w:rsidRDefault="00000000" w:rsidRPr="00000000" w14:paraId="0000004C">
      <w:pPr>
        <w:pStyle w:val="Heading2"/>
        <w:jc w:val="both"/>
        <w:rPr>
          <w:color w:val="000000"/>
        </w:rPr>
      </w:pPr>
      <w:bookmarkStart w:colFirst="0" w:colLast="0" w:name="_2s8eyo1" w:id="9"/>
      <w:bookmarkEnd w:id="9"/>
      <w:r w:rsidDel="00000000" w:rsidR="00000000" w:rsidRPr="00000000">
        <w:rPr>
          <w:color w:val="000000"/>
          <w:rtl w:val="0"/>
        </w:rPr>
        <w:t xml:space="preserve">Demographic Changes </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UK's aging population is shrinking the pool of working-age labor. Around 1 in 3 workers are aged over 50 while only around 1 in 6 are under 30. Net migration has also fallen sharply since Brexit. Without EU freedom of movement, the UK is now competing globally for overseas talent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(CHEN, 2012). Age discrimination, lack of flexibility and insufficient mid-career training hamper older worker participation.</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is seeking bilateral deals to fill labor shortages in areas like healthcare. Renewed focus is also being placed on automation, childcare provision, lifelong learning and flexible working models. Later retirement ages have been proposed but face public resistance. Supporting aging workers to remain in the labor force for longer will become increasingly important.</w:t>
      </w:r>
    </w:p>
    <w:p w:rsidR="00000000" w:rsidDel="00000000" w:rsidP="00000000" w:rsidRDefault="00000000" w:rsidRPr="00000000" w14:paraId="0000004F">
      <w:pPr>
        <w:pStyle w:val="Heading2"/>
        <w:jc w:val="both"/>
        <w:rPr>
          <w:color w:val="000000"/>
        </w:rPr>
      </w:pPr>
      <w:bookmarkStart w:colFirst="0" w:colLast="0" w:name="_17dp8vu" w:id="10"/>
      <w:bookmarkEnd w:id="10"/>
      <w:r w:rsidDel="00000000" w:rsidR="00000000" w:rsidRPr="00000000">
        <w:rPr>
          <w:color w:val="000000"/>
          <w:rtl w:val="0"/>
        </w:rPr>
        <w:t xml:space="preserve">Labor Market Deregulation</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policymakers argue excessive regulation hampers business hiring and agility. Proposals have been made to allow businesses to hire temporary foreign workers more easily and directly. The qualifying period for unfair dismissal claims could also be extended from 2 years to 3 or more. However, unions caution against excessive deregulation, arguing workers' rights should be protected and extended where necessary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(CHEN, 2012). There are also concerns additional migrant workers may suppress wage growth without fixing underlying issues.</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UK labor market faces on-going challenges as it recovers from the economic impacts of the COVID-19 pandemic. While employment rates have risen, participation remains below pre-pandemic levels at 78.7% and economic inactivity affects over 9 million working-age adults. Tackling barriers around health, discrimination, skills gaps, and access to childcare could support more people back into work and address labor shortages. However, supportive policies are needed to engage vulnerable groups. Sustained effort is required to stabilize the labor market and support participation.</w:t>
      </w:r>
    </w:p>
    <w:p w:rsidR="00000000" w:rsidDel="00000000" w:rsidP="00000000" w:rsidRDefault="00000000" w:rsidRPr="00000000" w14:paraId="00000052">
      <w:pPr>
        <w:pStyle w:val="Heading1"/>
        <w:jc w:val="both"/>
        <w:rPr>
          <w:u w:val="single"/>
        </w:rPr>
      </w:pPr>
      <w:bookmarkStart w:colFirst="0" w:colLast="0" w:name="_3rdcrjn" w:id="11"/>
      <w:bookmarkEnd w:id="11"/>
      <w:r w:rsidDel="00000000" w:rsidR="00000000" w:rsidRPr="00000000">
        <w:rPr>
          <w:u w:val="single"/>
          <w:rtl w:val="0"/>
        </w:rPr>
        <w:t xml:space="preserve">The emerging changes in Human Resourcing Strategies in the post Covid, post Brexit external environment.</w:t>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COVID-19 pandemic and Brexit have catalysed profound changes in the external landscape that Human Resources (HR) functions must navigate. Organizations face new uncertainties including evolving public health measures, talent shortages and retention challenges, hybrid work trends, and Brexit-related immigration policy shifts. In this climate, HR strategies must adapt to support organizational resilience, agility, and competitiveness. Key focus areas include employee health, safety and wellbeing, virtual on boarding and engagement, data-driven hiring and skills development, and immigration compliance. As the post-COVID, post-Brexit environment continues to unfold, innovative and responsive HR strategies will be vital to access and retain diverse talent, foster inclusive cultures, and drive business continuity.</w:t>
      </w:r>
      <w:r w:rsidDel="00000000" w:rsidR="00000000" w:rsidRPr="00000000">
        <w:rPr>
          <w:rtl w:val="0"/>
        </w:rPr>
      </w:r>
    </w:p>
    <w:p w:rsidR="00000000" w:rsidDel="00000000" w:rsidP="00000000" w:rsidRDefault="00000000" w:rsidRPr="00000000" w14:paraId="00000055">
      <w:pPr>
        <w:pStyle w:val="Heading2"/>
        <w:jc w:val="both"/>
        <w:rPr>
          <w:color w:val="000000"/>
        </w:rPr>
      </w:pPr>
      <w:bookmarkStart w:colFirst="0" w:colLast="0" w:name="_26in1rg" w:id="12"/>
      <w:bookmarkEnd w:id="12"/>
      <w:r w:rsidDel="00000000" w:rsidR="00000000" w:rsidRPr="00000000">
        <w:rPr>
          <w:color w:val="000000"/>
          <w:rtl w:val="0"/>
        </w:rPr>
        <w:t xml:space="preserve">Remote and Hybrid Working Models</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widespread shift to remote work during the pandemic is likely to endure in some form beyond the crisis. While many jobs require on-site presence, surveys indicate over half of UK employee’s desire greater location flexibility. Many organizations are adopting hybrid working models, enabling employees to split time between remote work and the office.</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Flexible remote work can expand talent reach, improve work-life balance, reduce costs and enable targeted overseas hiring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(D’Cruz, Noronha and Beale, 2014). Managers enjoy benefits like better focus and productivity. However, managing dispersed teams also poses challenges around collaboration, company culture, performance evaluation, security and technology.</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HR plays a key role in developing clear remote and hybrid working policies on expectations, best practices and technology tools. Training managers to lead virtual teams, set goals and coach remotely are critical success factors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(D’Cruz, Noronha and Beale, 2014). Maintaining connection, cohesion and engagement in hybrid teams remains vital but achievable through face-to-face touchpoints, virtual social events and strong communication. Policies must remain agile amidst ongoing uncertainty.</w:t>
      </w:r>
    </w:p>
    <w:p w:rsidR="00000000" w:rsidDel="00000000" w:rsidP="00000000" w:rsidRDefault="00000000" w:rsidRPr="00000000" w14:paraId="00000059">
      <w:pPr>
        <w:pStyle w:val="Heading2"/>
        <w:jc w:val="both"/>
        <w:rPr>
          <w:color w:val="000000"/>
        </w:rPr>
      </w:pPr>
      <w:bookmarkStart w:colFirst="0" w:colLast="0" w:name="_lnxbz9" w:id="13"/>
      <w:bookmarkEnd w:id="13"/>
      <w:r w:rsidDel="00000000" w:rsidR="00000000" w:rsidRPr="00000000">
        <w:rPr>
          <w:color w:val="000000"/>
          <w:rtl w:val="0"/>
        </w:rPr>
        <w:t xml:space="preserve">Flexible Work Arrangements </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access wider talent pools and meet diverse employee needs, companies are offering more flexible resourcing options like part-time hours, compressed weeks, annualized hours, term-time work and job sharing. Non-linear career paths are also facilitated through career breaks, sabbaticals and returner programs for those taking time off for learning, family or other reasons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(Stavrou and Ierodiakonou, 2011).</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gig economy, enabled by platforms like Deliveroo and Uber, is rising as a source of supplementary on-demand labor. However, organizations must ensure equitable access to benefits, training and career development for part-time and gig workers. HR plays a key role through decentralized decision making, results-focused performance management and influencer training for managers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(Stavrou and Ierodiakonou, 2011).</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policies, automation and self-service tools can foster workforce agility. But overly fragmented workforces pose risks of burnout, disengagement and knowledge loss. Strong change management and communication are required when implementing flexible work changes.</w:t>
      </w:r>
    </w:p>
    <w:p w:rsidR="00000000" w:rsidDel="00000000" w:rsidP="00000000" w:rsidRDefault="00000000" w:rsidRPr="00000000" w14:paraId="0000005D">
      <w:pPr>
        <w:pStyle w:val="Heading2"/>
        <w:jc w:val="both"/>
        <w:rPr>
          <w:color w:val="000000"/>
        </w:rPr>
      </w:pPr>
      <w:bookmarkStart w:colFirst="0" w:colLast="0" w:name="_35nkun2" w:id="14"/>
      <w:bookmarkEnd w:id="14"/>
      <w:r w:rsidDel="00000000" w:rsidR="00000000" w:rsidRPr="00000000">
        <w:rPr>
          <w:color w:val="000000"/>
          <w:rtl w:val="0"/>
        </w:rPr>
        <w:t xml:space="preserve">Recruitment and Retention Challenges</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UK is experiencing talent shortages across many sectors from technology to healthcare, logistics and hospitality. Brexit has reduced migrant worker inflows, while the Great Resignation during Covid accelerated churn. Hiring has become more competitive with protracted vacancies. Retention is also critical as employees change roles more frequently.</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Organizations are focused on improving their employer brand, candidate experience, pay structures, benefits, training and career progression opportunities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(Pyron, 2008). Referral bonuses, alumni networks, succession planning and talent mobility programs aid retention. Internships, apprenticeships and upskilling help build talent pipelines. But shortages of niche skills remain a concern.</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HR plays a key role through workforce planning, compensation benchmarking, channel strategy and coordinating cross-functional collaboration between recruitment and business teams. However, talent acquisition costs are rising, making it imperative to balance external hiring with internal development.</w:t>
      </w:r>
    </w:p>
    <w:p w:rsidR="00000000" w:rsidDel="00000000" w:rsidP="00000000" w:rsidRDefault="00000000" w:rsidRPr="00000000" w14:paraId="00000061">
      <w:pPr>
        <w:pStyle w:val="Heading2"/>
        <w:jc w:val="both"/>
        <w:rPr>
          <w:color w:val="000000"/>
        </w:rPr>
      </w:pPr>
      <w:bookmarkStart w:colFirst="0" w:colLast="0" w:name="_1ksv4uv" w:id="15"/>
      <w:bookmarkEnd w:id="15"/>
      <w:r w:rsidDel="00000000" w:rsidR="00000000" w:rsidRPr="00000000">
        <w:rPr>
          <w:color w:val="000000"/>
          <w:rtl w:val="0"/>
        </w:rPr>
        <w:t xml:space="preserve">Focus on Wellbeing and Engagement</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Burnout and poor mental health have increased during the pandemic. Supporting workforce wellbeing is now a key priority, including through flexible hours, employee assistance programs, stress management training and social activities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(Pyron, 2008). HR provides data-driven insights to identify issues, direct support and benchmark progress.</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Building more supportive, inclusive and purpose-driven cultures is seen as central to employee engagement and retention. Transparency, autonomy, development opportunities and work-life balance are highly valued. HR shapes positive cultures via feedback channels, shaping values, aiding managers and providing tools to foster trust and recognize efforts.</w:t>
      </w:r>
    </w:p>
    <w:p w:rsidR="00000000" w:rsidDel="00000000" w:rsidP="00000000" w:rsidRDefault="00000000" w:rsidRPr="00000000" w14:paraId="00000064">
      <w:pPr>
        <w:pStyle w:val="Heading2"/>
        <w:jc w:val="both"/>
        <w:rPr>
          <w:color w:val="000000"/>
        </w:rPr>
      </w:pPr>
      <w:bookmarkStart w:colFirst="0" w:colLast="0" w:name="_44sinio" w:id="16"/>
      <w:bookmarkEnd w:id="16"/>
      <w:r w:rsidDel="00000000" w:rsidR="00000000" w:rsidRPr="00000000">
        <w:rPr>
          <w:color w:val="000000"/>
          <w:rtl w:val="0"/>
        </w:rPr>
        <w:t xml:space="preserve">Diversity, Equity and Inclusion</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Diversity, equity and inclusion have become business imperatives that can spur innovation when embraced holistically. While HR provides training, data, policies and programs, effecting systemic change requires giving marginalized groups greater voice and dismantling inequities. Though initiatives like blind hiring and mentoring increase representation, ensuring equitable access and cultivating an inclusive culture is an ongoing process needing sustained focus from leaders. Meaningful progress takes time, accountability and collective action across society.</w:t>
      </w:r>
    </w:p>
    <w:p w:rsidR="00000000" w:rsidDel="00000000" w:rsidP="00000000" w:rsidRDefault="00000000" w:rsidRPr="00000000" w14:paraId="00000066">
      <w:pPr>
        <w:pStyle w:val="Heading2"/>
        <w:jc w:val="both"/>
        <w:rPr>
          <w:color w:val="000000"/>
        </w:rPr>
      </w:pPr>
      <w:bookmarkStart w:colFirst="0" w:colLast="0" w:name="_2jxsxqh" w:id="17"/>
      <w:bookmarkEnd w:id="17"/>
      <w:r w:rsidDel="00000000" w:rsidR="00000000" w:rsidRPr="00000000">
        <w:rPr>
          <w:color w:val="000000"/>
          <w:rtl w:val="0"/>
        </w:rPr>
        <w:t xml:space="preserve">Digital Transformation and Reskilling</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rapid digitization of business operations and ways of working requires HR to facilitate large-scale capability building across organizations. Investment in human capital through upskilling, reskilling, on-the-job training, online learning and externships is key. </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HR works closely with business leaders to identify emerging skill demands and provide learning platforms, skills mapping tools, mentors and development pathways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(Bennett and McWhorter, 2021). As companies adopt AI, digital platforms, automation and other emerging technologies, HR helps coordinate organizational change and role redesign.</w:t>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Fostering agile, digitally-enabled workforces will realize the productivity and innovation potential of new technologies. But adoption must be paired with sufficient training and consideration of potential biases. HR has a key role in managing this transformation in a socially responsible manner.</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Table 1:</w:t>
      </w:r>
      <w:r w:rsidDel="00000000" w:rsidR="00000000" w:rsidRPr="00000000">
        <w:rPr>
          <w:rFonts w:ascii="Times New Roman" w:cs="Times New Roman" w:eastAsia="Times New Roman" w:hAnsi="Times New Roman"/>
          <w:sz w:val="24"/>
          <w:szCs w:val="24"/>
          <w:rtl w:val="0"/>
        </w:rPr>
        <w:t xml:space="preserve"> Key emerging changes in human resourcing strategies in the post-COVID, post-Brexit environment:</w:t>
      </w:r>
    </w:p>
    <w:p w:rsidR="00000000" w:rsidDel="00000000" w:rsidP="00000000" w:rsidRDefault="00000000" w:rsidRPr="00000000" w14:paraId="0000007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017888" cy="4295468"/>
            <wp:effectExtent b="0" l="0" r="0" t="0"/>
            <wp:docPr id="3" name="image2.png"/>
            <a:graphic>
              <a:graphicData uri="http://schemas.openxmlformats.org/drawingml/2006/picture">
                <pic:pic>
                  <pic:nvPicPr>
                    <pic:cNvPr id="0" name="image2.png"/>
                    <pic:cNvPicPr preferRelativeResize="0"/>
                  </pic:nvPicPr>
                  <pic:blipFill>
                    <a:blip r:embed="rId8"/>
                    <a:srcRect b="12216" l="30080" r="27209" t="22758"/>
                    <a:stretch>
                      <a:fillRect/>
                    </a:stretch>
                  </pic:blipFill>
                  <pic:spPr>
                    <a:xfrm>
                      <a:off x="0" y="0"/>
                      <a:ext cx="5017888" cy="4295468"/>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pStyle w:val="Heading2"/>
        <w:jc w:val="both"/>
        <w:rPr>
          <w:color w:val="000000"/>
        </w:rPr>
      </w:pPr>
      <w:bookmarkStart w:colFirst="0" w:colLast="0" w:name="_z337ya" w:id="18"/>
      <w:bookmarkEnd w:id="18"/>
      <w:r w:rsidDel="00000000" w:rsidR="00000000" w:rsidRPr="00000000">
        <w:rPr>
          <w:color w:val="000000"/>
          <w:rtl w:val="0"/>
        </w:rPr>
        <w:t xml:space="preserve">Rise of People Analytics </w:t>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HR teams are increasingly utilizing workforce analytics, drawing insights from data on performance, absenteeism, turnover, productivity and satisfaction. Analytics help identify challenges like bias in promotions or low engagement, directing strategies. AI recruitment tools, predictive models and training simulations also inform decisions.</w:t>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concerns exist around privacy, transparency and relying excessively on algorithms over human judgement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(Ogurtsova et al., 2017). The judicious use of analytics focused on employee wellbeing can elevate HR’s strategic influence. But best practice involves collaborating with workers when implementing new systems. As technology evolves, so must ethics and governance around its use.</w:t>
      </w:r>
    </w:p>
    <w:p w:rsidR="00000000" w:rsidDel="00000000" w:rsidP="00000000" w:rsidRDefault="00000000" w:rsidRPr="00000000" w14:paraId="00000074">
      <w:pPr>
        <w:pStyle w:val="Heading2"/>
        <w:jc w:val="both"/>
        <w:rPr>
          <w:color w:val="000000"/>
        </w:rPr>
      </w:pPr>
      <w:bookmarkStart w:colFirst="0" w:colLast="0" w:name="_3j2qqm3" w:id="19"/>
      <w:bookmarkEnd w:id="19"/>
      <w:r w:rsidDel="00000000" w:rsidR="00000000" w:rsidRPr="00000000">
        <w:rPr>
          <w:color w:val="000000"/>
          <w:rtl w:val="0"/>
        </w:rPr>
        <w:t xml:space="preserve">Building Organizational Resilience</w:t>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workforce planning, risk management and scenario exercises, HR improve organizational resilience to meet future disruptions. Agility has become more vital as change accelerates. HR data and insights help firms adapt strategy and operations.</w:t>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Crisis readiness, business continuity planning, leadership development and change management capabilities enable resilience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(Van Gorder, 2013). By stressing testing systems and nurturing cultures accepting of change, HR boosts companies’ ability to navigate uncertainty.</w:t>
      </w:r>
    </w:p>
    <w:p w:rsidR="00000000" w:rsidDel="00000000" w:rsidP="00000000" w:rsidRDefault="00000000" w:rsidRPr="00000000" w14:paraId="00000077">
      <w:pPr>
        <w:pStyle w:val="Heading1"/>
        <w:jc w:val="both"/>
        <w:rPr>
          <w:color w:val="000000"/>
        </w:rPr>
      </w:pPr>
      <w:bookmarkStart w:colFirst="0" w:colLast="0" w:name="_1y810tw" w:id="20"/>
      <w:bookmarkEnd w:id="20"/>
      <w:r w:rsidDel="00000000" w:rsidR="00000000" w:rsidRPr="00000000">
        <w:rPr>
          <w:color w:val="000000"/>
          <w:rtl w:val="0"/>
        </w:rPr>
        <w:t xml:space="preserve">Conclusion</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UK labor market faces on-going challenges as it recovers from the economic impacts of the COVID-19 pandemic. While employment rates have risen, labor force participation remains below pre-pandemic levels at 78.7% as of early 2022, with economic inactivity affecting over 9 million working-age adults. Bringing inactive people back into work is an important policy priority to address talent shortages. At the same time, the pandemic and Brexit have catalysed major changes in the external landscape that human resources (HR) functions must navigate. The main focus areas include supporting employee health, safety and wellbeing, adapting to hybrid work trends, data-driven hiring and skills development, and Brexit-related immigration compliance. As the post-COVID, post-Brexit environment evolves, innovative HR strategies will be vital to access and retain diverse talent, foster inclusive cultures, and drive business continuity. On the labor supply side, tailored active market policies aimed at vulnerable groups may prove more effective than punitive measures in sustaining labor market recovery. Overall, supportive and agile policies on both the demand and supply sides are essential to stabilize the UK job market and workforce in the new operating environment.</w:t>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pStyle w:val="Heading1"/>
        <w:jc w:val="both"/>
        <w:rPr>
          <w:color w:val="000000"/>
        </w:rPr>
      </w:pPr>
      <w:bookmarkStart w:colFirst="0" w:colLast="0" w:name="_4i7ojhp" w:id="21"/>
      <w:bookmarkEnd w:id="21"/>
      <w:r w:rsidDel="00000000" w:rsidR="00000000" w:rsidRPr="00000000">
        <w:rPr>
          <w:color w:val="000000"/>
          <w:sz w:val="32"/>
          <w:szCs w:val="32"/>
          <w:rtl w:val="0"/>
        </w:rPr>
        <w:t xml:space="preserve">References</w:t>
      </w:r>
      <w:r w:rsidDel="00000000" w:rsidR="00000000" w:rsidRPr="00000000">
        <w:rPr>
          <w:rtl w:val="0"/>
        </w:rPr>
      </w:r>
    </w:p>
    <w:p w:rsidR="00000000" w:rsidDel="00000000" w:rsidP="00000000" w:rsidRDefault="00000000" w:rsidRPr="00000000" w14:paraId="0000007F">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Alonso, W. (1968). Urban and Regional Imbalances in Economic Development. </w:t>
      </w:r>
      <w:r w:rsidDel="00000000" w:rsidR="00000000" w:rsidRPr="00000000">
        <w:rPr>
          <w:rFonts w:ascii="Times New Roman" w:cs="Times New Roman" w:eastAsia="Times New Roman" w:hAnsi="Times New Roman"/>
          <w:i w:val="1"/>
          <w:sz w:val="24"/>
          <w:szCs w:val="24"/>
          <w:rtl w:val="0"/>
        </w:rPr>
        <w:t xml:space="preserve">Economic Development and Cultural Change</w:t>
      </w:r>
      <w:r w:rsidDel="00000000" w:rsidR="00000000" w:rsidRPr="00000000">
        <w:rPr>
          <w:rFonts w:ascii="Times New Roman" w:cs="Times New Roman" w:eastAsia="Times New Roman" w:hAnsi="Times New Roman"/>
          <w:sz w:val="24"/>
          <w:szCs w:val="24"/>
          <w:rtl w:val="0"/>
        </w:rPr>
        <w:t xml:space="preserve">, 17(1), pp.1–14. doi:</w:t>
      </w:r>
      <w:hyperlink r:id="rId9">
        <w:r w:rsidDel="00000000" w:rsidR="00000000" w:rsidRPr="00000000">
          <w:rPr>
            <w:rFonts w:ascii="Times New Roman" w:cs="Times New Roman" w:eastAsia="Times New Roman" w:hAnsi="Times New Roman"/>
            <w:color w:val="000000"/>
            <w:sz w:val="24"/>
            <w:szCs w:val="24"/>
            <w:u w:val="single"/>
            <w:rtl w:val="0"/>
          </w:rPr>
          <w:t xml:space="preserve">https://doi.org/10.1086/450324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0">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Bennett, E.E. and McWhorter, R.R. (2021). Virtual HRD’s Role in Crisis and the Post Covid-19 Professional Lifeworld: Accelerating Skills for Digital Transformation. </w:t>
      </w:r>
      <w:r w:rsidDel="00000000" w:rsidR="00000000" w:rsidRPr="00000000">
        <w:rPr>
          <w:rFonts w:ascii="Times New Roman" w:cs="Times New Roman" w:eastAsia="Times New Roman" w:hAnsi="Times New Roman"/>
          <w:i w:val="1"/>
          <w:sz w:val="24"/>
          <w:szCs w:val="24"/>
          <w:rtl w:val="0"/>
        </w:rPr>
        <w:t xml:space="preserve">Advances in Developing Human Resources</w:t>
      </w:r>
      <w:r w:rsidDel="00000000" w:rsidR="00000000" w:rsidRPr="00000000">
        <w:rPr>
          <w:rFonts w:ascii="Times New Roman" w:cs="Times New Roman" w:eastAsia="Times New Roman" w:hAnsi="Times New Roman"/>
          <w:sz w:val="24"/>
          <w:szCs w:val="24"/>
          <w:rtl w:val="0"/>
        </w:rPr>
        <w:t xml:space="preserve">, 23(1), pp.5–25. doi:</w:t>
      </w:r>
      <w:hyperlink r:id="rId10">
        <w:r w:rsidDel="00000000" w:rsidR="00000000" w:rsidRPr="00000000">
          <w:rPr>
            <w:rFonts w:ascii="Times New Roman" w:cs="Times New Roman" w:eastAsia="Times New Roman" w:hAnsi="Times New Roman"/>
            <w:color w:val="000000"/>
            <w:sz w:val="24"/>
            <w:szCs w:val="24"/>
            <w:u w:val="single"/>
            <w:rtl w:val="0"/>
          </w:rPr>
          <w:t xml:space="preserve">https://doi.org/10.1177/1523422320973288</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1">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Carlin, W. and Soskice, D. (2018). Stagnant productivity and low unemployment: stuck in a Keynesian equilibrium. </w:t>
      </w:r>
      <w:r w:rsidDel="00000000" w:rsidR="00000000" w:rsidRPr="00000000">
        <w:rPr>
          <w:rFonts w:ascii="Times New Roman" w:cs="Times New Roman" w:eastAsia="Times New Roman" w:hAnsi="Times New Roman"/>
          <w:i w:val="1"/>
          <w:sz w:val="24"/>
          <w:szCs w:val="24"/>
          <w:rtl w:val="0"/>
        </w:rPr>
        <w:t xml:space="preserve">Oxford Review of Economic Policy</w:t>
      </w:r>
      <w:r w:rsidDel="00000000" w:rsidR="00000000" w:rsidRPr="00000000">
        <w:rPr>
          <w:rFonts w:ascii="Times New Roman" w:cs="Times New Roman" w:eastAsia="Times New Roman" w:hAnsi="Times New Roman"/>
          <w:sz w:val="24"/>
          <w:szCs w:val="24"/>
          <w:rtl w:val="0"/>
        </w:rPr>
        <w:t xml:space="preserve">, 34(1-2), pp.169–194. doi:</w:t>
      </w:r>
      <w:hyperlink r:id="rId11">
        <w:r w:rsidDel="00000000" w:rsidR="00000000" w:rsidRPr="00000000">
          <w:rPr>
            <w:rFonts w:ascii="Times New Roman" w:cs="Times New Roman" w:eastAsia="Times New Roman" w:hAnsi="Times New Roman"/>
            <w:color w:val="000000"/>
            <w:sz w:val="24"/>
            <w:szCs w:val="24"/>
            <w:u w:val="single"/>
            <w:rtl w:val="0"/>
          </w:rPr>
          <w:t xml:space="preserve">https://doi.org/10.1093/oxrep/grx060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2">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 S.-S. (2012). USING DEMOGRAPHIC CHANGES TO REVISIT THE CONSUMPTION-REAL EXCHANGE RATE ANOMALY*. </w:t>
      </w:r>
      <w:r w:rsidDel="00000000" w:rsidR="00000000" w:rsidRPr="00000000">
        <w:rPr>
          <w:rFonts w:ascii="Times New Roman" w:cs="Times New Roman" w:eastAsia="Times New Roman" w:hAnsi="Times New Roman"/>
          <w:i w:val="1"/>
          <w:sz w:val="24"/>
          <w:szCs w:val="24"/>
          <w:rtl w:val="0"/>
        </w:rPr>
        <w:t xml:space="preserve">The Manchester School</w:t>
      </w:r>
      <w:r w:rsidDel="00000000" w:rsidR="00000000" w:rsidRPr="00000000">
        <w:rPr>
          <w:rFonts w:ascii="Times New Roman" w:cs="Times New Roman" w:eastAsia="Times New Roman" w:hAnsi="Times New Roman"/>
          <w:sz w:val="24"/>
          <w:szCs w:val="24"/>
          <w:rtl w:val="0"/>
        </w:rPr>
        <w:t xml:space="preserve">, 81(2), pp.163–175. doi:</w:t>
      </w:r>
      <w:hyperlink r:id="rId12">
        <w:r w:rsidDel="00000000" w:rsidR="00000000" w:rsidRPr="00000000">
          <w:rPr>
            <w:rFonts w:ascii="Times New Roman" w:cs="Times New Roman" w:eastAsia="Times New Roman" w:hAnsi="Times New Roman"/>
            <w:color w:val="000000"/>
            <w:sz w:val="24"/>
            <w:szCs w:val="24"/>
            <w:u w:val="single"/>
            <w:rtl w:val="0"/>
          </w:rPr>
          <w:t xml:space="preserve">https://doi.org/10.1111/j.1467-9957.2011.02275.x</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3">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Ogurtsova, K., da Rocha Fernandes, J.D., Huang, Y., Linnenkamp, U., Guariguata, L., Cho, N.H., Cavan, D., Shaw, J.E. and Makaroff, L.E. (2017). IDF Diabetes Atlas: Global estimates for the prevalence of diabetes for 2015 and 2040. </w:t>
      </w:r>
      <w:r w:rsidDel="00000000" w:rsidR="00000000" w:rsidRPr="00000000">
        <w:rPr>
          <w:rFonts w:ascii="Times New Roman" w:cs="Times New Roman" w:eastAsia="Times New Roman" w:hAnsi="Times New Roman"/>
          <w:i w:val="1"/>
          <w:sz w:val="24"/>
          <w:szCs w:val="24"/>
          <w:rtl w:val="0"/>
        </w:rPr>
        <w:t xml:space="preserve">Diabetes Research and Clinical Practice</w:t>
      </w:r>
      <w:r w:rsidDel="00000000" w:rsidR="00000000" w:rsidRPr="00000000">
        <w:rPr>
          <w:rFonts w:ascii="Times New Roman" w:cs="Times New Roman" w:eastAsia="Times New Roman" w:hAnsi="Times New Roman"/>
          <w:sz w:val="24"/>
          <w:szCs w:val="24"/>
          <w:rtl w:val="0"/>
        </w:rPr>
        <w:t xml:space="preserve">, 128, pp.40–50. doi:</w:t>
      </w:r>
      <w:hyperlink r:id="rId13">
        <w:r w:rsidDel="00000000" w:rsidR="00000000" w:rsidRPr="00000000">
          <w:rPr>
            <w:rFonts w:ascii="Times New Roman" w:cs="Times New Roman" w:eastAsia="Times New Roman" w:hAnsi="Times New Roman"/>
            <w:color w:val="000000"/>
            <w:sz w:val="24"/>
            <w:szCs w:val="24"/>
            <w:u w:val="single"/>
            <w:rtl w:val="0"/>
          </w:rPr>
          <w:t xml:space="preserve">https://doi.org/10.1016/j.diabres.2017.03.024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4">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Puente, M.A., Hodge, T., Kumaran, M. and Witt, J. (2020). How a Global Pandemic and Racial Unrest Are Impacting Diversity, Equity, and Inclusion Work in Research Libraries. </w:t>
      </w:r>
      <w:r w:rsidDel="00000000" w:rsidR="00000000" w:rsidRPr="00000000">
        <w:rPr>
          <w:rFonts w:ascii="Times New Roman" w:cs="Times New Roman" w:eastAsia="Times New Roman" w:hAnsi="Times New Roman"/>
          <w:i w:val="1"/>
          <w:sz w:val="24"/>
          <w:szCs w:val="24"/>
          <w:rtl w:val="0"/>
        </w:rPr>
        <w:t xml:space="preserve">Diversity, Equity, and Inclusion</w:t>
      </w:r>
      <w:r w:rsidDel="00000000" w:rsidR="00000000" w:rsidRPr="00000000">
        <w:rPr>
          <w:rFonts w:ascii="Times New Roman" w:cs="Times New Roman" w:eastAsia="Times New Roman" w:hAnsi="Times New Roman"/>
          <w:sz w:val="24"/>
          <w:szCs w:val="24"/>
          <w:rtl w:val="0"/>
        </w:rPr>
        <w:t xml:space="preserve">, (301), pp.26–42. doi:</w:t>
      </w:r>
      <w:hyperlink r:id="rId14">
        <w:r w:rsidDel="00000000" w:rsidR="00000000" w:rsidRPr="00000000">
          <w:rPr>
            <w:rFonts w:ascii="Times New Roman" w:cs="Times New Roman" w:eastAsia="Times New Roman" w:hAnsi="Times New Roman"/>
            <w:color w:val="000000"/>
            <w:sz w:val="24"/>
            <w:szCs w:val="24"/>
            <w:u w:val="single"/>
            <w:rtl w:val="0"/>
          </w:rPr>
          <w:t xml:space="preserve">https://doi.org/10.29242/rli.301.3</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5">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Pyron, D. (2008). Solutions to the Recruitment and Retention Challenges. </w:t>
      </w:r>
      <w:r w:rsidDel="00000000" w:rsidR="00000000" w:rsidRPr="00000000">
        <w:rPr>
          <w:rFonts w:ascii="Times New Roman" w:cs="Times New Roman" w:eastAsia="Times New Roman" w:hAnsi="Times New Roman"/>
          <w:i w:val="1"/>
          <w:sz w:val="24"/>
          <w:szCs w:val="24"/>
          <w:rtl w:val="0"/>
        </w:rPr>
        <w:t xml:space="preserve">Talent &amp; Technology</w:t>
      </w:r>
      <w:r w:rsidDel="00000000" w:rsidR="00000000" w:rsidRPr="00000000">
        <w:rPr>
          <w:rFonts w:ascii="Times New Roman" w:cs="Times New Roman" w:eastAsia="Times New Roman" w:hAnsi="Times New Roman"/>
          <w:sz w:val="24"/>
          <w:szCs w:val="24"/>
          <w:rtl w:val="0"/>
        </w:rPr>
        <w:t xml:space="preserve">, 02(02), pp.04–06. doi:</w:t>
      </w:r>
      <w:hyperlink r:id="rId15">
        <w:r w:rsidDel="00000000" w:rsidR="00000000" w:rsidRPr="00000000">
          <w:rPr>
            <w:rFonts w:ascii="Times New Roman" w:cs="Times New Roman" w:eastAsia="Times New Roman" w:hAnsi="Times New Roman"/>
            <w:color w:val="000000"/>
            <w:sz w:val="24"/>
            <w:szCs w:val="24"/>
            <w:u w:val="single"/>
            <w:rtl w:val="0"/>
          </w:rPr>
          <w:t xml:space="preserve">https://doi.org/10.2118/0202-04-tt</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6">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Shaindlin, V.B. (2019). Diversity, Equity, Accessibility, and Inclusion in Museums. </w:t>
      </w:r>
      <w:r w:rsidDel="00000000" w:rsidR="00000000" w:rsidRPr="00000000">
        <w:rPr>
          <w:rFonts w:ascii="Times New Roman" w:cs="Times New Roman" w:eastAsia="Times New Roman" w:hAnsi="Times New Roman"/>
          <w:i w:val="1"/>
          <w:sz w:val="24"/>
          <w:szCs w:val="24"/>
          <w:rtl w:val="0"/>
        </w:rPr>
        <w:t xml:space="preserve">The International Journal of Information, Diversity, &amp; Inclusion (IJIDI)</w:t>
      </w:r>
      <w:r w:rsidDel="00000000" w:rsidR="00000000" w:rsidRPr="00000000">
        <w:rPr>
          <w:rFonts w:ascii="Times New Roman" w:cs="Times New Roman" w:eastAsia="Times New Roman" w:hAnsi="Times New Roman"/>
          <w:sz w:val="24"/>
          <w:szCs w:val="24"/>
          <w:rtl w:val="0"/>
        </w:rPr>
        <w:t xml:space="preserve">, 4(1). doi:</w:t>
      </w:r>
      <w:hyperlink r:id="rId16">
        <w:r w:rsidDel="00000000" w:rsidR="00000000" w:rsidRPr="00000000">
          <w:rPr>
            <w:rFonts w:ascii="Times New Roman" w:cs="Times New Roman" w:eastAsia="Times New Roman" w:hAnsi="Times New Roman"/>
            <w:color w:val="000000"/>
            <w:sz w:val="24"/>
            <w:szCs w:val="24"/>
            <w:u w:val="single"/>
            <w:rtl w:val="0"/>
          </w:rPr>
          <w:t xml:space="preserve">https://doi.org/10.33137/ijidi.v4i1.33047</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7">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Sheather, J. and Slattery, D. (2021). The great resignation—how do we support and retain staff already stretched to their limit? </w:t>
      </w:r>
      <w:r w:rsidDel="00000000" w:rsidR="00000000" w:rsidRPr="00000000">
        <w:rPr>
          <w:rFonts w:ascii="Times New Roman" w:cs="Times New Roman" w:eastAsia="Times New Roman" w:hAnsi="Times New Roman"/>
          <w:i w:val="1"/>
          <w:sz w:val="24"/>
          <w:szCs w:val="24"/>
          <w:rtl w:val="0"/>
        </w:rPr>
        <w:t xml:space="preserve">BMJ</w:t>
      </w:r>
      <w:r w:rsidDel="00000000" w:rsidR="00000000" w:rsidRPr="00000000">
        <w:rPr>
          <w:rFonts w:ascii="Times New Roman" w:cs="Times New Roman" w:eastAsia="Times New Roman" w:hAnsi="Times New Roman"/>
          <w:sz w:val="24"/>
          <w:szCs w:val="24"/>
          <w:rtl w:val="0"/>
        </w:rPr>
        <w:t xml:space="preserve">, 375, p.n2533. doi:</w:t>
      </w:r>
      <w:hyperlink r:id="rId17">
        <w:r w:rsidDel="00000000" w:rsidR="00000000" w:rsidRPr="00000000">
          <w:rPr>
            <w:rFonts w:ascii="Times New Roman" w:cs="Times New Roman" w:eastAsia="Times New Roman" w:hAnsi="Times New Roman"/>
            <w:color w:val="000000"/>
            <w:sz w:val="24"/>
            <w:szCs w:val="24"/>
            <w:u w:val="single"/>
            <w:rtl w:val="0"/>
          </w:rPr>
          <w:t xml:space="preserve">https://doi.org/10.1136/bmj.n2533</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8">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Stavrou, E. and Ierodiakonou, C. (2011). Flexible Work Arrangements and Intentions of Unemployed Women in Cyprus: A Planned Behaviour Model. </w:t>
      </w:r>
      <w:r w:rsidDel="00000000" w:rsidR="00000000" w:rsidRPr="00000000">
        <w:rPr>
          <w:rFonts w:ascii="Times New Roman" w:cs="Times New Roman" w:eastAsia="Times New Roman" w:hAnsi="Times New Roman"/>
          <w:i w:val="1"/>
          <w:sz w:val="24"/>
          <w:szCs w:val="24"/>
          <w:rtl w:val="0"/>
        </w:rPr>
        <w:t xml:space="preserve">British Journal of Management</w:t>
      </w:r>
      <w:r w:rsidDel="00000000" w:rsidR="00000000" w:rsidRPr="00000000">
        <w:rPr>
          <w:rFonts w:ascii="Times New Roman" w:cs="Times New Roman" w:eastAsia="Times New Roman" w:hAnsi="Times New Roman"/>
          <w:sz w:val="24"/>
          <w:szCs w:val="24"/>
          <w:rtl w:val="0"/>
        </w:rPr>
        <w:t xml:space="preserve">, 22(1), pp.150–172. doi:</w:t>
      </w:r>
      <w:hyperlink r:id="rId18">
        <w:r w:rsidDel="00000000" w:rsidR="00000000" w:rsidRPr="00000000">
          <w:rPr>
            <w:rFonts w:ascii="Times New Roman" w:cs="Times New Roman" w:eastAsia="Times New Roman" w:hAnsi="Times New Roman"/>
            <w:color w:val="000000"/>
            <w:sz w:val="24"/>
            <w:szCs w:val="24"/>
            <w:u w:val="single"/>
            <w:rtl w:val="0"/>
          </w:rPr>
          <w:t xml:space="preserve">https://doi.org/10.1111/j.1467-8551.2010.00695.x</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9">
      <w:pPr>
        <w:widowControl w:val="0"/>
        <w:spacing w:after="240" w:line="360" w:lineRule="auto"/>
        <w:ind w:left="-5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 Gorder, C.D. (2013). Building Organizational and Personal Resilience. </w:t>
      </w:r>
      <w:r w:rsidDel="00000000" w:rsidR="00000000" w:rsidRPr="00000000">
        <w:rPr>
          <w:rFonts w:ascii="Times New Roman" w:cs="Times New Roman" w:eastAsia="Times New Roman" w:hAnsi="Times New Roman"/>
          <w:i w:val="1"/>
          <w:sz w:val="24"/>
          <w:szCs w:val="24"/>
          <w:rtl w:val="0"/>
        </w:rPr>
        <w:t xml:space="preserve">Frontiers of Health Services Management</w:t>
      </w:r>
      <w:r w:rsidDel="00000000" w:rsidR="00000000" w:rsidRPr="00000000">
        <w:rPr>
          <w:rFonts w:ascii="Times New Roman" w:cs="Times New Roman" w:eastAsia="Times New Roman" w:hAnsi="Times New Roman"/>
          <w:sz w:val="24"/>
          <w:szCs w:val="24"/>
          <w:rtl w:val="0"/>
        </w:rPr>
        <w:t xml:space="preserve">, 30(2), pp.25–30. doi:</w:t>
      </w:r>
      <w:hyperlink r:id="rId19">
        <w:r w:rsidDel="00000000" w:rsidR="00000000" w:rsidRPr="00000000">
          <w:rPr>
            <w:rFonts w:ascii="Times New Roman" w:cs="Times New Roman" w:eastAsia="Times New Roman" w:hAnsi="Times New Roman"/>
            <w:color w:val="000000"/>
            <w:sz w:val="24"/>
            <w:szCs w:val="24"/>
            <w:u w:val="single"/>
            <w:rtl w:val="0"/>
          </w:rPr>
          <w:t xml:space="preserve">https://doi.org/10.1097/01974520-201310000-00004</w:t>
        </w:r>
      </w:hyperlink>
      <w:r w:rsidDel="00000000" w:rsidR="00000000" w:rsidRPr="00000000">
        <w:rPr>
          <w:rFonts w:ascii="Times New Roman" w:cs="Times New Roman" w:eastAsia="Times New Roman" w:hAnsi="Times New Roman"/>
          <w:sz w:val="24"/>
          <w:szCs w:val="24"/>
          <w:rtl w:val="0"/>
        </w:rPr>
        <w:t xml:space="preserve">.</w:t>
      </w:r>
    </w:p>
    <w:sectPr>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93/oxrep/grx060" TargetMode="External"/><Relationship Id="rId10" Type="http://schemas.openxmlformats.org/officeDocument/2006/relationships/hyperlink" Target="https://doi.org/10.1177/1523422320973288" TargetMode="External"/><Relationship Id="rId13" Type="http://schemas.openxmlformats.org/officeDocument/2006/relationships/hyperlink" Target="https://doi.org/10.1016/j.diabres.2017.03.024" TargetMode="External"/><Relationship Id="rId12" Type="http://schemas.openxmlformats.org/officeDocument/2006/relationships/hyperlink" Target="https://doi.org/10.1111/j.1467-9957.2011.02275.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86/450324" TargetMode="External"/><Relationship Id="rId15" Type="http://schemas.openxmlformats.org/officeDocument/2006/relationships/hyperlink" Target="https://doi.org/10.2118/0202-04-tt" TargetMode="External"/><Relationship Id="rId14" Type="http://schemas.openxmlformats.org/officeDocument/2006/relationships/hyperlink" Target="https://doi.org/10.29242/rli.301.3" TargetMode="External"/><Relationship Id="rId17" Type="http://schemas.openxmlformats.org/officeDocument/2006/relationships/hyperlink" Target="https://doi.org/10.1136/bmj.n2533" TargetMode="External"/><Relationship Id="rId16" Type="http://schemas.openxmlformats.org/officeDocument/2006/relationships/hyperlink" Target="https://doi.org/10.33137/ijidi.v4i1.33047" TargetMode="External"/><Relationship Id="rId5" Type="http://schemas.openxmlformats.org/officeDocument/2006/relationships/styles" Target="styles.xml"/><Relationship Id="rId19" Type="http://schemas.openxmlformats.org/officeDocument/2006/relationships/hyperlink" Target="https://doi.org/10.1097/01974520-201310000-00004" TargetMode="External"/><Relationship Id="rId6" Type="http://schemas.openxmlformats.org/officeDocument/2006/relationships/image" Target="media/image1.png"/><Relationship Id="rId18" Type="http://schemas.openxmlformats.org/officeDocument/2006/relationships/hyperlink" Target="https://doi.org/10.1111/j.1467-8551.2010.00695.x" TargetMode="External"/><Relationship Id="rId7" Type="http://schemas.openxmlformats.org/officeDocument/2006/relationships/chart" Target="charts/chart1.xml"/><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0" i="0" u="none" strike="noStrike" baseline="0">
                <a:effectLst/>
              </a:rPr>
              <a:t>Labor force participation rate and economic inactivity in the UK over the past 5 years</a:t>
            </a:r>
            <a:endParaRPr lang="en-IN"/>
          </a:p>
        </c:rich>
      </c:tx>
      <c:overlay val="0"/>
      <c:spPr>
        <a:noFill/>
        <a:ln>
          <a:noFill/>
        </a:ln>
        <a:effectLst/>
      </c:spPr>
    </c:title>
    <c:autoTitleDeleted val="0"/>
    <c:plotArea>
      <c:layout/>
      <c:barChart>
        <c:barDir val="col"/>
        <c:grouping val="clustered"/>
        <c:varyColors val="0"/>
        <c:ser>
          <c:idx val="0"/>
          <c:order val="0"/>
          <c:tx>
            <c:strRef>
              <c:f>Sheet1!$B$1</c:f>
              <c:strCache>
                <c:ptCount val="1"/>
                <c:pt idx="0">
                  <c:v>Labor Force Participation Rate</c:v>
                </c:pt>
              </c:strCache>
            </c:strRef>
          </c:tx>
          <c:spPr>
            <a:solidFill>
              <a:schemeClr val="accent1"/>
            </a:solidFill>
            <a:ln>
              <a:noFill/>
            </a:ln>
            <a:effectLst/>
          </c:spPr>
          <c:invertIfNegative val="0"/>
          <c:cat>
            <c:numRef>
              <c:f>Sheet1!$A$2:$A$6</c:f>
              <c:numCache>
                <c:formatCode>General</c:formatCode>
                <c:ptCount val="5"/>
                <c:pt idx="0">
                  <c:v>2022</c:v>
                </c:pt>
                <c:pt idx="1">
                  <c:v>2021</c:v>
                </c:pt>
                <c:pt idx="2">
                  <c:v>2020</c:v>
                </c:pt>
                <c:pt idx="3">
                  <c:v>2019</c:v>
                </c:pt>
                <c:pt idx="4">
                  <c:v>2018</c:v>
                </c:pt>
              </c:numCache>
            </c:numRef>
          </c:cat>
          <c:val>
            <c:numRef>
              <c:f>Sheet1!$B$2:$B$6</c:f>
              <c:numCache>
                <c:formatCode>0.00%</c:formatCode>
                <c:ptCount val="5"/>
                <c:pt idx="0">
                  <c:v>0.78700000000000003</c:v>
                </c:pt>
                <c:pt idx="1">
                  <c:v>0.78500000000000003</c:v>
                </c:pt>
                <c:pt idx="2">
                  <c:v>0.76700000000000002</c:v>
                </c:pt>
                <c:pt idx="3">
                  <c:v>0.79500000000000004</c:v>
                </c:pt>
                <c:pt idx="4">
                  <c:v>0.79200000000000004</c:v>
                </c:pt>
              </c:numCache>
            </c:numRef>
          </c:val>
          <c:extLst xmlns:c16r2="http://schemas.microsoft.com/office/drawing/2015/06/chart">
            <c:ext xmlns:c16="http://schemas.microsoft.com/office/drawing/2014/chart" uri="{C3380CC4-5D6E-409C-BE32-E72D297353CC}">
              <c16:uniqueId val="{00000000-5746-4976-82DE-EBFFD60FBCE0}"/>
            </c:ext>
          </c:extLst>
        </c:ser>
        <c:ser>
          <c:idx val="1"/>
          <c:order val="1"/>
          <c:tx>
            <c:strRef>
              <c:f>Sheet1!$C$1</c:f>
              <c:strCache>
                <c:ptCount val="1"/>
                <c:pt idx="0">
                  <c:v>Economic Inactivity Rate</c:v>
                </c:pt>
              </c:strCache>
            </c:strRef>
          </c:tx>
          <c:spPr>
            <a:solidFill>
              <a:schemeClr val="accent2"/>
            </a:solidFill>
            <a:ln>
              <a:noFill/>
            </a:ln>
            <a:effectLst/>
          </c:spPr>
          <c:invertIfNegative val="0"/>
          <c:cat>
            <c:numRef>
              <c:f>Sheet1!$A$2:$A$6</c:f>
              <c:numCache>
                <c:formatCode>General</c:formatCode>
                <c:ptCount val="5"/>
                <c:pt idx="0">
                  <c:v>2022</c:v>
                </c:pt>
                <c:pt idx="1">
                  <c:v>2021</c:v>
                </c:pt>
                <c:pt idx="2">
                  <c:v>2020</c:v>
                </c:pt>
                <c:pt idx="3">
                  <c:v>2019</c:v>
                </c:pt>
                <c:pt idx="4">
                  <c:v>2018</c:v>
                </c:pt>
              </c:numCache>
            </c:numRef>
          </c:cat>
          <c:val>
            <c:numRef>
              <c:f>Sheet1!$C$2:$C$6</c:f>
              <c:numCache>
                <c:formatCode>0.00%</c:formatCode>
                <c:ptCount val="5"/>
                <c:pt idx="0">
                  <c:v>0.21299999999999999</c:v>
                </c:pt>
                <c:pt idx="1">
                  <c:v>0.215</c:v>
                </c:pt>
                <c:pt idx="2">
                  <c:v>0.23300000000000001</c:v>
                </c:pt>
                <c:pt idx="3">
                  <c:v>0.20499999999999999</c:v>
                </c:pt>
                <c:pt idx="4">
                  <c:v>0.20799999999999999</c:v>
                </c:pt>
              </c:numCache>
            </c:numRef>
          </c:val>
          <c:extLst xmlns:c16r2="http://schemas.microsoft.com/office/drawing/2015/06/chart">
            <c:ext xmlns:c16="http://schemas.microsoft.com/office/drawing/2014/chart" uri="{C3380CC4-5D6E-409C-BE32-E72D297353CC}">
              <c16:uniqueId val="{00000001-5746-4976-82DE-EBFFD60FBCE0}"/>
            </c:ext>
          </c:extLst>
        </c:ser>
        <c:ser>
          <c:idx val="2"/>
          <c:order val="2"/>
          <c:tx>
            <c:strRef>
              <c:f>Sheet1!$D$1</c:f>
              <c:strCache>
                <c:ptCount val="1"/>
                <c:pt idx="0">
                  <c:v>Column1</c:v>
                </c:pt>
              </c:strCache>
            </c:strRef>
          </c:tx>
          <c:spPr>
            <a:solidFill>
              <a:schemeClr val="accent3"/>
            </a:solidFill>
            <a:ln>
              <a:noFill/>
            </a:ln>
            <a:effectLst/>
          </c:spPr>
          <c:invertIfNegative val="0"/>
          <c:cat>
            <c:numRef>
              <c:f>Sheet1!$A$2:$A$6</c:f>
              <c:numCache>
                <c:formatCode>General</c:formatCode>
                <c:ptCount val="5"/>
                <c:pt idx="0">
                  <c:v>2022</c:v>
                </c:pt>
                <c:pt idx="1">
                  <c:v>2021</c:v>
                </c:pt>
                <c:pt idx="2">
                  <c:v>2020</c:v>
                </c:pt>
                <c:pt idx="3">
                  <c:v>2019</c:v>
                </c:pt>
                <c:pt idx="4">
                  <c:v>2018</c:v>
                </c:pt>
              </c:numCache>
            </c:num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5746-4976-82DE-EBFFD60FBCE0}"/>
            </c:ext>
          </c:extLst>
        </c:ser>
        <c:dLbls>
          <c:showLegendKey val="0"/>
          <c:showVal val="0"/>
          <c:showCatName val="0"/>
          <c:showSerName val="0"/>
          <c:showPercent val="0"/>
          <c:showBubbleSize val="0"/>
        </c:dLbls>
        <c:gapWidth val="219"/>
        <c:overlap val="-27"/>
        <c:axId val="263721344"/>
        <c:axId val="218862336"/>
      </c:barChart>
      <c:catAx>
        <c:axId val="263721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8862336"/>
        <c:crosses val="autoZero"/>
        <c:auto val="1"/>
        <c:lblAlgn val="ctr"/>
        <c:lblOffset val="100"/>
        <c:noMultiLvlLbl val="0"/>
      </c:catAx>
      <c:valAx>
        <c:axId val="2188623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72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