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18B40" w14:textId="4456179B" w:rsidR="0076071F" w:rsidRPr="00707ADB" w:rsidRDefault="0076071F" w:rsidP="00707ADB">
      <w:pPr>
        <w:spacing w:line="360" w:lineRule="auto"/>
        <w:jc w:val="center"/>
        <w:rPr>
          <w:rFonts w:ascii="Times New Roman" w:hAnsi="Times New Roman" w:cs="Times New Roman"/>
          <w:u w:val="single"/>
        </w:rPr>
      </w:pPr>
      <w:r w:rsidRPr="00707ADB">
        <w:rPr>
          <w:rFonts w:ascii="Times New Roman" w:hAnsi="Times New Roman" w:cs="Times New Roman"/>
          <w:u w:val="single"/>
        </w:rPr>
        <w:t>Leadership and management for systems of quality</w:t>
      </w:r>
    </w:p>
    <w:p w14:paraId="29B7AFE3" w14:textId="07E642E3" w:rsidR="0076071F" w:rsidRPr="00707ADB" w:rsidRDefault="0076071F" w:rsidP="00707ADB">
      <w:pPr>
        <w:spacing w:line="360" w:lineRule="auto"/>
        <w:jc w:val="center"/>
        <w:rPr>
          <w:rFonts w:ascii="Times New Roman" w:hAnsi="Times New Roman" w:cs="Times New Roman"/>
          <w:u w:val="single"/>
        </w:rPr>
      </w:pPr>
      <w:r w:rsidRPr="00707ADB">
        <w:rPr>
          <w:rFonts w:ascii="Times New Roman" w:hAnsi="Times New Roman" w:cs="Times New Roman"/>
          <w:u w:val="single"/>
        </w:rPr>
        <w:t>Section two</w:t>
      </w:r>
    </w:p>
    <w:p w14:paraId="5AF6DACC" w14:textId="7C349353" w:rsidR="0076071F" w:rsidRPr="00707ADB" w:rsidRDefault="0076071F" w:rsidP="00707ADB">
      <w:pPr>
        <w:spacing w:line="360" w:lineRule="auto"/>
        <w:rPr>
          <w:rFonts w:ascii="Times New Roman" w:hAnsi="Times New Roman" w:cs="Times New Roman"/>
          <w:u w:val="single"/>
        </w:rPr>
      </w:pPr>
      <w:r w:rsidRPr="00707ADB">
        <w:rPr>
          <w:rFonts w:ascii="Times New Roman" w:hAnsi="Times New Roman" w:cs="Times New Roman"/>
          <w:u w:val="single"/>
        </w:rPr>
        <w:t>Introduction</w:t>
      </w:r>
    </w:p>
    <w:p w14:paraId="7F9A9F3D" w14:textId="0526E7D8" w:rsidR="0076071F" w:rsidRPr="00707ADB" w:rsidRDefault="00E44E6F" w:rsidP="00707ADB">
      <w:pPr>
        <w:spacing w:line="360" w:lineRule="auto"/>
        <w:rPr>
          <w:rFonts w:ascii="Times New Roman" w:hAnsi="Times New Roman" w:cs="Times New Roman"/>
        </w:rPr>
      </w:pPr>
      <w:r w:rsidRPr="00707ADB">
        <w:rPr>
          <w:rFonts w:ascii="Times New Roman" w:hAnsi="Times New Roman" w:cs="Times New Roman"/>
        </w:rPr>
        <w:t>The aim of this essay is to evaluate what is quality in relation to early years education and care, it will look at how quality is defined and why it is important, additionally this essay will compare two methods that enhance quality that go beyond statutory requirements.</w:t>
      </w:r>
    </w:p>
    <w:p w14:paraId="5CC74098" w14:textId="76FAD25D" w:rsidR="006E57D7" w:rsidRDefault="006E57D7" w:rsidP="00707ADB">
      <w:pPr>
        <w:spacing w:line="360" w:lineRule="auto"/>
        <w:rPr>
          <w:rFonts w:ascii="Times New Roman" w:hAnsi="Times New Roman" w:cs="Times New Roman"/>
        </w:rPr>
      </w:pPr>
      <w:r w:rsidRPr="00707ADB">
        <w:rPr>
          <w:rFonts w:ascii="Times New Roman" w:hAnsi="Times New Roman" w:cs="Times New Roman"/>
        </w:rPr>
        <w:t xml:space="preserve">Williams </w:t>
      </w:r>
      <w:r w:rsidR="000C5602" w:rsidRPr="00707ADB">
        <w:rPr>
          <w:rFonts w:ascii="Times New Roman" w:hAnsi="Times New Roman" w:cs="Times New Roman"/>
        </w:rPr>
        <w:t>(</w:t>
      </w:r>
      <w:r w:rsidRPr="00707ADB">
        <w:rPr>
          <w:rFonts w:ascii="Times New Roman" w:hAnsi="Times New Roman" w:cs="Times New Roman"/>
        </w:rPr>
        <w:t>2016) suggests</w:t>
      </w:r>
      <w:r w:rsidR="000C5602" w:rsidRPr="00707ADB">
        <w:rPr>
          <w:rFonts w:ascii="Times New Roman" w:hAnsi="Times New Roman" w:cs="Times New Roman"/>
        </w:rPr>
        <w:t xml:space="preserve"> that quality enhancement</w:t>
      </w:r>
      <w:r w:rsidRPr="00707ADB">
        <w:rPr>
          <w:rFonts w:ascii="Times New Roman" w:hAnsi="Times New Roman" w:cs="Times New Roman"/>
        </w:rPr>
        <w:t xml:space="preserve"> </w:t>
      </w:r>
      <w:r w:rsidR="000C5602" w:rsidRPr="00707ADB">
        <w:rPr>
          <w:rFonts w:ascii="Times New Roman" w:hAnsi="Times New Roman" w:cs="Times New Roman"/>
        </w:rPr>
        <w:t xml:space="preserve">is </w:t>
      </w:r>
      <w:r w:rsidRPr="00707ADB">
        <w:rPr>
          <w:rFonts w:ascii="Times New Roman" w:hAnsi="Times New Roman" w:cs="Times New Roman"/>
        </w:rPr>
        <w:t>a continuous enhancement or refinement of something</w:t>
      </w:r>
      <w:r w:rsidR="000C5602" w:rsidRPr="00707ADB">
        <w:rPr>
          <w:rFonts w:ascii="Times New Roman" w:hAnsi="Times New Roman" w:cs="Times New Roman"/>
        </w:rPr>
        <w:t xml:space="preserve"> </w:t>
      </w:r>
      <w:r w:rsidRPr="00707ADB">
        <w:rPr>
          <w:rFonts w:ascii="Times New Roman" w:hAnsi="Times New Roman" w:cs="Times New Roman"/>
        </w:rPr>
        <w:t>whether it be skills, technology, systems, or knowledge.</w:t>
      </w:r>
    </w:p>
    <w:p w14:paraId="73B2807B" w14:textId="3C48243B" w:rsidR="00890AE2" w:rsidRPr="00707ADB" w:rsidRDefault="00890AE2" w:rsidP="00707ADB">
      <w:pPr>
        <w:spacing w:line="360" w:lineRule="auto"/>
        <w:rPr>
          <w:rFonts w:ascii="Times New Roman" w:hAnsi="Times New Roman" w:cs="Times New Roman"/>
        </w:rPr>
      </w:pPr>
      <w:r w:rsidRPr="00890AE2">
        <w:rPr>
          <w:rFonts w:ascii="Times New Roman" w:hAnsi="Times New Roman" w:cs="Times New Roman"/>
        </w:rPr>
        <w:t xml:space="preserve">Quality' in early childhood education and care (ECEC) is a notion that Peter Moss critically investigates in his 2016 article "Why can't we get beyond quality?" He contends that the term "quality" is socially constructed and infused with </w:t>
      </w:r>
      <w:r w:rsidRPr="00890AE2">
        <w:rPr>
          <w:rFonts w:ascii="Times New Roman" w:hAnsi="Times New Roman" w:cs="Times New Roman"/>
        </w:rPr>
        <w:t>ideals</w:t>
      </w:r>
      <w:r w:rsidRPr="00890AE2">
        <w:rPr>
          <w:rFonts w:ascii="Times New Roman" w:hAnsi="Times New Roman" w:cs="Times New Roman"/>
        </w:rPr>
        <w:t xml:space="preserve"> and presumptions rather than being neutral and objective. According to Moss, the dominant conversation about quality </w:t>
      </w:r>
      <w:r w:rsidRPr="00890AE2">
        <w:rPr>
          <w:rFonts w:ascii="Times New Roman" w:hAnsi="Times New Roman" w:cs="Times New Roman"/>
        </w:rPr>
        <w:t>reflects</w:t>
      </w:r>
      <w:r w:rsidRPr="00890AE2">
        <w:rPr>
          <w:rFonts w:ascii="Times New Roman" w:hAnsi="Times New Roman" w:cs="Times New Roman"/>
        </w:rPr>
        <w:t xml:space="preserve"> a modernist mindset that places a premium on universality, standardisation, and measurability. </w:t>
      </w:r>
    </w:p>
    <w:p w14:paraId="0AFE8E31" w14:textId="2AFC3B72" w:rsidR="001C76DB" w:rsidRPr="00707ADB" w:rsidRDefault="001C76DB" w:rsidP="00707ADB">
      <w:pPr>
        <w:spacing w:line="360" w:lineRule="auto"/>
        <w:rPr>
          <w:rFonts w:ascii="Times New Roman" w:hAnsi="Times New Roman" w:cs="Times New Roman"/>
        </w:rPr>
      </w:pPr>
      <w:r w:rsidRPr="00707ADB">
        <w:rPr>
          <w:rFonts w:ascii="Times New Roman" w:hAnsi="Times New Roman" w:cs="Times New Roman"/>
        </w:rPr>
        <w:t xml:space="preserve">​Quality in early years education and care refers to the implementation of practices and standards that optimally support the holistic development of young children. This encompasses cognitive, social, emotional, and physical growth, laying a foundation for lifelong learning and well-being. High-quality early childhood education and care (ECEC) is recognized as a powerful equalizer, enhancing children's development and lifetime opportunities, particularly for the most vulnerable children (UNICEF, 2024). </w:t>
      </w:r>
    </w:p>
    <w:p w14:paraId="286BF6D6" w14:textId="6C51FC8D" w:rsidR="007F60A9" w:rsidRPr="00707ADB" w:rsidRDefault="007F60A9" w:rsidP="00707ADB">
      <w:pPr>
        <w:spacing w:line="360" w:lineRule="auto"/>
        <w:rPr>
          <w:rFonts w:ascii="Times New Roman" w:hAnsi="Times New Roman" w:cs="Times New Roman"/>
        </w:rPr>
      </w:pPr>
      <w:r w:rsidRPr="00707ADB">
        <w:rPr>
          <w:rFonts w:ascii="Times New Roman" w:hAnsi="Times New Roman" w:cs="Times New Roman"/>
        </w:rPr>
        <w:t xml:space="preserve">'Quality in early childhood education and care is conceptualised in three domains: structural, process and system’ Eadie </w:t>
      </w:r>
      <w:r w:rsidRPr="00707ADB">
        <w:rPr>
          <w:rFonts w:ascii="Times New Roman" w:hAnsi="Times New Roman" w:cs="Times New Roman"/>
          <w:i/>
          <w:iCs/>
        </w:rPr>
        <w:t>et al.</w:t>
      </w:r>
      <w:r w:rsidRPr="00707ADB">
        <w:rPr>
          <w:rFonts w:ascii="Times New Roman" w:hAnsi="Times New Roman" w:cs="Times New Roman"/>
        </w:rPr>
        <w:t xml:space="preserve"> (2022)</w:t>
      </w:r>
    </w:p>
    <w:p w14:paraId="48C0362B" w14:textId="77777777" w:rsidR="00FD4A0D" w:rsidRPr="00707ADB" w:rsidRDefault="007F60A9" w:rsidP="00707ADB">
      <w:pPr>
        <w:spacing w:line="360" w:lineRule="auto"/>
        <w:rPr>
          <w:rFonts w:ascii="Times New Roman" w:hAnsi="Times New Roman" w:cs="Times New Roman"/>
        </w:rPr>
      </w:pPr>
      <w:r w:rsidRPr="00707ADB">
        <w:rPr>
          <w:rFonts w:ascii="Times New Roman" w:hAnsi="Times New Roman" w:cs="Times New Roman"/>
        </w:rPr>
        <w:t>Structural quality in early years education and care refers to the foundational elements that contribute to a high-quality learning environment. It includes factors such as the physical setting, educator qualifications, educator-child ratios, professional development opportunities, learning frameworks that guide educational programming, and supports that extend learning into the home environment.</w:t>
      </w:r>
    </w:p>
    <w:p w14:paraId="1FD2C888" w14:textId="10EAFE5E" w:rsidR="006E57D7" w:rsidRPr="00707ADB" w:rsidRDefault="007F60A9" w:rsidP="00707ADB">
      <w:pPr>
        <w:spacing w:line="360" w:lineRule="auto"/>
        <w:rPr>
          <w:rFonts w:ascii="Times New Roman" w:hAnsi="Times New Roman" w:cs="Times New Roman"/>
        </w:rPr>
      </w:pPr>
      <w:r w:rsidRPr="00707ADB">
        <w:rPr>
          <w:rFonts w:ascii="Times New Roman" w:hAnsi="Times New Roman" w:cs="Times New Roman"/>
        </w:rPr>
        <w:t>These structural components establish the conditions necessary for effective teaching and learning, ensuring that children receive appropriate care and education within a well-resourced and organized setting.</w:t>
      </w:r>
      <w:r w:rsidR="006E57D7" w:rsidRPr="00707ADB">
        <w:rPr>
          <w:rFonts w:ascii="Times New Roman" w:hAnsi="Times New Roman" w:cs="Times New Roman"/>
        </w:rPr>
        <w:t xml:space="preserve"> A critical determinant of quality is the presence of qualified and skilled practitioners. Educators with a deep understanding of child development can </w:t>
      </w:r>
      <w:r w:rsidR="006E57D7" w:rsidRPr="00707ADB">
        <w:rPr>
          <w:rFonts w:ascii="Times New Roman" w:hAnsi="Times New Roman" w:cs="Times New Roman"/>
        </w:rPr>
        <w:lastRenderedPageBreak/>
        <w:t xml:space="preserve">create nurturing and stimulating environments that promote curiosity, independence, and resilience. Continuous professional development ensures that educators remain informed about best practices and emerging research in early childhood education (OECD, 2023).​ Additionally the learning environment itself plays a pivotal role. High-quality settings provide safe, inclusive, and resource-rich spaces that encourage exploration and creativity. Well-organized environments with age-appropriate materials facilitate active learning through play, fostering physical skills, problem-solving abilities, and social interactions. </w:t>
      </w:r>
    </w:p>
    <w:p w14:paraId="16780F00" w14:textId="4C68082D" w:rsidR="006E57D7" w:rsidRPr="00707ADB" w:rsidRDefault="007F60A9" w:rsidP="00707ADB">
      <w:pPr>
        <w:spacing w:line="360" w:lineRule="auto"/>
        <w:rPr>
          <w:rFonts w:ascii="Times New Roman" w:hAnsi="Times New Roman" w:cs="Times New Roman"/>
        </w:rPr>
      </w:pPr>
      <w:r w:rsidRPr="00707ADB">
        <w:rPr>
          <w:rFonts w:ascii="Times New Roman" w:hAnsi="Times New Roman" w:cs="Times New Roman"/>
        </w:rPr>
        <w:t>Process quality, on the other hand, focuses on children's day-to-day experiences within early childhood education and care (ECEC). It emphasizes educator pedagogy, effective teaching strategies, and the quality of educator-child interactions. This aspect of quality encompasses the implementation of curricula, learning interventions, and social-emotional support, all of which contribute to a positive and enriching environment. Process quality is reflected in the meaningful back-and-forth exchanges between children and educators, as well as peer interactions, which foster engagement, communication, and development.</w:t>
      </w:r>
      <w:r w:rsidR="006E57D7" w:rsidRPr="00707ADB">
        <w:rPr>
          <w:rFonts w:ascii="Times New Roman" w:hAnsi="Times New Roman" w:cs="Times New Roman"/>
        </w:rPr>
        <w:t xml:space="preserve"> Positive relationships between practitioners, children, and families are fundamental. Secure attachments and trusting interactions support emotional well-being and social development, enabling children to explore and learn confidently. Collaborative partnerships with families ensure consistency between home and educational settings, reinforcing learning and addressing individual needs effectively (Frontiers in Education, 2023).​</w:t>
      </w:r>
    </w:p>
    <w:p w14:paraId="1C70787B" w14:textId="77777777" w:rsidR="00707ADB" w:rsidRPr="00707ADB" w:rsidRDefault="007F60A9" w:rsidP="00707ADB">
      <w:pPr>
        <w:spacing w:line="360" w:lineRule="auto"/>
        <w:rPr>
          <w:rFonts w:ascii="Times New Roman" w:hAnsi="Times New Roman" w:cs="Times New Roman"/>
        </w:rPr>
      </w:pPr>
      <w:r w:rsidRPr="00707ADB">
        <w:rPr>
          <w:rFonts w:ascii="Times New Roman" w:hAnsi="Times New Roman" w:cs="Times New Roman"/>
        </w:rPr>
        <w:t>System quality relates to governance, regulatory standards, and the level of investment in ECEC services and programs. It includes national and local policies, funding structures, and frameworks that ensure the provision of high-quality education and care. System quality plays a crucial role in maintaining consistency across different early years settings, ensuring that all children, regardless of background, have access to high-quality learning experiences. A robust system supports both structural and process quality by providing clear guidelines, adequate resources, and continuous monitoring to drive improvements in early years education.</w:t>
      </w:r>
    </w:p>
    <w:p w14:paraId="60B7CC52" w14:textId="21CACF71" w:rsidR="001C76DB" w:rsidRPr="00707ADB" w:rsidRDefault="006E57D7" w:rsidP="00707ADB">
      <w:pPr>
        <w:spacing w:line="360" w:lineRule="auto"/>
        <w:rPr>
          <w:rFonts w:ascii="Times New Roman" w:hAnsi="Times New Roman" w:cs="Times New Roman"/>
        </w:rPr>
      </w:pPr>
      <w:r w:rsidRPr="00707ADB">
        <w:rPr>
          <w:rFonts w:ascii="Times New Roman" w:hAnsi="Times New Roman" w:cs="Times New Roman"/>
        </w:rPr>
        <w:t>Furthermore, a</w:t>
      </w:r>
      <w:r w:rsidR="001C76DB" w:rsidRPr="00707ADB">
        <w:rPr>
          <w:rFonts w:ascii="Times New Roman" w:hAnsi="Times New Roman" w:cs="Times New Roman"/>
        </w:rPr>
        <w:t xml:space="preserve"> child-centred approach is essential, tailoring activities and curricula to individual needs, interests, and developmental stages. Frameworks like the Early Years Foundation Stage (EYFS) guide practitioners in delivering personalized learning experiences that engage children meaningfully (Education Development Trust, 2023).​</w:t>
      </w:r>
      <w:r w:rsidRPr="00707ADB">
        <w:rPr>
          <w:rFonts w:ascii="Times New Roman" w:hAnsi="Times New Roman" w:cs="Times New Roman"/>
        </w:rPr>
        <w:t xml:space="preserve"> </w:t>
      </w:r>
      <w:r w:rsidR="001C76DB" w:rsidRPr="00707ADB">
        <w:rPr>
          <w:rFonts w:ascii="Times New Roman" w:hAnsi="Times New Roman" w:cs="Times New Roman"/>
        </w:rPr>
        <w:t xml:space="preserve">Parental involvement further enhances quality by bridging the gap between home and educational </w:t>
      </w:r>
      <w:r w:rsidR="001C76DB" w:rsidRPr="00707ADB">
        <w:rPr>
          <w:rFonts w:ascii="Times New Roman" w:hAnsi="Times New Roman" w:cs="Times New Roman"/>
        </w:rPr>
        <w:lastRenderedPageBreak/>
        <w:t>settings. Engaging families in their child's learning process creates a holistic developmental approach, with parents providing valuable insights that inform effective planning and support (UNICEF, 2024).​</w:t>
      </w:r>
    </w:p>
    <w:p w14:paraId="3D4ED739" w14:textId="042BD865" w:rsidR="00B300C9" w:rsidRPr="00707ADB" w:rsidRDefault="00FB0089" w:rsidP="00707ADB">
      <w:pPr>
        <w:spacing w:line="360" w:lineRule="auto"/>
        <w:rPr>
          <w:rFonts w:ascii="Times New Roman" w:hAnsi="Times New Roman" w:cs="Times New Roman"/>
        </w:rPr>
      </w:pPr>
      <w:r w:rsidRPr="00707ADB">
        <w:rPr>
          <w:rFonts w:ascii="Times New Roman" w:hAnsi="Times New Roman" w:cs="Times New Roman"/>
        </w:rPr>
        <w:t xml:space="preserve">This section will examine two distinct approaches to improving quality that goes </w:t>
      </w:r>
      <w:r w:rsidR="00A83BAF" w:rsidRPr="00707ADB">
        <w:rPr>
          <w:rFonts w:ascii="Times New Roman" w:hAnsi="Times New Roman" w:cs="Times New Roman"/>
        </w:rPr>
        <w:t xml:space="preserve">above and </w:t>
      </w:r>
      <w:r w:rsidRPr="00707ADB">
        <w:rPr>
          <w:rFonts w:ascii="Times New Roman" w:hAnsi="Times New Roman" w:cs="Times New Roman"/>
        </w:rPr>
        <w:t xml:space="preserve">beyond statutory requirements. The two approaches that will be explored are </w:t>
      </w:r>
      <w:r w:rsidR="00A83BAF" w:rsidRPr="00707ADB">
        <w:rPr>
          <w:rFonts w:ascii="Times New Roman" w:hAnsi="Times New Roman" w:cs="Times New Roman"/>
        </w:rPr>
        <w:t xml:space="preserve">reflective practice and </w:t>
      </w:r>
      <w:r w:rsidRPr="00707ADB">
        <w:rPr>
          <w:rFonts w:ascii="Times New Roman" w:hAnsi="Times New Roman" w:cs="Times New Roman"/>
        </w:rPr>
        <w:t>parent feedback</w:t>
      </w:r>
      <w:r w:rsidR="00075F43" w:rsidRPr="00707ADB">
        <w:rPr>
          <w:rFonts w:ascii="Times New Roman" w:hAnsi="Times New Roman" w:cs="Times New Roman"/>
        </w:rPr>
        <w:t>.</w:t>
      </w:r>
      <w:r w:rsidR="00075F43" w:rsidRPr="00707ADB">
        <w:rPr>
          <w:rFonts w:ascii="Times New Roman" w:hAnsi="Times New Roman" w:cs="Times New Roman"/>
        </w:rPr>
        <w:tab/>
      </w:r>
    </w:p>
    <w:p w14:paraId="79C148F7" w14:textId="1DE5AE5C" w:rsidR="00B300C9" w:rsidRPr="00707ADB" w:rsidRDefault="00B300C9" w:rsidP="00707ADB">
      <w:pPr>
        <w:spacing w:line="360" w:lineRule="auto"/>
        <w:rPr>
          <w:rFonts w:ascii="Times New Roman" w:hAnsi="Times New Roman" w:cs="Times New Roman"/>
          <w:u w:val="single"/>
        </w:rPr>
      </w:pPr>
      <w:r w:rsidRPr="00707ADB">
        <w:rPr>
          <w:rFonts w:ascii="Times New Roman" w:hAnsi="Times New Roman" w:cs="Times New Roman"/>
          <w:u w:val="single"/>
        </w:rPr>
        <w:t xml:space="preserve">Reflective practise </w:t>
      </w:r>
    </w:p>
    <w:p w14:paraId="423DCDFB" w14:textId="122FA0D5" w:rsidR="00B300C9" w:rsidRPr="00707ADB" w:rsidRDefault="00B300C9" w:rsidP="00707ADB">
      <w:pPr>
        <w:spacing w:line="360" w:lineRule="auto"/>
        <w:rPr>
          <w:rFonts w:ascii="Times New Roman" w:hAnsi="Times New Roman" w:cs="Times New Roman"/>
        </w:rPr>
      </w:pPr>
      <w:r w:rsidRPr="00707ADB">
        <w:rPr>
          <w:rFonts w:ascii="Times New Roman" w:hAnsi="Times New Roman" w:cs="Times New Roman"/>
          <w:u w:val="single"/>
        </w:rPr>
        <w:t>​</w:t>
      </w:r>
      <w:r w:rsidRPr="00707ADB">
        <w:rPr>
          <w:rFonts w:ascii="Times New Roman" w:hAnsi="Times New Roman" w:cs="Times New Roman"/>
        </w:rPr>
        <w:t>In their work, Reed, and Canning (2012) emphasize the importance of reflective practice in enhancing the quality of early years education and care. They argue that practitioners who engage in continuous reflection on their methods and interactions can better understand and meet the diverse needs of children. This reflective approach fosters a culture of continuous improvement, leading to more effective teaching strategies and improved child outcomes. By critically assessing their practices, educators can identify areas for growth, adapt to new challenges, and implement innovative solutions that go beyond statutory requirements, elevating the standard of care and education provided to young children.​</w:t>
      </w:r>
    </w:p>
    <w:p w14:paraId="075892BA" w14:textId="6CF2AB7D" w:rsidR="008749E8" w:rsidRPr="00707ADB" w:rsidRDefault="008749E8" w:rsidP="00707ADB">
      <w:pPr>
        <w:spacing w:line="360" w:lineRule="auto"/>
        <w:rPr>
          <w:rFonts w:ascii="Times New Roman" w:hAnsi="Times New Roman" w:cs="Times New Roman"/>
        </w:rPr>
      </w:pPr>
      <w:r w:rsidRPr="00707ADB">
        <w:rPr>
          <w:rFonts w:ascii="Times New Roman" w:hAnsi="Times New Roman" w:cs="Times New Roman"/>
        </w:rPr>
        <w:t>The Early Years Foundation Stage (EYFS) framework underscores the significance of reflective practice as an essential component in delivering high-quality early childhood education and care. It urges practitioners to engage in ongoing professional development by assessing their own methods and making improvements as needed. Reflective practice enables educators to recognize their strengths and pinpoint areas for growth, ensuring that they provide optimal learning experiences for children. The EYFS framework also emphasizes that reflection should be utilized to enhance children's outcomes by adjusting teaching strategies to accommodate their unique needs and developmental stages. By thoughtfully evaluating their interactions, activities, and learning environments, practitioners can create an inclusive and effective atmosphere for all children. Additionally, the framework encourages collaborative reflection, promoting teamwork among practitioners to share insights and learn from each other to elevate the overall quality of education and care (DfE, 2023).</w:t>
      </w:r>
    </w:p>
    <w:p w14:paraId="5E1FD82A" w14:textId="6710860A" w:rsidR="00893B2D" w:rsidRPr="00707ADB" w:rsidRDefault="00893B2D" w:rsidP="00707ADB">
      <w:pPr>
        <w:spacing w:line="360" w:lineRule="auto"/>
        <w:rPr>
          <w:rFonts w:ascii="Times New Roman" w:hAnsi="Times New Roman" w:cs="Times New Roman"/>
        </w:rPr>
      </w:pPr>
      <w:r w:rsidRPr="00707ADB">
        <w:rPr>
          <w:rFonts w:ascii="Times New Roman" w:hAnsi="Times New Roman" w:cs="Times New Roman"/>
        </w:rPr>
        <w:t xml:space="preserve">Practitioners have found that reflective practice helps enhance quality (Argyris and Schon, 1978; Boud et al., 1985; Brookfield, 1987; Brockbank and McGill, 2007). "Those intellectual and affective activities in which individuals engage to explore their experiences in order to </w:t>
      </w:r>
      <w:r w:rsidRPr="00707ADB">
        <w:rPr>
          <w:rFonts w:ascii="Times New Roman" w:hAnsi="Times New Roman" w:cs="Times New Roman"/>
        </w:rPr>
        <w:lastRenderedPageBreak/>
        <w:t>lead to new understandings and appreciation" is how one definition of it puts it (Boud et al., 1985: 19).</w:t>
      </w:r>
    </w:p>
    <w:p w14:paraId="06263D02" w14:textId="77777777" w:rsidR="001C76DB" w:rsidRPr="00707ADB" w:rsidRDefault="001C76DB" w:rsidP="00707ADB">
      <w:pPr>
        <w:spacing w:line="360" w:lineRule="auto"/>
        <w:rPr>
          <w:rFonts w:ascii="Times New Roman" w:hAnsi="Times New Roman" w:cs="Times New Roman"/>
        </w:rPr>
      </w:pPr>
      <w:r w:rsidRPr="00707ADB">
        <w:rPr>
          <w:rFonts w:ascii="Times New Roman" w:hAnsi="Times New Roman" w:cs="Times New Roman"/>
        </w:rPr>
        <w:t>Effective assessment and reflection are vital for maintaining and improving quality. Continuous observation and evaluation of children's progress enable practitioners to adapt teaching strategies and ensure developmental milestones are met. Reflective practices allow educators to refine their approaches, fostering better outcomes for all children (OECD, 2023).​</w:t>
      </w:r>
    </w:p>
    <w:p w14:paraId="03FF39B1" w14:textId="1F854F5B" w:rsidR="001C76DB" w:rsidRPr="00707ADB" w:rsidRDefault="001C76DB" w:rsidP="00707ADB">
      <w:pPr>
        <w:spacing w:line="360" w:lineRule="auto"/>
        <w:rPr>
          <w:rFonts w:ascii="Times New Roman" w:hAnsi="Times New Roman" w:cs="Times New Roman"/>
        </w:rPr>
      </w:pPr>
      <w:r w:rsidRPr="00707ADB">
        <w:rPr>
          <w:rFonts w:ascii="Times New Roman" w:hAnsi="Times New Roman" w:cs="Times New Roman"/>
        </w:rPr>
        <w:t xml:space="preserve">High-quality ECEC settings often exceed statutory requirements by implementing innovative teaching methods and well-being initiatives. Investing in ongoing professional development and adopting evidence-based practices contribute to enriched experiences that have a lasting positive impact on children's learning and development (American Progress, 2017).​ </w:t>
      </w:r>
    </w:p>
    <w:p w14:paraId="217CAE5D" w14:textId="77777777" w:rsidR="002230E2" w:rsidRDefault="00893B2D" w:rsidP="00707ADB">
      <w:pPr>
        <w:spacing w:line="360" w:lineRule="auto"/>
        <w:rPr>
          <w:rFonts w:ascii="Times New Roman" w:hAnsi="Times New Roman" w:cs="Times New Roman"/>
        </w:rPr>
      </w:pPr>
      <w:r w:rsidRPr="00707ADB">
        <w:rPr>
          <w:rFonts w:ascii="Times New Roman" w:hAnsi="Times New Roman" w:cs="Times New Roman"/>
        </w:rPr>
        <w:t>However, if critically evaluating this method it could be argued that there may be some disadvantages to reflective practice</w:t>
      </w:r>
      <w:r w:rsidR="008749E8" w:rsidRPr="00707ADB">
        <w:rPr>
          <w:rFonts w:ascii="Times New Roman" w:hAnsi="Times New Roman" w:cs="Times New Roman"/>
        </w:rPr>
        <w:t xml:space="preserve"> </w:t>
      </w:r>
      <w:r w:rsidRPr="00707ADB">
        <w:rPr>
          <w:rFonts w:ascii="Times New Roman" w:hAnsi="Times New Roman" w:cs="Times New Roman"/>
        </w:rPr>
        <w:t xml:space="preserve">that </w:t>
      </w:r>
      <w:r w:rsidR="008749E8" w:rsidRPr="00707ADB">
        <w:rPr>
          <w:rFonts w:ascii="Times New Roman" w:hAnsi="Times New Roman" w:cs="Times New Roman"/>
        </w:rPr>
        <w:t>may</w:t>
      </w:r>
      <w:r w:rsidRPr="00707ADB">
        <w:rPr>
          <w:rFonts w:ascii="Times New Roman" w:hAnsi="Times New Roman" w:cs="Times New Roman"/>
        </w:rPr>
        <w:t xml:space="preserve"> impact its effectiveness. One significant challenge is that it can be time-consuming, requiring individuals to dedicate time to self-reflection, which may be difficult in demanding work environments (Mann, Gordon, &amp; MacLeod, 2009). Reflecting on mistakes or areas for improvement can also lead to emotional discomfort, potentially resulting in stress, self-doubt, or even burnout if not managed appropriately (Bassot, 2016). </w:t>
      </w:r>
    </w:p>
    <w:p w14:paraId="4785E916" w14:textId="08C24FD1" w:rsidR="00E44E6F" w:rsidRPr="00707ADB" w:rsidRDefault="008749E8" w:rsidP="00707ADB">
      <w:pPr>
        <w:spacing w:line="360" w:lineRule="auto"/>
        <w:rPr>
          <w:rFonts w:ascii="Times New Roman" w:hAnsi="Times New Roman" w:cs="Times New Roman"/>
        </w:rPr>
      </w:pPr>
      <w:r w:rsidRPr="00707ADB">
        <w:rPr>
          <w:rFonts w:ascii="Times New Roman" w:hAnsi="Times New Roman" w:cs="Times New Roman"/>
        </w:rPr>
        <w:t>Additionally, a</w:t>
      </w:r>
      <w:r w:rsidR="00893B2D" w:rsidRPr="00707ADB">
        <w:rPr>
          <w:rFonts w:ascii="Times New Roman" w:hAnsi="Times New Roman" w:cs="Times New Roman"/>
        </w:rPr>
        <w:t>nother limitation is the issue of subjectivity, as personal biases can influence reflections, leading individuals to reinforce pre-existing beliefs rather than critically evaluating their actions (Fook &amp; Gardner, 2021). Furthermore, reflective practice may not always lead to meaningful change if there is no structured approach to translating insights into concrete actions (Ryan &amp; Ryan, 2013). Without proper support or guidance, individuals may struggle to engage effectively in reflective practice, making it less useful as a developmental tool (Cox, 2021).</w:t>
      </w:r>
    </w:p>
    <w:p w14:paraId="336A5691" w14:textId="00FE1ED1" w:rsidR="0076071F" w:rsidRPr="00707ADB" w:rsidRDefault="004E55AC" w:rsidP="00707ADB">
      <w:pPr>
        <w:spacing w:line="360" w:lineRule="auto"/>
        <w:rPr>
          <w:rFonts w:ascii="Times New Roman" w:hAnsi="Times New Roman" w:cs="Times New Roman"/>
          <w:u w:val="single"/>
        </w:rPr>
      </w:pPr>
      <w:r w:rsidRPr="00707ADB">
        <w:rPr>
          <w:rFonts w:ascii="Times New Roman" w:hAnsi="Times New Roman" w:cs="Times New Roman"/>
          <w:u w:val="single"/>
        </w:rPr>
        <w:t xml:space="preserve">Parental feedback </w:t>
      </w:r>
    </w:p>
    <w:p w14:paraId="7B44B825" w14:textId="77777777" w:rsidR="004E55AC" w:rsidRPr="00707ADB" w:rsidRDefault="004E55AC" w:rsidP="00707ADB">
      <w:pPr>
        <w:spacing w:line="360" w:lineRule="auto"/>
        <w:rPr>
          <w:rFonts w:ascii="Times New Roman" w:hAnsi="Times New Roman" w:cs="Times New Roman"/>
          <w:lang w:val="en-US"/>
        </w:rPr>
      </w:pPr>
      <w:r w:rsidRPr="00707ADB">
        <w:rPr>
          <w:rFonts w:ascii="Times New Roman" w:hAnsi="Times New Roman" w:cs="Times New Roman"/>
          <w:lang w:val="en-US"/>
        </w:rPr>
        <w:t xml:space="preserve">Parental questionnaires are an excellent method of collecting feedback, they can be done openly or anonymously. This method could prove useful but like anything there are some disadvantages to using this method. Using anonymous parent feedback questionnaires allows for honest and constructive feedback, as parents may feel more comfortable sharing their genuine opinions without fear of judgment (Cohen </w:t>
      </w:r>
      <w:r w:rsidRPr="00707ADB">
        <w:rPr>
          <w:rFonts w:ascii="Times New Roman" w:hAnsi="Times New Roman" w:cs="Times New Roman"/>
          <w:i/>
          <w:iCs/>
          <w:lang w:val="en-US"/>
        </w:rPr>
        <w:t>et al</w:t>
      </w:r>
      <w:r w:rsidRPr="00707ADB">
        <w:rPr>
          <w:rFonts w:ascii="Times New Roman" w:hAnsi="Times New Roman" w:cs="Times New Roman"/>
          <w:lang w:val="en-US"/>
        </w:rPr>
        <w:t xml:space="preserve">,.2018). This helps identify any hidden concerns that might not otherwise be expressed (Denscombe, 2021). </w:t>
      </w:r>
    </w:p>
    <w:p w14:paraId="7E30E408" w14:textId="08BC1788" w:rsidR="004E55AC" w:rsidRPr="00707ADB" w:rsidRDefault="008625F4" w:rsidP="00707ADB">
      <w:pPr>
        <w:spacing w:line="360" w:lineRule="auto"/>
        <w:rPr>
          <w:rFonts w:ascii="Times New Roman" w:hAnsi="Times New Roman" w:cs="Times New Roman"/>
          <w:lang w:val="en-US"/>
        </w:rPr>
      </w:pPr>
      <w:r w:rsidRPr="00707ADB">
        <w:rPr>
          <w:rFonts w:ascii="Times New Roman" w:hAnsi="Times New Roman" w:cs="Times New Roman"/>
        </w:rPr>
        <w:lastRenderedPageBreak/>
        <w:t>The Children Act 1989 &amp; 2004 emphasizes the importance of parental involvement in decisions affecting their children’s well-being. It places a duty on local authorities to consult parents when making decisions about a child’s care, education, and health, ensuring that their perspectives are considered. The Act promotes a partnership approach, encouraging professionals to work alongside parents to make informed decisions that align with the child’s best interests. Parental feedback through questionnaires can serve as a structured way to gather insights, address concerns, and improve services. By fostering open communication, the Act supports a collaborative approach where parents have a voice in shaping the support and provisions available to their children.</w:t>
      </w:r>
    </w:p>
    <w:p w14:paraId="7FB96F23" w14:textId="107152F7" w:rsidR="00FD4A0D" w:rsidRPr="00707ADB" w:rsidRDefault="008625F4" w:rsidP="00707ADB">
      <w:pPr>
        <w:spacing w:line="360" w:lineRule="auto"/>
        <w:rPr>
          <w:rFonts w:ascii="Times New Roman" w:hAnsi="Times New Roman" w:cs="Times New Roman"/>
          <w:lang w:val="en-US"/>
        </w:rPr>
      </w:pPr>
      <w:r w:rsidRPr="00707ADB">
        <w:rPr>
          <w:rFonts w:ascii="Times New Roman" w:hAnsi="Times New Roman" w:cs="Times New Roman"/>
          <w:lang w:val="en-US"/>
        </w:rPr>
        <w:t>Q</w:t>
      </w:r>
      <w:r w:rsidR="004E55AC" w:rsidRPr="00707ADB">
        <w:rPr>
          <w:rFonts w:ascii="Times New Roman" w:hAnsi="Times New Roman" w:cs="Times New Roman"/>
          <w:lang w:val="en-US"/>
        </w:rPr>
        <w:t>uestionnaire</w:t>
      </w:r>
      <w:r w:rsidR="00FD4A0D" w:rsidRPr="00707ADB">
        <w:rPr>
          <w:rFonts w:ascii="Times New Roman" w:hAnsi="Times New Roman" w:cs="Times New Roman"/>
          <w:lang w:val="en-US"/>
        </w:rPr>
        <w:t>s</w:t>
      </w:r>
      <w:r w:rsidR="004E55AC" w:rsidRPr="00707ADB">
        <w:rPr>
          <w:rFonts w:ascii="Times New Roman" w:hAnsi="Times New Roman" w:cs="Times New Roman"/>
          <w:lang w:val="en-US"/>
        </w:rPr>
        <w:t xml:space="preserve"> also </w:t>
      </w:r>
      <w:r w:rsidR="00FD4A0D" w:rsidRPr="00707ADB">
        <w:rPr>
          <w:rFonts w:ascii="Times New Roman" w:hAnsi="Times New Roman" w:cs="Times New Roman"/>
          <w:lang w:val="en-US"/>
        </w:rPr>
        <w:t>highlight</w:t>
      </w:r>
      <w:r w:rsidR="004E55AC" w:rsidRPr="00707ADB">
        <w:rPr>
          <w:rFonts w:ascii="Times New Roman" w:hAnsi="Times New Roman" w:cs="Times New Roman"/>
          <w:lang w:val="en-US"/>
        </w:rPr>
        <w:t xml:space="preserve"> the setting’s strengths, reinforcing best practices and providing positive testimonials that can be shared during the inspection (Bell, 2014). Additionally, it identifies areas for improvement, giving the setting an opportunity to make proactive changes before an inspection takes place (Robson &amp; McCartan, 2016). Engaging parents in this way shows that their opinions are valued, strengthening relationships between families and staff (MacNaughton et al., 2007). It also demonstrates a commitment to continuous improvement, which can be beneficial during an inspection (Mertens, 2020).</w:t>
      </w:r>
    </w:p>
    <w:p w14:paraId="08FB3DDB" w14:textId="1EA67366" w:rsidR="008625F4" w:rsidRPr="00707ADB" w:rsidRDefault="008625F4" w:rsidP="00707ADB">
      <w:pPr>
        <w:spacing w:line="360" w:lineRule="auto"/>
        <w:rPr>
          <w:rFonts w:ascii="Times New Roman" w:hAnsi="Times New Roman" w:cs="Times New Roman"/>
          <w:lang w:val="en-US"/>
        </w:rPr>
      </w:pPr>
      <w:r w:rsidRPr="00707ADB">
        <w:rPr>
          <w:rFonts w:ascii="Times New Roman" w:hAnsi="Times New Roman" w:cs="Times New Roman"/>
        </w:rPr>
        <w:t>Additionally in the inspection framework, Estyn requires schools, early years providers, and education settings to engage with parents and carers as key stakeholders. Schools are expected to use parental questionnaires, meetings, and other feedback methods to ensure they are meeting the needs of children and families. Parental involvement is seen as crucial in shaping school policies, safeguarding children, and improving teaching and learning.</w:t>
      </w:r>
    </w:p>
    <w:p w14:paraId="19BB63A8" w14:textId="07E99212" w:rsidR="00FD4A0D" w:rsidRPr="00707ADB" w:rsidRDefault="004E55AC" w:rsidP="00707ADB">
      <w:pPr>
        <w:spacing w:line="360" w:lineRule="auto"/>
        <w:rPr>
          <w:rFonts w:ascii="Times New Roman" w:hAnsi="Times New Roman" w:cs="Times New Roman"/>
          <w:lang w:val="en-US"/>
        </w:rPr>
      </w:pPr>
      <w:r w:rsidRPr="00707ADB">
        <w:rPr>
          <w:rFonts w:ascii="Times New Roman" w:hAnsi="Times New Roman" w:cs="Times New Roman"/>
          <w:lang w:val="en-US"/>
        </w:rPr>
        <w:t xml:space="preserve">However, the disadvantages of using this form of feedback are that it can be difficult to follow up on specific concerns or seek clarification (Kane &amp; Trochim, 2007). There is also a risk of receiving vague or unconstructive feedback that does not provide actionable insights (Brookhart, 2013). </w:t>
      </w:r>
    </w:p>
    <w:p w14:paraId="1F2C42E3" w14:textId="2691D765" w:rsidR="00FD4A0D" w:rsidRPr="00707ADB" w:rsidRDefault="00FD4A0D" w:rsidP="00707ADB">
      <w:pPr>
        <w:spacing w:line="360" w:lineRule="auto"/>
        <w:rPr>
          <w:rFonts w:ascii="Times New Roman" w:hAnsi="Times New Roman" w:cs="Times New Roman"/>
        </w:rPr>
      </w:pPr>
      <w:r w:rsidRPr="00707ADB">
        <w:rPr>
          <w:rFonts w:ascii="Times New Roman" w:hAnsi="Times New Roman" w:cs="Times New Roman"/>
        </w:rPr>
        <w:t xml:space="preserve">Instead of providing fair criticism, some parents might take advantage of the occasion to air personal grievances, which could change the </w:t>
      </w:r>
      <w:r w:rsidR="00B97C63" w:rsidRPr="00707ADB">
        <w:rPr>
          <w:rFonts w:ascii="Times New Roman" w:hAnsi="Times New Roman" w:cs="Times New Roman"/>
        </w:rPr>
        <w:t>outcome</w:t>
      </w:r>
      <w:r w:rsidRPr="00707ADB">
        <w:rPr>
          <w:rFonts w:ascii="Times New Roman" w:hAnsi="Times New Roman" w:cs="Times New Roman"/>
        </w:rPr>
        <w:t xml:space="preserve"> (Leung, 2015). Furthermore, low response rates could suggest that the feedback gathered does not accurately reflect the opinions of all parents (Dillman et al., 2014). </w:t>
      </w:r>
    </w:p>
    <w:p w14:paraId="46A6758F" w14:textId="3BC0A71E" w:rsidR="004E55AC" w:rsidRPr="00707ADB" w:rsidRDefault="004E55AC" w:rsidP="00707ADB">
      <w:pPr>
        <w:spacing w:line="360" w:lineRule="auto"/>
        <w:rPr>
          <w:rFonts w:ascii="Times New Roman" w:hAnsi="Times New Roman" w:cs="Times New Roman"/>
          <w:lang w:val="en-US"/>
        </w:rPr>
      </w:pPr>
      <w:r w:rsidRPr="00707ADB">
        <w:rPr>
          <w:rFonts w:ascii="Times New Roman" w:hAnsi="Times New Roman" w:cs="Times New Roman"/>
          <w:lang w:val="en-US"/>
        </w:rPr>
        <w:t>There is al</w:t>
      </w:r>
      <w:r w:rsidR="00FD4A0D" w:rsidRPr="00707ADB">
        <w:rPr>
          <w:rFonts w:ascii="Times New Roman" w:hAnsi="Times New Roman" w:cs="Times New Roman"/>
          <w:lang w:val="en-US"/>
        </w:rPr>
        <w:t>so a possibility</w:t>
      </w:r>
      <w:r w:rsidRPr="00707ADB">
        <w:rPr>
          <w:rFonts w:ascii="Times New Roman" w:hAnsi="Times New Roman" w:cs="Times New Roman"/>
          <w:lang w:val="en-US"/>
        </w:rPr>
        <w:t xml:space="preserve"> that parents who are satisfied may not feel the need to respond, leading to a bias towards more critical feedback (Groves et al., 2009). </w:t>
      </w:r>
    </w:p>
    <w:p w14:paraId="36555243" w14:textId="194D73E6" w:rsidR="00775364" w:rsidRPr="00707ADB" w:rsidRDefault="00775364" w:rsidP="00707ADB">
      <w:pPr>
        <w:spacing w:line="360" w:lineRule="auto"/>
        <w:rPr>
          <w:rFonts w:ascii="Times New Roman" w:hAnsi="Times New Roman" w:cs="Times New Roman"/>
          <w:u w:val="single"/>
        </w:rPr>
      </w:pPr>
      <w:r w:rsidRPr="00707ADB">
        <w:rPr>
          <w:rFonts w:ascii="Times New Roman" w:hAnsi="Times New Roman" w:cs="Times New Roman"/>
          <w:u w:val="single"/>
        </w:rPr>
        <w:lastRenderedPageBreak/>
        <w:t xml:space="preserve">Conclusion </w:t>
      </w:r>
    </w:p>
    <w:p w14:paraId="41FE0A92" w14:textId="48AF78A4" w:rsidR="00B300C9" w:rsidRDefault="00775364" w:rsidP="00707ADB">
      <w:pPr>
        <w:spacing w:line="360" w:lineRule="auto"/>
        <w:rPr>
          <w:rFonts w:ascii="Times New Roman" w:hAnsi="Times New Roman" w:cs="Times New Roman"/>
        </w:rPr>
      </w:pPr>
      <w:r w:rsidRPr="00707ADB">
        <w:rPr>
          <w:rFonts w:ascii="Times New Roman" w:hAnsi="Times New Roman" w:cs="Times New Roman"/>
        </w:rPr>
        <w:t xml:space="preserve">In summary, </w:t>
      </w:r>
      <w:r w:rsidR="00B300C9" w:rsidRPr="00707ADB">
        <w:rPr>
          <w:rFonts w:ascii="Times New Roman" w:hAnsi="Times New Roman" w:cs="Times New Roman"/>
        </w:rPr>
        <w:t xml:space="preserve">quality in early years education and care is </w:t>
      </w:r>
      <w:r w:rsidR="006500F6">
        <w:rPr>
          <w:rFonts w:ascii="Times New Roman" w:hAnsi="Times New Roman" w:cs="Times New Roman"/>
        </w:rPr>
        <w:t xml:space="preserve">a </w:t>
      </w:r>
      <w:r w:rsidR="00B300C9" w:rsidRPr="00707ADB">
        <w:rPr>
          <w:rFonts w:ascii="Times New Roman" w:hAnsi="Times New Roman" w:cs="Times New Roman"/>
        </w:rPr>
        <w:t xml:space="preserve">multifaceted </w:t>
      </w:r>
      <w:r w:rsidR="006500F6">
        <w:rPr>
          <w:rFonts w:ascii="Times New Roman" w:hAnsi="Times New Roman" w:cs="Times New Roman"/>
        </w:rPr>
        <w:t>concept that include continuous evolution. W</w:t>
      </w:r>
      <w:r w:rsidRPr="00707ADB">
        <w:rPr>
          <w:rFonts w:ascii="Times New Roman" w:hAnsi="Times New Roman" w:cs="Times New Roman"/>
        </w:rPr>
        <w:t xml:space="preserve">hile statutory requirements provide a foundational framework for quality in early years, </w:t>
      </w:r>
      <w:r w:rsidR="00B300C9" w:rsidRPr="00707ADB">
        <w:rPr>
          <w:rFonts w:ascii="Times New Roman" w:hAnsi="Times New Roman" w:cs="Times New Roman"/>
        </w:rPr>
        <w:t xml:space="preserve">involving skilled practitioners, positive relationships, stimulating environments, child-centred approaches, parental involvement, and continuous assessment. </w:t>
      </w:r>
      <w:r w:rsidRPr="00707ADB">
        <w:rPr>
          <w:rFonts w:ascii="Times New Roman" w:hAnsi="Times New Roman" w:cs="Times New Roman"/>
        </w:rPr>
        <w:t>methods such as a child-</w:t>
      </w:r>
      <w:r w:rsidR="00A4118A" w:rsidRPr="00707ADB">
        <w:rPr>
          <w:rFonts w:ascii="Times New Roman" w:hAnsi="Times New Roman" w:cs="Times New Roman"/>
        </w:rPr>
        <w:t>centred</w:t>
      </w:r>
      <w:r w:rsidRPr="00707ADB">
        <w:rPr>
          <w:rFonts w:ascii="Times New Roman" w:hAnsi="Times New Roman" w:cs="Times New Roman"/>
        </w:rPr>
        <w:t xml:space="preserve"> curriculum and reflective practice significantly enhance the educational experience. By prioritizing individualized learning and engaging in continuous self-improvement, early years practitioners can create an enriching environment that prioritizes children’s holistic growth and development.</w:t>
      </w:r>
      <w:r w:rsidR="00B300C9" w:rsidRPr="00707ADB">
        <w:rPr>
          <w:rFonts w:ascii="Times New Roman" w:hAnsi="Times New Roman" w:cs="Times New Roman"/>
        </w:rPr>
        <w:t xml:space="preserve"> </w:t>
      </w:r>
      <w:r w:rsidR="008112F5" w:rsidRPr="00707ADB">
        <w:rPr>
          <w:rFonts w:ascii="Times New Roman" w:hAnsi="Times New Roman" w:cs="Times New Roman"/>
        </w:rPr>
        <w:t>Despite the challenges, parental questionnaires remain a useful tool when used alongside other methods of engagement, such as meetings, workshops, and informal discussions. A combination of approaches ensures that feedback is both comprehensive and actionable, ultimately leading to better outcomes for children, families, and educational settings.</w:t>
      </w:r>
    </w:p>
    <w:p w14:paraId="363261E1" w14:textId="7BD94D8C" w:rsidR="006500F6" w:rsidRPr="006500F6" w:rsidRDefault="006500F6" w:rsidP="00707ADB">
      <w:pPr>
        <w:spacing w:line="360" w:lineRule="auto"/>
        <w:rPr>
          <w:rFonts w:ascii="Times New Roman" w:hAnsi="Times New Roman" w:cs="Times New Roman"/>
          <w:u w:val="single"/>
        </w:rPr>
      </w:pPr>
      <w:r w:rsidRPr="006500F6">
        <w:rPr>
          <w:rFonts w:ascii="Times New Roman" w:hAnsi="Times New Roman" w:cs="Times New Roman"/>
          <w:u w:val="single"/>
        </w:rPr>
        <w:t xml:space="preserve">References </w:t>
      </w:r>
    </w:p>
    <w:p w14:paraId="36D692E5" w14:textId="77777777" w:rsidR="00000000" w:rsidRPr="00446E0E" w:rsidRDefault="006500F6" w:rsidP="006500F6">
      <w:pPr>
        <w:numPr>
          <w:ilvl w:val="0"/>
          <w:numId w:val="1"/>
        </w:numPr>
      </w:pPr>
      <w:r w:rsidRPr="00F229CA">
        <w:t xml:space="preserve">American Progress. (2017). </w:t>
      </w:r>
      <w:r w:rsidRPr="00F229CA">
        <w:rPr>
          <w:i/>
          <w:iCs/>
        </w:rPr>
        <w:t>Identifying the Core Components of a High-Quality Early Childhood Program</w:t>
      </w:r>
      <w:r w:rsidRPr="00F229CA">
        <w:t>. Retrieved from https://www.americanprogress.org/article/quality-101-identifying-the-core-components-of-a-high-quality-early-childhood-program/</w:t>
      </w:r>
    </w:p>
    <w:p w14:paraId="60CE393A" w14:textId="77777777" w:rsidR="00000000" w:rsidRPr="00446E0E" w:rsidRDefault="00000000" w:rsidP="006500F6">
      <w:pPr>
        <w:numPr>
          <w:ilvl w:val="0"/>
          <w:numId w:val="1"/>
        </w:numPr>
      </w:pPr>
      <w:r w:rsidRPr="00446E0E">
        <w:t xml:space="preserve">Eadie, P. </w:t>
      </w:r>
      <w:r w:rsidRPr="00446E0E">
        <w:rPr>
          <w:i/>
          <w:iCs/>
        </w:rPr>
        <w:t>et al</w:t>
      </w:r>
      <w:r w:rsidRPr="00446E0E">
        <w:t>. (2022) '</w:t>
      </w:r>
      <w:r w:rsidRPr="00446E0E">
        <w:t xml:space="preserve">Domains </w:t>
      </w:r>
      <w:r w:rsidRPr="00446E0E">
        <w:t xml:space="preserve">of quality in early childhood education and </w:t>
      </w:r>
      <w:r w:rsidR="006500F6" w:rsidRPr="00446E0E">
        <w:t>care: A</w:t>
      </w:r>
      <w:r w:rsidRPr="00446E0E">
        <w:t xml:space="preserve"> scoping review of the extent and consistency of the literature', </w:t>
      </w:r>
      <w:r w:rsidRPr="00446E0E">
        <w:rPr>
          <w:i/>
          <w:iCs/>
        </w:rPr>
        <w:t xml:space="preserve">Educational </w:t>
      </w:r>
      <w:r w:rsidR="006500F6" w:rsidRPr="00446E0E">
        <w:rPr>
          <w:i/>
          <w:iCs/>
        </w:rPr>
        <w:t>Review</w:t>
      </w:r>
      <w:r w:rsidRPr="00446E0E">
        <w:rPr>
          <w:i/>
          <w:iCs/>
        </w:rPr>
        <w:t>, </w:t>
      </w:r>
      <w:r w:rsidRPr="00446E0E">
        <w:t>DOI: </w:t>
      </w:r>
      <w:hyperlink r:id="rId7" w:history="1">
        <w:r w:rsidRPr="00446E0E">
          <w:rPr>
            <w:rStyle w:val="Hyperlink"/>
          </w:rPr>
          <w:t>https://doi.org/10.1080/00131911.2022.2077704</w:t>
        </w:r>
      </w:hyperlink>
    </w:p>
    <w:p w14:paraId="62763E56" w14:textId="77777777" w:rsidR="006500F6" w:rsidRDefault="006500F6" w:rsidP="006500F6">
      <w:pPr>
        <w:numPr>
          <w:ilvl w:val="0"/>
          <w:numId w:val="1"/>
        </w:numPr>
      </w:pPr>
      <w:r w:rsidRPr="0012527C">
        <w:t xml:space="preserve">Education Development Trust. (2023). </w:t>
      </w:r>
      <w:r w:rsidRPr="0012527C">
        <w:rPr>
          <w:i/>
          <w:iCs/>
        </w:rPr>
        <w:t>High-quality education in the early years</w:t>
      </w:r>
      <w:r w:rsidRPr="0012527C">
        <w:t xml:space="preserve">. Retrieved from </w:t>
      </w:r>
      <w:hyperlink r:id="rId8" w:history="1">
        <w:r w:rsidRPr="001B5CC0">
          <w:rPr>
            <w:rStyle w:val="Hyperlink"/>
          </w:rPr>
          <w:t>https://www.edt.org/research-and-insights/high-quality-education-in-the-early-years/</w:t>
        </w:r>
      </w:hyperlink>
    </w:p>
    <w:p w14:paraId="6D424208" w14:textId="77777777" w:rsidR="006500F6" w:rsidRDefault="006500F6" w:rsidP="006500F6">
      <w:pPr>
        <w:numPr>
          <w:ilvl w:val="0"/>
          <w:numId w:val="1"/>
        </w:numPr>
      </w:pPr>
      <w:r w:rsidRPr="0012527C">
        <w:t xml:space="preserve">Frontiers in Education. (2023). </w:t>
      </w:r>
      <w:r w:rsidRPr="0012527C">
        <w:rPr>
          <w:i/>
          <w:iCs/>
        </w:rPr>
        <w:t>Characteristics of high-quality early childhood education and care</w:t>
      </w:r>
      <w:r w:rsidRPr="0012527C">
        <w:t xml:space="preserve">. Retrieved from </w:t>
      </w:r>
      <w:hyperlink r:id="rId9" w:history="1">
        <w:r w:rsidRPr="001B5CC0">
          <w:rPr>
            <w:rStyle w:val="Hyperlink"/>
          </w:rPr>
          <w:t>https://www.frontiersin.org/journals/education/articles/10.3389/feduc.2023.1155095/full</w:t>
        </w:r>
      </w:hyperlink>
    </w:p>
    <w:p w14:paraId="21EC101D" w14:textId="77777777" w:rsidR="006500F6" w:rsidRDefault="006500F6" w:rsidP="006500F6">
      <w:pPr>
        <w:numPr>
          <w:ilvl w:val="0"/>
          <w:numId w:val="1"/>
        </w:numPr>
      </w:pPr>
      <w:r w:rsidRPr="0012527C">
        <w:t xml:space="preserve">OECD. (2023). </w:t>
      </w:r>
      <w:r w:rsidRPr="0012527C">
        <w:rPr>
          <w:i/>
          <w:iCs/>
        </w:rPr>
        <w:t>Providing Quality Early Childhood Education and Care</w:t>
      </w:r>
      <w:r w:rsidRPr="0012527C">
        <w:t xml:space="preserve">. Retrieved from </w:t>
      </w:r>
      <w:hyperlink r:id="rId10" w:history="1">
        <w:r w:rsidRPr="001B5CC0">
          <w:rPr>
            <w:rStyle w:val="Hyperlink"/>
          </w:rPr>
          <w:t>https://www.oecd.org/en/publications/providing-quality-early-childhood-education-and-care_301005d1-en.html</w:t>
        </w:r>
      </w:hyperlink>
    </w:p>
    <w:p w14:paraId="7832EEE4" w14:textId="77777777" w:rsidR="006500F6" w:rsidRDefault="006500F6" w:rsidP="006500F6">
      <w:pPr>
        <w:numPr>
          <w:ilvl w:val="0"/>
          <w:numId w:val="1"/>
        </w:numPr>
      </w:pPr>
      <w:r w:rsidRPr="0012527C">
        <w:t xml:space="preserve">UNICEF. (2024). </w:t>
      </w:r>
      <w:r w:rsidRPr="0012527C">
        <w:rPr>
          <w:i/>
          <w:iCs/>
        </w:rPr>
        <w:t>Raising the quality of early childhood education and care</w:t>
      </w:r>
      <w:r w:rsidRPr="0012527C">
        <w:t xml:space="preserve">. Retrieved from </w:t>
      </w:r>
      <w:hyperlink r:id="rId11" w:history="1">
        <w:r w:rsidRPr="001B5CC0">
          <w:rPr>
            <w:rStyle w:val="Hyperlink"/>
          </w:rPr>
          <w:t>https://www.unicef.org/eca/reports/raising-quality-early-childhood-education-and-care</w:t>
        </w:r>
      </w:hyperlink>
    </w:p>
    <w:p w14:paraId="5503902C" w14:textId="77777777" w:rsidR="006500F6" w:rsidRDefault="00000000" w:rsidP="006500F6">
      <w:pPr>
        <w:numPr>
          <w:ilvl w:val="0"/>
          <w:numId w:val="1"/>
        </w:numPr>
      </w:pPr>
      <w:r w:rsidRPr="00446E0E">
        <w:lastRenderedPageBreak/>
        <w:t xml:space="preserve">Williams, J. (2016) ‘Quality Assurance and Quality Enhancement: is there a </w:t>
      </w:r>
      <w:r w:rsidRPr="00446E0E">
        <w:t xml:space="preserve">relationship?’, Quality in Higher Education, 22 (2), pp. 97-102. DOI: 10.1080/13538322.2016.1227207 (Accessed: </w:t>
      </w:r>
      <w:r w:rsidR="006500F6">
        <w:t>26</w:t>
      </w:r>
      <w:r w:rsidRPr="00446E0E">
        <w:t>/0</w:t>
      </w:r>
      <w:r w:rsidR="006500F6">
        <w:t>3</w:t>
      </w:r>
      <w:r w:rsidRPr="00446E0E">
        <w:t>/2</w:t>
      </w:r>
      <w:r w:rsidR="006500F6">
        <w:t>5</w:t>
      </w:r>
      <w:r w:rsidRPr="00446E0E">
        <w:t>)</w:t>
      </w:r>
      <w:r w:rsidR="006500F6">
        <w:t>.</w:t>
      </w:r>
    </w:p>
    <w:p w14:paraId="04BEBED5" w14:textId="77777777" w:rsidR="006500F6" w:rsidRDefault="006500F6" w:rsidP="006500F6">
      <w:pPr>
        <w:numPr>
          <w:ilvl w:val="0"/>
          <w:numId w:val="1"/>
        </w:numPr>
      </w:pPr>
      <w:r w:rsidRPr="00DD4098">
        <w:t xml:space="preserve">Canning, N., </w:t>
      </w:r>
      <w:r>
        <w:t>2012</w:t>
      </w:r>
      <w:r w:rsidRPr="00DD4098">
        <w:t xml:space="preserve">. </w:t>
      </w:r>
      <w:r w:rsidRPr="00DD4098">
        <w:rPr>
          <w:i/>
          <w:iCs/>
        </w:rPr>
        <w:t>Implementing quality improvement and change in the early years</w:t>
      </w:r>
      <w:r w:rsidRPr="00DD4098">
        <w:t>. [</w:t>
      </w:r>
      <w:r>
        <w:t>Sage publications</w:t>
      </w:r>
      <w:r w:rsidRPr="00DD4098">
        <w:t>].</w:t>
      </w:r>
    </w:p>
    <w:p w14:paraId="24AB9280" w14:textId="77777777" w:rsidR="006500F6" w:rsidRPr="00DD4098"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D4098">
        <w:rPr>
          <w:rFonts w:ascii="Times New Roman" w:eastAsia="Times New Roman" w:hAnsi="Times New Roman" w:cs="Times New Roman"/>
          <w:kern w:val="0"/>
          <w:lang w:eastAsia="en-GB"/>
          <w14:ligatures w14:val="none"/>
        </w:rPr>
        <w:t xml:space="preserve">Bassot, B. (2016). </w:t>
      </w:r>
      <w:r w:rsidRPr="00DD4098">
        <w:rPr>
          <w:rFonts w:ascii="Times New Roman" w:eastAsia="Times New Roman" w:hAnsi="Times New Roman" w:cs="Times New Roman"/>
          <w:i/>
          <w:iCs/>
          <w:kern w:val="0"/>
          <w:lang w:eastAsia="en-GB"/>
          <w14:ligatures w14:val="none"/>
        </w:rPr>
        <w:t>The reflective practice guide: An interdisciplinary approach to critical reflection.</w:t>
      </w:r>
      <w:r w:rsidRPr="00DD4098">
        <w:rPr>
          <w:rFonts w:ascii="Times New Roman" w:eastAsia="Times New Roman" w:hAnsi="Times New Roman" w:cs="Times New Roman"/>
          <w:kern w:val="0"/>
          <w:lang w:eastAsia="en-GB"/>
          <w14:ligatures w14:val="none"/>
        </w:rPr>
        <w:t xml:space="preserve"> Routledge.</w:t>
      </w:r>
      <w:r>
        <w:rPr>
          <w:rFonts w:ascii="Times New Roman" w:eastAsia="Times New Roman" w:hAnsi="Times New Roman" w:cs="Times New Roman"/>
          <w:kern w:val="0"/>
          <w:lang w:eastAsia="en-GB"/>
          <w14:ligatures w14:val="none"/>
        </w:rPr>
        <w:br/>
      </w:r>
    </w:p>
    <w:p w14:paraId="651FF6EA" w14:textId="77777777" w:rsidR="006500F6" w:rsidRPr="00DD4098"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D4098">
        <w:rPr>
          <w:rFonts w:ascii="Times New Roman" w:eastAsia="Times New Roman" w:hAnsi="Times New Roman" w:cs="Times New Roman"/>
          <w:kern w:val="0"/>
          <w:lang w:eastAsia="en-GB"/>
          <w14:ligatures w14:val="none"/>
        </w:rPr>
        <w:t xml:space="preserve">Cox, E. (2021). </w:t>
      </w:r>
      <w:r w:rsidRPr="00DD4098">
        <w:rPr>
          <w:rFonts w:ascii="Times New Roman" w:eastAsia="Times New Roman" w:hAnsi="Times New Roman" w:cs="Times New Roman"/>
          <w:i/>
          <w:iCs/>
          <w:kern w:val="0"/>
          <w:lang w:eastAsia="en-GB"/>
          <w14:ligatures w14:val="none"/>
        </w:rPr>
        <w:t>Coaching and mentoring: A critical approach to theory and practice</w:t>
      </w:r>
      <w:r w:rsidRPr="00DD4098">
        <w:rPr>
          <w:rFonts w:ascii="Times New Roman" w:eastAsia="Times New Roman" w:hAnsi="Times New Roman" w:cs="Times New Roman"/>
          <w:kern w:val="0"/>
          <w:lang w:eastAsia="en-GB"/>
          <w14:ligatures w14:val="none"/>
        </w:rPr>
        <w:t xml:space="preserve"> (3rd ed.). SAGE Publications.</w:t>
      </w:r>
      <w:r>
        <w:rPr>
          <w:rFonts w:ascii="Times New Roman" w:eastAsia="Times New Roman" w:hAnsi="Times New Roman" w:cs="Times New Roman"/>
          <w:kern w:val="0"/>
          <w:lang w:eastAsia="en-GB"/>
          <w14:ligatures w14:val="none"/>
        </w:rPr>
        <w:br/>
      </w:r>
    </w:p>
    <w:p w14:paraId="1650549D" w14:textId="77777777" w:rsidR="006500F6" w:rsidRPr="00DD4098"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D4098">
        <w:rPr>
          <w:rFonts w:ascii="Times New Roman" w:eastAsia="Times New Roman" w:hAnsi="Times New Roman" w:cs="Times New Roman"/>
          <w:kern w:val="0"/>
          <w:lang w:eastAsia="en-GB"/>
          <w14:ligatures w14:val="none"/>
        </w:rPr>
        <w:t xml:space="preserve">Fook, J., &amp; Gardner, F. (2021). </w:t>
      </w:r>
      <w:r w:rsidRPr="00DD4098">
        <w:rPr>
          <w:rFonts w:ascii="Times New Roman" w:eastAsia="Times New Roman" w:hAnsi="Times New Roman" w:cs="Times New Roman"/>
          <w:i/>
          <w:iCs/>
          <w:kern w:val="0"/>
          <w:lang w:eastAsia="en-GB"/>
          <w14:ligatures w14:val="none"/>
        </w:rPr>
        <w:t>Practising critical reflection: A resource handbook</w:t>
      </w:r>
      <w:r w:rsidRPr="00DD4098">
        <w:rPr>
          <w:rFonts w:ascii="Times New Roman" w:eastAsia="Times New Roman" w:hAnsi="Times New Roman" w:cs="Times New Roman"/>
          <w:kern w:val="0"/>
          <w:lang w:eastAsia="en-GB"/>
          <w14:ligatures w14:val="none"/>
        </w:rPr>
        <w:t xml:space="preserve"> (2nd ed.). Routledge.</w:t>
      </w:r>
      <w:r>
        <w:rPr>
          <w:rFonts w:ascii="Times New Roman" w:eastAsia="Times New Roman" w:hAnsi="Times New Roman" w:cs="Times New Roman"/>
          <w:kern w:val="0"/>
          <w:lang w:eastAsia="en-GB"/>
          <w14:ligatures w14:val="none"/>
        </w:rPr>
        <w:br/>
      </w:r>
    </w:p>
    <w:p w14:paraId="22CACA34" w14:textId="77777777" w:rsidR="006500F6"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D4098">
        <w:rPr>
          <w:rFonts w:ascii="Times New Roman" w:eastAsia="Times New Roman" w:hAnsi="Times New Roman" w:cs="Times New Roman"/>
          <w:kern w:val="0"/>
          <w:lang w:eastAsia="en-GB"/>
          <w14:ligatures w14:val="none"/>
        </w:rPr>
        <w:t xml:space="preserve">Mann, K., Gordon, J., &amp; MacLeod, A. (2009). "Reflection and reflective practice in health professions education: A systematic review." </w:t>
      </w:r>
      <w:r w:rsidRPr="00DD4098">
        <w:rPr>
          <w:rFonts w:ascii="Times New Roman" w:eastAsia="Times New Roman" w:hAnsi="Times New Roman" w:cs="Times New Roman"/>
          <w:i/>
          <w:iCs/>
          <w:kern w:val="0"/>
          <w:lang w:eastAsia="en-GB"/>
          <w14:ligatures w14:val="none"/>
        </w:rPr>
        <w:t>Advances in Health Sciences Education, 14</w:t>
      </w:r>
      <w:r w:rsidRPr="00DD4098">
        <w:rPr>
          <w:rFonts w:ascii="Times New Roman" w:eastAsia="Times New Roman" w:hAnsi="Times New Roman" w:cs="Times New Roman"/>
          <w:kern w:val="0"/>
          <w:lang w:eastAsia="en-GB"/>
          <w14:ligatures w14:val="none"/>
        </w:rPr>
        <w:t>(4), 595-621.</w:t>
      </w:r>
      <w:r>
        <w:rPr>
          <w:rFonts w:ascii="Times New Roman" w:eastAsia="Times New Roman" w:hAnsi="Times New Roman" w:cs="Times New Roman"/>
          <w:kern w:val="0"/>
          <w:lang w:eastAsia="en-GB"/>
          <w14:ligatures w14:val="none"/>
        </w:rPr>
        <w:br/>
      </w:r>
    </w:p>
    <w:p w14:paraId="58BBE516" w14:textId="77777777" w:rsidR="006500F6"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D4098">
        <w:rPr>
          <w:rFonts w:ascii="Times New Roman" w:eastAsia="Times New Roman" w:hAnsi="Times New Roman" w:cs="Times New Roman"/>
          <w:kern w:val="0"/>
          <w:lang w:eastAsia="en-GB"/>
          <w14:ligatures w14:val="none"/>
        </w:rPr>
        <w:t xml:space="preserve">Ryan, M., &amp; Ryan, M. (2013). "Theorising a model for teaching and assessing reflective learning in higher education." </w:t>
      </w:r>
      <w:r w:rsidRPr="00DD4098">
        <w:rPr>
          <w:rFonts w:ascii="Times New Roman" w:eastAsia="Times New Roman" w:hAnsi="Times New Roman" w:cs="Times New Roman"/>
          <w:i/>
          <w:iCs/>
          <w:kern w:val="0"/>
          <w:lang w:eastAsia="en-GB"/>
          <w14:ligatures w14:val="none"/>
        </w:rPr>
        <w:t>Higher Education Research &amp; Development, 32</w:t>
      </w:r>
      <w:r w:rsidRPr="00DD4098">
        <w:rPr>
          <w:rFonts w:ascii="Times New Roman" w:eastAsia="Times New Roman" w:hAnsi="Times New Roman" w:cs="Times New Roman"/>
          <w:kern w:val="0"/>
          <w:lang w:eastAsia="en-GB"/>
          <w14:ligatures w14:val="none"/>
        </w:rPr>
        <w:t>(2), 244-257.</w:t>
      </w:r>
      <w:r>
        <w:rPr>
          <w:rFonts w:ascii="Times New Roman" w:eastAsia="Times New Roman" w:hAnsi="Times New Roman" w:cs="Times New Roman"/>
          <w:kern w:val="0"/>
          <w:lang w:eastAsia="en-GB"/>
          <w14:ligatures w14:val="none"/>
        </w:rPr>
        <w:br/>
      </w:r>
    </w:p>
    <w:p w14:paraId="3B505FAC" w14:textId="77777777" w:rsidR="006500F6"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DD4098">
        <w:rPr>
          <w:rFonts w:ascii="Times New Roman" w:eastAsia="Times New Roman" w:hAnsi="Times New Roman" w:cs="Times New Roman"/>
          <w:kern w:val="0"/>
          <w:lang w:eastAsia="en-GB"/>
          <w14:ligatures w14:val="none"/>
        </w:rPr>
        <w:t xml:space="preserve">Department for Education (DfE) (2023) </w:t>
      </w:r>
      <w:r w:rsidRPr="00DD4098">
        <w:rPr>
          <w:rFonts w:ascii="Times New Roman" w:eastAsia="Times New Roman" w:hAnsi="Times New Roman" w:cs="Times New Roman"/>
          <w:i/>
          <w:iCs/>
          <w:kern w:val="0"/>
          <w:lang w:eastAsia="en-GB"/>
          <w14:ligatures w14:val="none"/>
        </w:rPr>
        <w:t xml:space="preserve">Statutory framework for the early </w:t>
      </w:r>
      <w:proofErr w:type="gramStart"/>
      <w:r w:rsidRPr="00DD4098">
        <w:rPr>
          <w:rFonts w:ascii="Times New Roman" w:eastAsia="Times New Roman" w:hAnsi="Times New Roman" w:cs="Times New Roman"/>
          <w:i/>
          <w:iCs/>
          <w:kern w:val="0"/>
          <w:lang w:eastAsia="en-GB"/>
          <w14:ligatures w14:val="none"/>
        </w:rPr>
        <w:t>years</w:t>
      </w:r>
      <w:proofErr w:type="gramEnd"/>
      <w:r w:rsidRPr="00DD4098">
        <w:rPr>
          <w:rFonts w:ascii="Times New Roman" w:eastAsia="Times New Roman" w:hAnsi="Times New Roman" w:cs="Times New Roman"/>
          <w:i/>
          <w:iCs/>
          <w:kern w:val="0"/>
          <w:lang w:eastAsia="en-GB"/>
          <w14:ligatures w14:val="none"/>
        </w:rPr>
        <w:t xml:space="preserve"> foundation stage: Setting the standards for learning, development and care for children from birth to five</w:t>
      </w:r>
      <w:r w:rsidRPr="00DD4098">
        <w:rPr>
          <w:rFonts w:ascii="Times New Roman" w:eastAsia="Times New Roman" w:hAnsi="Times New Roman" w:cs="Times New Roman"/>
          <w:kern w:val="0"/>
          <w:lang w:eastAsia="en-GB"/>
          <w14:ligatures w14:val="none"/>
        </w:rPr>
        <w:t>. Available at: https://www.gov.uk/government/publications/early-years-foundation-stage-framework--2 (Accessed: [</w:t>
      </w:r>
      <w:r>
        <w:rPr>
          <w:rFonts w:ascii="Times New Roman" w:eastAsia="Times New Roman" w:hAnsi="Times New Roman" w:cs="Times New Roman"/>
          <w:kern w:val="0"/>
          <w:lang w:eastAsia="en-GB"/>
          <w14:ligatures w14:val="none"/>
        </w:rPr>
        <w:t>25.3.2025</w:t>
      </w:r>
      <w:r w:rsidRPr="00DD4098">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br/>
      </w:r>
    </w:p>
    <w:p w14:paraId="15732BCB" w14:textId="77777777" w:rsidR="006500F6"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260C3">
        <w:rPr>
          <w:rFonts w:ascii="Times New Roman" w:eastAsia="Times New Roman" w:hAnsi="Times New Roman" w:cs="Times New Roman"/>
          <w:kern w:val="0"/>
          <w:lang w:eastAsia="en-GB"/>
          <w14:ligatures w14:val="none"/>
        </w:rPr>
        <w:t xml:space="preserve">HM Government, 1989. </w:t>
      </w:r>
      <w:r w:rsidRPr="00C260C3">
        <w:rPr>
          <w:rFonts w:ascii="Times New Roman" w:eastAsia="Times New Roman" w:hAnsi="Times New Roman" w:cs="Times New Roman"/>
          <w:i/>
          <w:iCs/>
          <w:kern w:val="0"/>
          <w:lang w:eastAsia="en-GB"/>
          <w14:ligatures w14:val="none"/>
        </w:rPr>
        <w:t>The Children Act 1989</w:t>
      </w:r>
      <w:r w:rsidRPr="00C260C3">
        <w:rPr>
          <w:rFonts w:ascii="Times New Roman" w:eastAsia="Times New Roman" w:hAnsi="Times New Roman" w:cs="Times New Roman"/>
          <w:kern w:val="0"/>
          <w:lang w:eastAsia="en-GB"/>
          <w14:ligatures w14:val="none"/>
        </w:rPr>
        <w:t>. London: The Stationery Office.</w:t>
      </w:r>
      <w:r w:rsidRPr="00C260C3">
        <w:rPr>
          <w:rFonts w:ascii="Times New Roman" w:eastAsia="Times New Roman" w:hAnsi="Times New Roman" w:cs="Times New Roman"/>
          <w:kern w:val="0"/>
          <w:lang w:eastAsia="en-GB"/>
          <w14:ligatures w14:val="none"/>
        </w:rPr>
        <w:br/>
        <w:t xml:space="preserve">HM Government, 2004. </w:t>
      </w:r>
      <w:r w:rsidRPr="00C260C3">
        <w:rPr>
          <w:rFonts w:ascii="Times New Roman" w:eastAsia="Times New Roman" w:hAnsi="Times New Roman" w:cs="Times New Roman"/>
          <w:i/>
          <w:iCs/>
          <w:kern w:val="0"/>
          <w:lang w:eastAsia="en-GB"/>
          <w14:ligatures w14:val="none"/>
        </w:rPr>
        <w:t>The Children Act 2004</w:t>
      </w:r>
      <w:r w:rsidRPr="00C260C3">
        <w:rPr>
          <w:rFonts w:ascii="Times New Roman" w:eastAsia="Times New Roman" w:hAnsi="Times New Roman" w:cs="Times New Roman"/>
          <w:kern w:val="0"/>
          <w:lang w:eastAsia="en-GB"/>
          <w14:ligatures w14:val="none"/>
        </w:rPr>
        <w:t>. London: The Stationery Office.</w:t>
      </w:r>
      <w:r>
        <w:rPr>
          <w:rFonts w:ascii="Times New Roman" w:eastAsia="Times New Roman" w:hAnsi="Times New Roman" w:cs="Times New Roman"/>
          <w:kern w:val="0"/>
          <w:lang w:eastAsia="en-GB"/>
          <w14:ligatures w14:val="none"/>
        </w:rPr>
        <w:br/>
      </w:r>
    </w:p>
    <w:p w14:paraId="7E63CA35" w14:textId="77777777" w:rsidR="006500F6" w:rsidRDefault="006500F6" w:rsidP="006500F6">
      <w:pPr>
        <w:pStyle w:val="ListParagraph"/>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260C3">
        <w:rPr>
          <w:rFonts w:ascii="Times New Roman" w:eastAsia="Times New Roman" w:hAnsi="Times New Roman" w:cs="Times New Roman"/>
          <w:kern w:val="0"/>
          <w:lang w:eastAsia="en-GB"/>
          <w14:ligatures w14:val="none"/>
        </w:rPr>
        <w:t xml:space="preserve">Estyn. (2018). </w:t>
      </w:r>
      <w:r w:rsidRPr="00C260C3">
        <w:rPr>
          <w:rFonts w:ascii="Times New Roman" w:eastAsia="Times New Roman" w:hAnsi="Times New Roman" w:cs="Times New Roman"/>
          <w:i/>
          <w:iCs/>
          <w:kern w:val="0"/>
          <w:lang w:eastAsia="en-GB"/>
          <w14:ligatures w14:val="none"/>
        </w:rPr>
        <w:t>Involving parents: Communication between schools and parents of school-aged children</w:t>
      </w:r>
      <w:r w:rsidRPr="00C260C3">
        <w:rPr>
          <w:rFonts w:ascii="Times New Roman" w:eastAsia="Times New Roman" w:hAnsi="Times New Roman" w:cs="Times New Roman"/>
          <w:kern w:val="0"/>
          <w:lang w:eastAsia="en-GB"/>
          <w14:ligatures w14:val="none"/>
        </w:rPr>
        <w:t xml:space="preserve">. Estyn. [Available at: </w:t>
      </w:r>
      <w:hyperlink r:id="rId12" w:history="1">
        <w:r w:rsidRPr="001B5CC0">
          <w:rPr>
            <w:rStyle w:val="Hyperlink"/>
            <w:rFonts w:ascii="Times New Roman" w:eastAsia="Times New Roman" w:hAnsi="Times New Roman" w:cs="Times New Roman"/>
            <w:kern w:val="0"/>
            <w:lang w:eastAsia="en-GB"/>
            <w14:ligatures w14:val="none"/>
          </w:rPr>
          <w:t>https://www.estyn.gov.wales/system/files/2020-07/Involving%20parents%20-%20en.pdf</w:t>
        </w:r>
      </w:hyperlink>
      <w:r w:rsidRPr="00C260C3">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br/>
      </w:r>
    </w:p>
    <w:p w14:paraId="55514DB0" w14:textId="77777777" w:rsidR="006500F6" w:rsidRPr="00F72D6D" w:rsidRDefault="006500F6" w:rsidP="006500F6">
      <w:pPr>
        <w:pStyle w:val="ListParagraph"/>
        <w:numPr>
          <w:ilvl w:val="0"/>
          <w:numId w:val="1"/>
        </w:numPr>
        <w:rPr>
          <w:lang w:val="en-US"/>
        </w:rPr>
      </w:pPr>
      <w:r w:rsidRPr="00F72D6D">
        <w:rPr>
          <w:lang w:val="en-US"/>
        </w:rPr>
        <w:t>Cohen, L., Manion, L., &amp; Morrison, K. (2018). Research methods in education (8th ed.). Routledge. </w:t>
      </w:r>
      <w:r>
        <w:rPr>
          <w:lang w:val="en-US"/>
        </w:rPr>
        <w:br/>
      </w:r>
    </w:p>
    <w:p w14:paraId="2B1E2B49" w14:textId="77777777" w:rsidR="006500F6" w:rsidRPr="00A3492D" w:rsidRDefault="006500F6" w:rsidP="006500F6">
      <w:pPr>
        <w:pStyle w:val="ListParagraph"/>
        <w:numPr>
          <w:ilvl w:val="0"/>
          <w:numId w:val="1"/>
        </w:numPr>
        <w:rPr>
          <w:lang w:val="en-US"/>
        </w:rPr>
      </w:pPr>
      <w:r w:rsidRPr="00A3492D">
        <w:rPr>
          <w:lang w:val="en-US"/>
        </w:rPr>
        <w:t>Denscombe, M. (2021). The good research guide: Research methods for small-scale social research projects (7th ed.). Open University Press. </w:t>
      </w:r>
      <w:r>
        <w:rPr>
          <w:lang w:val="en-US"/>
        </w:rPr>
        <w:br/>
      </w:r>
    </w:p>
    <w:p w14:paraId="3F6F5AE6" w14:textId="77777777" w:rsidR="006500F6" w:rsidRPr="00A3492D" w:rsidRDefault="006500F6" w:rsidP="006500F6">
      <w:pPr>
        <w:pStyle w:val="ListParagraph"/>
        <w:numPr>
          <w:ilvl w:val="0"/>
          <w:numId w:val="1"/>
        </w:numPr>
        <w:rPr>
          <w:lang w:val="en-US"/>
        </w:rPr>
      </w:pPr>
      <w:r w:rsidRPr="00A3492D">
        <w:rPr>
          <w:lang w:val="en-US"/>
        </w:rPr>
        <w:t>Bell, J. (2014). Doing your research project: A guide for first-time researchers. McGraw-Hill Education. </w:t>
      </w:r>
      <w:r>
        <w:rPr>
          <w:lang w:val="en-US"/>
        </w:rPr>
        <w:br/>
      </w:r>
    </w:p>
    <w:p w14:paraId="2DFEF90E" w14:textId="77777777" w:rsidR="006500F6" w:rsidRPr="00A3492D" w:rsidRDefault="006500F6" w:rsidP="006500F6">
      <w:pPr>
        <w:pStyle w:val="ListParagraph"/>
        <w:numPr>
          <w:ilvl w:val="0"/>
          <w:numId w:val="1"/>
        </w:numPr>
        <w:rPr>
          <w:lang w:val="en-US"/>
        </w:rPr>
      </w:pPr>
      <w:r w:rsidRPr="00A3492D">
        <w:rPr>
          <w:lang w:val="en-US"/>
        </w:rPr>
        <w:lastRenderedPageBreak/>
        <w:t>MacNaughton, G., Hughes, P., &amp; Smith, K. (2007). Young children as active citizens: Principles, policies, and pedagogies. Cambridge Scholars Publishing. </w:t>
      </w:r>
      <w:r>
        <w:rPr>
          <w:lang w:val="en-US"/>
        </w:rPr>
        <w:br/>
      </w:r>
    </w:p>
    <w:p w14:paraId="29A55D36" w14:textId="77777777" w:rsidR="006500F6" w:rsidRPr="00A3492D" w:rsidRDefault="006500F6" w:rsidP="006500F6">
      <w:pPr>
        <w:pStyle w:val="ListParagraph"/>
        <w:numPr>
          <w:ilvl w:val="0"/>
          <w:numId w:val="1"/>
        </w:numPr>
        <w:rPr>
          <w:lang w:val="en-US"/>
        </w:rPr>
      </w:pPr>
      <w:r w:rsidRPr="00A3492D">
        <w:rPr>
          <w:lang w:val="en-US"/>
        </w:rPr>
        <w:t>Robson, C., &amp; McCartan, K. (2016). Real world research (4th ed.). Wiley. </w:t>
      </w:r>
      <w:r>
        <w:rPr>
          <w:lang w:val="en-US"/>
        </w:rPr>
        <w:br/>
      </w:r>
    </w:p>
    <w:p w14:paraId="47F5B343" w14:textId="77777777" w:rsidR="006500F6" w:rsidRPr="00A3492D" w:rsidRDefault="006500F6" w:rsidP="006500F6">
      <w:pPr>
        <w:pStyle w:val="ListParagraph"/>
        <w:numPr>
          <w:ilvl w:val="0"/>
          <w:numId w:val="1"/>
        </w:numPr>
        <w:rPr>
          <w:lang w:val="en-US"/>
        </w:rPr>
      </w:pPr>
      <w:r w:rsidRPr="00A3492D">
        <w:rPr>
          <w:lang w:val="en-US"/>
        </w:rPr>
        <w:t>Mertens, D. M. (2020). Research and evaluation in education and psychology: Integrating diversity with quantitative, qualitative, and mixed methods (5th ed.). Sage Publications. </w:t>
      </w:r>
      <w:r>
        <w:rPr>
          <w:lang w:val="en-US"/>
        </w:rPr>
        <w:br/>
      </w:r>
    </w:p>
    <w:p w14:paraId="37EAF898" w14:textId="77777777" w:rsidR="006500F6" w:rsidRPr="00A3492D" w:rsidRDefault="006500F6" w:rsidP="006500F6">
      <w:pPr>
        <w:pStyle w:val="ListParagraph"/>
        <w:numPr>
          <w:ilvl w:val="0"/>
          <w:numId w:val="1"/>
        </w:numPr>
        <w:rPr>
          <w:lang w:val="en-US"/>
        </w:rPr>
      </w:pPr>
      <w:r w:rsidRPr="00A3492D">
        <w:rPr>
          <w:lang w:val="en-US"/>
        </w:rPr>
        <w:t>Kane, M., &amp; Trochim, W. M. (2007). Concept mapping for planning and evaluation. Sage Publications. </w:t>
      </w:r>
      <w:r>
        <w:rPr>
          <w:lang w:val="en-US"/>
        </w:rPr>
        <w:br/>
      </w:r>
    </w:p>
    <w:p w14:paraId="4C4F9E3C" w14:textId="77777777" w:rsidR="006500F6" w:rsidRPr="00A3492D" w:rsidRDefault="006500F6" w:rsidP="006500F6">
      <w:pPr>
        <w:pStyle w:val="ListParagraph"/>
        <w:numPr>
          <w:ilvl w:val="0"/>
          <w:numId w:val="1"/>
        </w:numPr>
        <w:rPr>
          <w:lang w:val="en-US"/>
        </w:rPr>
      </w:pPr>
      <w:r w:rsidRPr="00A3492D">
        <w:rPr>
          <w:lang w:val="en-US"/>
        </w:rPr>
        <w:t>Dillman, D. A., Smyth, J. D., &amp; Christian, L. M. (2014). Internet, phone, mail, and mixed-mode surveys: The tailored design method. John Wiley &amp; Sons. </w:t>
      </w:r>
      <w:r>
        <w:rPr>
          <w:lang w:val="en-US"/>
        </w:rPr>
        <w:br/>
      </w:r>
    </w:p>
    <w:p w14:paraId="2576346C" w14:textId="77777777" w:rsidR="006500F6" w:rsidRPr="00A3492D" w:rsidRDefault="006500F6" w:rsidP="006500F6">
      <w:pPr>
        <w:pStyle w:val="ListParagraph"/>
        <w:numPr>
          <w:ilvl w:val="0"/>
          <w:numId w:val="1"/>
        </w:numPr>
        <w:rPr>
          <w:lang w:val="en-US"/>
        </w:rPr>
      </w:pPr>
      <w:r w:rsidRPr="00A3492D">
        <w:rPr>
          <w:lang w:val="en-US"/>
        </w:rPr>
        <w:t>Brookhart, S. M. (2013). How to create and use rubrics for formative assessment and grading. ASCD. </w:t>
      </w:r>
      <w:r>
        <w:rPr>
          <w:lang w:val="en-US"/>
        </w:rPr>
        <w:br/>
      </w:r>
    </w:p>
    <w:p w14:paraId="42C5D7CB" w14:textId="77777777" w:rsidR="006500F6" w:rsidRPr="00A3492D" w:rsidRDefault="006500F6" w:rsidP="006500F6">
      <w:pPr>
        <w:pStyle w:val="ListParagraph"/>
        <w:numPr>
          <w:ilvl w:val="0"/>
          <w:numId w:val="1"/>
        </w:numPr>
        <w:rPr>
          <w:lang w:val="en-US"/>
        </w:rPr>
      </w:pPr>
      <w:r w:rsidRPr="00A3492D">
        <w:rPr>
          <w:lang w:val="en-US"/>
        </w:rPr>
        <w:t>Groves, R. M., Fowler, F. J., Couper, M. P., Lepkowski, J. M., Singer, E., &amp; Tourangeau, R. (2009). Survey methodology. John Wiley &amp; Sons. </w:t>
      </w:r>
      <w:r>
        <w:rPr>
          <w:lang w:val="en-US"/>
        </w:rPr>
        <w:br/>
      </w:r>
    </w:p>
    <w:p w14:paraId="3AF4684E" w14:textId="77777777" w:rsidR="006500F6" w:rsidRDefault="006500F6" w:rsidP="006500F6">
      <w:pPr>
        <w:pStyle w:val="ListParagraph"/>
        <w:numPr>
          <w:ilvl w:val="0"/>
          <w:numId w:val="1"/>
        </w:numPr>
        <w:rPr>
          <w:lang w:val="en-US"/>
        </w:rPr>
      </w:pPr>
      <w:r w:rsidRPr="00A3492D">
        <w:rPr>
          <w:lang w:val="en-US"/>
        </w:rPr>
        <w:t xml:space="preserve">Leung, W. C. (2015). Critical appraisal of published surveys: Considerations and limitations. </w:t>
      </w:r>
      <w:r w:rsidRPr="00A3492D">
        <w:rPr>
          <w:i/>
          <w:iCs/>
          <w:lang w:val="en-US"/>
        </w:rPr>
        <w:t>British Medical Journal</w:t>
      </w:r>
      <w:r w:rsidRPr="00A3492D">
        <w:rPr>
          <w:lang w:val="en-US"/>
        </w:rPr>
        <w:t>. </w:t>
      </w:r>
      <w:r>
        <w:rPr>
          <w:lang w:val="en-US"/>
        </w:rPr>
        <w:br/>
      </w:r>
    </w:p>
    <w:p w14:paraId="4D523ED8" w14:textId="77777777" w:rsidR="006500F6" w:rsidRPr="00A3492D" w:rsidRDefault="006500F6" w:rsidP="006500F6">
      <w:pPr>
        <w:pStyle w:val="ListParagraph"/>
        <w:numPr>
          <w:ilvl w:val="0"/>
          <w:numId w:val="1"/>
        </w:numPr>
        <w:rPr>
          <w:lang w:val="en-US"/>
        </w:rPr>
      </w:pPr>
      <w:r w:rsidRPr="003D7E17">
        <w:t xml:space="preserve">Moss, P. (2016) ‘Why can’t we get beyond quality?’, </w:t>
      </w:r>
      <w:r w:rsidRPr="003D7E17">
        <w:rPr>
          <w:i/>
          <w:iCs/>
        </w:rPr>
        <w:t>Contemporary Issues in Early Childhood</w:t>
      </w:r>
      <w:r w:rsidRPr="003D7E17">
        <w:t xml:space="preserve">, 17(1), pp. 8-15. </w:t>
      </w:r>
      <w:proofErr w:type="spellStart"/>
      <w:r w:rsidRPr="003D7E17">
        <w:t>doi</w:t>
      </w:r>
      <w:proofErr w:type="spellEnd"/>
      <w:r w:rsidRPr="003D7E17">
        <w:t>: 10.1177/1463949115627895</w:t>
      </w:r>
    </w:p>
    <w:p w14:paraId="535A5950" w14:textId="0EB3F709" w:rsidR="00775364" w:rsidRPr="00775364" w:rsidRDefault="00775364" w:rsidP="0076071F">
      <w:pPr>
        <w:rPr>
          <w:rFonts w:ascii="Times New Roman" w:hAnsi="Times New Roman" w:cs="Times New Roman"/>
        </w:rPr>
      </w:pPr>
    </w:p>
    <w:sectPr w:rsidR="00775364" w:rsidRPr="0077536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326D2" w14:textId="77777777" w:rsidR="00894B90" w:rsidRPr="00A4118A" w:rsidRDefault="00894B90" w:rsidP="0076071F">
      <w:pPr>
        <w:spacing w:after="0" w:line="240" w:lineRule="auto"/>
      </w:pPr>
      <w:r w:rsidRPr="00A4118A">
        <w:separator/>
      </w:r>
    </w:p>
  </w:endnote>
  <w:endnote w:type="continuationSeparator" w:id="0">
    <w:p w14:paraId="25C55213" w14:textId="77777777" w:rsidR="00894B90" w:rsidRPr="00A4118A" w:rsidRDefault="00894B90" w:rsidP="0076071F">
      <w:pPr>
        <w:spacing w:after="0" w:line="240" w:lineRule="auto"/>
      </w:pPr>
      <w:r w:rsidRPr="00A411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22439" w14:textId="04530967" w:rsidR="006500F6" w:rsidRDefault="006500F6">
    <w:pPr>
      <w:pStyle w:val="Footer"/>
    </w:pPr>
    <w:r>
      <w:t>Word Count -1862</w:t>
    </w:r>
  </w:p>
  <w:p w14:paraId="6BD63FDF" w14:textId="77777777" w:rsidR="002230E2" w:rsidRDefault="00223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533E0" w14:textId="77777777" w:rsidR="00894B90" w:rsidRPr="00A4118A" w:rsidRDefault="00894B90" w:rsidP="0076071F">
      <w:pPr>
        <w:spacing w:after="0" w:line="240" w:lineRule="auto"/>
      </w:pPr>
      <w:r w:rsidRPr="00A4118A">
        <w:separator/>
      </w:r>
    </w:p>
  </w:footnote>
  <w:footnote w:type="continuationSeparator" w:id="0">
    <w:p w14:paraId="580FA8C8" w14:textId="77777777" w:rsidR="00894B90" w:rsidRPr="00A4118A" w:rsidRDefault="00894B90" w:rsidP="0076071F">
      <w:pPr>
        <w:spacing w:after="0" w:line="240" w:lineRule="auto"/>
      </w:pPr>
      <w:r w:rsidRPr="00A411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E481C" w14:textId="1C8D34C5" w:rsidR="0076071F" w:rsidRPr="00A4118A" w:rsidRDefault="0076071F">
    <w:pPr>
      <w:pStyle w:val="Header"/>
    </w:pPr>
    <w:r w:rsidRPr="00A4118A">
      <w:t>Rachel Thomas</w:t>
    </w:r>
    <w:r w:rsidRPr="00A4118A">
      <w:ptab w:relativeTo="margin" w:alignment="center" w:leader="none"/>
    </w:r>
    <w:r w:rsidRPr="00A4118A">
      <w:t>ECEY6011</w:t>
    </w:r>
    <w:r w:rsidRPr="00A4118A">
      <w:ptab w:relativeTo="margin" w:alignment="right" w:leader="none"/>
    </w:r>
    <w:r w:rsidRPr="00A4118A">
      <w:t>2312291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A2B8E"/>
    <w:multiLevelType w:val="hybridMultilevel"/>
    <w:tmpl w:val="4C56D9AC"/>
    <w:lvl w:ilvl="0" w:tplc="47865F28">
      <w:start w:val="1"/>
      <w:numFmt w:val="bullet"/>
      <w:lvlText w:val="•"/>
      <w:lvlJc w:val="left"/>
      <w:pPr>
        <w:tabs>
          <w:tab w:val="num" w:pos="720"/>
        </w:tabs>
        <w:ind w:left="720" w:hanging="360"/>
      </w:pPr>
      <w:rPr>
        <w:rFonts w:ascii="Arial" w:hAnsi="Arial" w:hint="default"/>
      </w:rPr>
    </w:lvl>
    <w:lvl w:ilvl="1" w:tplc="1E38942A" w:tentative="1">
      <w:start w:val="1"/>
      <w:numFmt w:val="bullet"/>
      <w:lvlText w:val="•"/>
      <w:lvlJc w:val="left"/>
      <w:pPr>
        <w:tabs>
          <w:tab w:val="num" w:pos="1440"/>
        </w:tabs>
        <w:ind w:left="1440" w:hanging="360"/>
      </w:pPr>
      <w:rPr>
        <w:rFonts w:ascii="Arial" w:hAnsi="Arial" w:hint="default"/>
      </w:rPr>
    </w:lvl>
    <w:lvl w:ilvl="2" w:tplc="A53A3B72" w:tentative="1">
      <w:start w:val="1"/>
      <w:numFmt w:val="bullet"/>
      <w:lvlText w:val="•"/>
      <w:lvlJc w:val="left"/>
      <w:pPr>
        <w:tabs>
          <w:tab w:val="num" w:pos="2160"/>
        </w:tabs>
        <w:ind w:left="2160" w:hanging="360"/>
      </w:pPr>
      <w:rPr>
        <w:rFonts w:ascii="Arial" w:hAnsi="Arial" w:hint="default"/>
      </w:rPr>
    </w:lvl>
    <w:lvl w:ilvl="3" w:tplc="E5F0CAB8" w:tentative="1">
      <w:start w:val="1"/>
      <w:numFmt w:val="bullet"/>
      <w:lvlText w:val="•"/>
      <w:lvlJc w:val="left"/>
      <w:pPr>
        <w:tabs>
          <w:tab w:val="num" w:pos="2880"/>
        </w:tabs>
        <w:ind w:left="2880" w:hanging="360"/>
      </w:pPr>
      <w:rPr>
        <w:rFonts w:ascii="Arial" w:hAnsi="Arial" w:hint="default"/>
      </w:rPr>
    </w:lvl>
    <w:lvl w:ilvl="4" w:tplc="AEA21796" w:tentative="1">
      <w:start w:val="1"/>
      <w:numFmt w:val="bullet"/>
      <w:lvlText w:val="•"/>
      <w:lvlJc w:val="left"/>
      <w:pPr>
        <w:tabs>
          <w:tab w:val="num" w:pos="3600"/>
        </w:tabs>
        <w:ind w:left="3600" w:hanging="360"/>
      </w:pPr>
      <w:rPr>
        <w:rFonts w:ascii="Arial" w:hAnsi="Arial" w:hint="default"/>
      </w:rPr>
    </w:lvl>
    <w:lvl w:ilvl="5" w:tplc="1CA0871C" w:tentative="1">
      <w:start w:val="1"/>
      <w:numFmt w:val="bullet"/>
      <w:lvlText w:val="•"/>
      <w:lvlJc w:val="left"/>
      <w:pPr>
        <w:tabs>
          <w:tab w:val="num" w:pos="4320"/>
        </w:tabs>
        <w:ind w:left="4320" w:hanging="360"/>
      </w:pPr>
      <w:rPr>
        <w:rFonts w:ascii="Arial" w:hAnsi="Arial" w:hint="default"/>
      </w:rPr>
    </w:lvl>
    <w:lvl w:ilvl="6" w:tplc="BE52FDA8" w:tentative="1">
      <w:start w:val="1"/>
      <w:numFmt w:val="bullet"/>
      <w:lvlText w:val="•"/>
      <w:lvlJc w:val="left"/>
      <w:pPr>
        <w:tabs>
          <w:tab w:val="num" w:pos="5040"/>
        </w:tabs>
        <w:ind w:left="5040" w:hanging="360"/>
      </w:pPr>
      <w:rPr>
        <w:rFonts w:ascii="Arial" w:hAnsi="Arial" w:hint="default"/>
      </w:rPr>
    </w:lvl>
    <w:lvl w:ilvl="7" w:tplc="D2F6CC70" w:tentative="1">
      <w:start w:val="1"/>
      <w:numFmt w:val="bullet"/>
      <w:lvlText w:val="•"/>
      <w:lvlJc w:val="left"/>
      <w:pPr>
        <w:tabs>
          <w:tab w:val="num" w:pos="5760"/>
        </w:tabs>
        <w:ind w:left="5760" w:hanging="360"/>
      </w:pPr>
      <w:rPr>
        <w:rFonts w:ascii="Arial" w:hAnsi="Arial" w:hint="default"/>
      </w:rPr>
    </w:lvl>
    <w:lvl w:ilvl="8" w:tplc="8564DDBE" w:tentative="1">
      <w:start w:val="1"/>
      <w:numFmt w:val="bullet"/>
      <w:lvlText w:val="•"/>
      <w:lvlJc w:val="left"/>
      <w:pPr>
        <w:tabs>
          <w:tab w:val="num" w:pos="6480"/>
        </w:tabs>
        <w:ind w:left="6480" w:hanging="360"/>
      </w:pPr>
      <w:rPr>
        <w:rFonts w:ascii="Arial" w:hAnsi="Arial" w:hint="default"/>
      </w:rPr>
    </w:lvl>
  </w:abstractNum>
  <w:num w:numId="1" w16cid:durableId="577523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71F"/>
    <w:rsid w:val="00075F43"/>
    <w:rsid w:val="000C5602"/>
    <w:rsid w:val="000D502B"/>
    <w:rsid w:val="00124DB4"/>
    <w:rsid w:val="00166F81"/>
    <w:rsid w:val="001C76DB"/>
    <w:rsid w:val="002230E2"/>
    <w:rsid w:val="00262F83"/>
    <w:rsid w:val="002B6BE1"/>
    <w:rsid w:val="004E55AC"/>
    <w:rsid w:val="006500F6"/>
    <w:rsid w:val="00681BBB"/>
    <w:rsid w:val="006E57D7"/>
    <w:rsid w:val="00707ADB"/>
    <w:rsid w:val="00714EC3"/>
    <w:rsid w:val="0076071F"/>
    <w:rsid w:val="00775364"/>
    <w:rsid w:val="007F60A9"/>
    <w:rsid w:val="008112F5"/>
    <w:rsid w:val="008625F4"/>
    <w:rsid w:val="008749E8"/>
    <w:rsid w:val="00890AE2"/>
    <w:rsid w:val="00893B2D"/>
    <w:rsid w:val="00894B90"/>
    <w:rsid w:val="0095403C"/>
    <w:rsid w:val="009A03CF"/>
    <w:rsid w:val="00A4118A"/>
    <w:rsid w:val="00A83BAF"/>
    <w:rsid w:val="00B300C9"/>
    <w:rsid w:val="00B43243"/>
    <w:rsid w:val="00B97C63"/>
    <w:rsid w:val="00BC6168"/>
    <w:rsid w:val="00DA5B27"/>
    <w:rsid w:val="00E44E6F"/>
    <w:rsid w:val="00EA6A60"/>
    <w:rsid w:val="00F05819"/>
    <w:rsid w:val="00FB0089"/>
    <w:rsid w:val="00FD4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AB37B"/>
  <w15:chartTrackingRefBased/>
  <w15:docId w15:val="{FA84935E-E966-4307-8714-72ED74C21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71F"/>
    <w:rPr>
      <w:rFonts w:eastAsiaTheme="majorEastAsia" w:cstheme="majorBidi"/>
      <w:color w:val="272727" w:themeColor="text1" w:themeTint="D8"/>
    </w:rPr>
  </w:style>
  <w:style w:type="paragraph" w:styleId="Title">
    <w:name w:val="Title"/>
    <w:basedOn w:val="Normal"/>
    <w:next w:val="Normal"/>
    <w:link w:val="TitleChar"/>
    <w:uiPriority w:val="10"/>
    <w:qFormat/>
    <w:rsid w:val="00760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71F"/>
    <w:pPr>
      <w:spacing w:before="160"/>
      <w:jc w:val="center"/>
    </w:pPr>
    <w:rPr>
      <w:i/>
      <w:iCs/>
      <w:color w:val="404040" w:themeColor="text1" w:themeTint="BF"/>
    </w:rPr>
  </w:style>
  <w:style w:type="character" w:customStyle="1" w:styleId="QuoteChar">
    <w:name w:val="Quote Char"/>
    <w:basedOn w:val="DefaultParagraphFont"/>
    <w:link w:val="Quote"/>
    <w:uiPriority w:val="29"/>
    <w:rsid w:val="0076071F"/>
    <w:rPr>
      <w:i/>
      <w:iCs/>
      <w:color w:val="404040" w:themeColor="text1" w:themeTint="BF"/>
    </w:rPr>
  </w:style>
  <w:style w:type="paragraph" w:styleId="ListParagraph">
    <w:name w:val="List Paragraph"/>
    <w:basedOn w:val="Normal"/>
    <w:uiPriority w:val="34"/>
    <w:qFormat/>
    <w:rsid w:val="0076071F"/>
    <w:pPr>
      <w:ind w:left="720"/>
      <w:contextualSpacing/>
    </w:pPr>
  </w:style>
  <w:style w:type="character" w:styleId="IntenseEmphasis">
    <w:name w:val="Intense Emphasis"/>
    <w:basedOn w:val="DefaultParagraphFont"/>
    <w:uiPriority w:val="21"/>
    <w:qFormat/>
    <w:rsid w:val="0076071F"/>
    <w:rPr>
      <w:i/>
      <w:iCs/>
      <w:color w:val="0F4761" w:themeColor="accent1" w:themeShade="BF"/>
    </w:rPr>
  </w:style>
  <w:style w:type="paragraph" w:styleId="IntenseQuote">
    <w:name w:val="Intense Quote"/>
    <w:basedOn w:val="Normal"/>
    <w:next w:val="Normal"/>
    <w:link w:val="IntenseQuoteChar"/>
    <w:uiPriority w:val="30"/>
    <w:qFormat/>
    <w:rsid w:val="00760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71F"/>
    <w:rPr>
      <w:i/>
      <w:iCs/>
      <w:color w:val="0F4761" w:themeColor="accent1" w:themeShade="BF"/>
    </w:rPr>
  </w:style>
  <w:style w:type="character" w:styleId="IntenseReference">
    <w:name w:val="Intense Reference"/>
    <w:basedOn w:val="DefaultParagraphFont"/>
    <w:uiPriority w:val="32"/>
    <w:qFormat/>
    <w:rsid w:val="0076071F"/>
    <w:rPr>
      <w:b/>
      <w:bCs/>
      <w:smallCaps/>
      <w:color w:val="0F4761" w:themeColor="accent1" w:themeShade="BF"/>
      <w:spacing w:val="5"/>
    </w:rPr>
  </w:style>
  <w:style w:type="paragraph" w:styleId="Header">
    <w:name w:val="header"/>
    <w:basedOn w:val="Normal"/>
    <w:link w:val="HeaderChar"/>
    <w:uiPriority w:val="99"/>
    <w:unhideWhenUsed/>
    <w:rsid w:val="00760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71F"/>
  </w:style>
  <w:style w:type="paragraph" w:styleId="Footer">
    <w:name w:val="footer"/>
    <w:basedOn w:val="Normal"/>
    <w:link w:val="FooterChar"/>
    <w:uiPriority w:val="99"/>
    <w:unhideWhenUsed/>
    <w:rsid w:val="00760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71F"/>
  </w:style>
  <w:style w:type="character" w:styleId="Hyperlink">
    <w:name w:val="Hyperlink"/>
    <w:basedOn w:val="DefaultParagraphFont"/>
    <w:uiPriority w:val="99"/>
    <w:unhideWhenUsed/>
    <w:rsid w:val="001C76DB"/>
    <w:rPr>
      <w:color w:val="467886" w:themeColor="hyperlink"/>
      <w:u w:val="single"/>
    </w:rPr>
  </w:style>
  <w:style w:type="character" w:styleId="UnresolvedMention">
    <w:name w:val="Unresolved Mention"/>
    <w:basedOn w:val="DefaultParagraphFont"/>
    <w:uiPriority w:val="99"/>
    <w:semiHidden/>
    <w:unhideWhenUsed/>
    <w:rsid w:val="001C7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50788">
      <w:bodyDiv w:val="1"/>
      <w:marLeft w:val="0"/>
      <w:marRight w:val="0"/>
      <w:marTop w:val="0"/>
      <w:marBottom w:val="0"/>
      <w:divBdr>
        <w:top w:val="none" w:sz="0" w:space="0" w:color="auto"/>
        <w:left w:val="none" w:sz="0" w:space="0" w:color="auto"/>
        <w:bottom w:val="none" w:sz="0" w:space="0" w:color="auto"/>
        <w:right w:val="none" w:sz="0" w:space="0" w:color="auto"/>
      </w:divBdr>
    </w:div>
    <w:div w:id="458233032">
      <w:bodyDiv w:val="1"/>
      <w:marLeft w:val="0"/>
      <w:marRight w:val="0"/>
      <w:marTop w:val="0"/>
      <w:marBottom w:val="0"/>
      <w:divBdr>
        <w:top w:val="none" w:sz="0" w:space="0" w:color="auto"/>
        <w:left w:val="none" w:sz="0" w:space="0" w:color="auto"/>
        <w:bottom w:val="none" w:sz="0" w:space="0" w:color="auto"/>
        <w:right w:val="none" w:sz="0" w:space="0" w:color="auto"/>
      </w:divBdr>
    </w:div>
    <w:div w:id="509295614">
      <w:bodyDiv w:val="1"/>
      <w:marLeft w:val="0"/>
      <w:marRight w:val="0"/>
      <w:marTop w:val="0"/>
      <w:marBottom w:val="0"/>
      <w:divBdr>
        <w:top w:val="none" w:sz="0" w:space="0" w:color="auto"/>
        <w:left w:val="none" w:sz="0" w:space="0" w:color="auto"/>
        <w:bottom w:val="none" w:sz="0" w:space="0" w:color="auto"/>
        <w:right w:val="none" w:sz="0" w:space="0" w:color="auto"/>
      </w:divBdr>
    </w:div>
    <w:div w:id="946036481">
      <w:bodyDiv w:val="1"/>
      <w:marLeft w:val="0"/>
      <w:marRight w:val="0"/>
      <w:marTop w:val="0"/>
      <w:marBottom w:val="0"/>
      <w:divBdr>
        <w:top w:val="none" w:sz="0" w:space="0" w:color="auto"/>
        <w:left w:val="none" w:sz="0" w:space="0" w:color="auto"/>
        <w:bottom w:val="none" w:sz="0" w:space="0" w:color="auto"/>
        <w:right w:val="none" w:sz="0" w:space="0" w:color="auto"/>
      </w:divBdr>
    </w:div>
    <w:div w:id="1037313674">
      <w:bodyDiv w:val="1"/>
      <w:marLeft w:val="0"/>
      <w:marRight w:val="0"/>
      <w:marTop w:val="0"/>
      <w:marBottom w:val="0"/>
      <w:divBdr>
        <w:top w:val="none" w:sz="0" w:space="0" w:color="auto"/>
        <w:left w:val="none" w:sz="0" w:space="0" w:color="auto"/>
        <w:bottom w:val="none" w:sz="0" w:space="0" w:color="auto"/>
        <w:right w:val="none" w:sz="0" w:space="0" w:color="auto"/>
      </w:divBdr>
    </w:div>
    <w:div w:id="1311640696">
      <w:bodyDiv w:val="1"/>
      <w:marLeft w:val="0"/>
      <w:marRight w:val="0"/>
      <w:marTop w:val="0"/>
      <w:marBottom w:val="0"/>
      <w:divBdr>
        <w:top w:val="none" w:sz="0" w:space="0" w:color="auto"/>
        <w:left w:val="none" w:sz="0" w:space="0" w:color="auto"/>
        <w:bottom w:val="none" w:sz="0" w:space="0" w:color="auto"/>
        <w:right w:val="none" w:sz="0" w:space="0" w:color="auto"/>
      </w:divBdr>
    </w:div>
    <w:div w:id="1506936832">
      <w:bodyDiv w:val="1"/>
      <w:marLeft w:val="0"/>
      <w:marRight w:val="0"/>
      <w:marTop w:val="0"/>
      <w:marBottom w:val="0"/>
      <w:divBdr>
        <w:top w:val="none" w:sz="0" w:space="0" w:color="auto"/>
        <w:left w:val="none" w:sz="0" w:space="0" w:color="auto"/>
        <w:bottom w:val="none" w:sz="0" w:space="0" w:color="auto"/>
        <w:right w:val="none" w:sz="0" w:space="0" w:color="auto"/>
      </w:divBdr>
    </w:div>
    <w:div w:id="1727298932">
      <w:bodyDiv w:val="1"/>
      <w:marLeft w:val="0"/>
      <w:marRight w:val="0"/>
      <w:marTop w:val="0"/>
      <w:marBottom w:val="0"/>
      <w:divBdr>
        <w:top w:val="none" w:sz="0" w:space="0" w:color="auto"/>
        <w:left w:val="none" w:sz="0" w:space="0" w:color="auto"/>
        <w:bottom w:val="none" w:sz="0" w:space="0" w:color="auto"/>
        <w:right w:val="none" w:sz="0" w:space="0" w:color="auto"/>
      </w:divBdr>
    </w:div>
    <w:div w:id="1916351906">
      <w:bodyDiv w:val="1"/>
      <w:marLeft w:val="0"/>
      <w:marRight w:val="0"/>
      <w:marTop w:val="0"/>
      <w:marBottom w:val="0"/>
      <w:divBdr>
        <w:top w:val="none" w:sz="0" w:space="0" w:color="auto"/>
        <w:left w:val="none" w:sz="0" w:space="0" w:color="auto"/>
        <w:bottom w:val="none" w:sz="0" w:space="0" w:color="auto"/>
        <w:right w:val="none" w:sz="0" w:space="0" w:color="auto"/>
      </w:divBdr>
    </w:div>
    <w:div w:id="1937593020">
      <w:bodyDiv w:val="1"/>
      <w:marLeft w:val="0"/>
      <w:marRight w:val="0"/>
      <w:marTop w:val="0"/>
      <w:marBottom w:val="0"/>
      <w:divBdr>
        <w:top w:val="none" w:sz="0" w:space="0" w:color="auto"/>
        <w:left w:val="none" w:sz="0" w:space="0" w:color="auto"/>
        <w:bottom w:val="none" w:sz="0" w:space="0" w:color="auto"/>
        <w:right w:val="none" w:sz="0" w:space="0" w:color="auto"/>
      </w:divBdr>
    </w:div>
    <w:div w:id="2112891560">
      <w:bodyDiv w:val="1"/>
      <w:marLeft w:val="0"/>
      <w:marRight w:val="0"/>
      <w:marTop w:val="0"/>
      <w:marBottom w:val="0"/>
      <w:divBdr>
        <w:top w:val="none" w:sz="0" w:space="0" w:color="auto"/>
        <w:left w:val="none" w:sz="0" w:space="0" w:color="auto"/>
        <w:bottom w:val="none" w:sz="0" w:space="0" w:color="auto"/>
        <w:right w:val="none" w:sz="0" w:space="0" w:color="auto"/>
      </w:divBdr>
    </w:div>
    <w:div w:id="2137719301">
      <w:bodyDiv w:val="1"/>
      <w:marLeft w:val="0"/>
      <w:marRight w:val="0"/>
      <w:marTop w:val="0"/>
      <w:marBottom w:val="0"/>
      <w:divBdr>
        <w:top w:val="none" w:sz="0" w:space="0" w:color="auto"/>
        <w:left w:val="none" w:sz="0" w:space="0" w:color="auto"/>
        <w:bottom w:val="none" w:sz="0" w:space="0" w:color="auto"/>
        <w:right w:val="none" w:sz="0" w:space="0" w:color="auto"/>
      </w:divBdr>
    </w:div>
    <w:div w:id="214646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t.org/research-and-insights/high-quality-education-in-the-early-year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80/00131911.2022.2077704" TargetMode="External"/><Relationship Id="rId12" Type="http://schemas.openxmlformats.org/officeDocument/2006/relationships/hyperlink" Target="https://www.estyn.gov.wales/system/files/2020-07/Involving%20parents%20-%20e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eca/reports/raising-quality-early-childhood-education-and-car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oecd.org/en/publications/providing-quality-early-childhood-education-and-care_301005d1-en.html" TargetMode="External"/><Relationship Id="rId4" Type="http://schemas.openxmlformats.org/officeDocument/2006/relationships/webSettings" Target="webSettings.xml"/><Relationship Id="rId9" Type="http://schemas.openxmlformats.org/officeDocument/2006/relationships/hyperlink" Target="https://www.frontiersin.org/journals/education/articles/10.3389/feduc.2023.1155095/ful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694</TotalTime>
  <Pages>8</Pages>
  <Words>2385</Words>
  <Characters>15803</Characters>
  <Application>Microsoft Office Word</Application>
  <DocSecurity>0</DocSecurity>
  <Lines>260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 (2312291)</dc:creator>
  <cp:keywords/>
  <dc:description/>
  <cp:lastModifiedBy>Rachel Thomas (2312291)</cp:lastModifiedBy>
  <cp:revision>5</cp:revision>
  <dcterms:created xsi:type="dcterms:W3CDTF">2025-03-25T15:32:00Z</dcterms:created>
  <dcterms:modified xsi:type="dcterms:W3CDTF">2025-03-30T09:33:00Z</dcterms:modified>
</cp:coreProperties>
</file>