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7D69" w:rsidRDefault="00A67D69">
      <w:pPr>
        <w:spacing w:line="480" w:lineRule="auto"/>
        <w:rPr>
          <w:rFonts w:ascii="Times New Roman" w:hAnsi="Times New Roman"/>
          <w:sz w:val="24"/>
          <w:szCs w:val="24"/>
          <w:shd w:val="clear" w:color="auto" w:fill="FFFFFF"/>
        </w:rPr>
      </w:pPr>
    </w:p>
    <w:p w:rsidR="008276A4" w:rsidRDefault="008276A4">
      <w:pPr>
        <w:spacing w:line="480" w:lineRule="auto"/>
        <w:rPr>
          <w:rFonts w:ascii="Times New Roman" w:hAnsi="Times New Roman"/>
          <w:sz w:val="24"/>
          <w:szCs w:val="24"/>
          <w:shd w:val="clear" w:color="auto" w:fill="FFFFFF"/>
        </w:rPr>
      </w:pPr>
    </w:p>
    <w:p w:rsidR="008276A4" w:rsidRDefault="008276A4">
      <w:pPr>
        <w:spacing w:line="480" w:lineRule="auto"/>
        <w:rPr>
          <w:rFonts w:ascii="Times New Roman" w:hAnsi="Times New Roman"/>
          <w:sz w:val="24"/>
          <w:szCs w:val="24"/>
          <w:shd w:val="clear" w:color="auto" w:fill="FFFFFF"/>
        </w:rPr>
      </w:pPr>
    </w:p>
    <w:p w:rsidR="008276A4" w:rsidRDefault="008276A4" w:rsidP="008276A4">
      <w:pPr>
        <w:jc w:val="center"/>
        <w:rPr>
          <w:rFonts w:ascii="Times New Roman" w:hAnsi="Times New Roman"/>
          <w:b/>
          <w:sz w:val="28"/>
          <w:szCs w:val="28"/>
          <w:lang w:val="en-GB"/>
        </w:rPr>
      </w:pPr>
      <w:r>
        <w:rPr>
          <w:rFonts w:ascii="Times New Roman" w:hAnsi="Times New Roman"/>
          <w:b/>
          <w:sz w:val="28"/>
          <w:szCs w:val="28"/>
        </w:rPr>
        <w:t>Student ID: 2017271</w:t>
      </w:r>
    </w:p>
    <w:p w:rsidR="008276A4" w:rsidRDefault="008276A4" w:rsidP="008276A4">
      <w:pPr>
        <w:jc w:val="center"/>
        <w:rPr>
          <w:rFonts w:ascii="Times New Roman" w:hAnsi="Times New Roman"/>
          <w:b/>
          <w:sz w:val="28"/>
          <w:szCs w:val="28"/>
        </w:rPr>
      </w:pPr>
      <w:r>
        <w:rPr>
          <w:rFonts w:ascii="Times New Roman" w:hAnsi="Times New Roman"/>
          <w:b/>
          <w:sz w:val="28"/>
          <w:szCs w:val="28"/>
        </w:rPr>
        <w:t>University of Wales Trinity Saint David</w:t>
      </w:r>
    </w:p>
    <w:p w:rsidR="008276A4" w:rsidRDefault="008276A4" w:rsidP="008276A4">
      <w:pPr>
        <w:jc w:val="center"/>
        <w:rPr>
          <w:rFonts w:ascii="Times New Roman" w:hAnsi="Times New Roman"/>
          <w:b/>
          <w:lang w:val="en-GB"/>
        </w:rPr>
      </w:pPr>
      <w:r>
        <w:rPr>
          <w:rFonts w:ascii="Arial" w:hAnsi="Arial" w:cs="Arial"/>
          <w:b/>
        </w:rPr>
        <w:t>BMLW4000</w:t>
      </w:r>
    </w:p>
    <w:p w:rsidR="008276A4" w:rsidRDefault="008276A4" w:rsidP="008276A4">
      <w:pPr>
        <w:jc w:val="center"/>
        <w:rPr>
          <w:rFonts w:ascii="Arial" w:hAnsi="Arial" w:cs="Arial"/>
          <w:b/>
          <w:szCs w:val="20"/>
        </w:rPr>
      </w:pPr>
      <w:r>
        <w:rPr>
          <w:rFonts w:ascii="Times New Roman" w:hAnsi="Times New Roman"/>
          <w:b/>
        </w:rPr>
        <w:t xml:space="preserve">Number of </w:t>
      </w:r>
      <w:proofErr w:type="gramStart"/>
      <w:r>
        <w:rPr>
          <w:rFonts w:ascii="Times New Roman" w:hAnsi="Times New Roman"/>
          <w:b/>
        </w:rPr>
        <w:t>Words :</w:t>
      </w:r>
      <w:proofErr w:type="gramEnd"/>
      <w:r>
        <w:rPr>
          <w:rFonts w:ascii="Times New Roman" w:hAnsi="Times New Roman"/>
          <w:b/>
        </w:rPr>
        <w:t xml:space="preserve"> 2,</w:t>
      </w:r>
      <w:r w:rsidR="0031490A">
        <w:rPr>
          <w:rFonts w:ascii="Times New Roman" w:hAnsi="Times New Roman"/>
          <w:b/>
        </w:rPr>
        <w:t>127</w:t>
      </w:r>
    </w:p>
    <w:p w:rsidR="00A67D69" w:rsidRDefault="00A67D69">
      <w:pPr>
        <w:spacing w:line="480" w:lineRule="auto"/>
        <w:rPr>
          <w:rFonts w:ascii="Times New Roman" w:hAnsi="Times New Roman"/>
          <w:sz w:val="24"/>
          <w:szCs w:val="24"/>
          <w:shd w:val="clear" w:color="auto" w:fill="FFFFFF"/>
        </w:rPr>
      </w:pPr>
    </w:p>
    <w:p w:rsidR="00A67D69" w:rsidRDefault="00A67D69">
      <w:pPr>
        <w:spacing w:line="480" w:lineRule="auto"/>
        <w:rPr>
          <w:rFonts w:ascii="Times New Roman" w:hAnsi="Times New Roman"/>
          <w:sz w:val="24"/>
          <w:szCs w:val="24"/>
          <w:shd w:val="clear" w:color="auto" w:fill="FFFFFF"/>
        </w:rPr>
      </w:pPr>
    </w:p>
    <w:p w:rsidR="00A67D69" w:rsidRDefault="00A67D69">
      <w:pPr>
        <w:spacing w:line="480" w:lineRule="auto"/>
        <w:rPr>
          <w:rFonts w:ascii="Times New Roman" w:hAnsi="Times New Roman"/>
          <w:sz w:val="24"/>
          <w:szCs w:val="24"/>
          <w:shd w:val="clear" w:color="auto" w:fill="FFFFFF"/>
        </w:rPr>
      </w:pPr>
    </w:p>
    <w:p w:rsidR="008276A4" w:rsidRDefault="008276A4">
      <w:pPr>
        <w:spacing w:line="480" w:lineRule="auto"/>
        <w:rPr>
          <w:rFonts w:ascii="Times New Roman" w:hAnsi="Times New Roman"/>
          <w:sz w:val="24"/>
          <w:szCs w:val="24"/>
          <w:shd w:val="clear" w:color="auto" w:fill="FFFFFF"/>
        </w:rPr>
      </w:pPr>
    </w:p>
    <w:p w:rsidR="008276A4" w:rsidRDefault="008276A4">
      <w:pPr>
        <w:spacing w:line="480" w:lineRule="auto"/>
        <w:rPr>
          <w:rFonts w:ascii="Times New Roman" w:hAnsi="Times New Roman"/>
          <w:sz w:val="24"/>
          <w:szCs w:val="24"/>
          <w:shd w:val="clear" w:color="auto" w:fill="FFFFFF"/>
        </w:rPr>
      </w:pPr>
    </w:p>
    <w:p w:rsidR="00A67D69" w:rsidRDefault="00A67D69">
      <w:pPr>
        <w:spacing w:line="480" w:lineRule="auto"/>
        <w:rPr>
          <w:rFonts w:ascii="Times New Roman" w:hAnsi="Times New Roman"/>
          <w:sz w:val="24"/>
          <w:szCs w:val="24"/>
          <w:shd w:val="clear" w:color="auto" w:fill="FFFFFF"/>
        </w:rPr>
      </w:pPr>
    </w:p>
    <w:p w:rsidR="00A67D69" w:rsidRDefault="00A67D69">
      <w:pPr>
        <w:spacing w:line="480" w:lineRule="auto"/>
        <w:rPr>
          <w:rFonts w:ascii="Times New Roman" w:hAnsi="Times New Roman"/>
          <w:sz w:val="24"/>
          <w:szCs w:val="24"/>
          <w:shd w:val="clear" w:color="auto" w:fill="FFFFFF"/>
        </w:rPr>
      </w:pPr>
    </w:p>
    <w:p w:rsidR="00A67D69" w:rsidRDefault="00A67D69">
      <w:pPr>
        <w:spacing w:line="480" w:lineRule="auto"/>
        <w:rPr>
          <w:rFonts w:ascii="Times New Roman" w:hAnsi="Times New Roman"/>
          <w:sz w:val="24"/>
          <w:szCs w:val="24"/>
          <w:shd w:val="clear" w:color="auto" w:fill="FFFFFF"/>
        </w:rPr>
      </w:pPr>
    </w:p>
    <w:p w:rsidR="00A67D69" w:rsidRDefault="00A67D69">
      <w:pPr>
        <w:spacing w:line="480" w:lineRule="auto"/>
        <w:rPr>
          <w:rFonts w:ascii="Times New Roman" w:hAnsi="Times New Roman"/>
          <w:sz w:val="24"/>
          <w:szCs w:val="24"/>
          <w:shd w:val="clear" w:color="auto" w:fill="FFFFFF"/>
        </w:rPr>
      </w:pPr>
    </w:p>
    <w:p w:rsidR="00A67D69" w:rsidRDefault="00A67D69">
      <w:pPr>
        <w:spacing w:line="480" w:lineRule="auto"/>
        <w:rPr>
          <w:rFonts w:ascii="Times New Roman" w:hAnsi="Times New Roman"/>
          <w:sz w:val="24"/>
          <w:szCs w:val="24"/>
          <w:shd w:val="clear" w:color="auto" w:fill="FFFFFF"/>
        </w:rPr>
      </w:pPr>
    </w:p>
    <w:p w:rsidR="00A67D69" w:rsidRDefault="00A67D69">
      <w:pPr>
        <w:spacing w:line="480" w:lineRule="auto"/>
        <w:rPr>
          <w:rFonts w:ascii="Times New Roman" w:hAnsi="Times New Roman"/>
          <w:sz w:val="24"/>
          <w:szCs w:val="24"/>
          <w:shd w:val="clear" w:color="auto" w:fill="FFFFFF"/>
        </w:rPr>
      </w:pPr>
    </w:p>
    <w:p w:rsidR="00A67D69" w:rsidRDefault="008276A4">
      <w:pPr>
        <w:spacing w:line="480" w:lineRule="auto"/>
        <w:jc w:val="center"/>
      </w:pPr>
      <w:r>
        <w:rPr>
          <w:b/>
          <w:u w:val="single"/>
        </w:rPr>
        <w:t>I</w:t>
      </w:r>
      <w:r w:rsidR="00FB708F">
        <w:rPr>
          <w:b/>
          <w:u w:val="single"/>
        </w:rPr>
        <w:t>N</w:t>
      </w:r>
      <w:r w:rsidR="00FB708F">
        <w:rPr>
          <w:b/>
          <w:u w:val="single"/>
        </w:rPr>
        <w:t>T</w:t>
      </w:r>
      <w:r w:rsidR="00FB708F">
        <w:rPr>
          <w:b/>
          <w:u w:val="single"/>
        </w:rPr>
        <w:t>E</w:t>
      </w:r>
      <w:r w:rsidR="00FB708F">
        <w:rPr>
          <w:b/>
          <w:u w:val="single"/>
        </w:rPr>
        <w:t>R</w:t>
      </w:r>
      <w:r w:rsidR="00FB708F">
        <w:rPr>
          <w:b/>
          <w:u w:val="single"/>
        </w:rPr>
        <w:t>N</w:t>
      </w:r>
      <w:r w:rsidR="00FB708F">
        <w:rPr>
          <w:b/>
          <w:u w:val="single"/>
        </w:rPr>
        <w:t>A</w:t>
      </w:r>
      <w:r w:rsidR="00FB708F">
        <w:rPr>
          <w:b/>
          <w:u w:val="single"/>
        </w:rPr>
        <w:t>L</w:t>
      </w:r>
      <w:r w:rsidR="00FB708F">
        <w:rPr>
          <w:b/>
          <w:u w:val="single"/>
        </w:rPr>
        <w:t xml:space="preserve"> </w:t>
      </w:r>
      <w:r w:rsidR="00FB708F">
        <w:rPr>
          <w:b/>
          <w:u w:val="single"/>
        </w:rPr>
        <w:t>M</w:t>
      </w:r>
      <w:r w:rsidR="00FB708F">
        <w:rPr>
          <w:b/>
          <w:u w:val="single"/>
        </w:rPr>
        <w:t>E</w:t>
      </w:r>
      <w:r w:rsidR="00FB708F">
        <w:rPr>
          <w:b/>
          <w:u w:val="single"/>
        </w:rPr>
        <w:t>M</w:t>
      </w:r>
      <w:r w:rsidR="00FB708F">
        <w:rPr>
          <w:b/>
          <w:u w:val="single"/>
        </w:rPr>
        <w:t>O</w:t>
      </w:r>
      <w:r w:rsidR="00FB708F">
        <w:rPr>
          <w:b/>
          <w:u w:val="single"/>
        </w:rPr>
        <w:t>R</w:t>
      </w:r>
      <w:r w:rsidR="00FB708F">
        <w:rPr>
          <w:b/>
          <w:u w:val="single"/>
        </w:rPr>
        <w:t>A</w:t>
      </w:r>
      <w:r w:rsidR="00FB708F">
        <w:rPr>
          <w:b/>
          <w:u w:val="single"/>
        </w:rPr>
        <w:t>N</w:t>
      </w:r>
      <w:r w:rsidR="00FB708F">
        <w:rPr>
          <w:b/>
          <w:u w:val="single"/>
        </w:rPr>
        <w:t>D</w:t>
      </w:r>
      <w:r w:rsidR="00FB708F">
        <w:rPr>
          <w:b/>
          <w:u w:val="single"/>
        </w:rPr>
        <w:t>U</w:t>
      </w:r>
      <w:r w:rsidR="00FB708F">
        <w:rPr>
          <w:b/>
          <w:u w:val="single"/>
        </w:rPr>
        <w:t>M</w:t>
      </w:r>
    </w:p>
    <w:p w:rsidR="00A67D69" w:rsidRDefault="00FB708F">
      <w:pPr>
        <w:spacing w:line="480" w:lineRule="auto"/>
      </w:pPr>
      <w:r>
        <w:rPr>
          <w:b/>
          <w:u w:val="single"/>
        </w:rPr>
        <w:t xml:space="preserve"> </w:t>
      </w:r>
    </w:p>
    <w:p w:rsidR="00A67D69" w:rsidRDefault="00FB708F">
      <w:pPr>
        <w:spacing w:line="480" w:lineRule="auto"/>
      </w:pPr>
      <w:r>
        <w:rPr>
          <w:b/>
        </w:rPr>
        <w:t>TO: Oliver Jones</w:t>
      </w:r>
    </w:p>
    <w:p w:rsidR="00A67D69" w:rsidRDefault="00FB708F">
      <w:pPr>
        <w:spacing w:line="480" w:lineRule="auto"/>
      </w:pPr>
      <w:r>
        <w:rPr>
          <w:b/>
        </w:rPr>
        <w:t>FROM: Sian Turvey</w:t>
      </w:r>
    </w:p>
    <w:p w:rsidR="00A67D69" w:rsidRDefault="00FB708F">
      <w:pPr>
        <w:spacing w:line="480" w:lineRule="auto"/>
      </w:pPr>
      <w:r>
        <w:rPr>
          <w:b/>
        </w:rPr>
        <w:t xml:space="preserve">MATTER: Case of William Brown </w:t>
      </w:r>
    </w:p>
    <w:p w:rsidR="00A67D69" w:rsidRDefault="00FB708F">
      <w:pPr>
        <w:spacing w:line="480" w:lineRule="auto"/>
      </w:pPr>
      <w:r>
        <w:rPr>
          <w:b/>
        </w:rPr>
        <w:t>DATE: 7 May 2021</w:t>
      </w:r>
      <w:r>
        <w:t xml:space="preserve"> </w:t>
      </w:r>
    </w:p>
    <w:p w:rsidR="00A67D69" w:rsidRDefault="00FB708F">
      <w:pPr>
        <w:spacing w:line="480" w:lineRule="auto"/>
      </w:pPr>
      <w:r>
        <w:rPr>
          <w:b/>
        </w:rPr>
        <w:t>RE: WILLIAM BROWN CASE</w:t>
      </w:r>
    </w:p>
    <w:p w:rsidR="00A67D69" w:rsidRDefault="00FB708F">
      <w:pPr>
        <w:spacing w:line="480" w:lineRule="auto"/>
        <w:rPr>
          <w:b/>
        </w:rPr>
      </w:pPr>
      <w:r>
        <w:rPr>
          <w:b/>
        </w:rPr>
        <w:t xml:space="preserve">Brief history of the </w:t>
      </w:r>
      <w:r>
        <w:rPr>
          <w:b/>
        </w:rPr>
        <w:t>case</w:t>
      </w:r>
    </w:p>
    <w:p w:rsidR="00A67D69" w:rsidRDefault="00FB708F">
      <w:pPr>
        <w:spacing w:line="480" w:lineRule="auto"/>
      </w:pPr>
      <w:r>
        <w:t>The above-mentioned client is 28 years old and has been charged with two offences which are the offence of stealing cash and measure wine and spirits. Both items are valued at $3,000. William Brown herein referred to us as “our client”, was a former s</w:t>
      </w:r>
      <w:r>
        <w:t>ecretary at the bar at a rugby club. Our client was mandated to account for the stock levels, for checking and banking all the takings of the bar. He was generally the stock manager as per the description of his instructions. Currently, the cash that has b</w:t>
      </w:r>
      <w:r>
        <w:t>een allegedly stolen by our client was from the festival that was organized at the club. Our client also explains that the ten cases of wine and the two cases of gin that he is alleged to have stolen were covered by a falsified account records.</w:t>
      </w:r>
    </w:p>
    <w:p w:rsidR="00A67D69" w:rsidRDefault="00FB708F">
      <w:pPr>
        <w:spacing w:line="480" w:lineRule="auto"/>
      </w:pPr>
      <w:r>
        <w:lastRenderedPageBreak/>
        <w:t xml:space="preserve">Our client </w:t>
      </w:r>
      <w:r>
        <w:t>is known to be a man of good moral standing in the society. He is serving in the Territorial Army and undertaking a post graduate teaching qualification. Our client’s net income is about $12,000 per year and has recently inherited a sum of $50,000 from his</w:t>
      </w:r>
      <w:r>
        <w:t xml:space="preserve"> late grandfather.</w:t>
      </w:r>
    </w:p>
    <w:p w:rsidR="00A67D69" w:rsidRDefault="00FB708F">
      <w:pPr>
        <w:spacing w:line="480" w:lineRule="auto"/>
      </w:pPr>
      <w:r>
        <w:t>He was arrested for theft and was released on police bail. Our client is to appear before court in two days’ time where he intends not to plead guilty.</w:t>
      </w:r>
    </w:p>
    <w:p w:rsidR="00A67D69" w:rsidRDefault="00FB708F">
      <w:pPr>
        <w:spacing w:line="480" w:lineRule="auto"/>
      </w:pPr>
      <w:r>
        <w:rPr>
          <w:b/>
        </w:rPr>
        <w:t>The questions that have been raised with regards to the facts above are:</w:t>
      </w:r>
    </w:p>
    <w:p w:rsidR="00A67D69" w:rsidRDefault="00FB708F">
      <w:pPr>
        <w:spacing w:line="480" w:lineRule="auto"/>
      </w:pPr>
      <w:r>
        <w:t>·        The</w:t>
      </w:r>
      <w:r>
        <w:t xml:space="preserve"> substantive law that governs the offence</w:t>
      </w:r>
    </w:p>
    <w:p w:rsidR="00A67D69" w:rsidRDefault="00FB708F">
      <w:pPr>
        <w:spacing w:line="480" w:lineRule="auto"/>
      </w:pPr>
      <w:r>
        <w:t>·        The procedure used for the allocation of the case for trial and the criteria that the court will use to make its decision</w:t>
      </w:r>
    </w:p>
    <w:p w:rsidR="00A67D69" w:rsidRDefault="00FB708F">
      <w:pPr>
        <w:spacing w:line="480" w:lineRule="auto"/>
      </w:pPr>
      <w:r>
        <w:t>·        The advantages and the disadvantages of the trial courts</w:t>
      </w:r>
    </w:p>
    <w:p w:rsidR="00A67D69" w:rsidRDefault="00FB708F">
      <w:pPr>
        <w:spacing w:line="480" w:lineRule="auto"/>
      </w:pPr>
      <w:r>
        <w:t>·        Our clie</w:t>
      </w:r>
      <w:r>
        <w:t>nts place with regards to being entitled to the legal aid</w:t>
      </w:r>
    </w:p>
    <w:p w:rsidR="00A67D69" w:rsidRDefault="00FB708F">
      <w:pPr>
        <w:spacing w:line="480" w:lineRule="auto"/>
      </w:pPr>
      <w:r>
        <w:t>·        The matters that would be included in mitigation if our client is found guilty.</w:t>
      </w:r>
    </w:p>
    <w:p w:rsidR="00A67D69" w:rsidRDefault="00FB708F">
      <w:pPr>
        <w:spacing w:line="480" w:lineRule="auto"/>
      </w:pPr>
      <w:r>
        <w:rPr>
          <w:b/>
        </w:rPr>
        <w:t>Rule of law and application</w:t>
      </w:r>
    </w:p>
    <w:p w:rsidR="00A67D69" w:rsidRDefault="00FB708F">
      <w:pPr>
        <w:spacing w:line="480" w:lineRule="auto"/>
      </w:pPr>
      <w:r>
        <w:t>1. The substantive law that governs the offence</w:t>
      </w:r>
    </w:p>
    <w:p w:rsidR="00A67D69" w:rsidRDefault="00FB708F">
      <w:pPr>
        <w:spacing w:line="480" w:lineRule="auto"/>
      </w:pPr>
      <w:r>
        <w:t xml:space="preserve"> Our client has been charged with</w:t>
      </w:r>
      <w:r>
        <w:t xml:space="preserve"> the offence of theft. Theft has been defended under </w:t>
      </w:r>
      <w:r>
        <w:rPr>
          <w:i/>
        </w:rPr>
        <w:t>Section 1 of the 1968 Act</w:t>
      </w:r>
      <w:r>
        <w:t xml:space="preserve"> as the act appropriating an individual’s property that belongs to another person. The act is intended to permanently deprive the owner of the person from using the property.</w:t>
      </w:r>
    </w:p>
    <w:p w:rsidR="00A67D69" w:rsidRDefault="00FB708F">
      <w:pPr>
        <w:spacing w:line="480" w:lineRule="auto"/>
      </w:pPr>
      <w:r>
        <w:rPr>
          <w:i/>
        </w:rPr>
        <w:lastRenderedPageBreak/>
        <w:t>Sec</w:t>
      </w:r>
      <w:r>
        <w:rPr>
          <w:i/>
        </w:rPr>
        <w:t>tion 2 and 6 of the 1968 Act</w:t>
      </w:r>
      <w:r>
        <w:t xml:space="preserve"> has provided for the further interpretation of the act by giving out the elements that are required for the offence of theft to be complete.</w:t>
      </w:r>
    </w:p>
    <w:p w:rsidR="00A67D69" w:rsidRDefault="00FB708F">
      <w:pPr>
        <w:spacing w:line="480" w:lineRule="auto"/>
      </w:pPr>
      <w:r>
        <w:t xml:space="preserve">The elements are dishonesty, appropriateness, property, belonging to another with the </w:t>
      </w:r>
      <w:r>
        <w:t>intention of depriving the owner.</w:t>
      </w:r>
    </w:p>
    <w:p w:rsidR="00A67D69" w:rsidRDefault="00FB708F">
      <w:pPr>
        <w:spacing w:line="480" w:lineRule="auto"/>
      </w:pPr>
      <w:r>
        <w:rPr>
          <w:b/>
        </w:rPr>
        <w:t>Dishonesty</w:t>
      </w:r>
    </w:p>
    <w:p w:rsidR="00A67D69" w:rsidRDefault="00FB708F">
      <w:pPr>
        <w:spacing w:line="480" w:lineRule="auto"/>
      </w:pPr>
      <w:r>
        <w:rPr>
          <w:i/>
        </w:rPr>
        <w:t xml:space="preserve"> Section 2 of the 1968 Act</w:t>
      </w:r>
      <w:r>
        <w:t xml:space="preserve"> has specified that the act of appropriating is not a dishonest act if the person that has been deprived believes that they have a legal right to right the property or the owner of the </w:t>
      </w:r>
      <w:r>
        <w:t>property knows that the person took the property, or that they could not trace the owner of the property after taking all the reasonable steps.</w:t>
      </w:r>
    </w:p>
    <w:p w:rsidR="00A67D69" w:rsidRDefault="00FB708F">
      <w:pPr>
        <w:spacing w:line="480" w:lineRule="auto"/>
      </w:pPr>
      <w:r>
        <w:t>The act has also explained that if the individual admits to have taken the property without the knowledge of the</w:t>
      </w:r>
      <w:r>
        <w:t xml:space="preserve"> owner, after being found out, if they try to pay back, it will still be regarded as a dishonest act.</w:t>
      </w:r>
    </w:p>
    <w:p w:rsidR="00A67D69" w:rsidRDefault="00FB708F">
      <w:pPr>
        <w:spacing w:line="480" w:lineRule="auto"/>
      </w:pPr>
      <w:r>
        <w:t xml:space="preserve">In the case of </w:t>
      </w:r>
      <w:r>
        <w:rPr>
          <w:i/>
        </w:rPr>
        <w:t>Ivey v Genting Casinos (2018) AC 391</w:t>
      </w:r>
      <w:r>
        <w:t>, the Supreme Court applied the test to be able to decide if the accused person was guilty. The court s</w:t>
      </w:r>
      <w:r>
        <w:t>tated that: “the court must make sure that the person being accused is aware of the alleged facts. The court further stated that the evidence pointing out the guilt of the person is what is to be considered. The defendant does not need to appreciate that t</w:t>
      </w:r>
      <w:r>
        <w:t>he actions that he has undertaken are wrong and dishonest.</w:t>
      </w:r>
    </w:p>
    <w:p w:rsidR="00A67D69" w:rsidRDefault="00FB708F">
      <w:pPr>
        <w:spacing w:line="480" w:lineRule="auto"/>
        <w:rPr>
          <w:i/>
          <w:iCs/>
        </w:rPr>
      </w:pPr>
      <w:r>
        <w:t>On the issue of appropriateness, section 3 of the 1968 Act states that the   individual taking over the rights on the property amounts to an appropriation. There is no room to prove that the proper</w:t>
      </w:r>
      <w:r>
        <w:t xml:space="preserve">ty was taken without the owner’s consent. In the case of </w:t>
      </w:r>
      <w:r>
        <w:rPr>
          <w:i/>
        </w:rPr>
        <w:t xml:space="preserve">Lawrence v Metropolitan Police Commissioner,(1971) Cr App R 471, </w:t>
      </w:r>
      <w:r>
        <w:t xml:space="preserve">the defendant who was the taxi driver was found guilty of theft when the victim who was </w:t>
      </w:r>
      <w:r>
        <w:lastRenderedPageBreak/>
        <w:t xml:space="preserve">a tourist and spoke a bit of English gave him </w:t>
      </w:r>
      <w:r>
        <w:t xml:space="preserve">the permission to remove cash from his wallet. The accused removed far too much than the amount that he was permitted to. In the case of </w:t>
      </w:r>
      <w:r>
        <w:rPr>
          <w:i/>
        </w:rPr>
        <w:t xml:space="preserve">DPP v Gomez (1993) 96 Cr App R 359,  </w:t>
      </w:r>
      <w:r>
        <w:rPr>
          <w:i/>
          <w:iCs/>
        </w:rPr>
        <w:t>confirmed the rule of appropriation as held in the Lawrence v Metropolitan case.</w:t>
      </w:r>
    </w:p>
    <w:p w:rsidR="00A67D69" w:rsidRDefault="00A67D69">
      <w:pPr>
        <w:spacing w:line="480" w:lineRule="auto"/>
      </w:pPr>
    </w:p>
    <w:p w:rsidR="00A67D69" w:rsidRDefault="00FB708F">
      <w:pPr>
        <w:spacing w:line="480" w:lineRule="auto"/>
      </w:pPr>
      <w:r>
        <w:t xml:space="preserve">The element of property on the other hand, has been defined to be both tangible and intangible property. The property must belong to another as in accordance with </w:t>
      </w:r>
      <w:r>
        <w:rPr>
          <w:i/>
        </w:rPr>
        <w:t xml:space="preserve">section 5. </w:t>
      </w:r>
      <w:r>
        <w:t>This means that the complainant must be in control of the property. The other cond</w:t>
      </w:r>
      <w:r>
        <w:t xml:space="preserve">ition is that the controller of the property must have given the defendant the subject that he is obligated to control in some particular way. In the case of </w:t>
      </w:r>
      <w:r>
        <w:rPr>
          <w:i/>
        </w:rPr>
        <w:t>R v Turner (1971) 55 Cr App R 336</w:t>
      </w:r>
      <w:r>
        <w:t xml:space="preserve"> the defendant was held liable for taking his own car without eve</w:t>
      </w:r>
      <w:r>
        <w:t>n paying the garage that he had taken the car to for repairs. The property must be belonging to another during the time of appropriation. In the above case, despite the defendant being the owner of the car, he was not in current possession of it.</w:t>
      </w:r>
    </w:p>
    <w:p w:rsidR="00A67D69" w:rsidRDefault="00FB708F">
      <w:pPr>
        <w:spacing w:line="480" w:lineRule="auto"/>
      </w:pPr>
      <w:r>
        <w:t>The indiv</w:t>
      </w:r>
      <w:r>
        <w:t xml:space="preserve">idual must have intended on permanently depriving the owner of the property from enjoying it as stated in user section 6. In the case of </w:t>
      </w:r>
      <w:r>
        <w:rPr>
          <w:i/>
        </w:rPr>
        <w:t>R v Vinall (2012) 1 Cr App R 29,</w:t>
      </w:r>
      <w:r>
        <w:t xml:space="preserve"> the court of appeal held that the defendant needs to deprive the owner the rights to u</w:t>
      </w:r>
      <w:r>
        <w:t>se the property.</w:t>
      </w:r>
    </w:p>
    <w:p w:rsidR="00A67D69" w:rsidRDefault="00FB708F">
      <w:pPr>
        <w:spacing w:line="480" w:lineRule="auto"/>
      </w:pPr>
      <w:r>
        <w:t xml:space="preserve">The alternatives to the charge of theft are fraud under the </w:t>
      </w:r>
      <w:r>
        <w:rPr>
          <w:i/>
        </w:rPr>
        <w:t>Fraud Act 2006.</w:t>
      </w:r>
      <w:r>
        <w:t xml:space="preserve"> There is a thin line between theft and fraud. Fraud also entails permanently depriving the owner of the property the right to own the property.</w:t>
      </w:r>
    </w:p>
    <w:p w:rsidR="008276A4" w:rsidRDefault="008276A4">
      <w:pPr>
        <w:spacing w:line="480" w:lineRule="auto"/>
      </w:pPr>
    </w:p>
    <w:p w:rsidR="008276A4" w:rsidRDefault="008276A4">
      <w:pPr>
        <w:spacing w:line="480" w:lineRule="auto"/>
      </w:pPr>
    </w:p>
    <w:p w:rsidR="00A67D69" w:rsidRDefault="00FB708F">
      <w:pPr>
        <w:spacing w:line="480" w:lineRule="auto"/>
      </w:pPr>
      <w:r>
        <w:rPr>
          <w:b/>
        </w:rPr>
        <w:lastRenderedPageBreak/>
        <w:t>2. The procedure th</w:t>
      </w:r>
      <w:r>
        <w:rPr>
          <w:b/>
        </w:rPr>
        <w:t>at is used for the allocation of the case for trial and the criteria that the court will use to make its decision</w:t>
      </w:r>
    </w:p>
    <w:p w:rsidR="00A67D69" w:rsidRDefault="00FB708F">
      <w:pPr>
        <w:spacing w:line="480" w:lineRule="auto"/>
      </w:pPr>
      <w:r>
        <w:t xml:space="preserve">The court changed its proceedings in 2013 expect in the committal sentence. </w:t>
      </w:r>
    </w:p>
    <w:p w:rsidR="00A67D69" w:rsidRDefault="00FB708F">
      <w:pPr>
        <w:spacing w:line="480" w:lineRule="auto"/>
      </w:pPr>
      <w:r>
        <w:t>During the first hearing, our clients charge will be read to him,</w:t>
      </w:r>
      <w:r>
        <w:t xml:space="preserve"> and he shall be asked to take a plea. He has decided to plead not guilty. After pleading not guilty, the court will decide on whether to divide the magistrate’s court or the crown court the case for full trial. During the allocation process, the court wil</w:t>
      </w:r>
      <w:r>
        <w:t>l take into consideration many factors like the veracity of the case. The crown court mostly listens to offences that are termed as capital offences while the magistrate’s court heard the other offences.</w:t>
      </w:r>
    </w:p>
    <w:p w:rsidR="00A67D69" w:rsidRDefault="00A67D69">
      <w:pPr>
        <w:spacing w:line="480" w:lineRule="auto"/>
      </w:pPr>
    </w:p>
    <w:p w:rsidR="00A67D69" w:rsidRDefault="00FB708F">
      <w:pPr>
        <w:spacing w:line="480" w:lineRule="auto"/>
      </w:pPr>
      <w:r>
        <w:t xml:space="preserve">If the case is allocated to the magistrate’s court </w:t>
      </w:r>
      <w:r>
        <w:t>for full trial, our client can opt to choose the crown court for trial.</w:t>
      </w:r>
    </w:p>
    <w:p w:rsidR="00A67D69" w:rsidRDefault="00FB708F">
      <w:pPr>
        <w:spacing w:line="480" w:lineRule="auto"/>
      </w:pPr>
      <w:r>
        <w:t>The magistrate shall invite the prosecution and the defense to make submissions on the matter of allocation. Upon hearing of the submissions, the court shall make a ruling after determ</w:t>
      </w:r>
      <w:r>
        <w:t xml:space="preserve">ining other factors like the sentencing guidelines that are set. During this procedure, the court shall apply the </w:t>
      </w:r>
      <w:r>
        <w:rPr>
          <w:i/>
        </w:rPr>
        <w:t>Sentencing Councils Allocation Guideline</w:t>
      </w:r>
      <w:r>
        <w:t xml:space="preserve"> that was set in 2016.</w:t>
      </w:r>
    </w:p>
    <w:p w:rsidR="00A67D69" w:rsidRDefault="00FB708F">
      <w:pPr>
        <w:spacing w:line="480" w:lineRule="auto"/>
      </w:pPr>
      <w:r>
        <w:t>The court looks at the likely outcome of the case after taking into considerati</w:t>
      </w:r>
      <w:r>
        <w:t>on the personal mitigation of the accused. If the case is not that complex, then there is a likelihood that the magistrate court shall hear and find the case fully.</w:t>
      </w:r>
    </w:p>
    <w:p w:rsidR="00A67D69" w:rsidRDefault="00FB708F">
      <w:pPr>
        <w:spacing w:line="480" w:lineRule="auto"/>
      </w:pPr>
      <w:r>
        <w:lastRenderedPageBreak/>
        <w:t xml:space="preserve">Our client may exercise his options by applying to the courts to be given a chance for the </w:t>
      </w:r>
      <w:r>
        <w:t>trial court to hear and fully find his case. The court can also consider our client is a person of good character he should plead to a lesser account.</w:t>
      </w:r>
    </w:p>
    <w:p w:rsidR="00A67D69" w:rsidRDefault="00A67D69">
      <w:pPr>
        <w:spacing w:line="480" w:lineRule="auto"/>
      </w:pPr>
    </w:p>
    <w:p w:rsidR="00A67D69" w:rsidRDefault="00FB708F">
      <w:pPr>
        <w:spacing w:line="480" w:lineRule="auto"/>
      </w:pPr>
      <w:r>
        <w:t xml:space="preserve">3. </w:t>
      </w:r>
      <w:r>
        <w:rPr>
          <w:b/>
        </w:rPr>
        <w:t>The advantages and the disadvantages of the trial courts</w:t>
      </w:r>
    </w:p>
    <w:p w:rsidR="00A67D69" w:rsidRDefault="00FB708F">
      <w:pPr>
        <w:spacing w:line="480" w:lineRule="auto"/>
      </w:pPr>
      <w:r>
        <w:t>The trial process in the magistrates and the</w:t>
      </w:r>
      <w:r>
        <w:t xml:space="preserve"> crown court will depend on the sentencing. The criminal cases usually have a general outcome after a decision has been made by the crown prosecution service. The CPS considers whether the person has a case to answer,  and so they are taken either to the m</w:t>
      </w:r>
      <w:r>
        <w:t>agistrate’s court or the crown court.</w:t>
      </w:r>
    </w:p>
    <w:p w:rsidR="00A67D69" w:rsidRDefault="00FB708F">
      <w:pPr>
        <w:spacing w:line="480" w:lineRule="auto"/>
      </w:pPr>
      <w:r>
        <w:t>In the magistrate court, the magistrates hear the evidence that is presented by both the prosecution and the defendant side before it draws a conclusion of either guilty or innocence of a person.</w:t>
      </w:r>
    </w:p>
    <w:p w:rsidR="00A67D69" w:rsidRDefault="00A67D69">
      <w:pPr>
        <w:spacing w:line="480" w:lineRule="auto"/>
      </w:pPr>
    </w:p>
    <w:p w:rsidR="00A67D69" w:rsidRDefault="00FB708F">
      <w:pPr>
        <w:spacing w:line="480" w:lineRule="auto"/>
      </w:pPr>
      <w:r>
        <w:t xml:space="preserve">Where the offence is </w:t>
      </w:r>
      <w:r>
        <w:t>more serious, the judge in the crown court hears the evidence that is presented by both sides and later involves the jury for trial. This process is mostly undertaken in offences like murder, rape and robbery with violence. The offences that are categorize</w:t>
      </w:r>
      <w:r>
        <w:t>d as capital offences must undergo the jury trial in the high court.</w:t>
      </w:r>
    </w:p>
    <w:p w:rsidR="00A67D69" w:rsidRDefault="00FB708F">
      <w:pPr>
        <w:spacing w:line="480" w:lineRule="auto"/>
      </w:pPr>
      <w:r>
        <w:t xml:space="preserve">The advantages of undergoing trial in a magistrate court are that: it is the court that listens and determines an individual’s case. The defendant does not need to have any form of legal </w:t>
      </w:r>
      <w:r>
        <w:t>representation and the trial court cases are not categorized as serious offences.</w:t>
      </w:r>
    </w:p>
    <w:p w:rsidR="00A67D69" w:rsidRDefault="00FB708F">
      <w:pPr>
        <w:spacing w:line="480" w:lineRule="auto"/>
      </w:pPr>
      <w:r>
        <w:lastRenderedPageBreak/>
        <w:t>An individual also has more options of appeal as they can appeal to the Crown court in case they are aggrieved by the decision of the magistrate’s court.</w:t>
      </w:r>
    </w:p>
    <w:p w:rsidR="00A67D69" w:rsidRDefault="00FB708F">
      <w:pPr>
        <w:spacing w:line="480" w:lineRule="auto"/>
      </w:pPr>
      <w:r>
        <w:t xml:space="preserve">The disadvantage is </w:t>
      </w:r>
      <w:r>
        <w:t>that the individual lacking legal representation means that they might not understand the legal aspect of the case and that justice might not be fully served.</w:t>
      </w:r>
    </w:p>
    <w:p w:rsidR="00A67D69" w:rsidRDefault="00FB708F">
      <w:pPr>
        <w:spacing w:line="480" w:lineRule="auto"/>
      </w:pPr>
      <w:r>
        <w:rPr>
          <w:b/>
        </w:rPr>
        <w:t>In the crown court, the advantages are;</w:t>
      </w:r>
    </w:p>
    <w:p w:rsidR="00A67D69" w:rsidRDefault="00FB708F">
      <w:pPr>
        <w:spacing w:line="480" w:lineRule="auto"/>
      </w:pPr>
      <w:r>
        <w:t>The person is given a right to legal representation. If a</w:t>
      </w:r>
      <w:r>
        <w:t xml:space="preserve"> person cannot afford a lawyer, then they can be appointed one by the court. This is due to the fact that the crown court hears and determines most of the serious offences like capital offences stated above.</w:t>
      </w:r>
    </w:p>
    <w:p w:rsidR="00A67D69" w:rsidRDefault="00FB708F">
      <w:pPr>
        <w:spacing w:line="480" w:lineRule="auto"/>
      </w:pPr>
      <w:r>
        <w:t>The disadvantage is that the crown court involve</w:t>
      </w:r>
      <w:r>
        <w:t xml:space="preserve">s members of the jury that might be biased. Also, in the case of an appeal, the crown court hears matters that have already been put forward by the trial court. The crown court does not take in new evidence or conduct a hearing. The crown court determines </w:t>
      </w:r>
      <w:r>
        <w:t>an appeal based on the affidavits and the records from the trial court.</w:t>
      </w:r>
    </w:p>
    <w:p w:rsidR="00A67D69" w:rsidRDefault="00FB708F">
      <w:pPr>
        <w:spacing w:line="480" w:lineRule="auto"/>
      </w:pPr>
      <w:r>
        <w:rPr>
          <w:b/>
        </w:rPr>
        <w:t>4. Our clients place with regards to being entitled to the legal aid</w:t>
      </w:r>
    </w:p>
    <w:p w:rsidR="00A67D69" w:rsidRDefault="00FB708F">
      <w:pPr>
        <w:spacing w:line="480" w:lineRule="auto"/>
      </w:pPr>
      <w:r>
        <w:t>Basing on the facts above, it is clear that our client’s case will be heard and determined in the magistrate’s cour</w:t>
      </w:r>
      <w:r>
        <w:t>t. This is due to the fact that the offence of theft or the alternative which is fraud is not a capital offence. The crown court has the right to listen and find any matter but due to the threshold on matters that are to be presented to the crown court, it</w:t>
      </w:r>
      <w:r>
        <w:t xml:space="preserve"> is better for the matter to be heard and determined in the magistrate court.</w:t>
      </w:r>
    </w:p>
    <w:p w:rsidR="00A67D69" w:rsidRDefault="00FB708F">
      <w:pPr>
        <w:spacing w:line="480" w:lineRule="auto"/>
      </w:pPr>
      <w:r>
        <w:t>With regards to the legal aid, our client’s case is not falling on the capital offences threshold. This means that he is not entitled to any form of legal aid. Our client can, ho</w:t>
      </w:r>
      <w:r>
        <w:t xml:space="preserve">wever, seek advice from the </w:t>
      </w:r>
      <w:r>
        <w:lastRenderedPageBreak/>
        <w:t>government institutions that are offering legal aid from him to be directed on the procedure he is to undertake during the trial process.</w:t>
      </w:r>
    </w:p>
    <w:p w:rsidR="00A67D69" w:rsidRDefault="00FB708F">
      <w:pPr>
        <w:spacing w:line="480" w:lineRule="auto"/>
      </w:pPr>
      <w:r>
        <w:rPr>
          <w:b/>
        </w:rPr>
        <w:t>5. The matters that would be included in mitigation if our client is found guilty.</w:t>
      </w:r>
    </w:p>
    <w:p w:rsidR="00A67D69" w:rsidRDefault="00FB708F">
      <w:pPr>
        <w:spacing w:line="480" w:lineRule="auto"/>
      </w:pPr>
      <w:r>
        <w:t>After t</w:t>
      </w:r>
      <w:r>
        <w:t>he court has determined the case and drawn a conclusion that our client is guilty, he is entitled to mitigation. Mitigation is the process in which the accused person gets to explain to the court the reasons why the court should favor him and give him a le</w:t>
      </w:r>
      <w:r>
        <w:t xml:space="preserve">sser sentence or acquit him. </w:t>
      </w:r>
      <w:r>
        <w:rPr>
          <w:b/>
        </w:rPr>
        <w:t>The issues that our client can raise during the mitigation process are that;</w:t>
      </w:r>
    </w:p>
    <w:p w:rsidR="00A67D69" w:rsidRDefault="00FB708F">
      <w:pPr>
        <w:spacing w:line="480" w:lineRule="auto"/>
      </w:pPr>
      <w:r>
        <w:t>He is a person of good character. Our client’s character can be attested by any member of the society with good moral standing. That he is currently s</w:t>
      </w:r>
      <w:r>
        <w:t>erving in the Territorial Army and undertaking a post graduate teaching qualification. Our client can also claim that he has a net income of about $12,000 per year and has recently inherited some of $50,000 from his late grandfather.</w:t>
      </w:r>
    </w:p>
    <w:p w:rsidR="00A67D69" w:rsidRDefault="00FB708F">
      <w:pPr>
        <w:spacing w:line="480" w:lineRule="auto"/>
      </w:pPr>
      <w:r>
        <w:t>These facts might make</w:t>
      </w:r>
      <w:r>
        <w:t xml:space="preserve"> the court choose other forms of punishment like non-custodial punishment in accordance with the circumstances of the case.</w:t>
      </w:r>
    </w:p>
    <w:p w:rsidR="00A67D69" w:rsidRDefault="00FB708F">
      <w:pPr>
        <w:spacing w:line="480" w:lineRule="auto"/>
      </w:pPr>
      <w:r>
        <w:rPr>
          <w:b/>
        </w:rPr>
        <w:t>Conclusion</w:t>
      </w:r>
    </w:p>
    <w:p w:rsidR="00A67D69" w:rsidRDefault="00FB708F">
      <w:pPr>
        <w:spacing w:line="480" w:lineRule="auto"/>
      </w:pPr>
      <w:r>
        <w:t>From the above facts, I opine that our client has a chance of succeeding his case if the matter is heard in the magistrat</w:t>
      </w:r>
      <w:r>
        <w:t>e’s court. Our client can also choose to apologize and refund the amount that he has been accused of stealing before the court finds him guilty.</w:t>
      </w:r>
    </w:p>
    <w:p w:rsidR="00A67D69" w:rsidRDefault="00A67D69">
      <w:pPr>
        <w:spacing w:line="480" w:lineRule="auto"/>
      </w:pPr>
    </w:p>
    <w:p w:rsidR="00A67D69" w:rsidRDefault="00A67D69">
      <w:pPr>
        <w:spacing w:line="480" w:lineRule="auto"/>
      </w:pPr>
    </w:p>
    <w:p w:rsidR="00A67D69" w:rsidRDefault="00A67D69">
      <w:pPr>
        <w:spacing w:line="480" w:lineRule="auto"/>
      </w:pPr>
    </w:p>
    <w:p w:rsidR="00A67D69" w:rsidRDefault="008276A4">
      <w:pPr>
        <w:spacing w:line="276" w:lineRule="auto"/>
      </w:pPr>
      <w:r>
        <w:rPr>
          <w:rFonts w:eastAsia="Calibri"/>
          <w:b/>
        </w:rPr>
        <w:t>REFERENCES:</w:t>
      </w:r>
    </w:p>
    <w:p w:rsidR="00A67D69" w:rsidRDefault="00FB708F">
      <w:pPr>
        <w:spacing w:line="276" w:lineRule="auto"/>
      </w:pPr>
      <w:r>
        <w:rPr>
          <w:rFonts w:eastAsia="Calibri"/>
          <w:b/>
        </w:rPr>
        <w:t>Statutes</w:t>
      </w:r>
    </w:p>
    <w:p w:rsidR="00A67D69" w:rsidRDefault="00FB708F">
      <w:pPr>
        <w:spacing w:line="276" w:lineRule="auto"/>
      </w:pPr>
      <w:r>
        <w:rPr>
          <w:rFonts w:eastAsia="Calibri"/>
        </w:rPr>
        <w:t>Theft Act, 1968</w:t>
      </w:r>
      <w:bookmarkStart w:id="0" w:name="_GoBack"/>
      <w:bookmarkEnd w:id="0"/>
    </w:p>
    <w:p w:rsidR="00A67D69" w:rsidRDefault="00FB708F">
      <w:pPr>
        <w:spacing w:line="276" w:lineRule="auto"/>
      </w:pPr>
      <w:r>
        <w:rPr>
          <w:rFonts w:eastAsia="Calibri"/>
        </w:rPr>
        <w:t>Sentencing Councils Allocation Guideline 2016</w:t>
      </w:r>
    </w:p>
    <w:p w:rsidR="00A67D69" w:rsidRDefault="00FB708F">
      <w:pPr>
        <w:spacing w:line="276" w:lineRule="auto"/>
      </w:pPr>
      <w:r>
        <w:rPr>
          <w:rFonts w:eastAsia="Calibri"/>
        </w:rPr>
        <w:t>Fraud Act 2006</w:t>
      </w:r>
    </w:p>
    <w:p w:rsidR="00A67D69" w:rsidRDefault="00FB708F">
      <w:pPr>
        <w:spacing w:line="480" w:lineRule="auto"/>
      </w:pPr>
      <w:r>
        <w:rPr>
          <w:b/>
        </w:rPr>
        <w:t xml:space="preserve">Case </w:t>
      </w:r>
      <w:r>
        <w:rPr>
          <w:b/>
        </w:rPr>
        <w:t>law</w:t>
      </w:r>
    </w:p>
    <w:p w:rsidR="00A67D69" w:rsidRDefault="00FB708F">
      <w:pPr>
        <w:spacing w:line="276" w:lineRule="auto"/>
      </w:pPr>
      <w:r>
        <w:rPr>
          <w:rFonts w:eastAsia="Calibri"/>
        </w:rPr>
        <w:t>Ivey v Genting Casinos (2018) AC 391</w:t>
      </w:r>
    </w:p>
    <w:p w:rsidR="00A67D69" w:rsidRDefault="00FB708F">
      <w:pPr>
        <w:spacing w:line="276" w:lineRule="auto"/>
      </w:pPr>
      <w:r>
        <w:rPr>
          <w:rFonts w:eastAsia="Calibri"/>
        </w:rPr>
        <w:t xml:space="preserve">Lawrence v Metropolitan Police Commissioner, (1971) Cr App R 471: D,  </w:t>
      </w:r>
    </w:p>
    <w:p w:rsidR="00A67D69" w:rsidRDefault="00FB708F">
      <w:pPr>
        <w:spacing w:line="276" w:lineRule="auto"/>
      </w:pPr>
      <w:r>
        <w:rPr>
          <w:rFonts w:eastAsia="Calibri"/>
        </w:rPr>
        <w:t xml:space="preserve"> DPP v Gomez (1993) 96 Cr App R 359</w:t>
      </w:r>
    </w:p>
    <w:p w:rsidR="00A67D69" w:rsidRDefault="00FB708F">
      <w:pPr>
        <w:spacing w:line="276" w:lineRule="auto"/>
      </w:pPr>
      <w:r>
        <w:rPr>
          <w:rFonts w:eastAsia="Calibri"/>
        </w:rPr>
        <w:t xml:space="preserve">R v Turner (1971) 55 Cr App R 336  </w:t>
      </w:r>
    </w:p>
    <w:p w:rsidR="00A67D69" w:rsidRDefault="00FB708F">
      <w:pPr>
        <w:spacing w:line="276" w:lineRule="auto"/>
      </w:pPr>
      <w:r>
        <w:rPr>
          <w:rFonts w:eastAsia="Calibri"/>
        </w:rPr>
        <w:t>R v Vinall (2012) 1 Cr App R 29</w:t>
      </w:r>
    </w:p>
    <w:p w:rsidR="00A67D69" w:rsidRDefault="00A67D69">
      <w:pPr>
        <w:spacing w:line="480" w:lineRule="auto"/>
      </w:pPr>
    </w:p>
    <w:p w:rsidR="00A67D69" w:rsidRDefault="00A67D69">
      <w:pPr>
        <w:spacing w:line="480" w:lineRule="auto"/>
      </w:pPr>
    </w:p>
    <w:p w:rsidR="00A67D69" w:rsidRDefault="00A67D69">
      <w:pPr>
        <w:spacing w:line="480" w:lineRule="auto"/>
      </w:pPr>
    </w:p>
    <w:sectPr w:rsidR="00A67D69" w:rsidSect="00A67D69">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708F" w:rsidRDefault="00FB708F" w:rsidP="00A67D69">
      <w:pPr>
        <w:spacing w:before="0" w:after="0" w:line="240" w:lineRule="auto"/>
      </w:pPr>
      <w:r>
        <w:separator/>
      </w:r>
    </w:p>
  </w:endnote>
  <w:endnote w:type="continuationSeparator" w:id="0">
    <w:p w:rsidR="00FB708F" w:rsidRDefault="00FB708F" w:rsidP="00A67D69">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Arial Unicode MS"/>
    <w:charset w:val="7A"/>
    <w:family w:val="auto"/>
    <w:pitch w:val="default"/>
    <w:sig w:usb0="00000000" w:usb1="080E0000" w:usb2="00000000"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708F" w:rsidRDefault="00FB708F" w:rsidP="00A67D69">
      <w:pPr>
        <w:spacing w:before="0" w:after="0" w:line="240" w:lineRule="auto"/>
      </w:pPr>
      <w:r>
        <w:separator/>
      </w:r>
    </w:p>
  </w:footnote>
  <w:footnote w:type="continuationSeparator" w:id="0">
    <w:p w:rsidR="00FB708F" w:rsidRDefault="00FB708F" w:rsidP="00A67D69">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D69" w:rsidRPr="008276A4" w:rsidRDefault="00A67D69" w:rsidP="008276A4">
    <w:pPr>
      <w:pStyle w:val="Encabezado"/>
      <w:jc w:val="right"/>
    </w:pPr>
    <w:r>
      <w:fldChar w:fldCharType="begin"/>
    </w:r>
    <w:r w:rsidR="00FB708F">
      <w:instrText xml:space="preserve"> PAGE   \* MERGEFORMAT </w:instrText>
    </w:r>
    <w:r>
      <w:fldChar w:fldCharType="separate"/>
    </w:r>
    <w:r w:rsidR="008276A4">
      <w:rPr>
        <w:noProof/>
      </w:rPr>
      <w:t>2</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tmpl w:val="DEE80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B09496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000002"/>
    <w:multiLevelType w:val="hybridMultilevel"/>
    <w:tmpl w:val="43CA19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000003"/>
    <w:multiLevelType w:val="hybridMultilevel"/>
    <w:tmpl w:val="FE384C6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rsids>
    <w:rsidRoot w:val="00A67D69"/>
    <w:rsid w:val="0031490A"/>
    <w:rsid w:val="008276A4"/>
    <w:rsid w:val="00A67D69"/>
    <w:rsid w:val="00FB708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宋体"/>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7D69"/>
    <w:pPr>
      <w:spacing w:before="100" w:beforeAutospacing="1" w:line="273" w:lineRule="auto"/>
    </w:pPr>
    <w:rPr>
      <w:rFonts w:eastAsia="SimSun" w:cs="Times New Roman"/>
    </w:rPr>
  </w:style>
  <w:style w:type="paragraph" w:styleId="Ttulo1">
    <w:name w:val="heading 1"/>
    <w:basedOn w:val="Normal"/>
    <w:next w:val="Normal"/>
    <w:link w:val="Ttulo1Car"/>
    <w:uiPriority w:val="9"/>
    <w:qFormat/>
    <w:rsid w:val="00A67D69"/>
    <w:pPr>
      <w:keepNext/>
      <w:keepLines/>
      <w:spacing w:before="480" w:after="0"/>
      <w:outlineLvl w:val="0"/>
    </w:pPr>
    <w:rPr>
      <w:rFonts w:ascii="Cambria" w:eastAsia="宋体" w:hAnsi="Cambria" w:cs="宋体"/>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67D69"/>
    <w:pPr>
      <w:ind w:left="720"/>
      <w:contextualSpacing/>
    </w:pPr>
  </w:style>
  <w:style w:type="paragraph" w:styleId="Encabezado">
    <w:name w:val="header"/>
    <w:basedOn w:val="Normal"/>
    <w:link w:val="EncabezadoCar"/>
    <w:uiPriority w:val="99"/>
    <w:rsid w:val="00A67D69"/>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A67D69"/>
  </w:style>
  <w:style w:type="paragraph" w:styleId="Piedepgina">
    <w:name w:val="footer"/>
    <w:basedOn w:val="Normal"/>
    <w:link w:val="PiedepginaCar"/>
    <w:uiPriority w:val="99"/>
    <w:rsid w:val="00A67D69"/>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A67D69"/>
  </w:style>
  <w:style w:type="paragraph" w:styleId="Textodeglobo">
    <w:name w:val="Balloon Text"/>
    <w:basedOn w:val="Normal"/>
    <w:link w:val="TextodegloboCar"/>
    <w:uiPriority w:val="99"/>
    <w:rsid w:val="00A67D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A67D69"/>
    <w:rPr>
      <w:rFonts w:ascii="Tahoma" w:hAnsi="Tahoma" w:cs="Tahoma"/>
      <w:sz w:val="16"/>
      <w:szCs w:val="16"/>
    </w:rPr>
  </w:style>
  <w:style w:type="character" w:customStyle="1" w:styleId="Ttulo1Car">
    <w:name w:val="Título 1 Car"/>
    <w:basedOn w:val="Fuentedeprrafopredeter"/>
    <w:link w:val="Ttulo1"/>
    <w:uiPriority w:val="9"/>
    <w:rsid w:val="00A67D69"/>
    <w:rPr>
      <w:rFonts w:ascii="Cambria" w:eastAsia="宋体" w:hAnsi="Cambria" w:cs="宋体"/>
      <w:b/>
      <w:bCs/>
      <w:color w:val="365F91"/>
      <w:sz w:val="28"/>
      <w:szCs w:val="28"/>
    </w:rPr>
  </w:style>
  <w:style w:type="character" w:customStyle="1" w:styleId="byline-writer">
    <w:name w:val="byline-writer"/>
    <w:basedOn w:val="Fuentedeprrafopredeter"/>
    <w:rsid w:val="00A67D69"/>
  </w:style>
  <w:style w:type="character" w:styleId="Hipervnculo">
    <w:name w:val="Hyperlink"/>
    <w:basedOn w:val="Fuentedeprrafopredeter"/>
    <w:uiPriority w:val="99"/>
    <w:rsid w:val="00A67D69"/>
    <w:rPr>
      <w:color w:val="0000FF"/>
      <w:u w:val="single"/>
    </w:rPr>
  </w:style>
  <w:style w:type="character" w:styleId="Textoennegrita">
    <w:name w:val="Strong"/>
    <w:basedOn w:val="Fuentedeprrafopredeter"/>
    <w:uiPriority w:val="22"/>
    <w:qFormat/>
    <w:rsid w:val="00A67D69"/>
    <w:rPr>
      <w:b/>
      <w:bCs/>
    </w:rPr>
  </w:style>
  <w:style w:type="character" w:styleId="nfasis">
    <w:name w:val="Emphasis"/>
    <w:basedOn w:val="Fuentedeprrafopredeter"/>
    <w:uiPriority w:val="20"/>
    <w:qFormat/>
    <w:rsid w:val="00A67D69"/>
    <w:rPr>
      <w:i/>
      <w:iCs/>
    </w:rPr>
  </w:style>
  <w:style w:type="paragraph" w:styleId="Textonotapie">
    <w:name w:val="footnote text"/>
    <w:basedOn w:val="Normal"/>
    <w:link w:val="TextonotapieCar"/>
    <w:uiPriority w:val="99"/>
    <w:rsid w:val="00A67D69"/>
    <w:pPr>
      <w:spacing w:after="0" w:line="240" w:lineRule="auto"/>
    </w:pPr>
    <w:rPr>
      <w:sz w:val="20"/>
      <w:szCs w:val="20"/>
    </w:rPr>
  </w:style>
  <w:style w:type="character" w:customStyle="1" w:styleId="TextonotapieCar">
    <w:name w:val="Texto nota pie Car"/>
    <w:basedOn w:val="Fuentedeprrafopredeter"/>
    <w:link w:val="Textonotapie"/>
    <w:uiPriority w:val="99"/>
    <w:rsid w:val="00A67D69"/>
    <w:rPr>
      <w:sz w:val="20"/>
      <w:szCs w:val="20"/>
    </w:rPr>
  </w:style>
  <w:style w:type="character" w:styleId="Refdenotaalpie">
    <w:name w:val="footnote reference"/>
    <w:basedOn w:val="Fuentedeprrafopredeter"/>
    <w:uiPriority w:val="99"/>
    <w:rsid w:val="00A67D69"/>
    <w:rPr>
      <w:vertAlign w:val="superscript"/>
    </w:rPr>
  </w:style>
  <w:style w:type="paragraph" w:styleId="NormalWeb">
    <w:name w:val="Normal (Web)"/>
    <w:basedOn w:val="Normal"/>
    <w:uiPriority w:val="99"/>
    <w:rsid w:val="00A67D69"/>
    <w:pPr>
      <w:spacing w:after="100" w:afterAutospacing="1" w:line="240" w:lineRule="auto"/>
    </w:pPr>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428687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DCE883-A8F1-4BA0-9B72-28173898B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1790</Words>
  <Characters>10203</Characters>
  <Application>Microsoft Office Word</Application>
  <DocSecurity>0</DocSecurity>
  <Lines>85</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2021-04-29T17:45:00Z</dcterms:created>
  <dcterms:modified xsi:type="dcterms:W3CDTF">2021-04-29T17:45:00Z</dcterms:modified>
</cp:coreProperties>
</file>