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09366A" w14:textId="77777777" w:rsidR="00C93C3A" w:rsidRDefault="00D65A4A">
      <w:pPr>
        <w:pStyle w:val="BodyText"/>
        <w:ind w:left="2798"/>
        <w:rPr>
          <w:rFonts w:ascii="Times New Roman"/>
          <w:sz w:val="20"/>
        </w:rPr>
      </w:pPr>
      <w:r>
        <w:rPr>
          <w:rFonts w:ascii="Times New Roman"/>
          <w:noProof/>
          <w:sz w:val="20"/>
          <w:lang w:bidi="ar-SA"/>
        </w:rPr>
        <w:drawing>
          <wp:inline distT="0" distB="0" distL="0" distR="0" wp14:anchorId="721FC986" wp14:editId="4882FD56">
            <wp:extent cx="2880984" cy="11338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880984" cy="1133855"/>
                    </a:xfrm>
                    <a:prstGeom prst="rect">
                      <a:avLst/>
                    </a:prstGeom>
                  </pic:spPr>
                </pic:pic>
              </a:graphicData>
            </a:graphic>
          </wp:inline>
        </w:drawing>
      </w:r>
    </w:p>
    <w:p w14:paraId="63792BD1" w14:textId="77777777" w:rsidR="00C93C3A" w:rsidRDefault="00C93C3A">
      <w:pPr>
        <w:pStyle w:val="BodyText"/>
        <w:rPr>
          <w:rFonts w:ascii="Times New Roman"/>
          <w:sz w:val="20"/>
        </w:rPr>
      </w:pPr>
    </w:p>
    <w:p w14:paraId="3A92CA51" w14:textId="77777777" w:rsidR="00C93C3A" w:rsidRDefault="00C93C3A">
      <w:pPr>
        <w:pStyle w:val="BodyText"/>
        <w:rPr>
          <w:rFonts w:ascii="Times New Roman"/>
          <w:sz w:val="20"/>
        </w:rPr>
      </w:pPr>
    </w:p>
    <w:p w14:paraId="2C6853A7" w14:textId="77777777" w:rsidR="00C93C3A" w:rsidRDefault="00C93C3A">
      <w:pPr>
        <w:pStyle w:val="BodyText"/>
        <w:rPr>
          <w:rFonts w:ascii="Times New Roman"/>
          <w:sz w:val="20"/>
        </w:rPr>
      </w:pPr>
    </w:p>
    <w:p w14:paraId="395DF96C" w14:textId="77777777" w:rsidR="00C93C3A" w:rsidRDefault="00C93C3A">
      <w:pPr>
        <w:pStyle w:val="BodyText"/>
        <w:rPr>
          <w:rFonts w:ascii="Times New Roman"/>
          <w:sz w:val="20"/>
        </w:rPr>
      </w:pPr>
    </w:p>
    <w:p w14:paraId="336BE5BD" w14:textId="77777777" w:rsidR="005A6E02" w:rsidRDefault="005A6E02" w:rsidP="001D7BC5">
      <w:pPr>
        <w:spacing w:line="1342" w:lineRule="exact"/>
        <w:jc w:val="center"/>
        <w:rPr>
          <w:rFonts w:asciiTheme="minorHAnsi" w:hAnsiTheme="minorHAnsi" w:cstheme="minorHAnsi"/>
          <w:sz w:val="110"/>
        </w:rPr>
      </w:pPr>
    </w:p>
    <w:p w14:paraId="7599095F" w14:textId="222D72E5" w:rsidR="005A6E02" w:rsidRPr="00D759DB" w:rsidRDefault="005A6E02" w:rsidP="00D759DB">
      <w:pPr>
        <w:spacing w:line="360" w:lineRule="auto"/>
        <w:jc w:val="center"/>
        <w:rPr>
          <w:rFonts w:asciiTheme="minorHAnsi" w:hAnsiTheme="minorHAnsi" w:cstheme="minorHAnsi"/>
          <w:b/>
          <w:bCs/>
          <w:sz w:val="40"/>
          <w:szCs w:val="40"/>
        </w:rPr>
      </w:pPr>
      <w:r w:rsidRPr="00D759DB">
        <w:rPr>
          <w:rFonts w:asciiTheme="minorHAnsi" w:hAnsiTheme="minorHAnsi" w:cstheme="minorHAnsi"/>
          <w:b/>
          <w:bCs/>
          <w:sz w:val="40"/>
          <w:szCs w:val="40"/>
        </w:rPr>
        <w:t>B</w:t>
      </w:r>
      <w:r w:rsidR="00D665AB">
        <w:rPr>
          <w:rFonts w:asciiTheme="minorHAnsi" w:hAnsiTheme="minorHAnsi" w:cstheme="minorHAnsi"/>
          <w:b/>
          <w:bCs/>
          <w:sz w:val="40"/>
          <w:szCs w:val="40"/>
        </w:rPr>
        <w:t>MNS4008</w:t>
      </w:r>
    </w:p>
    <w:p w14:paraId="0CD65B23" w14:textId="40902D8C" w:rsidR="00D759DB" w:rsidRDefault="00D665AB" w:rsidP="002D2E30">
      <w:pPr>
        <w:spacing w:line="360" w:lineRule="auto"/>
        <w:jc w:val="center"/>
        <w:rPr>
          <w:rFonts w:asciiTheme="minorHAnsi" w:hAnsiTheme="minorHAnsi" w:cstheme="minorHAnsi"/>
          <w:b/>
          <w:bCs/>
          <w:sz w:val="40"/>
          <w:szCs w:val="40"/>
        </w:rPr>
      </w:pPr>
      <w:r>
        <w:rPr>
          <w:rFonts w:asciiTheme="minorHAnsi" w:hAnsiTheme="minorHAnsi" w:cstheme="minorHAnsi"/>
          <w:b/>
          <w:bCs/>
          <w:sz w:val="40"/>
          <w:szCs w:val="40"/>
        </w:rPr>
        <w:t>Managing Organisations in Nursing</w:t>
      </w:r>
    </w:p>
    <w:p w14:paraId="763037F6" w14:textId="77777777" w:rsidR="00D665AB" w:rsidRPr="002D2E30" w:rsidRDefault="00D665AB" w:rsidP="002D2E30">
      <w:pPr>
        <w:spacing w:line="360" w:lineRule="auto"/>
        <w:jc w:val="center"/>
        <w:rPr>
          <w:rFonts w:asciiTheme="minorHAnsi" w:hAnsiTheme="minorHAnsi" w:cstheme="minorHAnsi"/>
          <w:b/>
          <w:bCs/>
          <w:sz w:val="40"/>
          <w:szCs w:val="40"/>
        </w:rPr>
      </w:pPr>
    </w:p>
    <w:p w14:paraId="2608F448" w14:textId="0620AE35" w:rsidR="00D665AB" w:rsidRDefault="00D665AB" w:rsidP="00C82D10">
      <w:pPr>
        <w:spacing w:line="1342" w:lineRule="exact"/>
        <w:jc w:val="center"/>
        <w:rPr>
          <w:rFonts w:asciiTheme="minorHAnsi" w:hAnsiTheme="minorHAnsi" w:cstheme="minorHAnsi"/>
          <w:sz w:val="110"/>
        </w:rPr>
      </w:pPr>
      <w:r>
        <w:rPr>
          <w:rFonts w:asciiTheme="minorHAnsi" w:hAnsiTheme="minorHAnsi" w:cstheme="minorHAnsi"/>
          <w:sz w:val="110"/>
        </w:rPr>
        <w:t xml:space="preserve">Event </w:t>
      </w:r>
      <w:r w:rsidR="009A3C88">
        <w:rPr>
          <w:rFonts w:asciiTheme="minorHAnsi" w:hAnsiTheme="minorHAnsi" w:cstheme="minorHAnsi"/>
          <w:sz w:val="110"/>
        </w:rPr>
        <w:t xml:space="preserve">Risk </w:t>
      </w:r>
      <w:r>
        <w:rPr>
          <w:rFonts w:asciiTheme="minorHAnsi" w:hAnsiTheme="minorHAnsi" w:cstheme="minorHAnsi"/>
          <w:sz w:val="110"/>
        </w:rPr>
        <w:t>Management</w:t>
      </w:r>
    </w:p>
    <w:p w14:paraId="0381CBE4" w14:textId="0270375F" w:rsidR="00C93C3A" w:rsidRPr="00C82D10" w:rsidRDefault="005C2C7A" w:rsidP="00C82D10">
      <w:pPr>
        <w:spacing w:line="1342" w:lineRule="exact"/>
        <w:jc w:val="center"/>
        <w:rPr>
          <w:rFonts w:asciiTheme="minorHAnsi" w:hAnsiTheme="minorHAnsi" w:cstheme="minorHAnsi"/>
          <w:sz w:val="110"/>
        </w:rPr>
        <w:sectPr w:rsidR="00C93C3A" w:rsidRPr="00C82D10" w:rsidSect="004C35F7">
          <w:footerReference w:type="default" r:id="rId8"/>
          <w:type w:val="continuous"/>
          <w:pgSz w:w="12240" w:h="15840"/>
          <w:pgMar w:top="520" w:right="840" w:bottom="1240" w:left="500" w:header="720" w:footer="1053" w:gutter="0"/>
          <w:pgNumType w:start="1"/>
          <w:cols w:space="720"/>
        </w:sectPr>
      </w:pPr>
      <w:r w:rsidRPr="00B024D1">
        <w:rPr>
          <w:rFonts w:asciiTheme="minorHAnsi" w:hAnsiTheme="minorHAnsi" w:cstheme="minorHAnsi"/>
          <w:sz w:val="110"/>
        </w:rPr>
        <w:t>T</w:t>
      </w:r>
      <w:r w:rsidR="001D7BC5" w:rsidRPr="00B024D1">
        <w:rPr>
          <w:rFonts w:asciiTheme="minorHAnsi" w:hAnsiTheme="minorHAnsi" w:cstheme="minorHAnsi"/>
          <w:sz w:val="110"/>
        </w:rPr>
        <w:t>emplate</w:t>
      </w:r>
    </w:p>
    <w:p w14:paraId="6A4BA33A" w14:textId="7AD5FAEC" w:rsidR="00BC1C53" w:rsidRPr="00B024D1" w:rsidRDefault="4908DBFA"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Bidi"/>
          <w:b/>
          <w:bCs/>
          <w:sz w:val="80"/>
          <w:szCs w:val="80"/>
        </w:rPr>
      </w:pPr>
      <w:r w:rsidRPr="5389109E">
        <w:rPr>
          <w:rFonts w:asciiTheme="minorHAnsi" w:eastAsia="Arial Unicode MS" w:hAnsiTheme="minorHAnsi" w:cstheme="minorBidi"/>
          <w:b/>
          <w:bCs/>
          <w:sz w:val="80"/>
          <w:szCs w:val="80"/>
        </w:rPr>
        <w:t>Title</w:t>
      </w:r>
    </w:p>
    <w:p w14:paraId="02207BC6" w14:textId="77777777" w:rsidR="00BC1C53" w:rsidRPr="00B024D1" w:rsidRDefault="00BC1C53"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Bidi"/>
          <w:b/>
          <w:bCs/>
          <w:sz w:val="80"/>
          <w:szCs w:val="80"/>
        </w:rPr>
      </w:pPr>
    </w:p>
    <w:p w14:paraId="7C7B325E" w14:textId="6378227E" w:rsidR="00BC1C53" w:rsidRPr="00B024D1" w:rsidRDefault="4908DBFA"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Bidi"/>
          <w:sz w:val="80"/>
          <w:szCs w:val="80"/>
        </w:rPr>
      </w:pPr>
      <w:r w:rsidRPr="5389109E">
        <w:rPr>
          <w:rFonts w:asciiTheme="minorHAnsi" w:eastAsia="Arial Unicode MS" w:hAnsiTheme="minorHAnsi" w:cstheme="minorBidi"/>
          <w:b/>
          <w:bCs/>
          <w:sz w:val="80"/>
          <w:szCs w:val="80"/>
        </w:rPr>
        <w:t>Student Number</w:t>
      </w:r>
    </w:p>
    <w:p w14:paraId="2FBC905F" w14:textId="579874C8" w:rsidR="00BC1C53" w:rsidRPr="00B024D1" w:rsidRDefault="00BC1C53"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Bidi"/>
          <w:b/>
          <w:bCs/>
          <w:sz w:val="80"/>
          <w:szCs w:val="80"/>
        </w:rPr>
      </w:pPr>
    </w:p>
    <w:p w14:paraId="72043035" w14:textId="5FA0129A" w:rsidR="00BC1C53" w:rsidRPr="00B024D1" w:rsidRDefault="00BC1C53"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Bidi"/>
          <w:b/>
          <w:bCs/>
          <w:sz w:val="80"/>
          <w:szCs w:val="80"/>
        </w:rPr>
      </w:pPr>
    </w:p>
    <w:p w14:paraId="4EE8B1CD" w14:textId="13DF9E73" w:rsidR="00BC1C53" w:rsidRPr="00B024D1" w:rsidRDefault="00BC1C53"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Bidi"/>
          <w:b/>
          <w:bCs/>
          <w:sz w:val="80"/>
          <w:szCs w:val="80"/>
        </w:rPr>
      </w:pPr>
    </w:p>
    <w:p w14:paraId="49368067" w14:textId="1053243A" w:rsidR="00BC1C53" w:rsidRPr="00B024D1" w:rsidRDefault="4908DBFA"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b/>
          <w:bCs/>
          <w:sz w:val="40"/>
          <w:szCs w:val="40"/>
        </w:rPr>
      </w:pPr>
      <w:r w:rsidRPr="5389109E">
        <w:rPr>
          <w:rFonts w:asciiTheme="minorHAnsi" w:eastAsia="Arial Unicode MS" w:hAnsiTheme="minorHAnsi" w:cstheme="minorBidi"/>
          <w:b/>
          <w:bCs/>
          <w:sz w:val="40"/>
          <w:szCs w:val="40"/>
        </w:rPr>
        <w:t>2204640</w:t>
      </w:r>
    </w:p>
    <w:p w14:paraId="366517B0" w14:textId="59264B02" w:rsidR="00BC1C53" w:rsidRPr="00B024D1" w:rsidRDefault="4908DBFA"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b/>
          <w:bCs/>
          <w:sz w:val="40"/>
          <w:szCs w:val="40"/>
        </w:rPr>
      </w:pPr>
      <w:r w:rsidRPr="5389109E">
        <w:rPr>
          <w:rFonts w:asciiTheme="minorHAnsi" w:eastAsia="Arial Unicode MS" w:hAnsiTheme="minorHAnsi" w:cstheme="minorBidi"/>
          <w:b/>
          <w:bCs/>
          <w:sz w:val="40"/>
          <w:szCs w:val="40"/>
        </w:rPr>
        <w:t xml:space="preserve">Melissa Tavares  </w:t>
      </w:r>
    </w:p>
    <w:p w14:paraId="6C341805" w14:textId="3EFCA05C" w:rsidR="00BC1C53" w:rsidRPr="00B024D1" w:rsidRDefault="00BC1C53"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Bidi"/>
        </w:rPr>
      </w:pPr>
    </w:p>
    <w:p w14:paraId="243A5E2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p w14:paraId="314AC450" w14:textId="77777777" w:rsidR="005C2C7A" w:rsidRPr="00B024D1" w:rsidRDefault="005C2C7A" w:rsidP="005C2C7A">
      <w:pPr>
        <w:rPr>
          <w:rFonts w:asciiTheme="minorHAnsi" w:eastAsia="Times New Roman" w:hAnsiTheme="minorHAnsi" w:cstheme="minorHAnsi"/>
          <w:sz w:val="20"/>
          <w:szCs w:val="20"/>
        </w:rPr>
      </w:pPr>
      <w:r w:rsidRPr="00B024D1">
        <w:rPr>
          <w:rFonts w:asciiTheme="minorHAnsi" w:eastAsia="Times New Roman" w:hAnsiTheme="minorHAnsi" w:cstheme="minorHAnsi"/>
          <w:sz w:val="20"/>
          <w:szCs w:val="20"/>
        </w:rPr>
        <w:br w:type="page"/>
      </w:r>
    </w:p>
    <w:p w14:paraId="1C59F28D" w14:textId="77777777" w:rsidR="005C2C7A" w:rsidRPr="00B024D1" w:rsidRDefault="005C2C7A"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Bidi"/>
          <w:b/>
          <w:bCs/>
          <w:sz w:val="80"/>
          <w:szCs w:val="80"/>
          <w:u w:val="single"/>
        </w:rPr>
      </w:pPr>
    </w:p>
    <w:p w14:paraId="0E68BB5E" w14:textId="507621C1" w:rsidR="005C2C7A" w:rsidRPr="00B024D1" w:rsidRDefault="7A601175"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b/>
          <w:bCs/>
          <w:i/>
          <w:iCs/>
          <w:sz w:val="32"/>
          <w:szCs w:val="32"/>
          <w:u w:val="single"/>
        </w:rPr>
      </w:pPr>
      <w:r w:rsidRPr="5389109E">
        <w:rPr>
          <w:rFonts w:asciiTheme="minorHAnsi" w:eastAsia="Arial Unicode MS" w:hAnsiTheme="minorHAnsi" w:cstheme="minorBidi"/>
          <w:b/>
          <w:bCs/>
          <w:i/>
          <w:iCs/>
          <w:sz w:val="32"/>
          <w:szCs w:val="32"/>
          <w:u w:val="single"/>
        </w:rPr>
        <w:t>Introduction</w:t>
      </w:r>
    </w:p>
    <w:p w14:paraId="7A31C95B" w14:textId="25438D19" w:rsidR="5389109E" w:rsidRDefault="5389109E"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b/>
          <w:bCs/>
          <w:i/>
          <w:iCs/>
          <w:sz w:val="32"/>
          <w:szCs w:val="32"/>
          <w:u w:val="single"/>
        </w:rPr>
      </w:pPr>
    </w:p>
    <w:p w14:paraId="54F7595B" w14:textId="1D9AFD31" w:rsidR="4943C724" w:rsidRDefault="4943C724" w:rsidP="5389109E">
      <w:pPr>
        <w:spacing w:after="160" w:line="279" w:lineRule="auto"/>
        <w:rPr>
          <w:rFonts w:ascii="Aptos" w:eastAsia="Aptos" w:hAnsi="Aptos" w:cs="Aptos"/>
          <w:color w:val="000000" w:themeColor="text1"/>
          <w:sz w:val="24"/>
          <w:szCs w:val="24"/>
        </w:rPr>
      </w:pPr>
      <w:r w:rsidRPr="5389109E">
        <w:rPr>
          <w:rFonts w:ascii="Aptos" w:eastAsia="Aptos" w:hAnsi="Aptos" w:cs="Aptos"/>
          <w:color w:val="000000" w:themeColor="text1"/>
          <w:sz w:val="24"/>
          <w:szCs w:val="24"/>
          <w:lang w:val="en-US"/>
        </w:rPr>
        <w:t>This report assesses the risk of the new high dependency dementia unit set up at the local hospital for patients with dementia from the nearest hospitals that will be transported to this new ward unit as there are many risks and hazards associated with impaired patients, for instance their mobility can cause a greater hazard for everything around them and they tend to be confused so everything must be double checked and safe proofed such as locked window or railed beds anything that can benefit their safety, including transport safety therefore all risks must be assessed before taking on these patients to ensure no laws are being broken and they are being taken care of accordingly whilst implementing these regulations.</w:t>
      </w:r>
    </w:p>
    <w:p w14:paraId="45CBA084" w14:textId="62E85384" w:rsidR="4943C724" w:rsidRDefault="4943C724" w:rsidP="5389109E">
      <w:pPr>
        <w:spacing w:after="160" w:line="279" w:lineRule="auto"/>
        <w:rPr>
          <w:rFonts w:ascii="Aptos" w:eastAsia="Aptos" w:hAnsi="Aptos" w:cs="Aptos"/>
          <w:color w:val="000000" w:themeColor="text1"/>
          <w:sz w:val="24"/>
          <w:szCs w:val="24"/>
        </w:rPr>
      </w:pPr>
      <w:r w:rsidRPr="5389109E">
        <w:rPr>
          <w:rFonts w:ascii="Aptos" w:eastAsia="Aptos" w:hAnsi="Aptos" w:cs="Aptos"/>
          <w:color w:val="000000" w:themeColor="text1"/>
          <w:sz w:val="24"/>
          <w:szCs w:val="24"/>
          <w:lang w:val="en-US"/>
        </w:rPr>
        <w:t>Patients with Dementia are most likely to be aggressive and most likely to get hurt as behavior can sometimes be a symptom of dementia. There are many reasons as to why an individual with dementia may be aggressive. (Dettmore et al 2009). For instance the individual may have many difficulties such as communicating, memory loss, mobility, Their mental health and physical health may be a factor impacting the way the patient acts, for instance they may have pain or discomfort and may not know how to communicate that to the workers, leaving them agitated as they may not be able to understand or inform the nurses about their symptoms which can cause many issues. These symptoms can cause an issue in transportation as the transport providers may not be trained to deal with patients with dementia who may be confused and lost (IOP, 2019). Unit Wards have an obligation to ensure the safety of the patients and offer them and others around them instructions, whether it is in the hospital or on transport(NHS, 2019), It is very important to identify the risk and safety precautions for the safety of the patients and to offer the best quality care the hospital can offer as neighboring hospitals are trusting other hospitals with their patients (Dean, A 2022), However, everything must be done under legislation to ensure no laws are being broken and procedures are being followed.</w:t>
      </w:r>
    </w:p>
    <w:p w14:paraId="1102125C" w14:textId="7C1F8C22" w:rsidR="5389109E" w:rsidRDefault="5389109E"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b/>
          <w:bCs/>
          <w:i/>
          <w:iCs/>
          <w:sz w:val="32"/>
          <w:szCs w:val="32"/>
          <w:u w:val="single"/>
        </w:rPr>
      </w:pPr>
    </w:p>
    <w:p w14:paraId="7C5E674D" w14:textId="280D569F" w:rsidR="5389109E" w:rsidRDefault="5389109E"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b/>
          <w:bCs/>
          <w:i/>
          <w:iCs/>
          <w:sz w:val="32"/>
          <w:szCs w:val="32"/>
        </w:rPr>
      </w:pPr>
    </w:p>
    <w:p w14:paraId="62E8C044"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ab/>
      </w:r>
    </w:p>
    <w:p w14:paraId="1624D69C"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E49D35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13DCB6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0AB138F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4BE30996" w14:textId="76ECDF7A" w:rsidR="005C2C7A" w:rsidRPr="00B024D1" w:rsidRDefault="005C2C7A" w:rsidP="538910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8"/>
          <w:szCs w:val="28"/>
        </w:rPr>
      </w:pPr>
    </w:p>
    <w:p w14:paraId="52F9B886" w14:textId="58FCEC55" w:rsidR="4943C724" w:rsidRDefault="4943C724"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Theme="minorEastAsia" w:hAnsiTheme="minorHAnsi" w:cstheme="minorBidi"/>
          <w:b/>
          <w:bCs/>
          <w:i/>
          <w:iCs/>
          <w:sz w:val="28"/>
          <w:szCs w:val="28"/>
          <w:u w:val="single"/>
        </w:rPr>
      </w:pPr>
      <w:r w:rsidRPr="0A3FCF6E">
        <w:rPr>
          <w:rFonts w:asciiTheme="minorHAnsi" w:eastAsiaTheme="minorEastAsia" w:hAnsiTheme="minorHAnsi" w:cstheme="minorBidi"/>
          <w:b/>
          <w:bCs/>
          <w:i/>
          <w:iCs/>
          <w:sz w:val="28"/>
          <w:szCs w:val="28"/>
          <w:u w:val="single"/>
        </w:rPr>
        <w:t>method</w:t>
      </w:r>
    </w:p>
    <w:p w14:paraId="43B12260" w14:textId="77777777" w:rsidR="006463FE" w:rsidRPr="006463FE" w:rsidRDefault="006463FE"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r w:rsidRPr="0A3FCF6E">
        <w:rPr>
          <w:rFonts w:asciiTheme="minorHAnsi" w:eastAsia="Arial Unicode MS" w:hAnsiTheme="minorHAnsi" w:cstheme="minorBidi"/>
          <w:sz w:val="24"/>
          <w:szCs w:val="24"/>
        </w:rPr>
        <w:t>The method picked is the four-step process which ‘according to Minett, A (2021) health and safety risk assessments are verifying important to ensure the safety of the workers and patients. He states that risk assessments enable organizations to conduct processes to prevent risks from happening. According to Minett, the risk assessment process should be to identify hazards that could harm or cause illness to others. The second step is to assess the risk and determine the likelihood and potential risks of each risk, to then act by implementing safety measures to minimize the risk for happening or stop it from happening. The last step is to then review the implemented safety measures to ensure it has minimized or tackled the risk completely or if it has caused a greater risk which would need more adjustments.</w:t>
      </w:r>
    </w:p>
    <w:p w14:paraId="7D80A0FA" w14:textId="77777777" w:rsidR="006463FE" w:rsidRPr="006463FE" w:rsidRDefault="006463FE"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r w:rsidRPr="0A3FCF6E">
        <w:rPr>
          <w:rFonts w:asciiTheme="minorHAnsi" w:eastAsia="Arial Unicode MS" w:hAnsiTheme="minorHAnsi" w:cstheme="minorBidi"/>
          <w:sz w:val="24"/>
          <w:szCs w:val="24"/>
        </w:rPr>
        <w:t xml:space="preserve">Therefore, the hazard identified is the patient being most likely to wander off and transportation being a safety concern as transportation is very limited as patients with dementia do not often get access to private transport which can arise the safety concerns as patients with dementia have a major difficulty navigating by themselves due to the lack of understanding they have trouble with processing information which can easily cause them to get hurt(Pinches, E, 2021). </w:t>
      </w:r>
    </w:p>
    <w:p w14:paraId="4AAC8A6F" w14:textId="77777777" w:rsidR="006463FE" w:rsidRPr="006463FE" w:rsidRDefault="006463FE"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r w:rsidRPr="0A3FCF6E">
        <w:rPr>
          <w:rFonts w:asciiTheme="minorHAnsi" w:eastAsia="Arial Unicode MS" w:hAnsiTheme="minorHAnsi" w:cstheme="minorBidi"/>
          <w:sz w:val="24"/>
          <w:szCs w:val="24"/>
        </w:rPr>
        <w:t xml:space="preserve">However since the patients are being transferred to the nearest hospitals they must und a way to ensure they get to their destination safely and unharmed, also measures must be implemented in the hospital as patients are more likely to also wander off in the hospital not just transportation as they might not know how to communicate with the staff and find where they want to be on their own which can cause them to be lost or to injure themselves depending on their mobility and the risks around them.  </w:t>
      </w:r>
    </w:p>
    <w:p w14:paraId="5847A8A7" w14:textId="77777777" w:rsidR="006463FE" w:rsidRPr="006463FE" w:rsidRDefault="006463FE"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r w:rsidRPr="0A3FCF6E">
        <w:rPr>
          <w:rFonts w:asciiTheme="minorHAnsi" w:eastAsia="Arial Unicode MS" w:hAnsiTheme="minorHAnsi" w:cstheme="minorBidi"/>
          <w:sz w:val="24"/>
          <w:szCs w:val="24"/>
        </w:rPr>
        <w:t>Assessing the risk can involve cognitive assessment to determine the level of impairment each patient has therefore the staff know which patients are struggling mire and offer support they can do this by trying the mmse which is the mini- mental state examination (OME, 2022) therefore they know which ones to keep a closer eye on. The likely hood and potential impact of this risk is high as it can be seen on the risk assessment register and may not just affect the patient but others around the individual. This can affect others as known patients with dementia are most likely to be aggressive as they struggle with process information which causes them to become confused on where they are and causes them to self-defend themselves (Bjorklof et al, 2019). According to Zimmerman, s. and Fazio, s. (2022) control measures are used to ensure safety and better-quality care by implementing methods, introducing and reviewing procedures to ensure appropriate measures are being set in place. Therefore, a control measure implemented for this risk/hazard is modifying the environmentt to the ppatient'sability, for instance securing exits by installing locks on windows or applying more CCTV in the patients area and applying alarms on the doors to stop the patient from wondering off without alerting someone. According to Redcrier (2017) specialized training should also be provided as an implemented safety measure as it can prevent them from wandering off as it can understand their challenging news that they may face with dementia such as memory loss, by offering specialized training, transportation providers can offer support and can learn to deal with the challenges impaired patients face. For instance, they can learn to interact with them using a clear and understanding communication to help the patient get to their destination safely in supportive environment for their well-being or ensuring that the transportation exits are safe so that the patient doesn't just wander off (Department of health, 2000). Being in a non-supportive or calming environment might allow the patient to become frightened and aggressive therefore it is very important these measure and training are put into place, so it is easier for people to recognize these signs and help the patient out.</w:t>
      </w:r>
    </w:p>
    <w:p w14:paraId="203F98B1" w14:textId="191A4724" w:rsidR="005C2C7A" w:rsidRDefault="006463FE"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r w:rsidRPr="0A3FCF6E">
        <w:rPr>
          <w:rFonts w:asciiTheme="minorHAnsi" w:eastAsia="Arial Unicode MS" w:hAnsiTheme="minorHAnsi" w:cstheme="minorBidi"/>
          <w:sz w:val="24"/>
          <w:szCs w:val="24"/>
        </w:rPr>
        <w:t>The patient should then be reviewed and monitored sometimes to ensure the effectiveness of the control measures implemen</w:t>
      </w:r>
      <w:r w:rsidR="6202AA9B" w:rsidRPr="0A3FCF6E">
        <w:rPr>
          <w:rFonts w:asciiTheme="minorHAnsi" w:eastAsia="Arial Unicode MS" w:hAnsiTheme="minorHAnsi" w:cstheme="minorBidi"/>
          <w:sz w:val="24"/>
          <w:szCs w:val="24"/>
        </w:rPr>
        <w:t>t</w:t>
      </w:r>
      <w:r w:rsidRPr="0A3FCF6E">
        <w:rPr>
          <w:rFonts w:asciiTheme="minorHAnsi" w:eastAsia="Arial Unicode MS" w:hAnsiTheme="minorHAnsi" w:cstheme="minorBidi"/>
          <w:sz w:val="24"/>
          <w:szCs w:val="24"/>
        </w:rPr>
        <w:t>ed (Vincent, C et al 2014). For instance, to ensure transportation providers are being trained enough and have ensure patients get to their destination safely and that the patients are being communicated with well in the transportation and hospital so that they are able to understand where the patient is trying to go. This also includes inspections of wards and transport to ensure that the alarms and locked windows have kept the patients safe from wandering off and causing themselves harm. Therefore, it is very important to review if the measures have benefited the safety of the patients and others as if it has not then the implemented risks must be monitored to ensure that the risks haven't become more severe and have changed (Pantaleon, 2019) Otherwise more adjustments must be made to tackle this problem and offer the best quality care.</w:t>
      </w:r>
    </w:p>
    <w:p w14:paraId="2DB6C292" w14:textId="77777777" w:rsidR="006463FE" w:rsidRDefault="006463FE"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p>
    <w:p w14:paraId="29ED5DC8" w14:textId="77777777" w:rsidR="006463FE" w:rsidRDefault="006463F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5C12E029" w14:textId="77777777" w:rsidR="006463FE" w:rsidRDefault="006463F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CC1664D" w14:textId="77777777" w:rsidR="006463FE" w:rsidRDefault="006463F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06A1B4A5" w14:textId="49CA1804" w:rsidR="006463FE" w:rsidRDefault="006463FE"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40"/>
          <w:szCs w:val="40"/>
        </w:rPr>
      </w:pPr>
    </w:p>
    <w:p w14:paraId="7D0C9D07" w14:textId="5C828979" w:rsidR="006463FE" w:rsidRDefault="006463FE"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b/>
          <w:bCs/>
          <w:i/>
          <w:iCs/>
          <w:sz w:val="28"/>
          <w:szCs w:val="28"/>
          <w:u w:val="single"/>
        </w:rPr>
      </w:pPr>
      <w:r w:rsidRPr="0A3FCF6E">
        <w:rPr>
          <w:rFonts w:asciiTheme="minorHAnsi" w:eastAsia="Arial Unicode MS" w:hAnsiTheme="minorHAnsi" w:cstheme="minorBidi"/>
          <w:b/>
          <w:bCs/>
          <w:i/>
          <w:iCs/>
          <w:sz w:val="28"/>
          <w:szCs w:val="28"/>
          <w:u w:val="single"/>
        </w:rPr>
        <w:t xml:space="preserve">Compliance </w:t>
      </w:r>
    </w:p>
    <w:p w14:paraId="47EF3CAB" w14:textId="77777777" w:rsidR="006463FE" w:rsidRDefault="006463F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475E1FB6" w14:textId="77777777" w:rsidR="000D4CA4" w:rsidRPr="000D4CA4" w:rsidRDefault="000D4CA4" w:rsidP="000D4C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00F376BE" w14:textId="77777777" w:rsidR="000D4CA4" w:rsidRPr="000D4CA4" w:rsidRDefault="000D4CA4"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r w:rsidRPr="0A3FCF6E">
        <w:rPr>
          <w:rFonts w:asciiTheme="minorHAnsi" w:eastAsia="Arial Unicode MS" w:hAnsiTheme="minorHAnsi" w:cstheme="minorBidi"/>
          <w:sz w:val="24"/>
          <w:szCs w:val="24"/>
        </w:rPr>
        <w:t>When conducting this risk assessment, it's important to consider any relevant legislative requirements to ensure compliance. For instance, evaluating legal obligations to help evaluate legal responsibilities under important legislation to ensure these measures are appropriate and that it complies with the law (legislation, 2024). Regulations must be identified and able to be apply into the aspects of the risk assessment, in other words legislations must be found that is relevant to the situation, for instance environmental regulations, health and safety laws or any other laws that are relevant. According to Risk optics (2023) companies should analyze classification of risk in health, which can be split up into different categories.</w:t>
      </w:r>
    </w:p>
    <w:p w14:paraId="171F0089" w14:textId="77777777" w:rsidR="000D4CA4" w:rsidRPr="000D4CA4" w:rsidRDefault="000D4CA4"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r w:rsidRPr="0A3FCF6E">
        <w:rPr>
          <w:rFonts w:asciiTheme="minorHAnsi" w:eastAsia="Arial Unicode MS" w:hAnsiTheme="minorHAnsi" w:cstheme="minorBidi"/>
          <w:sz w:val="24"/>
          <w:szCs w:val="24"/>
        </w:rPr>
        <w:t>A category may be legal/ regulatory impact which means the company may face penalties and fines due to violating the law or compliance requirements needed to tackle their issues. Client/ patient safety which includes problems like medication errors, in other words failing to follow evidence based approaches, technological which covers the all the tools needed to ensure that everything flows smoothy and correctly, operational which is risks related to management, for instance poor management or not having enough staff to ensure all patients are being looked after fairly. Another category may be the reputational impact which can damage the organizational image which can cause staff to be fired and hospital wards to be shut down. In other words, a compliance risk assessment is a methodological procedure for the legal requirements to come into place.</w:t>
      </w:r>
    </w:p>
    <w:p w14:paraId="1B645360" w14:textId="77777777" w:rsidR="000D4CA4" w:rsidRPr="000D4CA4" w:rsidRDefault="000D4CA4"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r w:rsidRPr="0A3FCF6E">
        <w:rPr>
          <w:rFonts w:asciiTheme="minorHAnsi" w:eastAsia="Arial Unicode MS" w:hAnsiTheme="minorHAnsi" w:cstheme="minorBidi"/>
          <w:sz w:val="24"/>
          <w:szCs w:val="24"/>
        </w:rPr>
        <w:t xml:space="preserve">For instance the health and safety at work  act (1974) complies with the risk assessed as control measures have been identified with the patient with dementia being most likely to fall due to their mobility and lack of equipment as training can be provided, this act states that adequate staff training must be offered to ensure health and safety procedures are reviewed and understood. </w:t>
      </w:r>
    </w:p>
    <w:p w14:paraId="72DF536A" w14:textId="77777777" w:rsidR="000D4CA4" w:rsidRPr="000D4CA4" w:rsidRDefault="000D4CA4"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r w:rsidRPr="0A3FCF6E">
        <w:rPr>
          <w:rFonts w:asciiTheme="minorHAnsi" w:eastAsia="Arial Unicode MS" w:hAnsiTheme="minorHAnsi" w:cstheme="minorBidi"/>
          <w:sz w:val="24"/>
          <w:szCs w:val="24"/>
        </w:rPr>
        <w:t>Another legislation that complies with the measures being implemented from the risk assessment of a patient being most likely to wander off and harming themselves but having enough specialized training according to the patient and modifying the environment around them, complies with the manual handling operations act 2002 as this regulation states it is responsible for workers controlling and minimizing the risk of harm in the work place due to manual handling and explains how to assess and reduce these risks. From not having the right equipment such as window locks or alarms to keeping the patient safe (Lives, H.W 2024).</w:t>
      </w:r>
    </w:p>
    <w:p w14:paraId="7C900147" w14:textId="77777777" w:rsidR="000D4CA4" w:rsidRPr="000D4CA4" w:rsidRDefault="000D4CA4"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r w:rsidRPr="0A3FCF6E">
        <w:rPr>
          <w:rFonts w:asciiTheme="minorHAnsi" w:eastAsia="Arial Unicode MS" w:hAnsiTheme="minorHAnsi" w:cstheme="minorBidi"/>
          <w:sz w:val="24"/>
          <w:szCs w:val="24"/>
        </w:rPr>
        <w:t>Overall, a legislation/ regulation that complies with the risks of leaving the patient agitated and aggressive is the Human right act 1998 which ensure that the voices of the impaired patients are heard so that they don't get agitated when they cant communicate and benefits their wellbeing (institute of human rights, 2021)</w:t>
      </w:r>
    </w:p>
    <w:p w14:paraId="3B8DFB4D" w14:textId="08F503AB" w:rsidR="000D4CA4" w:rsidRPr="000D4CA4" w:rsidRDefault="000D4CA4"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r w:rsidRPr="0A3FCF6E">
        <w:rPr>
          <w:rFonts w:asciiTheme="minorHAnsi" w:eastAsia="Arial Unicode MS" w:hAnsiTheme="minorHAnsi" w:cstheme="minorBidi"/>
          <w:sz w:val="24"/>
          <w:szCs w:val="24"/>
        </w:rPr>
        <w:t>Accoring to Mental capacity act code of practice (2007) regulation that complies with Medication Managemet issues may be the mental capacity act 2005 which ensures treatment is not being done improperly. For instance, giving the wrong medication to the patient is against the law so this regulation protects the patients and provides a safe environment for the patient and it also depends on the patient taking the medication correctly or abusing the medication which then becomes self-neglect.</w:t>
      </w:r>
    </w:p>
    <w:p w14:paraId="50EE9236" w14:textId="77777777" w:rsidR="000D4CA4" w:rsidRPr="000D4CA4" w:rsidRDefault="000D4CA4"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p>
    <w:p w14:paraId="6B6C0844" w14:textId="77777777" w:rsidR="000D4CA4" w:rsidRPr="000D4CA4" w:rsidRDefault="000D4CA4"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24"/>
          <w:szCs w:val="24"/>
        </w:rPr>
      </w:pPr>
      <w:r w:rsidRPr="0A3FCF6E">
        <w:rPr>
          <w:rFonts w:asciiTheme="minorHAnsi" w:eastAsia="Arial Unicode MS" w:hAnsiTheme="minorHAnsi" w:cstheme="minorBidi"/>
          <w:sz w:val="24"/>
          <w:szCs w:val="24"/>
        </w:rPr>
        <w:t>Therefore, the legislation/regulations act must be followed whilst implementing these measures to ensure no legal action is taken towards the hospital for not reviewing these laws and that the patients are being taken care of correctly.</w:t>
      </w:r>
    </w:p>
    <w:p w14:paraId="2A861310" w14:textId="77777777" w:rsidR="000D4CA4" w:rsidRPr="000D4CA4" w:rsidRDefault="000D4CA4" w:rsidP="000D4C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7496181D" w14:textId="77777777" w:rsidR="000D4CA4" w:rsidRPr="000D4CA4" w:rsidRDefault="000D4CA4" w:rsidP="000D4C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3D27FF6E" w14:textId="77777777" w:rsidR="000D4CA4" w:rsidRPr="000D4CA4" w:rsidRDefault="000D4CA4" w:rsidP="000D4C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427EF235" w14:textId="77777777" w:rsidR="000D4CA4" w:rsidRPr="000D4CA4" w:rsidRDefault="000D4CA4" w:rsidP="000D4C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0CB99ABD" w14:textId="77777777" w:rsidR="006463FE" w:rsidRDefault="006463F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415881C0" w14:textId="77777777" w:rsidR="000D4CA4" w:rsidRDefault="000D4CA4"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41959626" w14:textId="77777777" w:rsidR="0007524A" w:rsidRPr="0007524A" w:rsidRDefault="0007524A" w:rsidP="000752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0DA5ACAC" w14:textId="4A573F3F" w:rsidR="0016282F" w:rsidRDefault="0016282F"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Bidi"/>
          <w:sz w:val="40"/>
          <w:szCs w:val="40"/>
        </w:rPr>
        <w:sectPr w:rsidR="0016282F" w:rsidSect="004C35F7">
          <w:headerReference w:type="default" r:id="rId9"/>
          <w:footerReference w:type="default" r:id="rId10"/>
          <w:pgSz w:w="11906" w:h="16838"/>
          <w:pgMar w:top="1440" w:right="1440" w:bottom="1440" w:left="1440" w:header="708" w:footer="708" w:gutter="0"/>
          <w:cols w:space="708"/>
          <w:docGrid w:linePitch="360"/>
        </w:sectPr>
      </w:pPr>
    </w:p>
    <w:p w14:paraId="6A11D7AC" w14:textId="02A05C6A"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r>
        <w:rPr>
          <w:rFonts w:asciiTheme="minorHAnsi" w:eastAsia="Arial Unicode MS" w:hAnsiTheme="minorHAnsi" w:cstheme="minorHAnsi"/>
          <w:b/>
          <w:sz w:val="28"/>
          <w:szCs w:val="28"/>
        </w:rPr>
        <w:t>4. RISK ASSESSMENT REGISTER</w:t>
      </w:r>
    </w:p>
    <w:p w14:paraId="5D060A13" w14:textId="4BBD6441"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3BBBEAEE" w14:textId="333073B8"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64D429B7" w14:textId="77777777"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21AAD604" w14:textId="25921B20"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tbl>
      <w:tblPr>
        <w:tblW w:w="1361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528"/>
        <w:gridCol w:w="1985"/>
        <w:gridCol w:w="1701"/>
        <w:gridCol w:w="1843"/>
        <w:gridCol w:w="1987"/>
      </w:tblGrid>
      <w:tr w:rsidR="0016282F" w14:paraId="74DC351F" w14:textId="77777777" w:rsidTr="5389109E">
        <w:trPr>
          <w:trHeight w:val="322"/>
        </w:trPr>
        <w:tc>
          <w:tcPr>
            <w:tcW w:w="568" w:type="dxa"/>
            <w:tcBorders>
              <w:top w:val="single" w:sz="4" w:space="0" w:color="auto"/>
              <w:left w:val="single" w:sz="4" w:space="0" w:color="auto"/>
              <w:bottom w:val="single" w:sz="4" w:space="0" w:color="auto"/>
              <w:right w:val="single" w:sz="4" w:space="0" w:color="auto"/>
            </w:tcBorders>
            <w:shd w:val="clear" w:color="auto" w:fill="C0C0C0"/>
            <w:hideMark/>
          </w:tcPr>
          <w:p w14:paraId="0DB7F86E" w14:textId="77777777" w:rsidR="0016282F" w:rsidRDefault="0016282F">
            <w:pPr>
              <w:jc w:val="center"/>
              <w:rPr>
                <w:rFonts w:ascii="Arial" w:hAnsi="Arial" w:cs="Arial"/>
              </w:rPr>
            </w:pPr>
            <w:r>
              <w:rPr>
                <w:rFonts w:ascii="Arial" w:hAnsi="Arial" w:cs="Arial"/>
              </w:rPr>
              <w:t>Ref</w:t>
            </w:r>
          </w:p>
        </w:tc>
        <w:tc>
          <w:tcPr>
            <w:tcW w:w="5528" w:type="dxa"/>
            <w:tcBorders>
              <w:top w:val="single" w:sz="4" w:space="0" w:color="auto"/>
              <w:left w:val="single" w:sz="4" w:space="0" w:color="auto"/>
              <w:bottom w:val="single" w:sz="4" w:space="0" w:color="auto"/>
              <w:right w:val="single" w:sz="4" w:space="0" w:color="auto"/>
            </w:tcBorders>
            <w:shd w:val="clear" w:color="auto" w:fill="C0C0C0"/>
            <w:hideMark/>
          </w:tcPr>
          <w:p w14:paraId="65C23FF1" w14:textId="77777777" w:rsidR="0016282F" w:rsidRDefault="0016282F">
            <w:pPr>
              <w:jc w:val="center"/>
              <w:rPr>
                <w:rFonts w:ascii="Arial" w:hAnsi="Arial" w:cs="Arial"/>
              </w:rPr>
            </w:pPr>
            <w:r>
              <w:rPr>
                <w:rFonts w:ascii="Arial" w:hAnsi="Arial" w:cs="Arial"/>
              </w:rPr>
              <w:t>Risk Description</w:t>
            </w:r>
          </w:p>
        </w:tc>
        <w:tc>
          <w:tcPr>
            <w:tcW w:w="1985" w:type="dxa"/>
            <w:tcBorders>
              <w:top w:val="single" w:sz="4" w:space="0" w:color="auto"/>
              <w:left w:val="single" w:sz="4" w:space="0" w:color="auto"/>
              <w:bottom w:val="single" w:sz="4" w:space="0" w:color="auto"/>
              <w:right w:val="single" w:sz="4" w:space="0" w:color="auto"/>
            </w:tcBorders>
            <w:shd w:val="clear" w:color="auto" w:fill="C0C0C0"/>
            <w:hideMark/>
          </w:tcPr>
          <w:p w14:paraId="681BF24A" w14:textId="77777777" w:rsidR="0016282F" w:rsidRDefault="0016282F">
            <w:pPr>
              <w:jc w:val="center"/>
              <w:rPr>
                <w:rFonts w:ascii="Arial" w:hAnsi="Arial" w:cs="Arial"/>
              </w:rPr>
            </w:pPr>
            <w:r>
              <w:rPr>
                <w:rFonts w:ascii="Arial" w:hAnsi="Arial" w:cs="Arial"/>
              </w:rPr>
              <w:t>Likelihood of occurrence (Score 1-5)</w:t>
            </w:r>
          </w:p>
        </w:tc>
        <w:tc>
          <w:tcPr>
            <w:tcW w:w="1701" w:type="dxa"/>
            <w:tcBorders>
              <w:top w:val="single" w:sz="4" w:space="0" w:color="auto"/>
              <w:left w:val="single" w:sz="4" w:space="0" w:color="auto"/>
              <w:bottom w:val="single" w:sz="4" w:space="0" w:color="auto"/>
              <w:right w:val="single" w:sz="4" w:space="0" w:color="auto"/>
            </w:tcBorders>
            <w:shd w:val="clear" w:color="auto" w:fill="C0C0C0"/>
            <w:hideMark/>
          </w:tcPr>
          <w:p w14:paraId="132AF6C0" w14:textId="77777777" w:rsidR="0016282F" w:rsidRDefault="0016282F">
            <w:pPr>
              <w:jc w:val="center"/>
              <w:rPr>
                <w:rFonts w:ascii="Arial" w:hAnsi="Arial" w:cs="Arial"/>
              </w:rPr>
            </w:pPr>
            <w:r>
              <w:rPr>
                <w:rFonts w:ascii="Arial" w:hAnsi="Arial" w:cs="Arial"/>
              </w:rPr>
              <w:t>Impact of Risk occurrence (Score 1-5)</w:t>
            </w:r>
          </w:p>
        </w:tc>
        <w:tc>
          <w:tcPr>
            <w:tcW w:w="1843" w:type="dxa"/>
            <w:tcBorders>
              <w:top w:val="single" w:sz="4" w:space="0" w:color="auto"/>
              <w:left w:val="single" w:sz="4" w:space="0" w:color="auto"/>
              <w:bottom w:val="single" w:sz="4" w:space="0" w:color="auto"/>
              <w:right w:val="single" w:sz="4" w:space="0" w:color="auto"/>
            </w:tcBorders>
            <w:shd w:val="clear" w:color="auto" w:fill="C0C0C0"/>
            <w:hideMark/>
          </w:tcPr>
          <w:p w14:paraId="7248CC82" w14:textId="77777777" w:rsidR="0016282F" w:rsidRDefault="0016282F">
            <w:pPr>
              <w:jc w:val="center"/>
              <w:rPr>
                <w:rFonts w:ascii="Arial" w:hAnsi="Arial" w:cs="Arial"/>
              </w:rPr>
            </w:pPr>
            <w:r>
              <w:rPr>
                <w:rFonts w:ascii="Arial" w:hAnsi="Arial" w:cs="Arial"/>
              </w:rPr>
              <w:t>Risk Score (Likelihood x Occurrence)</w:t>
            </w:r>
          </w:p>
        </w:tc>
        <w:tc>
          <w:tcPr>
            <w:tcW w:w="1987" w:type="dxa"/>
            <w:tcBorders>
              <w:top w:val="single" w:sz="4" w:space="0" w:color="auto"/>
              <w:left w:val="single" w:sz="4" w:space="0" w:color="auto"/>
              <w:bottom w:val="single" w:sz="4" w:space="0" w:color="auto"/>
              <w:right w:val="single" w:sz="4" w:space="0" w:color="auto"/>
            </w:tcBorders>
            <w:shd w:val="clear" w:color="auto" w:fill="C0C0C0"/>
            <w:hideMark/>
          </w:tcPr>
          <w:p w14:paraId="6DDA903C" w14:textId="77777777" w:rsidR="0016282F" w:rsidRDefault="0016282F">
            <w:pPr>
              <w:jc w:val="center"/>
              <w:rPr>
                <w:rFonts w:ascii="Arial" w:hAnsi="Arial" w:cs="Arial"/>
              </w:rPr>
            </w:pPr>
            <w:r>
              <w:rPr>
                <w:rFonts w:ascii="Arial" w:hAnsi="Arial" w:cs="Arial"/>
              </w:rPr>
              <w:t>Risk Severity (High, Medium, or Low)</w:t>
            </w:r>
          </w:p>
        </w:tc>
      </w:tr>
      <w:tr w:rsidR="0016282F" w14:paraId="2756C93C" w14:textId="77777777" w:rsidTr="5389109E">
        <w:trPr>
          <w:trHeight w:val="659"/>
        </w:trPr>
        <w:tc>
          <w:tcPr>
            <w:tcW w:w="568" w:type="dxa"/>
            <w:tcBorders>
              <w:top w:val="single" w:sz="4" w:space="0" w:color="auto"/>
              <w:left w:val="single" w:sz="4" w:space="0" w:color="auto"/>
              <w:bottom w:val="single" w:sz="4" w:space="0" w:color="auto"/>
              <w:right w:val="single" w:sz="4" w:space="0" w:color="auto"/>
            </w:tcBorders>
          </w:tcPr>
          <w:p w14:paraId="3EEED2AF" w14:textId="77777777" w:rsidR="0016282F" w:rsidRDefault="0016282F">
            <w:pPr>
              <w:rPr>
                <w:rFonts w:ascii="Arial" w:hAnsi="Arial" w:cs="Arial"/>
              </w:rPr>
            </w:pPr>
          </w:p>
          <w:p w14:paraId="6B15571E" w14:textId="77777777" w:rsidR="0016282F" w:rsidRDefault="0016282F">
            <w:pPr>
              <w:rPr>
                <w:rFonts w:ascii="Arial" w:hAnsi="Arial" w:cs="Arial"/>
              </w:rPr>
            </w:pPr>
            <w:r>
              <w:rPr>
                <w:rFonts w:ascii="Arial" w:hAnsi="Arial" w:cs="Arial"/>
              </w:rPr>
              <w:t>1</w:t>
            </w:r>
          </w:p>
        </w:tc>
        <w:tc>
          <w:tcPr>
            <w:tcW w:w="5528" w:type="dxa"/>
            <w:tcBorders>
              <w:top w:val="single" w:sz="4" w:space="0" w:color="auto"/>
              <w:left w:val="single" w:sz="4" w:space="0" w:color="auto"/>
              <w:bottom w:val="single" w:sz="4" w:space="0" w:color="auto"/>
              <w:right w:val="single" w:sz="4" w:space="0" w:color="auto"/>
            </w:tcBorders>
          </w:tcPr>
          <w:p w14:paraId="2CBC080B" w14:textId="605DE7B3" w:rsidR="0016282F" w:rsidRDefault="121AB959">
            <w:pPr>
              <w:rPr>
                <w:rFonts w:ascii="Arial" w:hAnsi="Arial" w:cs="Arial"/>
              </w:rPr>
            </w:pPr>
            <w:r w:rsidRPr="5389109E">
              <w:rPr>
                <w:rFonts w:ascii="Arial" w:hAnsi="Arial" w:cs="Arial"/>
              </w:rPr>
              <w:t xml:space="preserve">More likely to fall due to a variety of factors, including the </w:t>
            </w:r>
            <w:r w:rsidR="451B09A3" w:rsidRPr="5389109E">
              <w:rPr>
                <w:rFonts w:ascii="Arial" w:hAnsi="Arial" w:cs="Arial"/>
              </w:rPr>
              <w:t>patient's</w:t>
            </w:r>
            <w:r w:rsidRPr="5389109E">
              <w:rPr>
                <w:rFonts w:ascii="Arial" w:hAnsi="Arial" w:cs="Arial"/>
              </w:rPr>
              <w:t xml:space="preserve"> mobility</w:t>
            </w:r>
            <w:r w:rsidR="0CDCBAD6" w:rsidRPr="5389109E">
              <w:rPr>
                <w:rFonts w:ascii="Arial" w:hAnsi="Arial" w:cs="Arial"/>
              </w:rPr>
              <w:t xml:space="preserve"> which can be worsen due to transportation</w:t>
            </w:r>
            <w:r w:rsidR="26376240" w:rsidRPr="5389109E">
              <w:rPr>
                <w:rFonts w:ascii="Arial" w:hAnsi="Arial" w:cs="Arial"/>
              </w:rPr>
              <w:t xml:space="preserve">, being continent or incontinent and lack of </w:t>
            </w:r>
            <w:r w:rsidR="52710D62" w:rsidRPr="5389109E">
              <w:rPr>
                <w:rFonts w:ascii="Arial" w:hAnsi="Arial" w:cs="Arial"/>
              </w:rPr>
              <w:t>equipment</w:t>
            </w:r>
            <w:r w:rsidR="26376240" w:rsidRPr="5389109E">
              <w:rPr>
                <w:rFonts w:ascii="Arial" w:hAnsi="Arial" w:cs="Arial"/>
              </w:rPr>
              <w:t xml:space="preserve"> </w:t>
            </w:r>
          </w:p>
        </w:tc>
        <w:tc>
          <w:tcPr>
            <w:tcW w:w="1985" w:type="dxa"/>
            <w:tcBorders>
              <w:top w:val="single" w:sz="4" w:space="0" w:color="auto"/>
              <w:left w:val="single" w:sz="4" w:space="0" w:color="auto"/>
              <w:bottom w:val="single" w:sz="4" w:space="0" w:color="auto"/>
              <w:right w:val="single" w:sz="4" w:space="0" w:color="auto"/>
            </w:tcBorders>
          </w:tcPr>
          <w:p w14:paraId="448D686F" w14:textId="63C38A8B" w:rsidR="0016282F" w:rsidRDefault="0E9DD6CD" w:rsidP="5389109E">
            <w:pPr>
              <w:jc w:val="center"/>
              <w:rPr>
                <w:rFonts w:ascii="Arial" w:hAnsi="Arial" w:cs="Arial"/>
              </w:rPr>
            </w:pPr>
            <w:r w:rsidRPr="5389109E">
              <w:rPr>
                <w:rFonts w:ascii="Arial" w:hAnsi="Arial" w:cs="Arial"/>
                <w:b/>
                <w:bCs/>
                <w:sz w:val="40"/>
                <w:szCs w:val="40"/>
              </w:rPr>
              <w:t>3</w:t>
            </w:r>
          </w:p>
        </w:tc>
        <w:tc>
          <w:tcPr>
            <w:tcW w:w="1701" w:type="dxa"/>
            <w:tcBorders>
              <w:top w:val="single" w:sz="4" w:space="0" w:color="auto"/>
              <w:left w:val="single" w:sz="4" w:space="0" w:color="auto"/>
              <w:bottom w:val="single" w:sz="4" w:space="0" w:color="auto"/>
              <w:right w:val="single" w:sz="4" w:space="0" w:color="auto"/>
            </w:tcBorders>
          </w:tcPr>
          <w:p w14:paraId="7FEC4D60" w14:textId="485CFA85" w:rsidR="0016282F" w:rsidRDefault="0E9DD6CD" w:rsidP="5389109E">
            <w:pPr>
              <w:jc w:val="center"/>
              <w:rPr>
                <w:rFonts w:ascii="Arial" w:hAnsi="Arial" w:cs="Arial"/>
              </w:rPr>
            </w:pPr>
            <w:r w:rsidRPr="5389109E">
              <w:rPr>
                <w:rFonts w:ascii="Arial" w:hAnsi="Arial" w:cs="Arial"/>
                <w:b/>
                <w:bCs/>
                <w:sz w:val="40"/>
                <w:szCs w:val="40"/>
              </w:rPr>
              <w:t>4</w:t>
            </w:r>
          </w:p>
        </w:tc>
        <w:tc>
          <w:tcPr>
            <w:tcW w:w="1843" w:type="dxa"/>
            <w:tcBorders>
              <w:top w:val="single" w:sz="4" w:space="0" w:color="auto"/>
              <w:left w:val="single" w:sz="4" w:space="0" w:color="auto"/>
              <w:bottom w:val="single" w:sz="4" w:space="0" w:color="auto"/>
              <w:right w:val="single" w:sz="4" w:space="0" w:color="auto"/>
            </w:tcBorders>
          </w:tcPr>
          <w:p w14:paraId="27616106" w14:textId="47455FE5" w:rsidR="0016282F" w:rsidRDefault="0E9DD6CD" w:rsidP="5389109E">
            <w:pPr>
              <w:jc w:val="center"/>
              <w:rPr>
                <w:rFonts w:ascii="Arial" w:hAnsi="Arial" w:cs="Arial"/>
              </w:rPr>
            </w:pPr>
            <w:r w:rsidRPr="5389109E">
              <w:rPr>
                <w:rFonts w:ascii="Arial" w:hAnsi="Arial" w:cs="Arial"/>
                <w:b/>
                <w:bCs/>
                <w:sz w:val="40"/>
                <w:szCs w:val="40"/>
              </w:rPr>
              <w:t>12</w:t>
            </w:r>
          </w:p>
        </w:tc>
        <w:tc>
          <w:tcPr>
            <w:tcW w:w="1987" w:type="dxa"/>
            <w:tcBorders>
              <w:top w:val="single" w:sz="4" w:space="0" w:color="auto"/>
              <w:left w:val="single" w:sz="4" w:space="0" w:color="auto"/>
              <w:bottom w:val="single" w:sz="4" w:space="0" w:color="auto"/>
              <w:right w:val="single" w:sz="4" w:space="0" w:color="auto"/>
            </w:tcBorders>
          </w:tcPr>
          <w:p w14:paraId="5DD3F47A" w14:textId="21CDB129" w:rsidR="0016282F" w:rsidRDefault="0E9DD6CD" w:rsidP="5389109E">
            <w:pPr>
              <w:rPr>
                <w:rFonts w:ascii="Arial" w:hAnsi="Arial" w:cs="Arial"/>
                <w:b/>
                <w:bCs/>
              </w:rPr>
            </w:pPr>
            <w:r w:rsidRPr="5389109E">
              <w:rPr>
                <w:rFonts w:ascii="Arial" w:hAnsi="Arial" w:cs="Arial"/>
                <w:b/>
                <w:bCs/>
                <w:sz w:val="40"/>
                <w:szCs w:val="40"/>
              </w:rPr>
              <w:t>medium</w:t>
            </w:r>
          </w:p>
        </w:tc>
      </w:tr>
      <w:tr w:rsidR="0016282F" w14:paraId="24F1C9EC" w14:textId="77777777" w:rsidTr="5389109E">
        <w:trPr>
          <w:trHeight w:val="642"/>
        </w:trPr>
        <w:tc>
          <w:tcPr>
            <w:tcW w:w="568" w:type="dxa"/>
            <w:tcBorders>
              <w:top w:val="single" w:sz="4" w:space="0" w:color="auto"/>
              <w:left w:val="single" w:sz="4" w:space="0" w:color="auto"/>
              <w:bottom w:val="single" w:sz="4" w:space="0" w:color="auto"/>
              <w:right w:val="single" w:sz="4" w:space="0" w:color="auto"/>
            </w:tcBorders>
          </w:tcPr>
          <w:p w14:paraId="4772BF44" w14:textId="77777777" w:rsidR="0016282F" w:rsidRDefault="0016282F">
            <w:pPr>
              <w:rPr>
                <w:rFonts w:ascii="Arial" w:hAnsi="Arial" w:cs="Arial"/>
              </w:rPr>
            </w:pPr>
          </w:p>
          <w:p w14:paraId="18205D96" w14:textId="77777777" w:rsidR="0016282F" w:rsidRDefault="0016282F">
            <w:pPr>
              <w:rPr>
                <w:rFonts w:ascii="Arial" w:hAnsi="Arial" w:cs="Arial"/>
              </w:rPr>
            </w:pPr>
            <w:r>
              <w:rPr>
                <w:rFonts w:ascii="Arial" w:hAnsi="Arial" w:cs="Arial"/>
              </w:rPr>
              <w:t>2</w:t>
            </w:r>
          </w:p>
        </w:tc>
        <w:tc>
          <w:tcPr>
            <w:tcW w:w="5528" w:type="dxa"/>
            <w:tcBorders>
              <w:top w:val="single" w:sz="4" w:space="0" w:color="auto"/>
              <w:left w:val="single" w:sz="4" w:space="0" w:color="auto"/>
              <w:bottom w:val="single" w:sz="4" w:space="0" w:color="auto"/>
              <w:right w:val="single" w:sz="4" w:space="0" w:color="auto"/>
            </w:tcBorders>
          </w:tcPr>
          <w:p w14:paraId="2CB2FAB7" w14:textId="4CB010FA" w:rsidR="0016282F" w:rsidRDefault="1D90ECD0">
            <w:pPr>
              <w:rPr>
                <w:rFonts w:ascii="Arial" w:hAnsi="Arial" w:cs="Arial"/>
              </w:rPr>
            </w:pPr>
            <w:r w:rsidRPr="5389109E">
              <w:rPr>
                <w:rFonts w:ascii="Arial" w:hAnsi="Arial" w:cs="Arial"/>
              </w:rPr>
              <w:t xml:space="preserve">More likely to wonder off </w:t>
            </w:r>
            <w:r w:rsidR="4DB3A382" w:rsidRPr="5389109E">
              <w:rPr>
                <w:rFonts w:ascii="Arial" w:hAnsi="Arial" w:cs="Arial"/>
              </w:rPr>
              <w:t xml:space="preserve">and harm themselves </w:t>
            </w:r>
            <w:r w:rsidRPr="5389109E">
              <w:rPr>
                <w:rFonts w:ascii="Arial" w:hAnsi="Arial" w:cs="Arial"/>
              </w:rPr>
              <w:t>due to the inability and lack of understanding instructions</w:t>
            </w:r>
            <w:r w:rsidR="72FF443E" w:rsidRPr="5389109E">
              <w:rPr>
                <w:rFonts w:ascii="Arial" w:hAnsi="Arial" w:cs="Arial"/>
              </w:rPr>
              <w:t xml:space="preserve">/ processing information </w:t>
            </w:r>
            <w:r w:rsidR="61173727" w:rsidRPr="5389109E">
              <w:rPr>
                <w:rFonts w:ascii="Arial" w:hAnsi="Arial" w:cs="Arial"/>
              </w:rPr>
              <w:t>and transportation as it may be limited</w:t>
            </w:r>
          </w:p>
        </w:tc>
        <w:tc>
          <w:tcPr>
            <w:tcW w:w="1985" w:type="dxa"/>
            <w:tcBorders>
              <w:top w:val="single" w:sz="4" w:space="0" w:color="auto"/>
              <w:left w:val="single" w:sz="4" w:space="0" w:color="auto"/>
              <w:bottom w:val="single" w:sz="4" w:space="0" w:color="auto"/>
              <w:right w:val="single" w:sz="4" w:space="0" w:color="auto"/>
            </w:tcBorders>
          </w:tcPr>
          <w:p w14:paraId="6949134C" w14:textId="1A8238FB" w:rsidR="0016282F" w:rsidRDefault="6063348C" w:rsidP="5389109E">
            <w:pPr>
              <w:jc w:val="center"/>
              <w:rPr>
                <w:rFonts w:ascii="Arial" w:hAnsi="Arial" w:cs="Arial"/>
              </w:rPr>
            </w:pPr>
            <w:r w:rsidRPr="5389109E">
              <w:rPr>
                <w:rFonts w:ascii="Arial" w:hAnsi="Arial" w:cs="Arial"/>
                <w:b/>
                <w:bCs/>
                <w:sz w:val="40"/>
                <w:szCs w:val="40"/>
              </w:rPr>
              <w:t>4</w:t>
            </w:r>
          </w:p>
        </w:tc>
        <w:tc>
          <w:tcPr>
            <w:tcW w:w="1701" w:type="dxa"/>
            <w:tcBorders>
              <w:top w:val="single" w:sz="4" w:space="0" w:color="auto"/>
              <w:left w:val="single" w:sz="4" w:space="0" w:color="auto"/>
              <w:bottom w:val="single" w:sz="4" w:space="0" w:color="auto"/>
              <w:right w:val="single" w:sz="4" w:space="0" w:color="auto"/>
            </w:tcBorders>
          </w:tcPr>
          <w:p w14:paraId="33763C20" w14:textId="585839E4" w:rsidR="0016282F" w:rsidRDefault="6063348C" w:rsidP="5389109E">
            <w:pPr>
              <w:jc w:val="center"/>
              <w:rPr>
                <w:rFonts w:ascii="Arial" w:hAnsi="Arial" w:cs="Arial"/>
                <w:b/>
                <w:bCs/>
                <w:sz w:val="40"/>
                <w:szCs w:val="40"/>
              </w:rPr>
            </w:pPr>
            <w:r w:rsidRPr="5389109E">
              <w:rPr>
                <w:rFonts w:ascii="Arial" w:hAnsi="Arial" w:cs="Arial"/>
                <w:b/>
                <w:bCs/>
                <w:sz w:val="40"/>
                <w:szCs w:val="40"/>
              </w:rPr>
              <w:t>5</w:t>
            </w:r>
          </w:p>
        </w:tc>
        <w:tc>
          <w:tcPr>
            <w:tcW w:w="1843" w:type="dxa"/>
            <w:tcBorders>
              <w:top w:val="single" w:sz="4" w:space="0" w:color="auto"/>
              <w:left w:val="single" w:sz="4" w:space="0" w:color="auto"/>
              <w:bottom w:val="single" w:sz="4" w:space="0" w:color="auto"/>
              <w:right w:val="single" w:sz="4" w:space="0" w:color="auto"/>
            </w:tcBorders>
          </w:tcPr>
          <w:p w14:paraId="59ED7895" w14:textId="7FCAF469" w:rsidR="0016282F" w:rsidRDefault="6063348C" w:rsidP="5389109E">
            <w:pPr>
              <w:jc w:val="center"/>
              <w:rPr>
                <w:rFonts w:ascii="Arial" w:hAnsi="Arial" w:cs="Arial"/>
                <w:b/>
                <w:bCs/>
                <w:sz w:val="40"/>
                <w:szCs w:val="40"/>
              </w:rPr>
            </w:pPr>
            <w:r w:rsidRPr="5389109E">
              <w:rPr>
                <w:rFonts w:ascii="Arial" w:hAnsi="Arial" w:cs="Arial"/>
                <w:b/>
                <w:bCs/>
                <w:sz w:val="40"/>
                <w:szCs w:val="40"/>
              </w:rPr>
              <w:t>20</w:t>
            </w:r>
          </w:p>
        </w:tc>
        <w:tc>
          <w:tcPr>
            <w:tcW w:w="1987" w:type="dxa"/>
            <w:tcBorders>
              <w:top w:val="single" w:sz="4" w:space="0" w:color="auto"/>
              <w:left w:val="single" w:sz="4" w:space="0" w:color="auto"/>
              <w:bottom w:val="single" w:sz="4" w:space="0" w:color="auto"/>
              <w:right w:val="single" w:sz="4" w:space="0" w:color="auto"/>
            </w:tcBorders>
          </w:tcPr>
          <w:p w14:paraId="0637C79F" w14:textId="37B9F0C7" w:rsidR="0016282F" w:rsidRDefault="6063348C" w:rsidP="5389109E">
            <w:pPr>
              <w:rPr>
                <w:rFonts w:ascii="Arial" w:hAnsi="Arial" w:cs="Arial"/>
                <w:b/>
                <w:bCs/>
              </w:rPr>
            </w:pPr>
            <w:r w:rsidRPr="5389109E">
              <w:rPr>
                <w:rFonts w:ascii="Arial" w:hAnsi="Arial" w:cs="Arial"/>
                <w:b/>
                <w:bCs/>
                <w:sz w:val="40"/>
                <w:szCs w:val="40"/>
              </w:rPr>
              <w:t>high</w:t>
            </w:r>
          </w:p>
        </w:tc>
      </w:tr>
      <w:tr w:rsidR="0016282F" w14:paraId="2E3D6E0C" w14:textId="77777777" w:rsidTr="5389109E">
        <w:trPr>
          <w:trHeight w:val="659"/>
        </w:trPr>
        <w:tc>
          <w:tcPr>
            <w:tcW w:w="568" w:type="dxa"/>
            <w:tcBorders>
              <w:top w:val="single" w:sz="4" w:space="0" w:color="auto"/>
              <w:left w:val="single" w:sz="4" w:space="0" w:color="auto"/>
              <w:bottom w:val="single" w:sz="4" w:space="0" w:color="auto"/>
              <w:right w:val="single" w:sz="4" w:space="0" w:color="auto"/>
            </w:tcBorders>
          </w:tcPr>
          <w:p w14:paraId="6ADC2E2F" w14:textId="77777777" w:rsidR="0016282F" w:rsidRDefault="0016282F">
            <w:pPr>
              <w:rPr>
                <w:rFonts w:ascii="Arial" w:hAnsi="Arial" w:cs="Arial"/>
              </w:rPr>
            </w:pPr>
          </w:p>
          <w:p w14:paraId="1BE4BDE8" w14:textId="77777777" w:rsidR="0016282F" w:rsidRDefault="0016282F">
            <w:pPr>
              <w:rPr>
                <w:rFonts w:ascii="Arial" w:hAnsi="Arial" w:cs="Arial"/>
              </w:rPr>
            </w:pPr>
            <w:r>
              <w:rPr>
                <w:rFonts w:ascii="Arial" w:hAnsi="Arial" w:cs="Arial"/>
              </w:rPr>
              <w:t>3</w:t>
            </w:r>
          </w:p>
        </w:tc>
        <w:tc>
          <w:tcPr>
            <w:tcW w:w="5528" w:type="dxa"/>
            <w:tcBorders>
              <w:top w:val="single" w:sz="4" w:space="0" w:color="auto"/>
              <w:left w:val="single" w:sz="4" w:space="0" w:color="auto"/>
              <w:bottom w:val="single" w:sz="4" w:space="0" w:color="auto"/>
              <w:right w:val="single" w:sz="4" w:space="0" w:color="auto"/>
            </w:tcBorders>
          </w:tcPr>
          <w:p w14:paraId="31563870" w14:textId="62BD1A8F" w:rsidR="0016282F" w:rsidRDefault="50DFD227">
            <w:pPr>
              <w:rPr>
                <w:rFonts w:ascii="Arial" w:hAnsi="Arial" w:cs="Arial"/>
              </w:rPr>
            </w:pPr>
            <w:r w:rsidRPr="5389109E">
              <w:rPr>
                <w:rFonts w:ascii="Arial" w:hAnsi="Arial" w:cs="Arial"/>
              </w:rPr>
              <w:t xml:space="preserve">More likely to be aggressive and agitated </w:t>
            </w:r>
            <w:r w:rsidR="62E9515D" w:rsidRPr="5389109E">
              <w:rPr>
                <w:rFonts w:ascii="Arial" w:hAnsi="Arial" w:cs="Arial"/>
              </w:rPr>
              <w:t xml:space="preserve">due to confusion due to their </w:t>
            </w:r>
            <w:r w:rsidR="1C51E421" w:rsidRPr="5389109E">
              <w:rPr>
                <w:rFonts w:ascii="Arial" w:hAnsi="Arial" w:cs="Arial"/>
              </w:rPr>
              <w:t xml:space="preserve">delusions or hallucinations, which can </w:t>
            </w:r>
            <w:r w:rsidR="4350C616" w:rsidRPr="5389109E">
              <w:rPr>
                <w:rFonts w:ascii="Arial" w:hAnsi="Arial" w:cs="Arial"/>
              </w:rPr>
              <w:t>frighten</w:t>
            </w:r>
            <w:r w:rsidR="1C51E421" w:rsidRPr="5389109E">
              <w:rPr>
                <w:rFonts w:ascii="Arial" w:hAnsi="Arial" w:cs="Arial"/>
              </w:rPr>
              <w:t xml:space="preserve"> then and cause them to act in self </w:t>
            </w:r>
            <w:r w:rsidR="59DE162D" w:rsidRPr="5389109E">
              <w:rPr>
                <w:rFonts w:ascii="Arial" w:hAnsi="Arial" w:cs="Arial"/>
              </w:rPr>
              <w:t>defence</w:t>
            </w:r>
            <w:r w:rsidR="1C51E421" w:rsidRPr="5389109E">
              <w:rPr>
                <w:rFonts w:ascii="Arial" w:hAnsi="Arial" w:cs="Arial"/>
              </w:rPr>
              <w:t xml:space="preserve"> </w:t>
            </w:r>
          </w:p>
        </w:tc>
        <w:tc>
          <w:tcPr>
            <w:tcW w:w="1985" w:type="dxa"/>
            <w:tcBorders>
              <w:top w:val="single" w:sz="4" w:space="0" w:color="auto"/>
              <w:left w:val="single" w:sz="4" w:space="0" w:color="auto"/>
              <w:bottom w:val="single" w:sz="4" w:space="0" w:color="auto"/>
              <w:right w:val="single" w:sz="4" w:space="0" w:color="auto"/>
            </w:tcBorders>
          </w:tcPr>
          <w:p w14:paraId="53BFDB48" w14:textId="2C0EB2E2" w:rsidR="0016282F" w:rsidRDefault="132E0F64" w:rsidP="5389109E">
            <w:pPr>
              <w:jc w:val="center"/>
              <w:rPr>
                <w:rFonts w:ascii="Arial" w:hAnsi="Arial" w:cs="Arial"/>
              </w:rPr>
            </w:pPr>
            <w:r w:rsidRPr="5389109E">
              <w:rPr>
                <w:rFonts w:ascii="Arial" w:hAnsi="Arial" w:cs="Arial"/>
                <w:b/>
                <w:bCs/>
                <w:sz w:val="40"/>
                <w:szCs w:val="40"/>
              </w:rPr>
              <w:t>5</w:t>
            </w:r>
          </w:p>
        </w:tc>
        <w:tc>
          <w:tcPr>
            <w:tcW w:w="1701" w:type="dxa"/>
            <w:tcBorders>
              <w:top w:val="single" w:sz="4" w:space="0" w:color="auto"/>
              <w:left w:val="single" w:sz="4" w:space="0" w:color="auto"/>
              <w:bottom w:val="single" w:sz="4" w:space="0" w:color="auto"/>
              <w:right w:val="single" w:sz="4" w:space="0" w:color="auto"/>
            </w:tcBorders>
          </w:tcPr>
          <w:p w14:paraId="024C34A6" w14:textId="2BD311CC" w:rsidR="0016282F" w:rsidRDefault="132E0F64" w:rsidP="5389109E">
            <w:pPr>
              <w:jc w:val="center"/>
              <w:rPr>
                <w:rFonts w:ascii="Arial" w:hAnsi="Arial" w:cs="Arial"/>
              </w:rPr>
            </w:pPr>
            <w:r w:rsidRPr="5389109E">
              <w:rPr>
                <w:rFonts w:ascii="Arial" w:hAnsi="Arial" w:cs="Arial"/>
                <w:b/>
                <w:bCs/>
                <w:sz w:val="40"/>
                <w:szCs w:val="40"/>
              </w:rPr>
              <w:t>4</w:t>
            </w:r>
          </w:p>
        </w:tc>
        <w:tc>
          <w:tcPr>
            <w:tcW w:w="1843" w:type="dxa"/>
            <w:tcBorders>
              <w:top w:val="single" w:sz="4" w:space="0" w:color="auto"/>
              <w:left w:val="single" w:sz="4" w:space="0" w:color="auto"/>
              <w:bottom w:val="single" w:sz="4" w:space="0" w:color="auto"/>
              <w:right w:val="single" w:sz="4" w:space="0" w:color="auto"/>
            </w:tcBorders>
          </w:tcPr>
          <w:p w14:paraId="408C6F77" w14:textId="322ADB99" w:rsidR="0016282F" w:rsidRDefault="132E0F64" w:rsidP="5389109E">
            <w:pPr>
              <w:jc w:val="center"/>
              <w:rPr>
                <w:rFonts w:ascii="Arial" w:hAnsi="Arial" w:cs="Arial"/>
                <w:b/>
                <w:bCs/>
                <w:sz w:val="40"/>
                <w:szCs w:val="40"/>
              </w:rPr>
            </w:pPr>
            <w:r w:rsidRPr="5389109E">
              <w:rPr>
                <w:rFonts w:ascii="Arial" w:hAnsi="Arial" w:cs="Arial"/>
                <w:b/>
                <w:bCs/>
                <w:sz w:val="40"/>
                <w:szCs w:val="40"/>
              </w:rPr>
              <w:t>20</w:t>
            </w:r>
          </w:p>
        </w:tc>
        <w:tc>
          <w:tcPr>
            <w:tcW w:w="1987" w:type="dxa"/>
            <w:tcBorders>
              <w:top w:val="single" w:sz="4" w:space="0" w:color="auto"/>
              <w:left w:val="single" w:sz="4" w:space="0" w:color="auto"/>
              <w:bottom w:val="single" w:sz="4" w:space="0" w:color="auto"/>
              <w:right w:val="single" w:sz="4" w:space="0" w:color="auto"/>
            </w:tcBorders>
          </w:tcPr>
          <w:p w14:paraId="669CF3AF" w14:textId="4B55C111" w:rsidR="0016282F" w:rsidRDefault="132E0F64" w:rsidP="5389109E">
            <w:pPr>
              <w:rPr>
                <w:rFonts w:ascii="Arial" w:hAnsi="Arial" w:cs="Arial"/>
                <w:b/>
                <w:bCs/>
              </w:rPr>
            </w:pPr>
            <w:r w:rsidRPr="5389109E">
              <w:rPr>
                <w:rFonts w:ascii="Arial" w:hAnsi="Arial" w:cs="Arial"/>
                <w:b/>
                <w:bCs/>
                <w:sz w:val="40"/>
                <w:szCs w:val="40"/>
              </w:rPr>
              <w:t>high</w:t>
            </w:r>
          </w:p>
        </w:tc>
      </w:tr>
      <w:tr w:rsidR="0016282F" w14:paraId="7AD74044" w14:textId="77777777" w:rsidTr="5389109E">
        <w:trPr>
          <w:trHeight w:val="659"/>
        </w:trPr>
        <w:tc>
          <w:tcPr>
            <w:tcW w:w="568" w:type="dxa"/>
            <w:tcBorders>
              <w:top w:val="single" w:sz="4" w:space="0" w:color="auto"/>
              <w:left w:val="single" w:sz="4" w:space="0" w:color="auto"/>
              <w:bottom w:val="single" w:sz="4" w:space="0" w:color="auto"/>
              <w:right w:val="single" w:sz="4" w:space="0" w:color="auto"/>
            </w:tcBorders>
          </w:tcPr>
          <w:p w14:paraId="05B3844D" w14:textId="77777777" w:rsidR="0016282F" w:rsidRDefault="0016282F">
            <w:pPr>
              <w:rPr>
                <w:rFonts w:ascii="Arial" w:hAnsi="Arial" w:cs="Arial"/>
              </w:rPr>
            </w:pPr>
          </w:p>
          <w:p w14:paraId="52E72B74" w14:textId="77777777" w:rsidR="0016282F" w:rsidRDefault="0016282F">
            <w:pPr>
              <w:rPr>
                <w:rFonts w:ascii="Arial" w:hAnsi="Arial" w:cs="Arial"/>
              </w:rPr>
            </w:pPr>
            <w:r>
              <w:rPr>
                <w:rFonts w:ascii="Arial" w:hAnsi="Arial" w:cs="Arial"/>
              </w:rPr>
              <w:t>4</w:t>
            </w:r>
          </w:p>
        </w:tc>
        <w:tc>
          <w:tcPr>
            <w:tcW w:w="5528" w:type="dxa"/>
            <w:tcBorders>
              <w:top w:val="single" w:sz="4" w:space="0" w:color="auto"/>
              <w:left w:val="single" w:sz="4" w:space="0" w:color="auto"/>
              <w:bottom w:val="single" w:sz="4" w:space="0" w:color="auto"/>
              <w:right w:val="single" w:sz="4" w:space="0" w:color="auto"/>
            </w:tcBorders>
          </w:tcPr>
          <w:p w14:paraId="097AE4CD" w14:textId="1D73882A" w:rsidR="0016282F" w:rsidRDefault="6312616D">
            <w:pPr>
              <w:rPr>
                <w:rFonts w:ascii="Arial" w:hAnsi="Arial" w:cs="Arial"/>
              </w:rPr>
            </w:pPr>
            <w:r w:rsidRPr="5389109E">
              <w:rPr>
                <w:rFonts w:ascii="Arial" w:hAnsi="Arial" w:cs="Arial"/>
              </w:rPr>
              <w:t xml:space="preserve">More likely to </w:t>
            </w:r>
            <w:r w:rsidR="5F8A1C3A" w:rsidRPr="5389109E">
              <w:rPr>
                <w:rFonts w:ascii="Arial" w:hAnsi="Arial" w:cs="Arial"/>
              </w:rPr>
              <w:t>self-neglect</w:t>
            </w:r>
            <w:r w:rsidRPr="5389109E">
              <w:rPr>
                <w:rFonts w:ascii="Arial" w:hAnsi="Arial" w:cs="Arial"/>
              </w:rPr>
              <w:t xml:space="preserve"> due to </w:t>
            </w:r>
            <w:r w:rsidR="6978F7D1" w:rsidRPr="5389109E">
              <w:rPr>
                <w:rFonts w:ascii="Arial" w:hAnsi="Arial" w:cs="Arial"/>
              </w:rPr>
              <w:t>their cognitive impairment and not being able to communicate issues that they may want the care</w:t>
            </w:r>
            <w:r w:rsidR="74C0BE91" w:rsidRPr="5389109E">
              <w:rPr>
                <w:rFonts w:ascii="Arial" w:hAnsi="Arial" w:cs="Arial"/>
              </w:rPr>
              <w:t xml:space="preserve">givers to understand </w:t>
            </w:r>
            <w:r w:rsidR="3FAE9E69" w:rsidRPr="5389109E">
              <w:rPr>
                <w:rFonts w:ascii="Arial" w:hAnsi="Arial" w:cs="Arial"/>
              </w:rPr>
              <w:t>which can affect their mental health and the way the patient acts towards themselves</w:t>
            </w:r>
          </w:p>
        </w:tc>
        <w:tc>
          <w:tcPr>
            <w:tcW w:w="1985" w:type="dxa"/>
            <w:tcBorders>
              <w:top w:val="single" w:sz="4" w:space="0" w:color="auto"/>
              <w:left w:val="single" w:sz="4" w:space="0" w:color="auto"/>
              <w:bottom w:val="single" w:sz="4" w:space="0" w:color="auto"/>
              <w:right w:val="single" w:sz="4" w:space="0" w:color="auto"/>
            </w:tcBorders>
          </w:tcPr>
          <w:p w14:paraId="4AA82FEA" w14:textId="6D2BE2ED" w:rsidR="0016282F" w:rsidRDefault="3FAE9E69" w:rsidP="5389109E">
            <w:pPr>
              <w:jc w:val="center"/>
              <w:rPr>
                <w:rFonts w:ascii="Arial" w:hAnsi="Arial" w:cs="Arial"/>
              </w:rPr>
            </w:pPr>
            <w:r w:rsidRPr="5389109E">
              <w:rPr>
                <w:rFonts w:ascii="Arial" w:hAnsi="Arial" w:cs="Arial"/>
                <w:b/>
                <w:bCs/>
                <w:sz w:val="40"/>
                <w:szCs w:val="40"/>
              </w:rPr>
              <w:t>4</w:t>
            </w:r>
          </w:p>
        </w:tc>
        <w:tc>
          <w:tcPr>
            <w:tcW w:w="1701" w:type="dxa"/>
            <w:tcBorders>
              <w:top w:val="single" w:sz="4" w:space="0" w:color="auto"/>
              <w:left w:val="single" w:sz="4" w:space="0" w:color="auto"/>
              <w:bottom w:val="single" w:sz="4" w:space="0" w:color="auto"/>
              <w:right w:val="single" w:sz="4" w:space="0" w:color="auto"/>
            </w:tcBorders>
          </w:tcPr>
          <w:p w14:paraId="3142FAA0" w14:textId="7FB959DD" w:rsidR="0016282F" w:rsidRDefault="3FAE9E69" w:rsidP="5389109E">
            <w:pPr>
              <w:jc w:val="center"/>
              <w:rPr>
                <w:rFonts w:ascii="Arial" w:hAnsi="Arial" w:cs="Arial"/>
              </w:rPr>
            </w:pPr>
            <w:r w:rsidRPr="5389109E">
              <w:rPr>
                <w:rFonts w:ascii="Arial" w:hAnsi="Arial" w:cs="Arial"/>
                <w:b/>
                <w:bCs/>
                <w:sz w:val="40"/>
                <w:szCs w:val="40"/>
              </w:rPr>
              <w:t>4</w:t>
            </w:r>
          </w:p>
        </w:tc>
        <w:tc>
          <w:tcPr>
            <w:tcW w:w="1843" w:type="dxa"/>
            <w:tcBorders>
              <w:top w:val="single" w:sz="4" w:space="0" w:color="auto"/>
              <w:left w:val="single" w:sz="4" w:space="0" w:color="auto"/>
              <w:bottom w:val="single" w:sz="4" w:space="0" w:color="auto"/>
              <w:right w:val="single" w:sz="4" w:space="0" w:color="auto"/>
            </w:tcBorders>
          </w:tcPr>
          <w:p w14:paraId="7195A510" w14:textId="49FB19E9" w:rsidR="0016282F" w:rsidRDefault="3FAE9E69" w:rsidP="5389109E">
            <w:pPr>
              <w:jc w:val="center"/>
              <w:rPr>
                <w:rFonts w:ascii="Arial" w:hAnsi="Arial" w:cs="Arial"/>
              </w:rPr>
            </w:pPr>
            <w:r w:rsidRPr="5389109E">
              <w:rPr>
                <w:rFonts w:ascii="Arial" w:hAnsi="Arial" w:cs="Arial"/>
                <w:b/>
                <w:bCs/>
                <w:sz w:val="40"/>
                <w:szCs w:val="40"/>
              </w:rPr>
              <w:t>16</w:t>
            </w:r>
          </w:p>
        </w:tc>
        <w:tc>
          <w:tcPr>
            <w:tcW w:w="1987" w:type="dxa"/>
            <w:tcBorders>
              <w:top w:val="single" w:sz="4" w:space="0" w:color="auto"/>
              <w:left w:val="single" w:sz="4" w:space="0" w:color="auto"/>
              <w:bottom w:val="single" w:sz="4" w:space="0" w:color="auto"/>
              <w:right w:val="single" w:sz="4" w:space="0" w:color="auto"/>
            </w:tcBorders>
          </w:tcPr>
          <w:p w14:paraId="14EA47F5" w14:textId="0E967DAB" w:rsidR="0016282F" w:rsidRDefault="3FAE9E69" w:rsidP="5389109E">
            <w:pPr>
              <w:rPr>
                <w:rFonts w:ascii="Arial" w:hAnsi="Arial" w:cs="Arial"/>
                <w:b/>
                <w:bCs/>
              </w:rPr>
            </w:pPr>
            <w:r w:rsidRPr="5389109E">
              <w:rPr>
                <w:rFonts w:ascii="Arial" w:hAnsi="Arial" w:cs="Arial"/>
                <w:b/>
                <w:bCs/>
                <w:sz w:val="40"/>
                <w:szCs w:val="40"/>
              </w:rPr>
              <w:t>medium</w:t>
            </w:r>
          </w:p>
        </w:tc>
      </w:tr>
      <w:tr w:rsidR="0016282F" w14:paraId="25F758E9" w14:textId="77777777" w:rsidTr="5389109E">
        <w:trPr>
          <w:trHeight w:val="642"/>
        </w:trPr>
        <w:tc>
          <w:tcPr>
            <w:tcW w:w="568" w:type="dxa"/>
            <w:tcBorders>
              <w:top w:val="single" w:sz="4" w:space="0" w:color="auto"/>
              <w:left w:val="single" w:sz="4" w:space="0" w:color="auto"/>
              <w:bottom w:val="single" w:sz="4" w:space="0" w:color="auto"/>
              <w:right w:val="single" w:sz="4" w:space="0" w:color="auto"/>
            </w:tcBorders>
          </w:tcPr>
          <w:p w14:paraId="2EC96EBC" w14:textId="77777777" w:rsidR="0016282F" w:rsidRDefault="0016282F">
            <w:pPr>
              <w:rPr>
                <w:rFonts w:ascii="Arial" w:hAnsi="Arial" w:cs="Arial"/>
              </w:rPr>
            </w:pPr>
          </w:p>
          <w:p w14:paraId="00A9E9DC" w14:textId="77777777" w:rsidR="0016282F" w:rsidRDefault="0016282F">
            <w:pPr>
              <w:rPr>
                <w:rFonts w:ascii="Arial" w:hAnsi="Arial" w:cs="Arial"/>
              </w:rPr>
            </w:pPr>
            <w:r>
              <w:rPr>
                <w:rFonts w:ascii="Arial" w:hAnsi="Arial" w:cs="Arial"/>
              </w:rPr>
              <w:t>5</w:t>
            </w:r>
          </w:p>
        </w:tc>
        <w:tc>
          <w:tcPr>
            <w:tcW w:w="5528" w:type="dxa"/>
            <w:tcBorders>
              <w:top w:val="single" w:sz="4" w:space="0" w:color="auto"/>
              <w:left w:val="single" w:sz="4" w:space="0" w:color="auto"/>
              <w:bottom w:val="single" w:sz="4" w:space="0" w:color="auto"/>
              <w:right w:val="single" w:sz="4" w:space="0" w:color="auto"/>
            </w:tcBorders>
          </w:tcPr>
          <w:p w14:paraId="117D3BF2" w14:textId="48A18249" w:rsidR="0016282F" w:rsidRDefault="3CF868CC">
            <w:pPr>
              <w:rPr>
                <w:rFonts w:ascii="Arial" w:hAnsi="Arial" w:cs="Arial"/>
              </w:rPr>
            </w:pPr>
            <w:r w:rsidRPr="5389109E">
              <w:rPr>
                <w:rFonts w:ascii="Arial" w:hAnsi="Arial" w:cs="Arial"/>
              </w:rPr>
              <w:t xml:space="preserve">More likely for medication management issues to arise due to impaired memory which they may forget to take the medication </w:t>
            </w:r>
            <w:r w:rsidR="79641A24" w:rsidRPr="5389109E">
              <w:rPr>
                <w:rFonts w:ascii="Arial" w:hAnsi="Arial" w:cs="Arial"/>
              </w:rPr>
              <w:t>or feeling certain side effects that the patient might not be able to recognize and communicate with the caregiver</w:t>
            </w:r>
          </w:p>
        </w:tc>
        <w:tc>
          <w:tcPr>
            <w:tcW w:w="1985" w:type="dxa"/>
            <w:tcBorders>
              <w:top w:val="single" w:sz="4" w:space="0" w:color="auto"/>
              <w:left w:val="single" w:sz="4" w:space="0" w:color="auto"/>
              <w:bottom w:val="single" w:sz="4" w:space="0" w:color="auto"/>
              <w:right w:val="single" w:sz="4" w:space="0" w:color="auto"/>
            </w:tcBorders>
          </w:tcPr>
          <w:p w14:paraId="0C716E0A" w14:textId="6BE22A72" w:rsidR="0016282F" w:rsidRDefault="40A8C993" w:rsidP="5389109E">
            <w:pPr>
              <w:jc w:val="center"/>
              <w:rPr>
                <w:rFonts w:ascii="Arial" w:hAnsi="Arial" w:cs="Arial"/>
              </w:rPr>
            </w:pPr>
            <w:r w:rsidRPr="5389109E">
              <w:rPr>
                <w:rFonts w:ascii="Arial" w:hAnsi="Arial" w:cs="Arial"/>
                <w:b/>
                <w:bCs/>
                <w:sz w:val="40"/>
                <w:szCs w:val="40"/>
              </w:rPr>
              <w:t>3</w:t>
            </w:r>
          </w:p>
        </w:tc>
        <w:tc>
          <w:tcPr>
            <w:tcW w:w="1701" w:type="dxa"/>
            <w:tcBorders>
              <w:top w:val="single" w:sz="4" w:space="0" w:color="auto"/>
              <w:left w:val="single" w:sz="4" w:space="0" w:color="auto"/>
              <w:bottom w:val="single" w:sz="4" w:space="0" w:color="auto"/>
              <w:right w:val="single" w:sz="4" w:space="0" w:color="auto"/>
            </w:tcBorders>
          </w:tcPr>
          <w:p w14:paraId="76971A4F" w14:textId="4DCDD538" w:rsidR="0016282F" w:rsidRDefault="40A8C993" w:rsidP="5389109E">
            <w:pPr>
              <w:jc w:val="center"/>
              <w:rPr>
                <w:rFonts w:ascii="Arial" w:hAnsi="Arial" w:cs="Arial"/>
                <w:b/>
                <w:bCs/>
                <w:sz w:val="40"/>
                <w:szCs w:val="40"/>
              </w:rPr>
            </w:pPr>
            <w:r w:rsidRPr="5389109E">
              <w:rPr>
                <w:rFonts w:ascii="Arial" w:hAnsi="Arial" w:cs="Arial"/>
                <w:b/>
                <w:bCs/>
                <w:sz w:val="40"/>
                <w:szCs w:val="40"/>
              </w:rPr>
              <w:t>2</w:t>
            </w:r>
          </w:p>
        </w:tc>
        <w:tc>
          <w:tcPr>
            <w:tcW w:w="1843" w:type="dxa"/>
            <w:tcBorders>
              <w:top w:val="single" w:sz="4" w:space="0" w:color="auto"/>
              <w:left w:val="single" w:sz="4" w:space="0" w:color="auto"/>
              <w:bottom w:val="single" w:sz="4" w:space="0" w:color="auto"/>
              <w:right w:val="single" w:sz="4" w:space="0" w:color="auto"/>
            </w:tcBorders>
          </w:tcPr>
          <w:p w14:paraId="1DD93263" w14:textId="6F32758A" w:rsidR="0016282F" w:rsidRDefault="40A8C993" w:rsidP="5389109E">
            <w:pPr>
              <w:jc w:val="center"/>
              <w:rPr>
                <w:rFonts w:ascii="Arial" w:hAnsi="Arial" w:cs="Arial"/>
              </w:rPr>
            </w:pPr>
            <w:r w:rsidRPr="5389109E">
              <w:rPr>
                <w:rFonts w:ascii="Arial" w:hAnsi="Arial" w:cs="Arial"/>
                <w:b/>
                <w:bCs/>
                <w:sz w:val="40"/>
                <w:szCs w:val="40"/>
              </w:rPr>
              <w:t>6</w:t>
            </w:r>
          </w:p>
        </w:tc>
        <w:tc>
          <w:tcPr>
            <w:tcW w:w="1987" w:type="dxa"/>
            <w:tcBorders>
              <w:top w:val="single" w:sz="4" w:space="0" w:color="auto"/>
              <w:left w:val="single" w:sz="4" w:space="0" w:color="auto"/>
              <w:bottom w:val="single" w:sz="4" w:space="0" w:color="auto"/>
              <w:right w:val="single" w:sz="4" w:space="0" w:color="auto"/>
            </w:tcBorders>
          </w:tcPr>
          <w:p w14:paraId="306ECE91" w14:textId="00575B87" w:rsidR="0016282F" w:rsidRDefault="40A8C993" w:rsidP="5389109E">
            <w:pPr>
              <w:rPr>
                <w:rFonts w:ascii="Arial" w:hAnsi="Arial" w:cs="Arial"/>
                <w:b/>
                <w:bCs/>
              </w:rPr>
            </w:pPr>
            <w:r w:rsidRPr="5389109E">
              <w:rPr>
                <w:rFonts w:ascii="Arial" w:hAnsi="Arial" w:cs="Arial"/>
                <w:b/>
                <w:bCs/>
                <w:sz w:val="40"/>
                <w:szCs w:val="40"/>
              </w:rPr>
              <w:t>low</w:t>
            </w:r>
          </w:p>
        </w:tc>
      </w:tr>
    </w:tbl>
    <w:p w14:paraId="71275A16" w14:textId="77777777"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11E02258" w14:textId="77777777"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2B0CD2EF" w14:textId="77777777"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23709A5E" w14:textId="77777777"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4C90CF9A" w14:textId="77777777"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448C8973" w14:textId="77777777"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368472E2" w14:textId="5A9550D1"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2D4A4B0D" w14:textId="162E057F"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7E958F75" w14:textId="4AAD6FCB"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63AE8A5F" w14:textId="77777777"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sectPr w:rsidR="0016282F" w:rsidSect="004C35F7">
          <w:pgSz w:w="16838" w:h="11906" w:orient="landscape"/>
          <w:pgMar w:top="1440" w:right="1440" w:bottom="1440" w:left="1440" w:header="709" w:footer="709" w:gutter="0"/>
          <w:cols w:space="708"/>
          <w:docGrid w:linePitch="360"/>
        </w:sectPr>
      </w:pPr>
    </w:p>
    <w:p w14:paraId="4B99CC32" w14:textId="1E5CEF31" w:rsidR="0016282F" w:rsidRDefault="07C9E2B5"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djustRightInd w:val="0"/>
        <w:spacing w:line="360" w:lineRule="auto"/>
        <w:rPr>
          <w:rFonts w:asciiTheme="minorHAnsi" w:eastAsia="Arial Unicode MS" w:hAnsiTheme="minorHAnsi" w:cstheme="minorBidi"/>
          <w:sz w:val="40"/>
          <w:szCs w:val="40"/>
        </w:rPr>
      </w:pPr>
      <w:r w:rsidRPr="0A3FCF6E">
        <w:rPr>
          <w:rFonts w:asciiTheme="minorHAnsi" w:eastAsia="Arial Unicode MS" w:hAnsiTheme="minorHAnsi" w:cstheme="minorBidi"/>
          <w:b/>
          <w:bCs/>
          <w:i/>
          <w:iCs/>
          <w:sz w:val="28"/>
          <w:szCs w:val="28"/>
          <w:u w:val="single"/>
        </w:rPr>
        <w:t>Conclusion</w:t>
      </w:r>
    </w:p>
    <w:p w14:paraId="2630D4FB" w14:textId="548963C5" w:rsidR="0016282F" w:rsidRDefault="0016282F"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djustRightInd w:val="0"/>
        <w:spacing w:line="360" w:lineRule="auto"/>
        <w:rPr>
          <w:rFonts w:asciiTheme="minorHAnsi" w:eastAsia="Arial Unicode MS" w:hAnsiTheme="minorHAnsi" w:cstheme="minorBidi"/>
          <w:sz w:val="40"/>
          <w:szCs w:val="40"/>
        </w:rPr>
      </w:pPr>
    </w:p>
    <w:p w14:paraId="7C138C2F" w14:textId="4716BC03" w:rsidR="0016282F" w:rsidRDefault="07C9E2B5"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djustRightInd w:val="0"/>
        <w:spacing w:line="360" w:lineRule="auto"/>
        <w:rPr>
          <w:rFonts w:asciiTheme="minorHAnsi" w:eastAsia="Arial Unicode MS" w:hAnsiTheme="minorHAnsi" w:cstheme="minorBidi"/>
          <w:sz w:val="24"/>
          <w:szCs w:val="24"/>
        </w:rPr>
      </w:pPr>
      <w:r w:rsidRPr="0A3FCF6E">
        <w:rPr>
          <w:rFonts w:asciiTheme="minorHAnsi" w:eastAsia="Arial Unicode MS" w:hAnsiTheme="minorHAnsi" w:cstheme="minorBidi"/>
          <w:sz w:val="24"/>
          <w:szCs w:val="24"/>
        </w:rPr>
        <w:t>The purpose of this risk assessment was to inform and to ensure that risks are being assessed for these patients with dementia as they struggle with many impairments and that everything is in place for them so that they are always secured in the hospital and safe (Evotix, 2023). The findings of this risk assessment were overall very beneficial as there is a lot of information on the importance of ensuring the patient is a priority in care and training is being offered to minimize this risks from happening and if it is there are many implemented measures that can be used to take immediate action this risk assessment also informs on the likelihood of the identified risks using the 4 step process to make sure everything is being highlighted. A specific control measure or action to mitigate these risks is to modify the environment according to the patient as it protects them at all times and helps others around them get training on how to tackle these risks if they ever arise, whether it's at the hospital or during transportation with other crowds the transportation providers must also be advised about these safety measure so that transportation is not being limited to these patients. To conclude this risk assessment every hazard must always be identified and evaluated to implement measures to minimize these risks from happening. This focuses attention on risk management being a main priority to ensure health and safety acts are being complied and the wellbeing of patients and workers are being looked after, by just conducting a risk assessment all these problems can be rid of which benefits everyone and prevents the worse from happening (Xeinadin, 2024).</w:t>
      </w:r>
    </w:p>
    <w:p w14:paraId="4976FE52" w14:textId="77777777" w:rsidR="0016282F" w:rsidRDefault="0016282F"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djustRightInd w:val="0"/>
        <w:spacing w:line="360" w:lineRule="auto"/>
        <w:ind w:left="720"/>
        <w:rPr>
          <w:rFonts w:asciiTheme="minorHAnsi" w:eastAsia="Arial Unicode MS" w:hAnsiTheme="minorHAnsi" w:cstheme="minorBidi"/>
          <w:sz w:val="24"/>
          <w:szCs w:val="24"/>
        </w:rPr>
      </w:pPr>
    </w:p>
    <w:p w14:paraId="53B22DBA" w14:textId="77777777" w:rsidR="0016282F" w:rsidRDefault="0016282F" w:rsidP="0A3FC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djustRightInd w:val="0"/>
        <w:spacing w:line="360" w:lineRule="auto"/>
        <w:ind w:left="720"/>
        <w:rPr>
          <w:rFonts w:asciiTheme="minorHAnsi" w:eastAsia="Arial Unicode MS" w:hAnsiTheme="minorHAnsi" w:cstheme="minorBidi"/>
          <w:sz w:val="24"/>
          <w:szCs w:val="24"/>
        </w:rPr>
      </w:pPr>
    </w:p>
    <w:p w14:paraId="250F69A9" w14:textId="41A4F881" w:rsidR="0016282F" w:rsidRDefault="0016282F" w:rsidP="0A3FCF6E">
      <w:pPr>
        <w:adjustRightInd w:val="0"/>
        <w:spacing w:line="360" w:lineRule="auto"/>
        <w:ind w:right="-51"/>
        <w:jc w:val="both"/>
        <w:rPr>
          <w:rFonts w:asciiTheme="minorHAnsi" w:eastAsia="Arial Unicode MS" w:hAnsiTheme="minorHAnsi" w:cstheme="minorBidi"/>
        </w:rPr>
      </w:pPr>
    </w:p>
    <w:p w14:paraId="35AA7727" w14:textId="34DB9728" w:rsidR="0A3FCF6E" w:rsidRDefault="0A3FCF6E" w:rsidP="0A3FCF6E">
      <w:pPr>
        <w:spacing w:line="360" w:lineRule="auto"/>
        <w:ind w:right="-51"/>
        <w:jc w:val="both"/>
        <w:rPr>
          <w:rFonts w:asciiTheme="minorHAnsi" w:eastAsia="Arial Unicode MS" w:hAnsiTheme="minorHAnsi" w:cstheme="minorBidi"/>
        </w:rPr>
      </w:pPr>
    </w:p>
    <w:p w14:paraId="4017C667" w14:textId="09A5590E" w:rsidR="0A3FCF6E" w:rsidRDefault="0A3FCF6E" w:rsidP="0A3FCF6E">
      <w:pPr>
        <w:spacing w:line="360" w:lineRule="auto"/>
        <w:ind w:right="-51"/>
        <w:jc w:val="both"/>
        <w:rPr>
          <w:rFonts w:asciiTheme="minorHAnsi" w:eastAsia="Arial Unicode MS" w:hAnsiTheme="minorHAnsi" w:cstheme="minorBidi"/>
        </w:rPr>
      </w:pPr>
    </w:p>
    <w:p w14:paraId="6FD9A0A7" w14:textId="77777777" w:rsidR="0016282F" w:rsidRDefault="0016282F" w:rsidP="0016282F">
      <w:pPr>
        <w:adjustRightInd w:val="0"/>
        <w:spacing w:line="360" w:lineRule="auto"/>
        <w:ind w:right="-51"/>
        <w:jc w:val="both"/>
        <w:rPr>
          <w:rFonts w:asciiTheme="minorHAnsi" w:eastAsia="Arial Unicode MS" w:hAnsiTheme="minorHAnsi" w:cstheme="minorHAnsi"/>
        </w:rPr>
      </w:pPr>
    </w:p>
    <w:p w14:paraId="0AF5151E" w14:textId="373419DA" w:rsidR="0016282F" w:rsidRPr="00B024D1" w:rsidRDefault="0016282F" w:rsidP="0016282F">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t>REFERENCING</w:t>
      </w:r>
      <w:r w:rsidR="00776E89">
        <w:rPr>
          <w:rFonts w:asciiTheme="minorHAnsi" w:eastAsia="Arial Unicode MS" w:hAnsiTheme="minorHAnsi" w:cstheme="minorHAnsi"/>
          <w:b/>
          <w:sz w:val="28"/>
          <w:szCs w:val="28"/>
        </w:rPr>
        <w:t xml:space="preserve"> (Not included in the word count)</w:t>
      </w:r>
    </w:p>
    <w:p w14:paraId="7737C97B" w14:textId="77777777" w:rsidR="0016282F" w:rsidRPr="00B024D1" w:rsidRDefault="0016282F" w:rsidP="001628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rPr>
      </w:pPr>
    </w:p>
    <w:p w14:paraId="653CD10B" w14:textId="42C6B770" w:rsidR="005C2C7A" w:rsidRPr="00B024D1" w:rsidRDefault="005C2C7A" w:rsidP="0A3FCF6E">
      <w:pPr>
        <w:jc w:val="both"/>
        <w:rPr>
          <w:rFonts w:asciiTheme="minorHAnsi" w:eastAsia="Arial Unicode MS" w:hAnsiTheme="minorHAnsi" w:cstheme="minorBidi"/>
        </w:rPr>
      </w:pPr>
    </w:p>
    <w:p w14:paraId="7A9075BE" w14:textId="3CBC2286" w:rsidR="00D72071" w:rsidRDefault="00D72071">
      <w:pPr>
        <w:pStyle w:val="p1"/>
        <w:divId w:val="1400251825"/>
        <w:rPr>
          <w:rFonts w:hint="eastAsia"/>
        </w:rPr>
      </w:pPr>
      <w:r w:rsidRPr="0A3FCF6E">
        <w:rPr>
          <w:rStyle w:val="s1"/>
        </w:rPr>
        <w:t xml:space="preserve">Bjørkløf, G.H. </w:t>
      </w:r>
      <w:r w:rsidRPr="0A3FCF6E">
        <w:rPr>
          <w:rStyle w:val="s2"/>
        </w:rPr>
        <w:t>et al.</w:t>
      </w:r>
      <w:r w:rsidRPr="0A3FCF6E">
        <w:rPr>
          <w:rStyle w:val="s1"/>
        </w:rPr>
        <w:t xml:space="preserve"> (2019) </w:t>
      </w:r>
      <w:r w:rsidRPr="0A3FCF6E">
        <w:rPr>
          <w:rStyle w:val="s2"/>
        </w:rPr>
        <w:t>Balancing the struggle to live with dementia: A systematic meta-synthesis of coping</w:t>
      </w:r>
      <w:r w:rsidRPr="0A3FCF6E">
        <w:rPr>
          <w:rStyle w:val="s1"/>
        </w:rPr>
        <w:t xml:space="preserve">, </w:t>
      </w:r>
      <w:r w:rsidRPr="0A3FCF6E">
        <w:rPr>
          <w:rStyle w:val="s2"/>
        </w:rPr>
        <w:t>BMC geriatrics</w:t>
      </w:r>
      <w:r w:rsidRPr="0A3FCF6E">
        <w:rPr>
          <w:rStyle w:val="s1"/>
        </w:rPr>
        <w:t>. Available at: https://www.ncbi.nlm.nih.gov/pmc/articles/PMC6822397/ (Accessed: 01st May 2024).</w:t>
      </w:r>
      <w:r w:rsidRPr="0A3FCF6E">
        <w:rPr>
          <w:rStyle w:val="apple-converted-space"/>
          <w:rFonts w:ascii="UICTFontTextStyleBody" w:hAnsi="UICTFontTextStyleBody"/>
        </w:rPr>
        <w:t> </w:t>
      </w:r>
    </w:p>
    <w:p w14:paraId="13020205" w14:textId="0D204AF7" w:rsidR="00D72071" w:rsidRDefault="00D72071">
      <w:pPr>
        <w:pStyle w:val="p2"/>
        <w:divId w:val="1400251825"/>
        <w:rPr>
          <w:rFonts w:hint="eastAsia"/>
        </w:rPr>
      </w:pPr>
    </w:p>
    <w:p w14:paraId="4F14475E" w14:textId="2051B3E6" w:rsidR="00D72071" w:rsidRDefault="00D72071">
      <w:pPr>
        <w:pStyle w:val="p1"/>
        <w:divId w:val="1400251825"/>
        <w:rPr>
          <w:rFonts w:hint="eastAsia"/>
        </w:rPr>
      </w:pPr>
      <w:r w:rsidRPr="0A3FCF6E">
        <w:rPr>
          <w:rStyle w:val="s2"/>
        </w:rPr>
        <w:t>Challenges in transportation system to support independent ...</w:t>
      </w:r>
      <w:r w:rsidRPr="0A3FCF6E">
        <w:rPr>
          <w:rStyle w:val="s1"/>
        </w:rPr>
        <w:t xml:space="preserve"> (2019) Available at: https://iopscience.iop.org/article/10.1088/1757-899X/471/6/062004/pdf (Accessed: 03 May 2024).</w:t>
      </w:r>
      <w:r w:rsidRPr="0A3FCF6E">
        <w:rPr>
          <w:rStyle w:val="apple-converted-space"/>
          <w:rFonts w:ascii="UICTFontTextStyleBody" w:hAnsi="UICTFontTextStyleBody"/>
        </w:rPr>
        <w:t> </w:t>
      </w:r>
    </w:p>
    <w:p w14:paraId="5802BAE9" w14:textId="6B9C7818" w:rsidR="00D72071" w:rsidRDefault="00D72071">
      <w:pPr>
        <w:pStyle w:val="p2"/>
        <w:divId w:val="1400251825"/>
        <w:rPr>
          <w:rFonts w:hint="eastAsia"/>
        </w:rPr>
      </w:pPr>
    </w:p>
    <w:p w14:paraId="7BC96DB5" w14:textId="4428B550" w:rsidR="00D72071" w:rsidRDefault="00D72071">
      <w:pPr>
        <w:pStyle w:val="p1"/>
        <w:divId w:val="1400251825"/>
        <w:rPr>
          <w:rFonts w:hint="eastAsia"/>
        </w:rPr>
      </w:pPr>
      <w:r w:rsidRPr="0A3FCF6E">
        <w:rPr>
          <w:rStyle w:val="s1"/>
        </w:rPr>
        <w:t xml:space="preserve">Dettmore, D., Kolanowski, A. and Boustani, M. (2009) </w:t>
      </w:r>
      <w:r w:rsidRPr="0A3FCF6E">
        <w:rPr>
          <w:rStyle w:val="s2"/>
        </w:rPr>
        <w:t>Aggression in persons with dementia: Use of nursing theory to guide clinical practice</w:t>
      </w:r>
      <w:r w:rsidRPr="0A3FCF6E">
        <w:rPr>
          <w:rStyle w:val="s1"/>
        </w:rPr>
        <w:t xml:space="preserve">, </w:t>
      </w:r>
      <w:r w:rsidRPr="0A3FCF6E">
        <w:rPr>
          <w:rStyle w:val="s2"/>
        </w:rPr>
        <w:t>Geriatric nursing (New York, N.Y.)</w:t>
      </w:r>
      <w:r w:rsidRPr="0A3FCF6E">
        <w:rPr>
          <w:rStyle w:val="s1"/>
        </w:rPr>
        <w:t>. Available at: https://www.ncbi.nlm.nih.gov/pmc/articles/PMC3365866/ (Accessed: 01st May 2024).</w:t>
      </w:r>
      <w:r w:rsidRPr="0A3FCF6E">
        <w:rPr>
          <w:rStyle w:val="apple-converted-space"/>
          <w:rFonts w:ascii="UICTFontTextStyleBody" w:hAnsi="UICTFontTextStyleBody"/>
        </w:rPr>
        <w:t> </w:t>
      </w:r>
    </w:p>
    <w:p w14:paraId="7982BCA0" w14:textId="0423721E" w:rsidR="00D72071" w:rsidRDefault="00D72071">
      <w:pPr>
        <w:pStyle w:val="p3"/>
        <w:divId w:val="1400251825"/>
        <w:rPr>
          <w:rFonts w:hint="eastAsia"/>
        </w:rPr>
      </w:pPr>
    </w:p>
    <w:p w14:paraId="278B3A57" w14:textId="5456EC3C" w:rsidR="00D72071" w:rsidRDefault="00D72071">
      <w:pPr>
        <w:pStyle w:val="p1"/>
        <w:divId w:val="1400251825"/>
        <w:rPr>
          <w:rFonts w:hint="eastAsia"/>
        </w:rPr>
      </w:pPr>
      <w:r w:rsidRPr="0A3FCF6E">
        <w:rPr>
          <w:rStyle w:val="s1"/>
        </w:rPr>
        <w:t xml:space="preserve">Dean, A. (2022) </w:t>
      </w:r>
      <w:r w:rsidRPr="0A3FCF6E">
        <w:rPr>
          <w:rStyle w:val="s2"/>
        </w:rPr>
        <w:t>What is the importance of risk management in healthcare? -UK</w:t>
      </w:r>
      <w:r w:rsidRPr="0A3FCF6E">
        <w:rPr>
          <w:rStyle w:val="s1"/>
        </w:rPr>
        <w:t xml:space="preserve">, </w:t>
      </w:r>
      <w:r w:rsidRPr="0A3FCF6E">
        <w:rPr>
          <w:rStyle w:val="s2"/>
        </w:rPr>
        <w:t>Nurses Group</w:t>
      </w:r>
      <w:r w:rsidRPr="0A3FCF6E">
        <w:rPr>
          <w:rStyle w:val="s1"/>
        </w:rPr>
        <w:t>. Available at: https://nursesgroup.co.uk/risk-management-in-healthcare#:~:text=Ensuring%20patient%20safety%3A&amp;text=By%20proactively%20and%20systematically%20identifying,create%20a%20secure%20healthcare%20environment. (Accessed: 01st May 2024).</w:t>
      </w:r>
      <w:r w:rsidRPr="0A3FCF6E">
        <w:rPr>
          <w:rStyle w:val="apple-converted-space"/>
          <w:rFonts w:ascii="UICTFontTextStyleBody" w:hAnsi="UICTFontTextStyleBody"/>
        </w:rPr>
        <w:t> </w:t>
      </w:r>
    </w:p>
    <w:p w14:paraId="2349EAF5" w14:textId="3E8EED18" w:rsidR="00D72071" w:rsidRDefault="00D72071">
      <w:pPr>
        <w:pStyle w:val="p2"/>
        <w:divId w:val="1400251825"/>
        <w:rPr>
          <w:rFonts w:hint="eastAsia"/>
        </w:rPr>
      </w:pPr>
    </w:p>
    <w:p w14:paraId="65C77A31" w14:textId="15C77196" w:rsidR="00D72071" w:rsidRDefault="00D72071">
      <w:pPr>
        <w:pStyle w:val="p1"/>
        <w:divId w:val="1400251825"/>
        <w:rPr>
          <w:rFonts w:hint="eastAsia"/>
        </w:rPr>
      </w:pPr>
      <w:r w:rsidRPr="0A3FCF6E">
        <w:rPr>
          <w:rStyle w:val="s1"/>
        </w:rPr>
        <w:t xml:space="preserve">Department of Health &amp; Human Services (2000) </w:t>
      </w:r>
      <w:r w:rsidRPr="0A3FCF6E">
        <w:rPr>
          <w:rStyle w:val="s2"/>
        </w:rPr>
        <w:t>Dementia - communication</w:t>
      </w:r>
      <w:r w:rsidRPr="0A3FCF6E">
        <w:rPr>
          <w:rStyle w:val="s1"/>
        </w:rPr>
        <w:t xml:space="preserve">, </w:t>
      </w:r>
      <w:r w:rsidRPr="0A3FCF6E">
        <w:rPr>
          <w:rStyle w:val="s2"/>
        </w:rPr>
        <w:t>Better Health Channel</w:t>
      </w:r>
      <w:r w:rsidRPr="0A3FCF6E">
        <w:rPr>
          <w:rStyle w:val="s1"/>
        </w:rPr>
        <w:t>. Available at: https://www.betterhealth.vic.gov.au/health/conditionsandtreatments/dementia-communication#:~:text=Positive%20communication%20can%20help%20a,all%20important%20aspects%20of%20communication. (Accessed: 01st May 2024).</w:t>
      </w:r>
      <w:r w:rsidRPr="0A3FCF6E">
        <w:rPr>
          <w:rStyle w:val="apple-converted-space"/>
          <w:rFonts w:ascii="UICTFontTextStyleBody" w:hAnsi="UICTFontTextStyleBody"/>
        </w:rPr>
        <w:t> </w:t>
      </w:r>
    </w:p>
    <w:p w14:paraId="30A784B1" w14:textId="1D73EEF9" w:rsidR="00D72071" w:rsidRDefault="00D72071">
      <w:pPr>
        <w:pStyle w:val="p2"/>
        <w:divId w:val="1400251825"/>
        <w:rPr>
          <w:rFonts w:hint="eastAsia"/>
        </w:rPr>
      </w:pPr>
    </w:p>
    <w:p w14:paraId="259A3A71" w14:textId="3980F233" w:rsidR="00D72071" w:rsidRDefault="00D72071">
      <w:pPr>
        <w:pStyle w:val="p1"/>
        <w:divId w:val="1400251825"/>
        <w:rPr>
          <w:rFonts w:hint="eastAsia"/>
        </w:rPr>
      </w:pPr>
      <w:r w:rsidRPr="0A3FCF6E">
        <w:rPr>
          <w:rStyle w:val="s1"/>
        </w:rPr>
        <w:t xml:space="preserve">Evotix (2023) </w:t>
      </w:r>
      <w:r w:rsidRPr="0A3FCF6E">
        <w:rPr>
          <w:rStyle w:val="s2"/>
        </w:rPr>
        <w:t>7 benefits of conducting a risk assessment</w:t>
      </w:r>
      <w:r w:rsidRPr="0A3FCF6E">
        <w:rPr>
          <w:rStyle w:val="s1"/>
        </w:rPr>
        <w:t xml:space="preserve">, </w:t>
      </w:r>
      <w:r w:rsidRPr="0A3FCF6E">
        <w:rPr>
          <w:rStyle w:val="s2"/>
        </w:rPr>
        <w:t>Evotix</w:t>
      </w:r>
      <w:r w:rsidRPr="0A3FCF6E">
        <w:rPr>
          <w:rStyle w:val="s1"/>
        </w:rPr>
        <w:t>. Available at: https://www.evotix.com/resources/blog/7-benefits-of-conducting-a-risk-assessment (Accessed: 03 May 2024).</w:t>
      </w:r>
    </w:p>
    <w:p w14:paraId="28C0C71C" w14:textId="185A35BF" w:rsidR="00D72071" w:rsidRDefault="00D72071">
      <w:pPr>
        <w:pStyle w:val="p2"/>
        <w:divId w:val="1400251825"/>
        <w:rPr>
          <w:rFonts w:hint="eastAsia"/>
        </w:rPr>
      </w:pPr>
    </w:p>
    <w:p w14:paraId="06A350A5" w14:textId="0E81FA45" w:rsidR="00D72071" w:rsidRDefault="00D72071">
      <w:pPr>
        <w:pStyle w:val="p1"/>
        <w:divId w:val="1400251825"/>
        <w:rPr>
          <w:rFonts w:hint="eastAsia"/>
        </w:rPr>
      </w:pPr>
      <w:r w:rsidRPr="0A3FCF6E">
        <w:rPr>
          <w:rStyle w:val="s2"/>
        </w:rPr>
        <w:t>Legislation</w:t>
      </w:r>
      <w:r w:rsidRPr="0A3FCF6E">
        <w:rPr>
          <w:rStyle w:val="s1"/>
        </w:rPr>
        <w:t xml:space="preserve"> (2024) </w:t>
      </w:r>
      <w:r w:rsidRPr="0A3FCF6E">
        <w:rPr>
          <w:rStyle w:val="s2"/>
        </w:rPr>
        <w:t>Legislation - Care Quality Commission</w:t>
      </w:r>
      <w:r w:rsidRPr="0A3FCF6E">
        <w:rPr>
          <w:rStyle w:val="s1"/>
        </w:rPr>
        <w:t>. Available at: https://www.cqc.org.uk/guidance-providers/regulations-enforcement/legislation (Accessed: 02ndMay 2024).</w:t>
      </w:r>
      <w:r w:rsidRPr="0A3FCF6E">
        <w:rPr>
          <w:rStyle w:val="apple-converted-space"/>
          <w:rFonts w:ascii="UICTFontTextStyleBody" w:hAnsi="UICTFontTextStyleBody"/>
        </w:rPr>
        <w:t> </w:t>
      </w:r>
    </w:p>
    <w:p w14:paraId="42598AC1" w14:textId="3495B899" w:rsidR="00D72071" w:rsidRDefault="00D72071">
      <w:pPr>
        <w:pStyle w:val="p2"/>
        <w:divId w:val="1400251825"/>
        <w:rPr>
          <w:rFonts w:hint="eastAsia"/>
        </w:rPr>
      </w:pPr>
    </w:p>
    <w:p w14:paraId="002CEC87" w14:textId="43F4BA22" w:rsidR="00D72071" w:rsidRDefault="00D72071">
      <w:pPr>
        <w:pStyle w:val="p1"/>
        <w:divId w:val="1400251825"/>
        <w:rPr>
          <w:rFonts w:hint="eastAsia"/>
        </w:rPr>
      </w:pPr>
      <w:r w:rsidRPr="0A3FCF6E">
        <w:rPr>
          <w:rStyle w:val="s1"/>
        </w:rPr>
        <w:t xml:space="preserve">Lives, H.W. (2024) </w:t>
      </w:r>
      <w:r w:rsidRPr="0A3FCF6E">
        <w:rPr>
          <w:rStyle w:val="s2"/>
        </w:rPr>
        <w:t>Manual handling legal obligations</w:t>
      </w:r>
      <w:r w:rsidRPr="0A3FCF6E">
        <w:rPr>
          <w:rStyle w:val="s1"/>
        </w:rPr>
        <w:t xml:space="preserve">, </w:t>
      </w:r>
      <w:r w:rsidRPr="0A3FCF6E">
        <w:rPr>
          <w:rStyle w:val="s2"/>
        </w:rPr>
        <w:t>Healthy Working Lives</w:t>
      </w:r>
      <w:r w:rsidRPr="0A3FCF6E">
        <w:rPr>
          <w:rStyle w:val="s1"/>
        </w:rPr>
        <w:t>. Available at: https://www.healthyworkinglives.scot/workplace-guidance/safety/manual-handling/manual-handling-legal-obligations/#:~:text=The%20Manual%20Handling%20Operations%20Regulations,need%20to%20avoid%20manual%20handling. (Accessed: 02nd May 2024).</w:t>
      </w:r>
      <w:r w:rsidRPr="0A3FCF6E">
        <w:rPr>
          <w:rStyle w:val="apple-converted-space"/>
          <w:rFonts w:ascii="UICTFontTextStyleBody" w:hAnsi="UICTFontTextStyleBody"/>
        </w:rPr>
        <w:t> </w:t>
      </w:r>
    </w:p>
    <w:p w14:paraId="567AA56C" w14:textId="24F26048" w:rsidR="00D72071" w:rsidRDefault="00D72071">
      <w:pPr>
        <w:pStyle w:val="p2"/>
        <w:divId w:val="1400251825"/>
        <w:rPr>
          <w:rFonts w:hint="eastAsia"/>
        </w:rPr>
      </w:pPr>
    </w:p>
    <w:p w14:paraId="3A290AC9" w14:textId="602B849C" w:rsidR="00D72071" w:rsidRDefault="00D72071">
      <w:pPr>
        <w:pStyle w:val="p1"/>
        <w:divId w:val="1400251825"/>
        <w:rPr>
          <w:rFonts w:hint="eastAsia"/>
        </w:rPr>
      </w:pPr>
      <w:r w:rsidRPr="0A3FCF6E">
        <w:rPr>
          <w:rStyle w:val="s2"/>
        </w:rPr>
        <w:t>Mental-capacity-act-code-of-practice. ...</w:t>
      </w:r>
      <w:r w:rsidRPr="0A3FCF6E">
        <w:rPr>
          <w:rStyle w:val="s1"/>
        </w:rPr>
        <w:t xml:space="preserve"> (2007) Available at: https://assets.publishing.service.gov.uk/media/5f6cc6138fa8f541f6763295/Mental-capacity-act-code-of-practice.pdf (Accessed: 02nd May 2024).</w:t>
      </w:r>
      <w:r w:rsidRPr="0A3FCF6E">
        <w:rPr>
          <w:rStyle w:val="apple-converted-space"/>
          <w:rFonts w:ascii="UICTFontTextStyleBody" w:hAnsi="UICTFontTextStyleBody"/>
        </w:rPr>
        <w:t> </w:t>
      </w:r>
    </w:p>
    <w:p w14:paraId="538F8E1F" w14:textId="0B5ACB30" w:rsidR="00D72071" w:rsidRDefault="00D72071">
      <w:pPr>
        <w:pStyle w:val="p2"/>
        <w:divId w:val="1400251825"/>
        <w:rPr>
          <w:rFonts w:hint="eastAsia"/>
        </w:rPr>
      </w:pPr>
    </w:p>
    <w:p w14:paraId="454C1194" w14:textId="7D604113" w:rsidR="00D72071" w:rsidRDefault="00D72071">
      <w:pPr>
        <w:pStyle w:val="p1"/>
        <w:divId w:val="1400251825"/>
        <w:rPr>
          <w:rFonts w:hint="eastAsia"/>
        </w:rPr>
      </w:pPr>
      <w:r w:rsidRPr="0A3FCF6E">
        <w:rPr>
          <w:rStyle w:val="s1"/>
        </w:rPr>
        <w:t xml:space="preserve">NHS (2019) </w:t>
      </w:r>
      <w:r w:rsidRPr="0A3FCF6E">
        <w:rPr>
          <w:rStyle w:val="s2"/>
        </w:rPr>
        <w:t>Guide to developing and implementing Ward and unit ...</w:t>
      </w:r>
      <w:r w:rsidRPr="0A3FCF6E">
        <w:rPr>
          <w:rStyle w:val="s1"/>
        </w:rPr>
        <w:t xml:space="preserve"> Available at: https://www.events.england.nhs.uk/uploads/entity/107837/nhs-improvement-a-guide-to-ward-and-unit-accreditation-5f8f0f02b661e.pdf (Accessed: 03 May 2024).</w:t>
      </w:r>
      <w:r w:rsidRPr="0A3FCF6E">
        <w:rPr>
          <w:rStyle w:val="apple-converted-space"/>
          <w:rFonts w:ascii="UICTFontTextStyleBody" w:hAnsi="UICTFontTextStyleBody"/>
        </w:rPr>
        <w:t> </w:t>
      </w:r>
    </w:p>
    <w:p w14:paraId="124B3E33" w14:textId="3C94A265" w:rsidR="00D72071" w:rsidRDefault="00D72071">
      <w:pPr>
        <w:pStyle w:val="p2"/>
        <w:divId w:val="1400251825"/>
        <w:rPr>
          <w:rFonts w:hint="eastAsia"/>
        </w:rPr>
      </w:pPr>
    </w:p>
    <w:p w14:paraId="6B9DDF6D" w14:textId="7A38D91F" w:rsidR="00D72071" w:rsidRDefault="00D72071">
      <w:pPr>
        <w:pStyle w:val="p1"/>
        <w:divId w:val="1400251825"/>
        <w:rPr>
          <w:rFonts w:hint="eastAsia"/>
        </w:rPr>
      </w:pPr>
      <w:r w:rsidRPr="0A3FCF6E">
        <w:rPr>
          <w:rStyle w:val="s1"/>
        </w:rPr>
        <w:t xml:space="preserve">Oxford Medical Education (2022) </w:t>
      </w:r>
      <w:r w:rsidRPr="0A3FCF6E">
        <w:rPr>
          <w:rStyle w:val="s2"/>
        </w:rPr>
        <w:t>Mini-mental State Examination (MMSE)</w:t>
      </w:r>
      <w:r w:rsidRPr="0A3FCF6E">
        <w:rPr>
          <w:rStyle w:val="s1"/>
        </w:rPr>
        <w:t xml:space="preserve">, </w:t>
      </w:r>
      <w:r w:rsidRPr="0A3FCF6E">
        <w:rPr>
          <w:rStyle w:val="s2"/>
        </w:rPr>
        <w:t>Oxford Medical Education</w:t>
      </w:r>
      <w:r w:rsidRPr="0A3FCF6E">
        <w:rPr>
          <w:rStyle w:val="s1"/>
        </w:rPr>
        <w:t>. Available at: https://oxfordmedicaleducation.com/geriatrics/mini-mental-state-examination-mmse/ (Accessed: 01st May 2024).</w:t>
      </w:r>
      <w:r w:rsidRPr="0A3FCF6E">
        <w:rPr>
          <w:rStyle w:val="apple-converted-space"/>
          <w:rFonts w:ascii="UICTFontTextStyleBody" w:hAnsi="UICTFontTextStyleBody"/>
        </w:rPr>
        <w:t> </w:t>
      </w:r>
    </w:p>
    <w:p w14:paraId="22913B94" w14:textId="2D8FEE33" w:rsidR="00D72071" w:rsidRDefault="00D72071">
      <w:pPr>
        <w:pStyle w:val="p2"/>
        <w:divId w:val="1400251825"/>
        <w:rPr>
          <w:rFonts w:hint="eastAsia"/>
        </w:rPr>
      </w:pPr>
    </w:p>
    <w:p w14:paraId="38A774A8" w14:textId="285203BC" w:rsidR="00D72071" w:rsidRDefault="00D72071">
      <w:pPr>
        <w:pStyle w:val="p1"/>
        <w:divId w:val="1400251825"/>
        <w:rPr>
          <w:rFonts w:hint="eastAsia"/>
        </w:rPr>
      </w:pPr>
      <w:r w:rsidRPr="0A3FCF6E">
        <w:rPr>
          <w:rStyle w:val="s2"/>
        </w:rPr>
        <w:t xml:space="preserve">pinches, E. </w:t>
      </w:r>
      <w:r w:rsidRPr="0A3FCF6E">
        <w:rPr>
          <w:rStyle w:val="s1"/>
        </w:rPr>
        <w:t xml:space="preserve">(2021) </w:t>
      </w:r>
      <w:r w:rsidRPr="0A3FCF6E">
        <w:rPr>
          <w:rStyle w:val="s2"/>
        </w:rPr>
        <w:t>Transport noise associated with increased dementia risk</w:t>
      </w:r>
      <w:r w:rsidRPr="0A3FCF6E">
        <w:rPr>
          <w:rStyle w:val="s1"/>
        </w:rPr>
        <w:t xml:space="preserve"> </w:t>
      </w:r>
      <w:r w:rsidRPr="0A3FCF6E">
        <w:rPr>
          <w:rStyle w:val="s2"/>
        </w:rPr>
        <w:t>Alzheimer’s Research UK</w:t>
      </w:r>
      <w:r w:rsidRPr="0A3FCF6E">
        <w:rPr>
          <w:rStyle w:val="s1"/>
        </w:rPr>
        <w:t>. Available at: https://www.alzheimersresearchuk.org/news/transport-noise-associated-with-increased-dementia-risk/ (Accessed: 01st May 2024).</w:t>
      </w:r>
      <w:r w:rsidRPr="0A3FCF6E">
        <w:rPr>
          <w:rStyle w:val="apple-converted-space"/>
          <w:rFonts w:ascii="UICTFontTextStyleBody" w:hAnsi="UICTFontTextStyleBody"/>
        </w:rPr>
        <w:t> </w:t>
      </w:r>
    </w:p>
    <w:p w14:paraId="0B332D59" w14:textId="085FBD41" w:rsidR="00D72071" w:rsidRDefault="00D72071">
      <w:pPr>
        <w:pStyle w:val="p2"/>
        <w:divId w:val="1400251825"/>
        <w:rPr>
          <w:rFonts w:hint="eastAsia"/>
        </w:rPr>
      </w:pPr>
    </w:p>
    <w:p w14:paraId="455F5A6A" w14:textId="1BF15DF7" w:rsidR="00D72071" w:rsidRDefault="00D72071">
      <w:pPr>
        <w:pStyle w:val="p1"/>
        <w:divId w:val="1400251825"/>
        <w:rPr>
          <w:rFonts w:hint="eastAsia"/>
        </w:rPr>
      </w:pPr>
      <w:r w:rsidRPr="0A3FCF6E">
        <w:rPr>
          <w:rStyle w:val="s1"/>
        </w:rPr>
        <w:t xml:space="preserve">Pantaleon, L. (2019) </w:t>
      </w:r>
      <w:r w:rsidRPr="0A3FCF6E">
        <w:rPr>
          <w:rStyle w:val="s2"/>
        </w:rPr>
        <w:t>Why measuring outcomes is important in health care</w:t>
      </w:r>
      <w:r w:rsidRPr="0A3FCF6E">
        <w:rPr>
          <w:rStyle w:val="s1"/>
        </w:rPr>
        <w:t xml:space="preserve">, </w:t>
      </w:r>
      <w:r w:rsidRPr="0A3FCF6E">
        <w:rPr>
          <w:rStyle w:val="s2"/>
        </w:rPr>
        <w:t>Journal of veterinary internal medicine</w:t>
      </w:r>
      <w:r w:rsidRPr="0A3FCF6E">
        <w:rPr>
          <w:rStyle w:val="s1"/>
        </w:rPr>
        <w:t>. Available at: https://www.ncbi.nlm.nih.gov/pmc/articles/PMC6430924/ (Accessed: 02nd May 2024).</w:t>
      </w:r>
      <w:r w:rsidRPr="0A3FCF6E">
        <w:rPr>
          <w:rStyle w:val="apple-converted-space"/>
          <w:rFonts w:ascii="UICTFontTextStyleBody" w:hAnsi="UICTFontTextStyleBody"/>
        </w:rPr>
        <w:t> </w:t>
      </w:r>
    </w:p>
    <w:p w14:paraId="761C7F5A" w14:textId="03E01206" w:rsidR="00D72071" w:rsidRDefault="00D72071">
      <w:pPr>
        <w:pStyle w:val="p2"/>
        <w:divId w:val="1400251825"/>
        <w:rPr>
          <w:rFonts w:hint="eastAsia"/>
        </w:rPr>
      </w:pPr>
    </w:p>
    <w:p w14:paraId="3E4EA0A6" w14:textId="79B38D6E" w:rsidR="00D72071" w:rsidRDefault="00D72071">
      <w:pPr>
        <w:pStyle w:val="p1"/>
        <w:divId w:val="1400251825"/>
        <w:rPr>
          <w:rFonts w:hint="eastAsia"/>
        </w:rPr>
      </w:pPr>
      <w:r w:rsidRPr="0A3FCF6E">
        <w:rPr>
          <w:rStyle w:val="s1"/>
        </w:rPr>
        <w:t xml:space="preserve">Redcrier (2017) </w:t>
      </w:r>
      <w:r w:rsidRPr="0A3FCF6E">
        <w:rPr>
          <w:rStyle w:val="s2"/>
        </w:rPr>
        <w:t>The importance of Training your care staff</w:t>
      </w:r>
      <w:r w:rsidRPr="0A3FCF6E">
        <w:rPr>
          <w:rStyle w:val="s1"/>
        </w:rPr>
        <w:t xml:space="preserve">, </w:t>
      </w:r>
      <w:r w:rsidRPr="0A3FCF6E">
        <w:rPr>
          <w:rStyle w:val="s2"/>
        </w:rPr>
        <w:t>Redcrier</w:t>
      </w:r>
      <w:r w:rsidRPr="0A3FCF6E">
        <w:rPr>
          <w:rStyle w:val="s1"/>
        </w:rPr>
        <w:t>. Available at: https://www.redcrier.com/the-importance-of-training-your-care-staff/ (Accessed: 01st May 2024).</w:t>
      </w:r>
      <w:r w:rsidRPr="0A3FCF6E">
        <w:rPr>
          <w:rStyle w:val="apple-converted-space"/>
          <w:rFonts w:ascii="UICTFontTextStyleBody" w:hAnsi="UICTFontTextStyleBody"/>
        </w:rPr>
        <w:t> </w:t>
      </w:r>
    </w:p>
    <w:p w14:paraId="6975CB02" w14:textId="2D67E1D5" w:rsidR="00D72071" w:rsidRDefault="00D72071">
      <w:pPr>
        <w:pStyle w:val="p2"/>
        <w:divId w:val="1400251825"/>
        <w:rPr>
          <w:rFonts w:hint="eastAsia"/>
        </w:rPr>
      </w:pPr>
    </w:p>
    <w:p w14:paraId="66F9E93C" w14:textId="0F8A6BCA" w:rsidR="00D72071" w:rsidRDefault="00D72071">
      <w:pPr>
        <w:pStyle w:val="p1"/>
        <w:divId w:val="1400251825"/>
        <w:rPr>
          <w:rFonts w:hint="eastAsia"/>
        </w:rPr>
      </w:pPr>
      <w:r w:rsidRPr="0A3FCF6E">
        <w:rPr>
          <w:rStyle w:val="s1"/>
        </w:rPr>
        <w:t xml:space="preserve">Vincent, C., Burnett, S. and Carthey, J. (2014) </w:t>
      </w:r>
      <w:r w:rsidRPr="0A3FCF6E">
        <w:rPr>
          <w:rStyle w:val="s2"/>
        </w:rPr>
        <w:t>Safety measurement and monitoring in Healthcare: A framework to guide clinical teams and healthcare organisations in maintaining safety</w:t>
      </w:r>
      <w:r w:rsidRPr="0A3FCF6E">
        <w:rPr>
          <w:rStyle w:val="s1"/>
        </w:rPr>
        <w:t xml:space="preserve">, </w:t>
      </w:r>
      <w:r w:rsidRPr="0A3FCF6E">
        <w:rPr>
          <w:rStyle w:val="s2"/>
        </w:rPr>
        <w:t>BMJ Quality &amp; Safety</w:t>
      </w:r>
      <w:r w:rsidRPr="0A3FCF6E">
        <w:rPr>
          <w:rStyle w:val="s1"/>
        </w:rPr>
        <w:t>. Available at: https://qualitysafety.bmj.com/content/23/8/670 (Accessed: 02nd May 2024).</w:t>
      </w:r>
      <w:r w:rsidRPr="0A3FCF6E">
        <w:rPr>
          <w:rStyle w:val="apple-converted-space"/>
          <w:rFonts w:ascii="UICTFontTextStyleBody" w:hAnsi="UICTFontTextStyleBody"/>
        </w:rPr>
        <w:t> </w:t>
      </w:r>
    </w:p>
    <w:p w14:paraId="1C759703" w14:textId="30925CA8" w:rsidR="00D72071" w:rsidRDefault="00D72071">
      <w:pPr>
        <w:pStyle w:val="p2"/>
        <w:divId w:val="1400251825"/>
        <w:rPr>
          <w:rFonts w:hint="eastAsia"/>
        </w:rPr>
      </w:pPr>
    </w:p>
    <w:p w14:paraId="662F1D5D" w14:textId="6DEA94FB" w:rsidR="00D72071" w:rsidRDefault="00D72071">
      <w:pPr>
        <w:pStyle w:val="p1"/>
        <w:divId w:val="1400251825"/>
        <w:rPr>
          <w:rFonts w:hint="eastAsia"/>
        </w:rPr>
      </w:pPr>
      <w:r w:rsidRPr="0A3FCF6E">
        <w:rPr>
          <w:rStyle w:val="s1"/>
        </w:rPr>
        <w:t xml:space="preserve">Wheeler, E. (2023) </w:t>
      </w:r>
      <w:r w:rsidRPr="0A3FCF6E">
        <w:rPr>
          <w:rStyle w:val="s2"/>
        </w:rPr>
        <w:t>The Risk Management Process: 4 essential steps</w:t>
      </w:r>
      <w:r w:rsidRPr="0A3FCF6E">
        <w:rPr>
          <w:rStyle w:val="s1"/>
        </w:rPr>
        <w:t xml:space="preserve">, </w:t>
      </w:r>
      <w:r w:rsidRPr="0A3FCF6E">
        <w:rPr>
          <w:rStyle w:val="s2"/>
        </w:rPr>
        <w:t>MIGSO</w:t>
      </w:r>
      <w:r w:rsidRPr="0A3FCF6E">
        <w:rPr>
          <w:rStyle w:val="s1"/>
        </w:rPr>
        <w:t>. Available at: https://www.migso-pcubed.com/blog/risk-management/four-step-risk-management-process/ (Accessed: 01st May 2024).</w:t>
      </w:r>
      <w:r w:rsidRPr="0A3FCF6E">
        <w:rPr>
          <w:rStyle w:val="apple-converted-space"/>
          <w:rFonts w:ascii="UICTFontTextStyleBody" w:hAnsi="UICTFontTextStyleBody"/>
        </w:rPr>
        <w:t> </w:t>
      </w:r>
    </w:p>
    <w:p w14:paraId="3886595E" w14:textId="69F73B91" w:rsidR="00D72071" w:rsidRDefault="00D72071">
      <w:pPr>
        <w:pStyle w:val="p2"/>
        <w:divId w:val="1400251825"/>
        <w:rPr>
          <w:rFonts w:hint="eastAsia"/>
        </w:rPr>
      </w:pPr>
    </w:p>
    <w:p w14:paraId="151F4A29" w14:textId="17D74B60" w:rsidR="00D72071" w:rsidRDefault="00D72071">
      <w:pPr>
        <w:pStyle w:val="p1"/>
        <w:divId w:val="1400251825"/>
        <w:rPr>
          <w:rFonts w:hint="eastAsia"/>
        </w:rPr>
      </w:pPr>
      <w:r w:rsidRPr="0A3FCF6E">
        <w:rPr>
          <w:rStyle w:val="s2"/>
        </w:rPr>
        <w:t>What is a compliance risk assessment? | reciprocity</w:t>
      </w:r>
      <w:r w:rsidRPr="0A3FCF6E">
        <w:rPr>
          <w:rStyle w:val="s1"/>
        </w:rPr>
        <w:t xml:space="preserve"> (2023) Available at: https://reciprocity.com/resources/what-is-a-compliance-risk-assessment/ (Accessed: 02nd May 2024).</w:t>
      </w:r>
      <w:r w:rsidRPr="0A3FCF6E">
        <w:rPr>
          <w:rStyle w:val="apple-converted-space"/>
          <w:rFonts w:ascii="UICTFontTextStyleBody" w:hAnsi="UICTFontTextStyleBody"/>
        </w:rPr>
        <w:t> </w:t>
      </w:r>
    </w:p>
    <w:p w14:paraId="6C6CC6A8" w14:textId="3C65F23B" w:rsidR="00D72071" w:rsidRDefault="00D72071">
      <w:pPr>
        <w:pStyle w:val="p3"/>
        <w:divId w:val="1400251825"/>
        <w:rPr>
          <w:rFonts w:hint="eastAsia"/>
        </w:rPr>
      </w:pPr>
    </w:p>
    <w:p w14:paraId="240E0AFA" w14:textId="427DEFA3" w:rsidR="00D72071" w:rsidRDefault="00D72071">
      <w:pPr>
        <w:pStyle w:val="p1"/>
        <w:divId w:val="1400251825"/>
        <w:rPr>
          <w:rFonts w:hint="eastAsia"/>
        </w:rPr>
      </w:pPr>
      <w:r w:rsidRPr="0A3FCF6E">
        <w:rPr>
          <w:rStyle w:val="s2"/>
        </w:rPr>
        <w:t>What is the Health and Safety at Work Act?</w:t>
      </w:r>
      <w:r w:rsidRPr="0A3FCF6E">
        <w:rPr>
          <w:rStyle w:val="s1"/>
        </w:rPr>
        <w:t xml:space="preserve"> (2022) </w:t>
      </w:r>
      <w:r w:rsidRPr="0A3FCF6E">
        <w:rPr>
          <w:rStyle w:val="s2"/>
        </w:rPr>
        <w:t>TUC</w:t>
      </w:r>
      <w:r w:rsidRPr="0A3FCF6E">
        <w:rPr>
          <w:rStyle w:val="s1"/>
        </w:rPr>
        <w:t>. Available at: https://www.tuc.org.uk/guidance/what-health-and-safety-work-act#:~:text=The%20Health%20and%20Safety%20at%20Work%20Act%201974%20(HASWA)%20lays,visitors%20and%20the%20general%20public. (Accessed: 02nd May 2024).</w:t>
      </w:r>
      <w:r w:rsidRPr="0A3FCF6E">
        <w:rPr>
          <w:rStyle w:val="apple-converted-space"/>
          <w:rFonts w:ascii="UICTFontTextStyleBody" w:hAnsi="UICTFontTextStyleBody"/>
        </w:rPr>
        <w:t> </w:t>
      </w:r>
    </w:p>
    <w:p w14:paraId="49C7DA88" w14:textId="6A960034" w:rsidR="00D72071" w:rsidRDefault="00D72071">
      <w:pPr>
        <w:pStyle w:val="p2"/>
        <w:divId w:val="1400251825"/>
        <w:rPr>
          <w:rFonts w:hint="eastAsia"/>
        </w:rPr>
      </w:pPr>
    </w:p>
    <w:p w14:paraId="131778B6" w14:textId="7D24D9EE" w:rsidR="00D72071" w:rsidRDefault="00D72071">
      <w:pPr>
        <w:pStyle w:val="p1"/>
        <w:divId w:val="1400251825"/>
        <w:rPr>
          <w:rFonts w:hint="eastAsia"/>
        </w:rPr>
      </w:pPr>
      <w:r w:rsidRPr="0A3FCF6E">
        <w:rPr>
          <w:rStyle w:val="s2"/>
        </w:rPr>
        <w:t>Why our human rights act matters to people with dementia</w:t>
      </w:r>
      <w:r w:rsidRPr="0A3FCF6E">
        <w:rPr>
          <w:rStyle w:val="s1"/>
        </w:rPr>
        <w:t xml:space="preserve"> (2021) </w:t>
      </w:r>
      <w:r w:rsidRPr="0A3FCF6E">
        <w:rPr>
          <w:rStyle w:val="s2"/>
        </w:rPr>
        <w:t>British Institute of Human Rights</w:t>
      </w:r>
      <w:r w:rsidRPr="0A3FCF6E">
        <w:rPr>
          <w:rStyle w:val="s1"/>
        </w:rPr>
        <w:t>. Available at: https://www.bihr.org.uk/news-blogs/why-our-human-rights-act-matters/why-our-human-rights-act-mattersto-people-living-with-dementia#:~:text=The%20Human%20Rights%20Act%20give,a%20person%2C%20without%20that%20person. (Accessed: 02nd May 2024).</w:t>
      </w:r>
      <w:r w:rsidRPr="0A3FCF6E">
        <w:rPr>
          <w:rStyle w:val="apple-converted-space"/>
          <w:rFonts w:ascii="UICTFontTextStyleBody" w:hAnsi="UICTFontTextStyleBody"/>
        </w:rPr>
        <w:t> </w:t>
      </w:r>
    </w:p>
    <w:p w14:paraId="067EA7C7" w14:textId="0F0586F8" w:rsidR="00D72071" w:rsidRDefault="00D72071">
      <w:pPr>
        <w:pStyle w:val="p2"/>
        <w:divId w:val="1400251825"/>
        <w:rPr>
          <w:rFonts w:hint="eastAsia"/>
        </w:rPr>
      </w:pPr>
    </w:p>
    <w:p w14:paraId="43F71F9C" w14:textId="2877CD16" w:rsidR="00D72071" w:rsidRDefault="00D72071">
      <w:pPr>
        <w:pStyle w:val="p1"/>
        <w:divId w:val="1400251825"/>
        <w:rPr>
          <w:rFonts w:hint="eastAsia"/>
        </w:rPr>
      </w:pPr>
      <w:r w:rsidRPr="0A3FCF6E">
        <w:rPr>
          <w:rStyle w:val="s2"/>
        </w:rPr>
        <w:t>Why managing risks should remain a top priority</w:t>
      </w:r>
      <w:r w:rsidRPr="0A3FCF6E">
        <w:rPr>
          <w:rStyle w:val="s1"/>
        </w:rPr>
        <w:t xml:space="preserve"> (2024) </w:t>
      </w:r>
      <w:r w:rsidRPr="0A3FCF6E">
        <w:rPr>
          <w:rStyle w:val="s2"/>
        </w:rPr>
        <w:t>Xeinadin</w:t>
      </w:r>
      <w:r w:rsidRPr="0A3FCF6E">
        <w:rPr>
          <w:rStyle w:val="s1"/>
        </w:rPr>
        <w:t>. Available at: https://xeinadin.com/blog/why-managing-risks-should-remain-a-top-priority/ (Accessed: 03 May 2024).</w:t>
      </w:r>
      <w:r w:rsidRPr="0A3FCF6E">
        <w:rPr>
          <w:rStyle w:val="apple-converted-space"/>
          <w:rFonts w:ascii="UICTFontTextStyleBody" w:hAnsi="UICTFontTextStyleBody"/>
        </w:rPr>
        <w:t> </w:t>
      </w:r>
    </w:p>
    <w:p w14:paraId="7A8484DA" w14:textId="5BE1D7E2" w:rsidR="00D72071" w:rsidRDefault="00D72071">
      <w:pPr>
        <w:pStyle w:val="p2"/>
        <w:divId w:val="1400251825"/>
        <w:rPr>
          <w:rFonts w:hint="eastAsia"/>
        </w:rPr>
      </w:pPr>
    </w:p>
    <w:p w14:paraId="48E98F96" w14:textId="078EA5A9" w:rsidR="00D72071" w:rsidRDefault="00D72071">
      <w:pPr>
        <w:pStyle w:val="p1"/>
        <w:divId w:val="1400251825"/>
        <w:rPr>
          <w:rFonts w:hint="eastAsia"/>
        </w:rPr>
      </w:pPr>
      <w:r w:rsidRPr="0A3FCF6E">
        <w:rPr>
          <w:rStyle w:val="s1"/>
        </w:rPr>
        <w:t xml:space="preserve">Zimmerman, S. and Fazio, S. (2022) </w:t>
      </w:r>
      <w:r w:rsidRPr="0A3FCF6E">
        <w:rPr>
          <w:rStyle w:val="s2"/>
        </w:rPr>
        <w:t>Measurement to improve care and outcomes for persons with alzheimer’s disease and dementia</w:t>
      </w:r>
      <w:r w:rsidRPr="0A3FCF6E">
        <w:rPr>
          <w:rStyle w:val="s1"/>
        </w:rPr>
        <w:t xml:space="preserve">, </w:t>
      </w:r>
      <w:r w:rsidRPr="0A3FCF6E">
        <w:rPr>
          <w:rStyle w:val="s2"/>
        </w:rPr>
        <w:t>Alzheimer’s &amp; dementia (New York, N. Y.)</w:t>
      </w:r>
      <w:r w:rsidRPr="0A3FCF6E">
        <w:rPr>
          <w:rStyle w:val="s1"/>
        </w:rPr>
        <w:t>. Available at: https://www.ncbi.nlm.nih.gov/pmc/articles/PMC9530694/ (Accessed: 01st May 2024).</w:t>
      </w:r>
      <w:r w:rsidRPr="0A3FCF6E">
        <w:rPr>
          <w:rStyle w:val="apple-converted-space"/>
          <w:rFonts w:ascii="UICTFontTextStyleBody" w:hAnsi="UICTFontTextStyleBody"/>
        </w:rPr>
        <w:t> </w:t>
      </w:r>
    </w:p>
    <w:p w14:paraId="692C7F6A" w14:textId="77777777" w:rsidR="005C2C7A" w:rsidRPr="00B024D1" w:rsidRDefault="005C2C7A" w:rsidP="005C2C7A">
      <w:pPr>
        <w:jc w:val="both"/>
        <w:rPr>
          <w:rFonts w:asciiTheme="minorHAnsi" w:eastAsia="Arial Unicode MS" w:hAnsiTheme="minorHAnsi" w:cstheme="minorHAnsi"/>
        </w:rPr>
      </w:pPr>
    </w:p>
    <w:p w14:paraId="6B20FF57" w14:textId="77777777" w:rsidR="005C2C7A" w:rsidRPr="00B024D1" w:rsidRDefault="005C2C7A" w:rsidP="005C2C7A">
      <w:pPr>
        <w:jc w:val="both"/>
        <w:rPr>
          <w:rFonts w:asciiTheme="minorHAnsi" w:eastAsia="Arial Unicode MS" w:hAnsiTheme="minorHAnsi" w:cstheme="minorHAnsi"/>
        </w:rPr>
      </w:pPr>
    </w:p>
    <w:p w14:paraId="6BF093C8" w14:textId="77777777" w:rsidR="005C2C7A" w:rsidRPr="00B024D1" w:rsidRDefault="005C2C7A" w:rsidP="005C2C7A">
      <w:pPr>
        <w:jc w:val="both"/>
        <w:rPr>
          <w:rFonts w:asciiTheme="minorHAnsi" w:eastAsia="Arial Unicode MS" w:hAnsiTheme="minorHAnsi" w:cstheme="minorHAnsi"/>
        </w:rPr>
      </w:pPr>
    </w:p>
    <w:p w14:paraId="07623E25" w14:textId="77777777" w:rsidR="005C2C7A" w:rsidRPr="00B024D1" w:rsidRDefault="005C2C7A" w:rsidP="005C2C7A">
      <w:pPr>
        <w:jc w:val="both"/>
        <w:rPr>
          <w:rFonts w:asciiTheme="minorHAnsi" w:eastAsia="Arial Unicode MS" w:hAnsiTheme="minorHAnsi" w:cstheme="minorHAnsi"/>
        </w:rPr>
      </w:pPr>
    </w:p>
    <w:p w14:paraId="5EF6C6DD" w14:textId="77777777" w:rsidR="005C2C7A" w:rsidRPr="00B024D1" w:rsidRDefault="005C2C7A" w:rsidP="005C2C7A">
      <w:pPr>
        <w:jc w:val="both"/>
        <w:rPr>
          <w:rFonts w:asciiTheme="minorHAnsi" w:eastAsia="Arial Unicode MS" w:hAnsiTheme="minorHAnsi" w:cstheme="minorHAnsi"/>
        </w:rPr>
      </w:pPr>
    </w:p>
    <w:p w14:paraId="3C37F9AE" w14:textId="77777777" w:rsidR="005C2C7A" w:rsidRPr="00B024D1" w:rsidRDefault="005C2C7A" w:rsidP="005C2C7A">
      <w:pPr>
        <w:jc w:val="both"/>
        <w:rPr>
          <w:rFonts w:asciiTheme="minorHAnsi" w:eastAsia="Arial Unicode MS" w:hAnsiTheme="minorHAnsi" w:cstheme="minorHAnsi"/>
        </w:rPr>
      </w:pPr>
    </w:p>
    <w:p w14:paraId="4A72698B" w14:textId="77777777" w:rsidR="005C2C7A" w:rsidRPr="00B024D1" w:rsidRDefault="005C2C7A" w:rsidP="005C2C7A">
      <w:pPr>
        <w:jc w:val="both"/>
        <w:rPr>
          <w:rFonts w:asciiTheme="minorHAnsi" w:eastAsia="Arial Unicode MS" w:hAnsiTheme="minorHAnsi" w:cstheme="minorHAnsi"/>
        </w:rPr>
      </w:pPr>
    </w:p>
    <w:p w14:paraId="2247D177" w14:textId="77777777" w:rsidR="005C2C7A" w:rsidRPr="00B024D1" w:rsidRDefault="005C2C7A" w:rsidP="005C2C7A">
      <w:pPr>
        <w:jc w:val="both"/>
        <w:rPr>
          <w:rFonts w:asciiTheme="minorHAnsi" w:eastAsia="Arial Unicode MS" w:hAnsiTheme="minorHAnsi" w:cstheme="minorHAnsi"/>
        </w:rPr>
      </w:pPr>
    </w:p>
    <w:p w14:paraId="383B7F26" w14:textId="77777777" w:rsidR="005C2C7A" w:rsidRPr="00B024D1" w:rsidRDefault="005C2C7A" w:rsidP="005C2C7A">
      <w:pPr>
        <w:jc w:val="both"/>
        <w:rPr>
          <w:rFonts w:asciiTheme="minorHAnsi" w:eastAsia="Arial Unicode MS" w:hAnsiTheme="minorHAnsi" w:cstheme="minorHAnsi"/>
        </w:rPr>
      </w:pPr>
    </w:p>
    <w:p w14:paraId="5D89A221" w14:textId="77777777" w:rsidR="005C2C7A" w:rsidRPr="00B024D1" w:rsidRDefault="005C2C7A" w:rsidP="005C2C7A">
      <w:pPr>
        <w:jc w:val="both"/>
        <w:rPr>
          <w:rFonts w:asciiTheme="minorHAnsi" w:eastAsia="Arial Unicode MS" w:hAnsiTheme="minorHAnsi" w:cstheme="minorHAnsi"/>
        </w:rPr>
      </w:pPr>
    </w:p>
    <w:p w14:paraId="041DB737" w14:textId="77777777" w:rsidR="005C2C7A" w:rsidRPr="00B024D1" w:rsidRDefault="005C2C7A" w:rsidP="005C2C7A">
      <w:pPr>
        <w:jc w:val="both"/>
        <w:rPr>
          <w:rFonts w:asciiTheme="minorHAnsi" w:eastAsia="Arial Unicode MS" w:hAnsiTheme="minorHAnsi" w:cstheme="minorHAnsi"/>
        </w:rPr>
      </w:pPr>
    </w:p>
    <w:p w14:paraId="030A69B0" w14:textId="77777777" w:rsidR="005C2C7A" w:rsidRPr="00B024D1" w:rsidRDefault="005C2C7A" w:rsidP="005C2C7A">
      <w:pPr>
        <w:jc w:val="both"/>
        <w:rPr>
          <w:rFonts w:asciiTheme="minorHAnsi" w:eastAsia="Arial Unicode MS" w:hAnsiTheme="minorHAnsi" w:cstheme="minorHAnsi"/>
        </w:rPr>
      </w:pPr>
    </w:p>
    <w:p w14:paraId="41853AF6" w14:textId="77777777" w:rsidR="005C2C7A" w:rsidRPr="00B024D1" w:rsidRDefault="005C2C7A" w:rsidP="005C2C7A">
      <w:pPr>
        <w:jc w:val="both"/>
        <w:rPr>
          <w:rFonts w:asciiTheme="minorHAnsi" w:eastAsia="Arial Unicode MS" w:hAnsiTheme="minorHAnsi" w:cstheme="minorHAnsi"/>
        </w:rPr>
      </w:pPr>
    </w:p>
    <w:p w14:paraId="2F33C7C9" w14:textId="77777777" w:rsidR="005C2C7A" w:rsidRPr="00B024D1" w:rsidRDefault="005C2C7A" w:rsidP="005C2C7A">
      <w:pPr>
        <w:jc w:val="both"/>
        <w:rPr>
          <w:rFonts w:asciiTheme="minorHAnsi" w:eastAsia="Arial Unicode MS" w:hAnsiTheme="minorHAnsi" w:cstheme="minorHAnsi"/>
        </w:rPr>
      </w:pPr>
    </w:p>
    <w:p w14:paraId="70844162" w14:textId="77777777" w:rsidR="005C2C7A" w:rsidRPr="00B024D1" w:rsidRDefault="005C2C7A" w:rsidP="005C2C7A">
      <w:pPr>
        <w:jc w:val="both"/>
        <w:rPr>
          <w:rFonts w:asciiTheme="minorHAnsi" w:eastAsia="Arial Unicode MS" w:hAnsiTheme="minorHAnsi" w:cstheme="minorHAnsi"/>
        </w:rPr>
      </w:pPr>
    </w:p>
    <w:p w14:paraId="1CCD44DD" w14:textId="77777777" w:rsidR="005C2C7A" w:rsidRPr="00B024D1" w:rsidRDefault="005C2C7A" w:rsidP="005C2C7A">
      <w:pPr>
        <w:jc w:val="both"/>
        <w:rPr>
          <w:rFonts w:asciiTheme="minorHAnsi" w:eastAsia="Arial Unicode MS" w:hAnsiTheme="minorHAnsi" w:cstheme="minorHAnsi"/>
        </w:rPr>
      </w:pPr>
    </w:p>
    <w:p w14:paraId="09D79A4B" w14:textId="77777777" w:rsidR="005C2C7A" w:rsidRPr="00B024D1" w:rsidRDefault="005C2C7A" w:rsidP="005C2C7A">
      <w:pPr>
        <w:jc w:val="both"/>
        <w:rPr>
          <w:rFonts w:asciiTheme="minorHAnsi" w:eastAsia="Arial Unicode MS" w:hAnsiTheme="minorHAnsi" w:cstheme="minorHAnsi"/>
        </w:rPr>
      </w:pPr>
    </w:p>
    <w:p w14:paraId="068C1193" w14:textId="07BC1523" w:rsidR="00FB62BF" w:rsidRPr="00B024D1" w:rsidRDefault="00FB62BF" w:rsidP="0A3FCF6E">
      <w:pPr>
        <w:jc w:val="both"/>
        <w:rPr>
          <w:rFonts w:asciiTheme="minorHAnsi" w:eastAsia="Arial Unicode MS" w:hAnsiTheme="minorHAnsi" w:cstheme="minorBidi"/>
        </w:rPr>
      </w:pPr>
    </w:p>
    <w:p w14:paraId="5913FE3D" w14:textId="6F0D49D7" w:rsidR="00FB62BF" w:rsidRPr="00B024D1" w:rsidRDefault="00FB62BF" w:rsidP="005C2C7A">
      <w:pPr>
        <w:jc w:val="both"/>
        <w:rPr>
          <w:rFonts w:asciiTheme="minorHAnsi" w:eastAsia="Arial Unicode MS" w:hAnsiTheme="minorHAnsi" w:cstheme="minorHAnsi"/>
        </w:rPr>
      </w:pPr>
    </w:p>
    <w:p w14:paraId="6BD6BB95" w14:textId="27E73459" w:rsidR="00FB62BF" w:rsidRPr="00B024D1" w:rsidRDefault="00FB62BF" w:rsidP="005C2C7A">
      <w:pPr>
        <w:jc w:val="both"/>
        <w:rPr>
          <w:rFonts w:asciiTheme="minorHAnsi" w:eastAsia="Arial Unicode MS" w:hAnsiTheme="minorHAnsi" w:cstheme="minorHAnsi"/>
        </w:rPr>
      </w:pPr>
    </w:p>
    <w:p w14:paraId="6BCFFF7D" w14:textId="2589515A" w:rsidR="00FB62BF" w:rsidRPr="00B024D1" w:rsidRDefault="00FB62BF" w:rsidP="005C2C7A">
      <w:pPr>
        <w:jc w:val="both"/>
        <w:rPr>
          <w:rFonts w:asciiTheme="minorHAnsi" w:eastAsia="Arial Unicode MS" w:hAnsiTheme="minorHAnsi" w:cstheme="minorHAnsi"/>
        </w:rPr>
      </w:pPr>
    </w:p>
    <w:p w14:paraId="2002B5C0" w14:textId="2303483D" w:rsidR="00FB62BF" w:rsidRPr="00B024D1" w:rsidRDefault="00FB62BF" w:rsidP="005C2C7A">
      <w:pPr>
        <w:jc w:val="both"/>
        <w:rPr>
          <w:rFonts w:asciiTheme="minorHAnsi" w:eastAsia="Arial Unicode MS" w:hAnsiTheme="minorHAnsi" w:cstheme="minorHAnsi"/>
        </w:rPr>
      </w:pPr>
    </w:p>
    <w:p w14:paraId="4FF71C8F" w14:textId="560F6FF7" w:rsidR="00FB62BF" w:rsidRPr="00B024D1" w:rsidRDefault="00FB62BF" w:rsidP="005C2C7A">
      <w:pPr>
        <w:jc w:val="both"/>
        <w:rPr>
          <w:rFonts w:asciiTheme="minorHAnsi" w:eastAsia="Arial Unicode MS" w:hAnsiTheme="minorHAnsi" w:cstheme="minorHAnsi"/>
        </w:rPr>
      </w:pPr>
    </w:p>
    <w:p w14:paraId="464E57D1" w14:textId="0401DF4A" w:rsidR="0073183E" w:rsidRPr="0016282F" w:rsidRDefault="0073183E" w:rsidP="0016282F">
      <w:pPr>
        <w:rPr>
          <w:rFonts w:asciiTheme="minorHAnsi" w:eastAsia="Arial Unicode MS" w:hAnsiTheme="minorHAnsi" w:cstheme="minorHAnsi"/>
          <w:b/>
          <w:sz w:val="28"/>
          <w:szCs w:val="28"/>
        </w:rPr>
      </w:pPr>
    </w:p>
    <w:p w14:paraId="2279FE68" w14:textId="7FAC1C5A"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8C8A9A7" w14:textId="15211003"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06FFA3D" w14:textId="52DFC403"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sectPr w:rsidR="005B1EBD" w:rsidRPr="00B024D1" w:rsidSect="004C35F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8A1FBC" w14:textId="77777777" w:rsidR="004C35F7" w:rsidRDefault="004C35F7">
      <w:r>
        <w:separator/>
      </w:r>
    </w:p>
  </w:endnote>
  <w:endnote w:type="continuationSeparator" w:id="0">
    <w:p w14:paraId="5411F1C0" w14:textId="77777777" w:rsidR="004C35F7" w:rsidRDefault="004C35F7">
      <w:r>
        <w:continuationSeparator/>
      </w:r>
    </w:p>
  </w:endnote>
  <w:endnote w:type="continuationNotice" w:id="1">
    <w:p w14:paraId="35C2DB55" w14:textId="77777777" w:rsidR="004C35F7" w:rsidRDefault="004C35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UICTFontTextStyleBody">
    <w:altName w:val="Cambria"/>
    <w:panose1 w:val="00000000000000000000"/>
    <w:charset w:val="00"/>
    <w:family w:val="roman"/>
    <w:notTrueType/>
    <w:pitch w:val="default"/>
  </w:font>
  <w:font w:name="UICTFontTextStyleItalicBody">
    <w:altName w:val="Cambria"/>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7972D" w14:textId="77777777" w:rsidR="00C93C3A" w:rsidRDefault="005C2C7A">
    <w:pPr>
      <w:pStyle w:val="BodyText"/>
      <w:spacing w:line="14" w:lineRule="auto"/>
      <w:rPr>
        <w:sz w:val="20"/>
      </w:rPr>
    </w:pPr>
    <w:r>
      <w:rPr>
        <w:noProof/>
        <w:lang w:bidi="ar-SA"/>
      </w:rPr>
      <mc:AlternateContent>
        <mc:Choice Requires="wps">
          <w:drawing>
            <wp:anchor distT="0" distB="0" distL="114300" distR="114300" simplePos="0" relativeHeight="251658240" behindDoc="1" locked="0" layoutInCell="1" allowOverlap="1" wp14:anchorId="68ABB4FB" wp14:editId="1E4AEE0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v:shapetype id="_x0000_t202" coordsize="21600,21600" o:spt="202" path="m,l,21600r21600,l21600,xe" w14:anchorId="68ABB4FB">
              <v:stroke joinstyle="miter"/>
              <v:path gradientshapeok="t" o:connecttype="rect"/>
            </v:shapetype>
            <v:shape id="Text Box 2" style="position:absolute;margin-left:298.05pt;margin-top:728.35pt;width:16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">
              <v:textbox inset="0,0,0,0">
                <w:txbxContent>
                  <w:p w:rsidR="00C93C3A" w:rsidRDefault="00D65A4A" w14:paraId="3B9B6601" w14:textId="77777777">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1661103"/>
      <w:docPartObj>
        <w:docPartGallery w:val="Page Numbers (Bottom of Page)"/>
        <w:docPartUnique/>
      </w:docPartObj>
    </w:sdtPr>
    <w:sdtEndPr>
      <w:rPr>
        <w:noProof/>
      </w:rPr>
    </w:sdtEndPr>
    <w:sdtContent>
      <w:p w14:paraId="0B4DB3E6" w14:textId="77777777" w:rsidR="00776E89"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EFB3D92" w14:textId="77777777" w:rsidR="00776E89" w:rsidRDefault="00776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00D4B1" w14:textId="77777777" w:rsidR="004C35F7" w:rsidRDefault="004C35F7">
      <w:r>
        <w:separator/>
      </w:r>
    </w:p>
  </w:footnote>
  <w:footnote w:type="continuationSeparator" w:id="0">
    <w:p w14:paraId="78F271FE" w14:textId="77777777" w:rsidR="004C35F7" w:rsidRDefault="004C35F7">
      <w:r>
        <w:continuationSeparator/>
      </w:r>
    </w:p>
  </w:footnote>
  <w:footnote w:type="continuationNotice" w:id="1">
    <w:p w14:paraId="5135E120" w14:textId="77777777" w:rsidR="004C35F7" w:rsidRDefault="004C35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3360732"/>
      <w:docPartObj>
        <w:docPartGallery w:val="Page Numbers (Top of Page)"/>
        <w:docPartUnique/>
      </w:docPartObj>
    </w:sdtPr>
    <w:sdtEndPr>
      <w:rPr>
        <w:noProof/>
      </w:rPr>
    </w:sdtEndPr>
    <w:sdtContent>
      <w:p w14:paraId="7F1ABD94" w14:textId="77777777" w:rsidR="00776E89"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FE7CD14" w14:textId="77777777" w:rsidR="00776E89" w:rsidRDefault="00776E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952D1"/>
    <w:multiLevelType w:val="multilevel"/>
    <w:tmpl w:val="E9F87E9C"/>
    <w:lvl w:ilvl="0">
      <w:start w:val="1"/>
      <w:numFmt w:val="bullet"/>
      <w:lvlText w:val=""/>
      <w:lvlJc w:val="left"/>
      <w:pPr>
        <w:tabs>
          <w:tab w:val="decimal" w:pos="432"/>
        </w:tabs>
        <w:ind w:left="720"/>
      </w:pPr>
      <w:rPr>
        <w:rFonts w:ascii="Symbol" w:eastAsia="Symbol" w:hAnsi="Symbol"/>
        <w:strike w:val="0"/>
        <w:color w:val="000000"/>
        <w:spacing w:val="-5"/>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E55C85"/>
    <w:multiLevelType w:val="hybridMultilevel"/>
    <w:tmpl w:val="3074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3" w15:restartNumberingAfterBreak="0">
    <w:nsid w:val="1B083740"/>
    <w:multiLevelType w:val="hybridMultilevel"/>
    <w:tmpl w:val="A7BA1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8247F"/>
    <w:multiLevelType w:val="hybridMultilevel"/>
    <w:tmpl w:val="A1DA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D3058"/>
    <w:multiLevelType w:val="hybridMultilevel"/>
    <w:tmpl w:val="D83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7"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8" w15:restartNumberingAfterBreak="0">
    <w:nsid w:val="3D2F6570"/>
    <w:multiLevelType w:val="hybridMultilevel"/>
    <w:tmpl w:val="4FBE8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0"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1"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6861BC"/>
    <w:multiLevelType w:val="hybridMultilevel"/>
    <w:tmpl w:val="725C9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BC41CC"/>
    <w:multiLevelType w:val="hybridMultilevel"/>
    <w:tmpl w:val="C52CC8B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52362021"/>
    <w:multiLevelType w:val="hybridMultilevel"/>
    <w:tmpl w:val="8D56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8" w15:restartNumberingAfterBreak="0">
    <w:nsid w:val="581C6EAD"/>
    <w:multiLevelType w:val="hybridMultilevel"/>
    <w:tmpl w:val="692C40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59973DD5"/>
    <w:multiLevelType w:val="hybridMultilevel"/>
    <w:tmpl w:val="A93CF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3602A4B"/>
    <w:multiLevelType w:val="hybridMultilevel"/>
    <w:tmpl w:val="2B9C5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E50D18"/>
    <w:multiLevelType w:val="hybridMultilevel"/>
    <w:tmpl w:val="1EEE11C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2" w15:restartNumberingAfterBreak="0">
    <w:nsid w:val="69C15F91"/>
    <w:multiLevelType w:val="hybridMultilevel"/>
    <w:tmpl w:val="3446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4"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25" w15:restartNumberingAfterBreak="0">
    <w:nsid w:val="7D4107C3"/>
    <w:multiLevelType w:val="hybridMultilevel"/>
    <w:tmpl w:val="C31A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180565">
    <w:abstractNumId w:val="10"/>
  </w:num>
  <w:num w:numId="2" w16cid:durableId="769013346">
    <w:abstractNumId w:val="6"/>
  </w:num>
  <w:num w:numId="3" w16cid:durableId="1924682805">
    <w:abstractNumId w:val="7"/>
  </w:num>
  <w:num w:numId="4" w16cid:durableId="1890070124">
    <w:abstractNumId w:val="2"/>
  </w:num>
  <w:num w:numId="5" w16cid:durableId="1049307997">
    <w:abstractNumId w:val="9"/>
  </w:num>
  <w:num w:numId="6" w16cid:durableId="1190875734">
    <w:abstractNumId w:val="23"/>
  </w:num>
  <w:num w:numId="7" w16cid:durableId="1544057808">
    <w:abstractNumId w:val="24"/>
  </w:num>
  <w:num w:numId="8" w16cid:durableId="1178495943">
    <w:abstractNumId w:val="17"/>
  </w:num>
  <w:num w:numId="9" w16cid:durableId="1548832024">
    <w:abstractNumId w:val="12"/>
  </w:num>
  <w:num w:numId="10" w16cid:durableId="408308906">
    <w:abstractNumId w:val="11"/>
  </w:num>
  <w:num w:numId="11" w16cid:durableId="54010131">
    <w:abstractNumId w:val="14"/>
  </w:num>
  <w:num w:numId="12" w16cid:durableId="1966808636">
    <w:abstractNumId w:val="16"/>
  </w:num>
  <w:num w:numId="13" w16cid:durableId="1343435261">
    <w:abstractNumId w:val="19"/>
  </w:num>
  <w:num w:numId="14" w16cid:durableId="1025711228">
    <w:abstractNumId w:val="15"/>
  </w:num>
  <w:num w:numId="15" w16cid:durableId="561521355">
    <w:abstractNumId w:val="8"/>
  </w:num>
  <w:num w:numId="16" w16cid:durableId="542788065">
    <w:abstractNumId w:val="13"/>
  </w:num>
  <w:num w:numId="17" w16cid:durableId="830222427">
    <w:abstractNumId w:val="20"/>
  </w:num>
  <w:num w:numId="18" w16cid:durableId="1512328744">
    <w:abstractNumId w:val="22"/>
  </w:num>
  <w:num w:numId="19" w16cid:durableId="1453472359">
    <w:abstractNumId w:val="5"/>
  </w:num>
  <w:num w:numId="20" w16cid:durableId="2098404659">
    <w:abstractNumId w:val="18"/>
  </w:num>
  <w:num w:numId="21" w16cid:durableId="544681021">
    <w:abstractNumId w:val="21"/>
  </w:num>
  <w:num w:numId="22" w16cid:durableId="1066992185">
    <w:abstractNumId w:val="0"/>
  </w:num>
  <w:num w:numId="23" w16cid:durableId="863830345">
    <w:abstractNumId w:val="1"/>
  </w:num>
  <w:num w:numId="24" w16cid:durableId="291012102">
    <w:abstractNumId w:val="25"/>
  </w:num>
  <w:num w:numId="25" w16cid:durableId="1384671076">
    <w:abstractNumId w:val="4"/>
  </w:num>
  <w:num w:numId="26" w16cid:durableId="8432528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hideSpellingErrors/>
  <w:hideGrammaticalErrors/>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6228"/>
    <w:rsid w:val="000214B7"/>
    <w:rsid w:val="0007524A"/>
    <w:rsid w:val="000D4CA4"/>
    <w:rsid w:val="00124059"/>
    <w:rsid w:val="00157057"/>
    <w:rsid w:val="0016282F"/>
    <w:rsid w:val="00172A2B"/>
    <w:rsid w:val="001D52F6"/>
    <w:rsid w:val="001D5E53"/>
    <w:rsid w:val="001D7BC5"/>
    <w:rsid w:val="00211822"/>
    <w:rsid w:val="00226E6E"/>
    <w:rsid w:val="00245BB0"/>
    <w:rsid w:val="002B6E67"/>
    <w:rsid w:val="002D2606"/>
    <w:rsid w:val="002D2E30"/>
    <w:rsid w:val="002E01B5"/>
    <w:rsid w:val="00304A2B"/>
    <w:rsid w:val="003200FC"/>
    <w:rsid w:val="00323841"/>
    <w:rsid w:val="003774C2"/>
    <w:rsid w:val="003A1771"/>
    <w:rsid w:val="00402BA5"/>
    <w:rsid w:val="00434B6C"/>
    <w:rsid w:val="0046736D"/>
    <w:rsid w:val="004A6BE9"/>
    <w:rsid w:val="004C35F7"/>
    <w:rsid w:val="004D1306"/>
    <w:rsid w:val="004E078E"/>
    <w:rsid w:val="005527C3"/>
    <w:rsid w:val="00576ADB"/>
    <w:rsid w:val="00585286"/>
    <w:rsid w:val="005A6E02"/>
    <w:rsid w:val="005B1EBD"/>
    <w:rsid w:val="005C2C7A"/>
    <w:rsid w:val="005E6698"/>
    <w:rsid w:val="005F6917"/>
    <w:rsid w:val="006075C0"/>
    <w:rsid w:val="006107E7"/>
    <w:rsid w:val="00620D31"/>
    <w:rsid w:val="00627A58"/>
    <w:rsid w:val="006463FE"/>
    <w:rsid w:val="006B7C10"/>
    <w:rsid w:val="007239AE"/>
    <w:rsid w:val="0073183E"/>
    <w:rsid w:val="007535DE"/>
    <w:rsid w:val="00765C8D"/>
    <w:rsid w:val="00766D97"/>
    <w:rsid w:val="00776E89"/>
    <w:rsid w:val="007E1664"/>
    <w:rsid w:val="00802A09"/>
    <w:rsid w:val="00820D61"/>
    <w:rsid w:val="008A34A8"/>
    <w:rsid w:val="008A58C5"/>
    <w:rsid w:val="008B66BA"/>
    <w:rsid w:val="009565F3"/>
    <w:rsid w:val="00957325"/>
    <w:rsid w:val="009651F0"/>
    <w:rsid w:val="00990EF5"/>
    <w:rsid w:val="009A3C88"/>
    <w:rsid w:val="009C7069"/>
    <w:rsid w:val="009F4C67"/>
    <w:rsid w:val="009F5D6C"/>
    <w:rsid w:val="00A36816"/>
    <w:rsid w:val="00A612B2"/>
    <w:rsid w:val="00AA064B"/>
    <w:rsid w:val="00AE4CEF"/>
    <w:rsid w:val="00B024D1"/>
    <w:rsid w:val="00B43FCC"/>
    <w:rsid w:val="00B90EDD"/>
    <w:rsid w:val="00BB6640"/>
    <w:rsid w:val="00BC1C53"/>
    <w:rsid w:val="00BE405C"/>
    <w:rsid w:val="00C46B32"/>
    <w:rsid w:val="00C764A3"/>
    <w:rsid w:val="00C82D10"/>
    <w:rsid w:val="00C92578"/>
    <w:rsid w:val="00C93C3A"/>
    <w:rsid w:val="00C94C0A"/>
    <w:rsid w:val="00CB49C0"/>
    <w:rsid w:val="00D11D08"/>
    <w:rsid w:val="00D252A7"/>
    <w:rsid w:val="00D65A4A"/>
    <w:rsid w:val="00D665AB"/>
    <w:rsid w:val="00D72071"/>
    <w:rsid w:val="00D759DB"/>
    <w:rsid w:val="00D948AC"/>
    <w:rsid w:val="00DE0325"/>
    <w:rsid w:val="00DF310B"/>
    <w:rsid w:val="00E40BEA"/>
    <w:rsid w:val="00E52E24"/>
    <w:rsid w:val="00EC468D"/>
    <w:rsid w:val="00EE3A14"/>
    <w:rsid w:val="00FB62BF"/>
    <w:rsid w:val="00FF0EEF"/>
    <w:rsid w:val="023E3E07"/>
    <w:rsid w:val="03AF28E0"/>
    <w:rsid w:val="03DA0E68"/>
    <w:rsid w:val="07C9E2B5"/>
    <w:rsid w:val="07D9DCB8"/>
    <w:rsid w:val="0A3FCF6E"/>
    <w:rsid w:val="0B4226F5"/>
    <w:rsid w:val="0B80DADE"/>
    <w:rsid w:val="0CDCBAD6"/>
    <w:rsid w:val="0CFFA8F9"/>
    <w:rsid w:val="0E9DD6CD"/>
    <w:rsid w:val="121AB959"/>
    <w:rsid w:val="132E0F64"/>
    <w:rsid w:val="19B76648"/>
    <w:rsid w:val="1A78D881"/>
    <w:rsid w:val="1C51E421"/>
    <w:rsid w:val="1D90ECD0"/>
    <w:rsid w:val="23FFED85"/>
    <w:rsid w:val="241FBAC7"/>
    <w:rsid w:val="25645609"/>
    <w:rsid w:val="26376240"/>
    <w:rsid w:val="2B581F9C"/>
    <w:rsid w:val="2DCE8A93"/>
    <w:rsid w:val="35ECA48F"/>
    <w:rsid w:val="369AD243"/>
    <w:rsid w:val="375C447C"/>
    <w:rsid w:val="3C2FB59F"/>
    <w:rsid w:val="3CF868CC"/>
    <w:rsid w:val="3F675661"/>
    <w:rsid w:val="3FAE9E69"/>
    <w:rsid w:val="40A8C993"/>
    <w:rsid w:val="4350C616"/>
    <w:rsid w:val="451B09A3"/>
    <w:rsid w:val="47726846"/>
    <w:rsid w:val="4908DBFA"/>
    <w:rsid w:val="4943C724"/>
    <w:rsid w:val="4AB1F68E"/>
    <w:rsid w:val="4DB3A382"/>
    <w:rsid w:val="50516FDC"/>
    <w:rsid w:val="50DFD227"/>
    <w:rsid w:val="52710D62"/>
    <w:rsid w:val="52B51AED"/>
    <w:rsid w:val="5389109E"/>
    <w:rsid w:val="54A23A29"/>
    <w:rsid w:val="59245C71"/>
    <w:rsid w:val="59DE162D"/>
    <w:rsid w:val="5C5BFD33"/>
    <w:rsid w:val="5F8A1C3A"/>
    <w:rsid w:val="5F9B8B7B"/>
    <w:rsid w:val="6063348C"/>
    <w:rsid w:val="61173727"/>
    <w:rsid w:val="6202AA9B"/>
    <w:rsid w:val="62E9515D"/>
    <w:rsid w:val="6312616D"/>
    <w:rsid w:val="65D971D2"/>
    <w:rsid w:val="6978F7D1"/>
    <w:rsid w:val="697A4D26"/>
    <w:rsid w:val="6EF0797A"/>
    <w:rsid w:val="708C49DB"/>
    <w:rsid w:val="72FF443E"/>
    <w:rsid w:val="7308070F"/>
    <w:rsid w:val="73C3EA9D"/>
    <w:rsid w:val="74C0BE91"/>
    <w:rsid w:val="79641A24"/>
    <w:rsid w:val="798B1EB3"/>
    <w:rsid w:val="7A332C21"/>
    <w:rsid w:val="7A601175"/>
    <w:rsid w:val="7BCEFC82"/>
    <w:rsid w:val="7CE0AD2F"/>
    <w:rsid w:val="7E56A250"/>
    <w:rsid w:val="7F069D44"/>
    <w:rsid w:val="7F103C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B4E2A7BE-86EA-456B-AF09-40DBE7D3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AA064B"/>
    <w:rPr>
      <w:color w:val="0000FF" w:themeColor="hyperlink"/>
      <w:u w:val="single"/>
    </w:rPr>
  </w:style>
  <w:style w:type="paragraph" w:customStyle="1" w:styleId="p1">
    <w:name w:val="p1"/>
    <w:basedOn w:val="Normal"/>
    <w:rsid w:val="00D72071"/>
    <w:pPr>
      <w:widowControl/>
      <w:autoSpaceDE/>
      <w:autoSpaceDN/>
      <w:ind w:left="1080"/>
    </w:pPr>
    <w:rPr>
      <w:rFonts w:ascii=".AppleSystemUIFont" w:eastAsiaTheme="minorEastAsia" w:hAnsi=".AppleSystemUIFont" w:cs="Times New Roman"/>
      <w:sz w:val="26"/>
      <w:szCs w:val="26"/>
      <w:lang w:bidi="ar-SA"/>
    </w:rPr>
  </w:style>
  <w:style w:type="paragraph" w:customStyle="1" w:styleId="p2">
    <w:name w:val="p2"/>
    <w:basedOn w:val="Normal"/>
    <w:rsid w:val="00D72071"/>
    <w:pPr>
      <w:widowControl/>
      <w:autoSpaceDE/>
      <w:autoSpaceDN/>
      <w:ind w:left="1080"/>
    </w:pPr>
    <w:rPr>
      <w:rFonts w:ascii=".AppleSystemUIFont" w:eastAsiaTheme="minorEastAsia" w:hAnsi=".AppleSystemUIFont" w:cs="Times New Roman"/>
      <w:sz w:val="26"/>
      <w:szCs w:val="26"/>
      <w:lang w:bidi="ar-SA"/>
    </w:rPr>
  </w:style>
  <w:style w:type="paragraph" w:customStyle="1" w:styleId="p3">
    <w:name w:val="p3"/>
    <w:basedOn w:val="Normal"/>
    <w:rsid w:val="00D72071"/>
    <w:pPr>
      <w:widowControl/>
      <w:autoSpaceDE/>
      <w:autoSpaceDN/>
    </w:pPr>
    <w:rPr>
      <w:rFonts w:ascii=".AppleSystemUIFont" w:eastAsiaTheme="minorEastAsia" w:hAnsi=".AppleSystemUIFont" w:cs="Times New Roman"/>
      <w:sz w:val="26"/>
      <w:szCs w:val="26"/>
      <w:lang w:bidi="ar-SA"/>
    </w:rPr>
  </w:style>
  <w:style w:type="character" w:customStyle="1" w:styleId="s1">
    <w:name w:val="s1"/>
    <w:basedOn w:val="DefaultParagraphFont"/>
    <w:rsid w:val="00D72071"/>
    <w:rPr>
      <w:rFonts w:ascii="UICTFontTextStyleBody" w:hAnsi="UICTFontTextStyleBody" w:hint="default"/>
      <w:b w:val="0"/>
      <w:bCs w:val="0"/>
      <w:i w:val="0"/>
      <w:iCs w:val="0"/>
      <w:sz w:val="26"/>
      <w:szCs w:val="26"/>
    </w:rPr>
  </w:style>
  <w:style w:type="character" w:customStyle="1" w:styleId="s2">
    <w:name w:val="s2"/>
    <w:basedOn w:val="DefaultParagraphFont"/>
    <w:rsid w:val="00D72071"/>
    <w:rPr>
      <w:rFonts w:ascii="UICTFontTextStyleItalicBody" w:hAnsi="UICTFontTextStyleItalicBody" w:hint="default"/>
      <w:b w:val="0"/>
      <w:bCs w:val="0"/>
      <w:i/>
      <w:iCs/>
      <w:sz w:val="26"/>
      <w:szCs w:val="26"/>
    </w:rPr>
  </w:style>
  <w:style w:type="character" w:customStyle="1" w:styleId="apple-converted-space">
    <w:name w:val="apple-converted-space"/>
    <w:basedOn w:val="DefaultParagraphFont"/>
    <w:rsid w:val="00D720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0251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2864</Words>
  <Characters>16327</Characters>
  <Application>Microsoft Office Word</Application>
  <DocSecurity>4</DocSecurity>
  <Lines>136</Lines>
  <Paragraphs>38</Paragraphs>
  <ScaleCrop>false</ScaleCrop>
  <Company>University of Wales Trinity Saint David</Company>
  <LinksUpToDate>false</LinksUpToDate>
  <CharactersWithSpaces>19153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cp:lastModifiedBy>Mel Tavares (2204640)</cp:lastModifiedBy>
  <cp:revision>11</cp:revision>
  <dcterms:created xsi:type="dcterms:W3CDTF">2023-02-09T23:39:00Z</dcterms:created>
  <dcterms:modified xsi:type="dcterms:W3CDTF">2024-05-03T22:24:00Z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