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F0459D" w14:paraId="6B7E2621" wp14:textId="36E288A8">
      <w:pPr>
        <w:jc w:val="center"/>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GB"/>
        </w:rPr>
      </w:pPr>
      <w:r w:rsidRPr="6EF0459D" w:rsidR="49F87A6C">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GB"/>
        </w:rPr>
        <w:t>I</w:t>
      </w:r>
      <w:r w:rsidRPr="6EF0459D" w:rsidR="3DCA56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GB"/>
        </w:rPr>
        <w:t xml:space="preserve">nclusive Practice </w:t>
      </w:r>
    </w:p>
    <w:p xmlns:wp14="http://schemas.microsoft.com/office/word/2010/wordml" w:rsidP="6EF0459D" w14:paraId="0F9C4AF3" wp14:textId="6F224AAA">
      <w:pPr>
        <w:rPr>
          <w:noProof w:val="0"/>
          <w:lang w:val="en-GB"/>
        </w:rPr>
      </w:pPr>
      <w:r>
        <w:br/>
      </w:r>
    </w:p>
    <w:p xmlns:wp14="http://schemas.microsoft.com/office/word/2010/wordml" w:rsidP="6EF0459D" w14:paraId="1E8E3116" wp14:textId="7CBDB1D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78C6F6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The philosophy of inclusion and its related meanings has been gaining momentum in recent years in many parts of the world. (UNESCO, 1996) This is happening because of the urgent need of humane and equal opportunities for people who want to get involved with the arts. (Florian, L., Rose, R. and </w:t>
      </w:r>
      <w:proofErr w:type="spell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Tilstone</w:t>
      </w:r>
      <w:proofErr w:type="spell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C. eds.,2002) Inclusive arts though, should not just be named inclusive but</w:t>
      </w:r>
      <w:r w:rsidRPr="6EF0459D" w:rsidR="26DD8A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just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be an art form that engages creatively with diverse productivity; emphasising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on:</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collaboration, communication, exchange, relationships and the creative skills of collaborators; </w:t>
      </w:r>
      <w:r w:rsidRPr="6EF0459D" w:rsidR="163A1B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thus,</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approaching diversity as an opportunity to enrich and not to limit creativity. (Fox, A. and Macpherson, H.,2015) </w:t>
      </w:r>
    </w:p>
    <w:p xmlns:wp14="http://schemas.microsoft.com/office/word/2010/wordml" w:rsidP="6EF0459D" w14:paraId="1DCB9493" wp14:textId="0D21376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It should be taken into consideration that art is an important carrier of inclusivity and its values since it is the arts that are one of the oldest and most remarkable means of human communicative activity and intellectual achievement. (Efland 1990; Heath and Wollach 2008)  </w:t>
      </w:r>
    </w:p>
    <w:p xmlns:wp14="http://schemas.microsoft.com/office/word/2010/wordml" w:rsidP="6EF0459D" w14:paraId="31F211EA" wp14:textId="668BD5D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6EF0459D" w14:paraId="7C09AB4E" wp14:textId="3FF41C1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6E040A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Furthermore, there is a connection between arts and health care since according to The Arts Council in 2003 arts benefit the relationships between the staff and the clients to keep their identity despite their issues; most importantly contributed to the enhancement of the recovery process. (Goodwin, John &amp; Deady, Rick, 2013) </w:t>
      </w:r>
    </w:p>
    <w:p xmlns:wp14="http://schemas.microsoft.com/office/word/2010/wordml" w:rsidP="6EF0459D" w14:paraId="06E4655A" wp14:textId="75C38449">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This evidence contributed to my </w:t>
      </w:r>
      <w:r w:rsidRPr="6EF0459D" w:rsidR="2B22E0A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decision to</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design my workshop for adults with mental health disorders. As stated by the American Psychological Association in 2013, the term mental disorder includes syndromes which are characterized by the clinically significant disturbances that are related with the cognition of the individual, the emotion regulation or the behaviour and it causes dysfunctions in the psychological, biological or developmental processes underlying mental functioning. They are many different mental disorders with different representations some of them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are:</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depression, personality disorder, bipolar disorder, schizophrenia, psychosis, dementia and developmental disorders including autism. Decisive factors of mental disorders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are:</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social, cultural, environmental, political factors; also stress, genetics, nutrition, perinatal infections and exposure to environmental hazards are important factors.</w:t>
      </w:r>
    </w:p>
    <w:p xmlns:wp14="http://schemas.microsoft.com/office/word/2010/wordml" w:rsidP="6EF0459D" w14:paraId="49229765" wp14:textId="00663DF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It is worth mentioning that between the 76% and 85% of people with mental disorder do not receive treatment for their disorder and those </w:t>
      </w:r>
      <w:r w:rsidRPr="6EF0459D" w:rsidR="1204DC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who do</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tend to have a poor-quality treatment. (World Health Organization) These high numbers are possibly because of the social stigma towards mental disorders </w:t>
      </w:r>
      <w:r w:rsidRPr="6EF0459D" w:rsidR="54F0E1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being internalised</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causing self-stigma. As a result, people do not ask or delay asking for help.</w:t>
      </w:r>
      <w:r w:rsidRPr="6EF0459D" w:rsidR="7C9094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Evans-Lacko et al. (2012) investigates a clear connection between people with mental health disorders and stigmatised attitudes. According to Goffman stigma </w:t>
      </w:r>
      <w:r w:rsidRPr="6EF0459D" w:rsidR="471971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separates</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people to ‘us’ and ‘them’ and here comes the role of inclusive arts to bring people together, overcome labels and raise awareness.</w:t>
      </w:r>
      <w:r w:rsidRPr="6EF0459D" w:rsidR="7DA049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One of the main aims of inclusive arts is to give voice to people who have not been heard and by creating a social contact or comfort in talking to people about mental health problems it is ‘the most consistent country/population predictor of lower stigma and higher empowerment among people with mental illness’ (2012: 1748).</w:t>
      </w:r>
    </w:p>
    <w:p xmlns:wp14="http://schemas.microsoft.com/office/word/2010/wordml" w:rsidP="6EF0459D" w14:paraId="736FD973" wp14:textId="1851926C">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xmlns:wp14="http://schemas.microsoft.com/office/word/2010/wordml" w:rsidP="6EF0459D" w14:paraId="053A537F" wp14:textId="51AA82B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6D095A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Theatre techniques have an amazingly positive impact in the field of mental health. Specifically, theatre methods which have been used as means to promote inclusion for mental health patients in local communities and the process of creating a performance has proved to reduce prejudice and discrimination while promoting health and building social networks (Bosco et al., 2014). A great example are the adults with psychiatric disabilities and their families with whom the theatre methods contributed to achieve improvements to their community contacts, to the encouragement for community education and for positive change in society. (Faigin and Stein 2015; Yotis, Theohari, Katan, &amp; </w:t>
      </w:r>
      <w:proofErr w:type="spell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Mantonakis</w:t>
      </w:r>
      <w:proofErr w:type="spell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2002)</w:t>
      </w:r>
    </w:p>
    <w:p xmlns:wp14="http://schemas.microsoft.com/office/word/2010/wordml" w:rsidP="6EF0459D" w14:paraId="700C8458" wp14:textId="3D1425E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Inspired by this study I tailored my first session for adults with mental health disorders; intending to create a safe and welcome space for the participants while aiming to create bonds between them in a creative way.</w:t>
      </w:r>
    </w:p>
    <w:p xmlns:wp14="http://schemas.microsoft.com/office/word/2010/wordml" w:rsidP="6EF0459D" w14:paraId="2554788A" wp14:textId="07A8383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Before we started, I welcomed the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participants</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and we made a contract clarifying that this is a safe and non-judgemental space; just to make sure that everyone it is okay with the agreement I asked them to give </w:t>
      </w:r>
      <w:r w:rsidRPr="6EF0459D" w:rsidR="512DF3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a thumbs</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up. If I was going to have more time, I would ask the participants what they expect from the session and what needs to be done in order to achieve the group's aims. Because of the limited time I told them what I needed to make sure for their safety and smooth integration.</w:t>
      </w:r>
    </w:p>
    <w:p xmlns:wp14="http://schemas.microsoft.com/office/word/2010/wordml" w:rsidP="6EF0459D" w14:paraId="50025086" wp14:textId="656BD89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Then, we had a check-in in which participants were asked to tell their name, pronounce and if they were weather or a season what they would be. While they were passing to each other, in a circle. By asking them who they are and how they feel I aimed to bring the intention to themselves and to the space. </w:t>
      </w:r>
    </w:p>
    <w:p xmlns:wp14="http://schemas.microsoft.com/office/word/2010/wordml" w:rsidP="6EF0459D" w14:paraId="4C836139" wp14:textId="330BBAC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Then the ice breaker activity in which participants are in a circle and one person is in the middle starting a sentence with ‘anyone who...’ and then she had to share a statement/reality/characteristic/interest about herself. After finishing the sentence other people who had the same interest raised their hands and the person who was in the middle chose who is going next.</w:t>
      </w:r>
      <w:r w:rsidRPr="6EF0459D" w:rsidR="5C75BA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Through this exercise people get to know each other better by discovering things that they have in common. At first when I was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planning</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I was thinking of encouraging participants to focus on the positive things</w:t>
      </w:r>
      <w:r w:rsidRPr="6EF0459D" w:rsidR="214FF3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however I changed my mind since I did not want people to feel pressure on what they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have to</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share. To my surprise though just by me having </w:t>
      </w:r>
      <w:r w:rsidRPr="6EF0459D" w:rsidR="545A22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given</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the example ‘anyone who loves chocolate’ group members started sharing things that they enjoy. I accomplished the aim of the activity which was to bring people together and create a high energy. </w:t>
      </w:r>
    </w:p>
    <w:p xmlns:wp14="http://schemas.microsoft.com/office/word/2010/wordml" w:rsidP="6EF0459D" w14:paraId="20CADC97" wp14:textId="2E70B2B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For the next activity the group was divided in pairs of two. Each person had 2 minutes to make slow and clear movements while the other person had to copy them. I used music for their discovery journey while at the same time I was talking to the group in order to concentrate their focus on their physicality.</w:t>
      </w:r>
      <w:r w:rsidRPr="6EF0459D" w:rsidR="4E77BE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After the mirroring they were asked how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was that for them</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and to combine it with movement. While we were in the circle there was a moment which a member did not share movement and I asked her if she was going to describe it physically with a movement how it would be</w:t>
      </w:r>
      <w:r w:rsidRPr="6EF0459D" w:rsidR="646449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I left her some time and then she did it. I believe that it is important to clarify and repeat instructions especially in this occasion where I was online. The reason that I asked her was not to make her feel uncomfortable or just to see the movement</w:t>
      </w:r>
      <w:r w:rsidRPr="6EF0459D" w:rsidR="6BEAE4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but I repeated the instructions to show that I am here for her and she can take her time.</w:t>
      </w:r>
      <w:r w:rsidRPr="6EF0459D" w:rsidR="2B8ACA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6EF0459D" w14:paraId="4733C2B5" wp14:textId="739A952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I find the activity of the mirroring very important for improvisation and exploration since, mirror-neurons are part of the brain’s motor system some doctors say that they might include empathy, while others think that they are related with the speech ability. This evidence is very important since a lot of people with mental health disorders are stigmatised</w:t>
      </w:r>
      <w:r w:rsidRPr="6EF0459D" w:rsidR="4B3D56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and they</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feel unable to interact, </w:t>
      </w:r>
      <w:r w:rsidRPr="6EF0459D" w:rsidR="51A3ED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in this way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mirroring seems to be a way to communicate with each other.</w:t>
      </w:r>
      <w:r w:rsidRPr="6EF0459D" w:rsidR="190988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Researchers also claim that by using mirroring techniques they offer treatment to mental disorders like autism. (</w:t>
      </w:r>
      <w:proofErr w:type="spell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Thomas,B</w:t>
      </w:r>
      <w:proofErr w:type="spell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2012) In any case mirroring was a great opportunity for the members to create bonds in a ritual and creative element. As well by asking them to reflect verbally and physically it was the way to realise that if the body can make a dialogue with another person and the participant can describe </w:t>
      </w:r>
      <w:r w:rsidRPr="6EF0459D" w:rsidR="580A83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the</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dialogue with one movement, physically so she is able to talk about it and express herself, verbally and vice versa.</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6EF0459D" w14:paraId="188F033C" wp14:textId="4AE4D79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In order to shake off any emotional pressure from the mirroring, the next activity was about imagination. We were in a circle and I started a sentence saying ‘This is not a paper, this is my...’ the members were encouraged to be as playful and colourful as possible, by using their imagination and discovering an object, the paper. It used the technique of popcorn where whoever got an idea first went next. Participants came with creative ideas and there was a flow on who is going next.</w:t>
      </w:r>
    </w:p>
    <w:p xmlns:wp14="http://schemas.microsoft.com/office/word/2010/wordml" w:rsidP="6EF0459D" w14:paraId="03E65DC8" wp14:textId="1B8921B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For the </w:t>
      </w:r>
      <w:r w:rsidRPr="6EF0459D" w:rsidR="54D01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check-out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everyone said their name,</w:t>
      </w:r>
      <w:r w:rsidRPr="6EF0459D" w:rsidR="4DAEC6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something that they appreciated themselves for from the session and an appreciation for someone else in the group. They also have to say if they were going to be a colour what they would be. People cooled down, shared positivity with the appreciation and gaining self-esteem, also the colour was an opportunity for them to acknowledge their feelings at that moment and for me to get a sense on how they were feeling after the session.</w:t>
      </w:r>
    </w:p>
    <w:p xmlns:wp14="http://schemas.microsoft.com/office/word/2010/wordml" w:rsidP="6EF0459D" w14:paraId="53DF8CD5" wp14:textId="30F19200">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xmlns:wp14="http://schemas.microsoft.com/office/word/2010/wordml" w:rsidP="6EF0459D" w14:paraId="1B145EA1" wp14:textId="5575C0C5">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55544D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If I was going to improve the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session</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I would like to have better sound because I struggled sometimes to hear everything. I could probably have a device in the middle of the room to hear the participants more clearly. Ideally, I would like to be in the room with the group so I would be able to listen and communicate fully with them. Listening is very important in the frames of active-receptive auditory attention because thus it enables communication. (Rice, T., 2015)</w:t>
      </w:r>
    </w:p>
    <w:p xmlns:wp14="http://schemas.microsoft.com/office/word/2010/wordml" w:rsidP="6EF0459D" w14:paraId="47173A79" wp14:textId="0B070EB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I would also like to explore more physical activities in my practice</w:t>
      </w:r>
      <w:r w:rsidRPr="6EF0459D" w:rsidR="4E10E8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because I find very interesting the idea that human bodies have their own knowledge and memory. Bodies experience physical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stories</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and they react depending on the level of safety and danger they feel. The ‘Wandering’ or </w:t>
      </w:r>
      <w:proofErr w:type="spell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vagus</w:t>
      </w:r>
      <w:proofErr w:type="spell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nerve is the system in which according to psychobiology the strongest human emotions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like:</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love, fear, anger, sorrow, disgust, hope, dread, grief and sorrow are involved in the activation and the connection of a complex nervous system of the brainstem, pharynx, heart, lungs, stomach, gut and spine.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Menakem,R.</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2017) This relation is important because it proves the effect of emotions to the body, people with mental health disorders experience their condition not only psychologically, biologically or developmentally they also experience it physically for this reason it creates the essential need for the therapist to find the way to unlock and develop these physical sensations and feelings. (Levine, 2010, p. 9-11)</w:t>
      </w:r>
    </w:p>
    <w:p xmlns:wp14="http://schemas.microsoft.com/office/word/2010/wordml" w:rsidP="6EF0459D" w14:paraId="6F4624C9" wp14:textId="43BB4972">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
    <w:p xmlns:wp14="http://schemas.microsoft.com/office/word/2010/wordml" w:rsidP="6EF0459D" w14:paraId="682E8F10" wp14:textId="0D710DDD">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2933D0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The participatory practices that are used in mental health are assumed to be the ‘other’ of science and objectivity and as a result a conventional dichotomy is claimed. Particularly the biomedical model (Deacon, 2013; Engel, 1977) seems to have the monopoly on scientific objectivity whilst participatory practices are approached </w:t>
      </w:r>
      <w:proofErr w:type="gramStart"/>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as a way to</w:t>
      </w:r>
      <w:proofErr w:type="gramEnd"/>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express many individual subjective perspectives. The continued possession of conventional dichotomy it gradually underestimates the significance of committed ethos, knowledge sharing and collectivisation of experience. Ignoring the role of participatory practice on emphasising to collaboration and limiting alienation. For this reason, participatory organisations for mental health should not be approached as the subjective ‘other’ to the objectivity of science but as ‘engines of alternative objectivity’. (Blencowe, C., Brigstocke, J. and Noorani, T. 2018) In my opinion art and science plays a vital role in the lives of people with mental health disorders and instead of being in a race about their roles in the mental health field, they should focus on their aims which are no other than being pioneers in </w:t>
      </w:r>
      <w:r w:rsidRPr="6EF0459D" w:rsidR="001BC5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human's</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wellbeing.</w:t>
      </w:r>
    </w:p>
    <w:p xmlns:wp14="http://schemas.microsoft.com/office/word/2010/wordml" w:rsidP="6EF0459D" w14:paraId="3C2C3AAB" wp14:textId="0C0D8CE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495AB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6EF0459D" w14:paraId="41F71751" wp14:textId="3BC3DE86">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No matter arts or science, the responsibility of people working with </w:t>
      </w:r>
      <w:r w:rsidRPr="6EF0459D" w:rsidR="6CBEDD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people should</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be on healing the bodies including all the bodies. I am very supportive of Tufnell's belief that creativity </w:t>
      </w:r>
      <w:r w:rsidRPr="6EF0459D" w:rsidR="7CD725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latent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in every </w:t>
      </w:r>
      <w:r w:rsidRPr="6EF0459D" w:rsidR="6A8C76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human</w:t>
      </w:r>
      <w:r w:rsidRPr="6EF0459D" w:rsidR="4075E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6EF0459D" w:rsidR="6A8C76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w:t>
      </w:r>
      <w:r w:rsidRPr="6EF0459D" w:rsidR="6A8C76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body and the connection with it</w:t>
      </w:r>
      <w:r w:rsidRPr="6EF0459D" w:rsidR="2A9E1E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6EF0459D" w:rsidR="3DCA56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facilitates awareness and appreciation for the living body and its connection with its environment. ‘The reality is that we are bodies born of other bodies, bodies feeding other bodies, bodies having sex with other bodies, bodies seeking a shoulder to lean or cry on... Bodies matter, which is why anything related to them arouses emotions.’ Frans De Waal, Our inner Pae. (Menakem,2017) </w:t>
      </w:r>
    </w:p>
    <w:p xmlns:wp14="http://schemas.microsoft.com/office/word/2010/wordml" w:rsidP="6EF0459D" w14:paraId="73534167" wp14:textId="6A32652B">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p>
    <w:p xmlns:wp14="http://schemas.microsoft.com/office/word/2010/wordml" w:rsidP="6EF0459D" w14:paraId="7D032129" wp14:textId="6FC96CE2">
      <w:pPr>
        <w:rPr>
          <w:noProof w:val="0"/>
          <w:lang w:val="en-GB"/>
        </w:rPr>
      </w:pPr>
      <w:r>
        <w:br/>
      </w:r>
      <w:r>
        <w:br/>
      </w:r>
      <w:r>
        <w:br/>
      </w:r>
    </w:p>
    <w:p xmlns:wp14="http://schemas.microsoft.com/office/word/2010/wordml" w:rsidP="6EF0459D" w14:paraId="683D0B7D" wp14:textId="7CEB1F8F">
      <w:pPr>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t xml:space="preserve"> </w:t>
      </w:r>
      <w:r w:rsidRPr="6EF0459D" w:rsidR="3DCA56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t>Bibliography</w:t>
      </w:r>
      <w:r w:rsidRPr="6EF0459D" w:rsidR="3DCA56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6EF0459D" w14:paraId="4588362A" wp14:textId="0D77AA85">
      <w:pPr>
        <w:pStyle w:val="Normal"/>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pPr>
    </w:p>
    <w:p xmlns:wp14="http://schemas.microsoft.com/office/word/2010/wordml" w:rsidP="6EF0459D" w14:paraId="1372463F" wp14:textId="5090CA63">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Florian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L.,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Rose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R.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Tilstone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C.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eds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.,(2002).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Promoting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inclusive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practice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Routledge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t>
      </w:r>
    </w:p>
    <w:p xmlns:wp14="http://schemas.microsoft.com/office/word/2010/wordml" w:rsidP="6EF0459D" w14:paraId="0C7BC36A" wp14:textId="4F31158F">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w:anchor="v=onepage&amp;q=inclusive%20practice&amp;f=false" r:id="Rda75bea59e634362">
        <w:r w:rsidRPr="6EF0459D" w:rsidR="3DCA56FF">
          <w:rPr>
            <w:rStyle w:val="Hyperlink"/>
            <w:rFonts w:ascii="Arial" w:hAnsi="Arial" w:eastAsia="Arial" w:cs="Arial"/>
            <w:b w:val="0"/>
            <w:bCs w:val="0"/>
            <w:i w:val="0"/>
            <w:iCs w:val="0"/>
            <w:strike w:val="0"/>
            <w:dstrike w:val="0"/>
            <w:noProof w:val="0"/>
            <w:sz w:val="21"/>
            <w:szCs w:val="21"/>
            <w:lang w:val="en-GB"/>
          </w:rPr>
          <w:t>https://books.google.com.cy/books?hl=en&amp;lr=&amp;id=ZWqFAgAAQBAJ&amp;oi=fnd&amp;pg=PP1&amp;dq=inclusive+practice&amp;ots=LiT6Wx95ui&amp;sig=9EGp6fVtSl1GMJdLVAAfDKJQlBw&amp;redir_esc=y#v=onepage&amp;q=inclusive%20practice&amp;f=false</w:t>
        </w:r>
      </w:hyperlink>
    </w:p>
    <w:p xmlns:wp14="http://schemas.microsoft.com/office/word/2010/wordml" w:rsidP="6EF0459D" w14:paraId="7CBBBEDC" wp14:textId="295A3609">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53CA9AE0" wp14:textId="74A6A2EE">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Fox</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Macpherson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H., (2015).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Inclusive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arts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practice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research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critical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manifesto</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Routledge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t>
      </w:r>
    </w:p>
    <w:p xmlns:wp14="http://schemas.microsoft.com/office/word/2010/wordml" w:rsidP="6EF0459D" w14:paraId="1ED58CCE" wp14:textId="615F4D85">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w:anchor="v=onepage&amp;q=inclusive%20arts&amp;f=false" r:id="R1eab71fbeb0e4ee1">
        <w:r w:rsidRPr="6EF0459D" w:rsidR="3DCA56FF">
          <w:rPr>
            <w:rStyle w:val="Hyperlink"/>
            <w:rFonts w:ascii="Arial" w:hAnsi="Arial" w:eastAsia="Arial" w:cs="Arial"/>
            <w:b w:val="0"/>
            <w:bCs w:val="0"/>
            <w:i w:val="0"/>
            <w:iCs w:val="0"/>
            <w:strike w:val="0"/>
            <w:dstrike w:val="0"/>
            <w:noProof w:val="0"/>
            <w:sz w:val="21"/>
            <w:szCs w:val="21"/>
            <w:lang w:val="en-GB"/>
          </w:rPr>
          <w:t>https://books.google.com.cy/books?hl=en&amp;lr=&amp;id=O0isCQAAQBAJ&amp;oi=fnd&amp;pg=PP1&amp;dq=inclusive+arts&amp;ots=YaBwOWVOVn&amp;sig=6pTNrqtG-0BcnCXgwXEdCQyRZkE&amp;redir_esc=y#v=onepage&amp;q=inclusive%20arts&amp;f=false</w:t>
        </w:r>
      </w:hyperlink>
    </w:p>
    <w:p xmlns:wp14="http://schemas.microsoft.com/office/word/2010/wordml" w:rsidP="6EF0459D" w14:paraId="114F2722" wp14:textId="0EFA3471">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1E5DF1BD" wp14:textId="4443B62E">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Kraehe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A.M.,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Acuff</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J.B.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Travis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S., (2016).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Equity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arts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urban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education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review</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Urban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Review, 48(2), pp.220-244.</w:t>
      </w:r>
    </w:p>
    <w:p xmlns:wp14="http://schemas.microsoft.com/office/word/2010/wordml" w:rsidP="6EF0459D" w14:paraId="30720FA8" wp14:textId="1EAA2A6B">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r:id="R4888adce5d374321">
        <w:r w:rsidRPr="6EF0459D" w:rsidR="3DCA56FF">
          <w:rPr>
            <w:rStyle w:val="Hyperlink"/>
            <w:rFonts w:ascii="Arial" w:hAnsi="Arial" w:eastAsia="Arial" w:cs="Arial"/>
            <w:b w:val="0"/>
            <w:bCs w:val="0"/>
            <w:i w:val="0"/>
            <w:iCs w:val="0"/>
            <w:strike w:val="0"/>
            <w:dstrike w:val="0"/>
            <w:noProof w:val="0"/>
            <w:sz w:val="21"/>
            <w:szCs w:val="21"/>
            <w:lang w:val="en-GB"/>
          </w:rPr>
          <w:t>https://link.springer.com/article/10.1007/s11256-016-0352-2</w:t>
        </w:r>
      </w:hyperlink>
    </w:p>
    <w:p xmlns:wp14="http://schemas.microsoft.com/office/word/2010/wordml" w:rsidP="6EF0459D" w14:paraId="5DB09766" wp14:textId="3452322F">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0FFB1840" wp14:textId="367B7AD1">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Goodwin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John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&amp;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Deady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Rick</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(2013).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Art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Health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Practice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Role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Drama</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Developing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Empathy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Perspectives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psychiatric</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care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49(2), pp.126–134.</w:t>
      </w:r>
    </w:p>
    <w:p xmlns:wp14="http://schemas.microsoft.com/office/word/2010/wordml" w:rsidP="6EF0459D" w14:paraId="4808A3FD" wp14:textId="456CC7BC">
      <w:pPr>
        <w:rPr>
          <w:noProof w:val="0"/>
          <w:lang w:val="en-GB"/>
        </w:rPr>
      </w:pPr>
      <w:hyperlink r:id="Rc53b332a3ff04cd2">
        <w:r w:rsidRPr="6EF0459D" w:rsidR="3DCA56FF">
          <w:rPr>
            <w:rStyle w:val="Hyperlink"/>
            <w:rFonts w:ascii="Arial" w:hAnsi="Arial" w:eastAsia="Arial" w:cs="Arial"/>
            <w:b w:val="0"/>
            <w:bCs w:val="0"/>
            <w:i w:val="0"/>
            <w:iCs w:val="0"/>
            <w:strike w:val="0"/>
            <w:dstrike w:val="0"/>
            <w:noProof w:val="0"/>
            <w:sz w:val="21"/>
            <w:szCs w:val="21"/>
            <w:lang w:val="en-GB"/>
          </w:rPr>
          <w:t>https://web.a.ebscohost.com/ehost/pdfviewer/pdfviewer?vid=1&amp;sid=8658e6b3-be84-48c5-8bbe-8b69b774e8e5%40sessionmgr4006</w:t>
        </w:r>
      </w:hyperlink>
    </w:p>
    <w:p xmlns:wp14="http://schemas.microsoft.com/office/word/2010/wordml" w:rsidP="6EF0459D" w14:paraId="63FCCE7B" wp14:textId="514F847A">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46CA99DB" wp14:textId="05C0B526">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Disorders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World Health Organization </w:t>
      </w:r>
    </w:p>
    <w:p xmlns:wp14="http://schemas.microsoft.com/office/word/2010/wordml" w:rsidP="6EF0459D" w14:paraId="0D42D0E7" wp14:textId="64530282">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r:id="R2fe52d053b914bc0">
        <w:r w:rsidRPr="6EF0459D" w:rsidR="3DCA56FF">
          <w:rPr>
            <w:rStyle w:val="Hyperlink"/>
            <w:rFonts w:ascii="Arial" w:hAnsi="Arial" w:eastAsia="Arial" w:cs="Arial"/>
            <w:b w:val="0"/>
            <w:bCs w:val="0"/>
            <w:i w:val="0"/>
            <w:iCs w:val="0"/>
            <w:strike w:val="0"/>
            <w:dstrike w:val="0"/>
            <w:noProof w:val="0"/>
            <w:sz w:val="21"/>
            <w:szCs w:val="21"/>
            <w:lang w:val="en-GB"/>
          </w:rPr>
          <w:t>https://www.who.int/news-room/fact-sheets/detail/mental-disorders</w:t>
        </w:r>
      </w:hyperlink>
    </w:p>
    <w:p xmlns:wp14="http://schemas.microsoft.com/office/word/2010/wordml" w:rsidP="6EF0459D" w14:paraId="0AF3F68A" wp14:textId="0406E1B4">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545F2838" wp14:textId="042B90AA">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Haeyen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Suzanne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(2018).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Promoting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health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versus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reducing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illness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art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therapy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with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patients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with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personality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disorders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quantitative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study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Arts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psychotherapy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58, pp.11–16.</w:t>
      </w:r>
    </w:p>
    <w:p xmlns:wp14="http://schemas.microsoft.com/office/word/2010/wordml" w:rsidP="6EF0459D" w14:paraId="719AA812" wp14:textId="679FFCBB">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r:id="R841add75dbb24af0">
        <w:r w:rsidRPr="6EF0459D" w:rsidR="3DCA56FF">
          <w:rPr>
            <w:rStyle w:val="Hyperlink"/>
            <w:rFonts w:ascii="Arial" w:hAnsi="Arial" w:eastAsia="Arial" w:cs="Arial"/>
            <w:b w:val="0"/>
            <w:bCs w:val="0"/>
            <w:i w:val="0"/>
            <w:iCs w:val="0"/>
            <w:strike w:val="0"/>
            <w:dstrike w:val="0"/>
            <w:noProof w:val="0"/>
            <w:sz w:val="21"/>
            <w:szCs w:val="21"/>
            <w:lang w:val="en-GB"/>
          </w:rPr>
          <w:t>https://doi-org.ezproxy.uwtsd.ac.uk/10.1016/j.aip.2017.12.009</w:t>
        </w:r>
      </w:hyperlink>
    </w:p>
    <w:p xmlns:wp14="http://schemas.microsoft.com/office/word/2010/wordml" w:rsidP="6EF0459D" w14:paraId="3A437406" wp14:textId="13650AC1">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4C13A42B" wp14:textId="74DF00FB">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Doblytė</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S., (2020).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Shame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a post-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socialist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society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qualitative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study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healthcare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seeking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utilisation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common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disorders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Sociology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health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&amp;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illness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pp.Sociology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health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&amp;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illness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2020–08-11.</w:t>
      </w:r>
    </w:p>
    <w:p xmlns:wp14="http://schemas.microsoft.com/office/word/2010/wordml" w:rsidP="6EF0459D" w14:paraId="4BEBF3E3" wp14:textId="5E755961">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r:id="Re599dd04425343fe">
        <w:r w:rsidRPr="6EF0459D" w:rsidR="3DCA56FF">
          <w:rPr>
            <w:rStyle w:val="Hyperlink"/>
            <w:rFonts w:ascii="Arial" w:hAnsi="Arial" w:eastAsia="Arial" w:cs="Arial"/>
            <w:b w:val="0"/>
            <w:bCs w:val="0"/>
            <w:i w:val="0"/>
            <w:iCs w:val="0"/>
            <w:strike w:val="0"/>
            <w:dstrike w:val="0"/>
            <w:noProof w:val="0"/>
            <w:sz w:val="21"/>
            <w:szCs w:val="21"/>
            <w:lang w:val="en-GB"/>
          </w:rPr>
          <w:t>https://onlinelibrary-wiley-com.ezproxy.uwtsd.ac.uk/doi/full/10.1111/1467-9566.13170</w:t>
        </w:r>
      </w:hyperlink>
    </w:p>
    <w:p xmlns:wp14="http://schemas.microsoft.com/office/word/2010/wordml" w:rsidP="6EF0459D" w14:paraId="2149A689" wp14:textId="46CB9C6F">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005FBF77" wp14:textId="100DE4D5">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Yotis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L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(2017).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Using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playback</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theatre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to</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address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stigma</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disorders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Arts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psychotherapy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55, pp.80–84.</w:t>
      </w:r>
    </w:p>
    <w:p xmlns:wp14="http://schemas.microsoft.com/office/word/2010/wordml" w:rsidP="6EF0459D" w14:paraId="0EC01737" wp14:textId="6E595A9C">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r:id="Rfff41352acd24dbb">
        <w:r w:rsidRPr="6EF0459D" w:rsidR="3DCA56FF">
          <w:rPr>
            <w:rStyle w:val="Hyperlink"/>
            <w:rFonts w:ascii="Arial" w:hAnsi="Arial" w:eastAsia="Arial" w:cs="Arial"/>
            <w:b w:val="0"/>
            <w:bCs w:val="0"/>
            <w:i w:val="0"/>
            <w:iCs w:val="0"/>
            <w:strike w:val="0"/>
            <w:dstrike w:val="0"/>
            <w:noProof w:val="0"/>
            <w:sz w:val="21"/>
            <w:szCs w:val="21"/>
            <w:lang w:val="en-GB"/>
          </w:rPr>
          <w:t>https://www-sciencedirect-com.ezproxy.uwtsd.ac.uk/science/article/pii/S0197455616300272?via%3Dihub</w:t>
        </w:r>
      </w:hyperlink>
    </w:p>
    <w:p xmlns:wp14="http://schemas.microsoft.com/office/word/2010/wordml" w:rsidP="6EF0459D" w14:paraId="447AA6EB" wp14:textId="2441F5D2">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5E17CFF9" wp14:textId="1866435F">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Menakem,R</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.(2017)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Grandmother’s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Hands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Racialized</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Trauma</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Mending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our</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Bodies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Hearts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Central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Recovery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t>
      </w:r>
    </w:p>
    <w:p xmlns:wp14="http://schemas.microsoft.com/office/word/2010/wordml" w:rsidP="6EF0459D" w14:paraId="74001E46" wp14:textId="5D33B615">
      <w:pPr>
        <w:rPr>
          <w:noProof w:val="0"/>
          <w:lang w:val="en-GB"/>
        </w:rPr>
      </w:pPr>
      <w:hyperlink w:anchor="v=onepage&amp;q=my%20grandmother's%20hands%20racialized%20trauma%20and%20the%20pathway%20to%20mending%20our%20hearts%20and%20bodies&amp;f=true" r:id="R6e168a76713f4be3">
        <w:r w:rsidRPr="6EF0459D" w:rsidR="3DCA56FF">
          <w:rPr>
            <w:rStyle w:val="Hyperlink"/>
            <w:rFonts w:ascii="Arial" w:hAnsi="Arial" w:eastAsia="Arial" w:cs="Arial"/>
            <w:b w:val="0"/>
            <w:bCs w:val="0"/>
            <w:i w:val="0"/>
            <w:iCs w:val="0"/>
            <w:strike w:val="0"/>
            <w:dstrike w:val="0"/>
            <w:noProof w:val="0"/>
            <w:sz w:val="21"/>
            <w:szCs w:val="21"/>
            <w:lang w:val="en-GB"/>
          </w:rPr>
          <w:t>https://books.google.com.cy/books?id=OaG4DgAAQBAJ&amp;pg=PT34&amp;dq=my+grandmother%27s+hands+racialized+trauma+and+the+pathway+to+mending+our+hearts+and+bodies&amp;hl=el&amp;sa=X&amp;ved=2ahUKEwjjqcz5munsAhUMyxoKHWiQDRkQ6AEwAHoECAIQAg#v=onepage&amp;q=my%20grandmother's%20hands%20racialized%20trauma%20and%20the%20pathway%20to%20mending%20our%20hearts%20and%20bodies&amp;f=true</w:t>
        </w:r>
      </w:hyperlink>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w:anchor="v=onepage&amp;q=my%20grandmother's%20hands%20racialized%20trauma%20and%20the%20pathway%20to%20mending%20our%20hearts%20and%20bodies&amp;f=true" r:id="R553969db606340e4">
        <w:r w:rsidRPr="6EF0459D" w:rsidR="3DCA56FF">
          <w:rPr>
            <w:rStyle w:val="Hyperlink"/>
            <w:rFonts w:ascii="Arial" w:hAnsi="Arial" w:eastAsia="Arial" w:cs="Arial"/>
            <w:b w:val="0"/>
            <w:bCs w:val="0"/>
            <w:i w:val="0"/>
            <w:iCs w:val="0"/>
            <w:strike w:val="0"/>
            <w:dstrike w:val="0"/>
            <w:noProof w:val="0"/>
            <w:sz w:val="21"/>
            <w:szCs w:val="21"/>
            <w:lang w:val="en-GB"/>
          </w:rPr>
          <w:t>https://books.google.com.cy/books?id=OaG4DgAAQBAJ&amp;pg=PT34&amp;dq=my+grandmother%27s+hands+racialized+trauma+and+the+pathway+to+mending+our+hearts+and+bodies&amp;hl=el&amp;sa=X&amp;ved=2ahUKEwjjqcz5munsAhUMyxoKHWiQDRkQ6AEwAHoECAIQAg#v=onepage&amp;q=my%20grandmother's%20hands%20racialized%20trauma%20and%20the%20pathway%20to%20mending%20our%20hearts%20and%20bodies&amp;f=true</w:t>
        </w:r>
      </w:hyperlink>
    </w:p>
    <w:p xmlns:wp14="http://schemas.microsoft.com/office/word/2010/wordml" w:rsidP="6EF0459D" w14:paraId="6D2357FB" wp14:textId="566188F0">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269D8B61" wp14:textId="0B7CD1E1">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Rice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 (2015).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Listening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Duke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University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Press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pdf</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p>
    <w:p xmlns:wp14="http://schemas.microsoft.com/office/word/2010/wordml" w:rsidP="6EF0459D" w14:paraId="02559186" wp14:textId="72AF05D5">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Blencowe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C.,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Brigstocke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J.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Noorani</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T. (2018)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Engines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alternative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objectivity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Re-articulating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nature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value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of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participatory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mental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health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organisations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with</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Hearing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Voices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Movement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Stepping</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Out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Theatre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Company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Health, 22(3),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pp</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205–222. </w:t>
      </w:r>
    </w:p>
    <w:p xmlns:wp14="http://schemas.microsoft.com/office/word/2010/wordml" w:rsidP="6EF0459D" w14:paraId="4994350F" wp14:textId="6AA76A50">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proofErr w:type="spellStart"/>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doi</w:t>
      </w:r>
      <w:proofErr w:type="spellEnd"/>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10.1177/1363459315590246. </w:t>
      </w:r>
    </w:p>
    <w:p xmlns:wp14="http://schemas.microsoft.com/office/word/2010/wordml" w:rsidP="6EF0459D" w14:paraId="036E0324" wp14:textId="027A4DAC">
      <w:pPr>
        <w:pStyle w:val="Normal"/>
        <w:rPr>
          <w:rFonts w:ascii="Arial" w:hAnsi="Arial" w:eastAsia="Arial" w:cs="Arial"/>
          <w:b w:val="0"/>
          <w:bCs w:val="0"/>
          <w:i w:val="0"/>
          <w:iCs w:val="0"/>
          <w:strike w:val="0"/>
          <w:dstrike w:val="0"/>
          <w:noProof w:val="0"/>
          <w:color w:val="000000" w:themeColor="text1" w:themeTint="FF" w:themeShade="FF"/>
          <w:sz w:val="21"/>
          <w:szCs w:val="21"/>
          <w:u w:val="none"/>
          <w:lang w:val="en-GB"/>
        </w:rPr>
      </w:pPr>
    </w:p>
    <w:p xmlns:wp14="http://schemas.microsoft.com/office/word/2010/wordml" w:rsidP="6EF0459D" w14:paraId="5E853749" wp14:textId="0302397F">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Thomas,B</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(2012)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What’s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so</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special</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about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mirror-neurons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Scientific American. 6.November 2012</w:t>
      </w:r>
    </w:p>
    <w:p xmlns:wp14="http://schemas.microsoft.com/office/word/2010/wordml" w:rsidP="6EF0459D" w14:paraId="6C63BB0C" wp14:textId="50ED2D9C">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r:id="Rbb52f5df6a7f4ec4">
        <w:r w:rsidRPr="6EF0459D" w:rsidR="3DCA56FF">
          <w:rPr>
            <w:rStyle w:val="Hyperlink"/>
            <w:rFonts w:ascii="Arial" w:hAnsi="Arial" w:eastAsia="Arial" w:cs="Arial"/>
            <w:b w:val="0"/>
            <w:bCs w:val="0"/>
            <w:i w:val="0"/>
            <w:iCs w:val="0"/>
            <w:strike w:val="0"/>
            <w:dstrike w:val="0"/>
            <w:noProof w:val="0"/>
            <w:sz w:val="21"/>
            <w:szCs w:val="21"/>
            <w:lang w:val="en-GB"/>
          </w:rPr>
          <w:t>https://blogs.scientificamerican.com/guest-blog/whats-so-special-about-mirror-neurons/</w:t>
        </w:r>
      </w:hyperlink>
    </w:p>
    <w:p xmlns:wp14="http://schemas.microsoft.com/office/word/2010/wordml" w:rsidP="6EF0459D" w14:paraId="794764C7" wp14:textId="64E7B42C">
      <w:pPr>
        <w:pStyle w:val="Normal"/>
        <w:rPr>
          <w:rFonts w:ascii="Arial" w:hAnsi="Arial" w:eastAsia="Arial" w:cs="Arial"/>
          <w:b w:val="0"/>
          <w:bCs w:val="0"/>
          <w:i w:val="0"/>
          <w:iCs w:val="0"/>
          <w:strike w:val="0"/>
          <w:dstrike w:val="0"/>
          <w:noProof w:val="0"/>
          <w:sz w:val="21"/>
          <w:szCs w:val="21"/>
          <w:lang w:val="en-GB"/>
        </w:rPr>
      </w:pPr>
    </w:p>
    <w:p xmlns:wp14="http://schemas.microsoft.com/office/word/2010/wordml" w:rsidP="6EF0459D" w14:paraId="4F21C415" wp14:textId="2E022D11">
      <w:pPr>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Levine,P</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(2010) In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Unspoken</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Voice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How</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the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Body</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Releases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Trauma</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and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Restores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Goodness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North Atlantic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Books</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w:t>
      </w:r>
    </w:p>
    <w:p xmlns:wp14="http://schemas.microsoft.com/office/word/2010/wordml" w:rsidP="6EF0459D" w14:paraId="4C4E6CBB" wp14:textId="0CCE09E2">
      <w:pPr>
        <w:rPr>
          <w:noProof w:val="0"/>
          <w:lang w:val="en-GB"/>
        </w:rPr>
      </w:pP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Available</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at</w:t>
      </w:r>
      <w:r w:rsidRPr="6EF0459D" w:rsidR="3DCA56FF">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hyperlink w:anchor="v=onepage&amp;q=Levine%2CP.%20(2010)%20In%20an%20Unspoken%20Voice%3A%20How%20the%20Body%20Releases%20Trauma%20and%20Restores%20Goodness.%20North%20Atlantic%20Books.&amp;f=false" r:id="Re5eef87767c94b4c">
        <w:r w:rsidRPr="6EF0459D" w:rsidR="3DCA56FF">
          <w:rPr>
            <w:rStyle w:val="Hyperlink"/>
            <w:rFonts w:ascii="Arial" w:hAnsi="Arial" w:eastAsia="Arial" w:cs="Arial"/>
            <w:b w:val="0"/>
            <w:bCs w:val="0"/>
            <w:i w:val="0"/>
            <w:iCs w:val="0"/>
            <w:strike w:val="0"/>
            <w:dstrike w:val="0"/>
            <w:noProof w:val="0"/>
            <w:sz w:val="21"/>
            <w:szCs w:val="21"/>
            <w:lang w:val="en-GB"/>
          </w:rPr>
          <w:t>https://books.google.com.cy/books?hl=en&amp;lr=&amp;id=ie09As4SaLMC&amp;oi=fnd&amp;pg=PR11&amp;dq=Levine,P.+(2010)+In+an+Unspoken+Voice:+How+the+Body+Releases+Trauma+and+Restores+Goodness.+North+Atlantic+Books.+&amp;ots=7jv6PE21XH&amp;sig=dNjON7YPvqLy_yR52FI8Ftx2-7o&amp;redir_esc=y#v=onepage&amp;q=Levine%2CP.%20(2010)%20In%20an%20Unspoken%20Voice%3A%20How%20the%20Body%20Releases%20Trauma%20and%20Restores%20Goodness.%20North%20Atlantic%20Books.&amp;f=false</w:t>
        </w:r>
      </w:hyperlink>
    </w:p>
    <w:p xmlns:wp14="http://schemas.microsoft.com/office/word/2010/wordml" w:rsidP="6EF0459D" w14:paraId="1F0E82BA" wp14:textId="6DF55843">
      <w:pPr>
        <w:rPr>
          <w:rFonts w:ascii="Arial" w:hAnsi="Arial" w:eastAsia="Arial" w:cs="Arial"/>
          <w:b w:val="0"/>
          <w:bCs w:val="0"/>
          <w:i w:val="0"/>
          <w:iCs w:val="0"/>
          <w:strike w:val="0"/>
          <w:dstrike w:val="0"/>
          <w:noProof w:val="0"/>
          <w:color w:val="222222"/>
          <w:sz w:val="20"/>
          <w:szCs w:val="20"/>
          <w:u w:val="none"/>
          <w:lang w:val="en-GB"/>
        </w:rPr>
      </w:pPr>
    </w:p>
    <w:p xmlns:wp14="http://schemas.microsoft.com/office/word/2010/wordml" w:rsidP="6EF0459D" w14:paraId="513F2224" wp14:textId="0D861993">
      <w:pPr>
        <w:rPr>
          <w:rFonts w:ascii="Arial" w:hAnsi="Arial" w:eastAsia="Arial" w:cs="Arial"/>
          <w:b w:val="0"/>
          <w:bCs w:val="0"/>
          <w:i w:val="0"/>
          <w:iCs w:val="0"/>
          <w:strike w:val="0"/>
          <w:dstrike w:val="0"/>
          <w:noProof w:val="0"/>
          <w:color w:val="222222"/>
          <w:sz w:val="20"/>
          <w:szCs w:val="20"/>
          <w:u w:val="none"/>
          <w:lang w:val="en-GB"/>
        </w:rPr>
      </w:pPr>
      <w:r w:rsidRPr="6EF0459D" w:rsidR="3DCA56FF">
        <w:rPr>
          <w:rFonts w:ascii="Arial" w:hAnsi="Arial" w:eastAsia="Arial" w:cs="Arial"/>
          <w:b w:val="0"/>
          <w:bCs w:val="0"/>
          <w:i w:val="0"/>
          <w:iCs w:val="0"/>
          <w:strike w:val="0"/>
          <w:dstrike w:val="0"/>
          <w:noProof w:val="0"/>
          <w:color w:val="222222"/>
          <w:sz w:val="20"/>
          <w:szCs w:val="20"/>
          <w:u w:val="none"/>
          <w:lang w:val="en-GB"/>
        </w:rPr>
        <w:t xml:space="preserve">Weber, J., (2018). Creative Cognition in Dance Choreography: A Review. </w:t>
      </w:r>
      <w:r w:rsidRPr="6EF0459D" w:rsidR="3DCA56FF">
        <w:rPr>
          <w:rFonts w:ascii="Arial" w:hAnsi="Arial" w:eastAsia="Arial" w:cs="Arial"/>
          <w:b w:val="0"/>
          <w:bCs w:val="0"/>
          <w:i w:val="1"/>
          <w:iCs w:val="1"/>
          <w:strike w:val="0"/>
          <w:dstrike w:val="0"/>
          <w:noProof w:val="0"/>
          <w:color w:val="222222"/>
          <w:sz w:val="20"/>
          <w:szCs w:val="20"/>
          <w:u w:val="none"/>
          <w:lang w:val="en-GB"/>
        </w:rPr>
        <w:t>A World of Muscle, Bone &amp; Organs: Research and Scholarship in Dance</w:t>
      </w:r>
      <w:r w:rsidRPr="6EF0459D" w:rsidR="3DCA56FF">
        <w:rPr>
          <w:rFonts w:ascii="Arial" w:hAnsi="Arial" w:eastAsia="Arial" w:cs="Arial"/>
          <w:b w:val="0"/>
          <w:bCs w:val="0"/>
          <w:i w:val="0"/>
          <w:iCs w:val="0"/>
          <w:strike w:val="0"/>
          <w:dstrike w:val="0"/>
          <w:noProof w:val="0"/>
          <w:color w:val="222222"/>
          <w:sz w:val="20"/>
          <w:szCs w:val="20"/>
          <w:u w:val="none"/>
          <w:lang w:val="en-GB"/>
        </w:rPr>
        <w:t>.</w:t>
      </w:r>
    </w:p>
    <w:p xmlns:wp14="http://schemas.microsoft.com/office/word/2010/wordml" w:rsidP="6EF0459D" w14:paraId="29A92F2B" wp14:textId="3AAA6FBD">
      <w:pPr>
        <w:rPr>
          <w:noProof w:val="0"/>
          <w:lang w:val="en-GB"/>
        </w:rPr>
      </w:pPr>
      <w:r w:rsidRPr="6EF0459D" w:rsidR="3DCA56FF">
        <w:rPr>
          <w:rFonts w:ascii="Arial" w:hAnsi="Arial" w:eastAsia="Arial" w:cs="Arial"/>
          <w:b w:val="0"/>
          <w:bCs w:val="0"/>
          <w:i w:val="0"/>
          <w:iCs w:val="0"/>
          <w:strike w:val="0"/>
          <w:dstrike w:val="0"/>
          <w:noProof w:val="0"/>
          <w:color w:val="222222"/>
          <w:sz w:val="20"/>
          <w:szCs w:val="20"/>
          <w:u w:val="none"/>
          <w:lang w:val="en-GB"/>
        </w:rPr>
        <w:t>Available</w:t>
      </w:r>
      <w:r w:rsidRPr="6EF0459D" w:rsidR="3DCA56FF">
        <w:rPr>
          <w:rFonts w:ascii="Arial" w:hAnsi="Arial" w:eastAsia="Arial" w:cs="Arial"/>
          <w:b w:val="0"/>
          <w:bCs w:val="0"/>
          <w:i w:val="0"/>
          <w:iCs w:val="0"/>
          <w:strike w:val="0"/>
          <w:dstrike w:val="0"/>
          <w:noProof w:val="0"/>
          <w:color w:val="222222"/>
          <w:sz w:val="20"/>
          <w:szCs w:val="20"/>
          <w:u w:val="none"/>
          <w:lang w:val="en-GB"/>
        </w:rPr>
        <w:t xml:space="preserve"> </w:t>
      </w:r>
      <w:r w:rsidRPr="6EF0459D" w:rsidR="3DCA56FF">
        <w:rPr>
          <w:rFonts w:ascii="Arial" w:hAnsi="Arial" w:eastAsia="Arial" w:cs="Arial"/>
          <w:b w:val="0"/>
          <w:bCs w:val="0"/>
          <w:i w:val="0"/>
          <w:iCs w:val="0"/>
          <w:strike w:val="0"/>
          <w:dstrike w:val="0"/>
          <w:noProof w:val="0"/>
          <w:color w:val="222222"/>
          <w:sz w:val="20"/>
          <w:szCs w:val="20"/>
          <w:u w:val="none"/>
          <w:lang w:val="en-GB"/>
        </w:rPr>
        <w:t>at</w:t>
      </w:r>
      <w:r w:rsidRPr="6EF0459D" w:rsidR="3DCA56FF">
        <w:rPr>
          <w:rFonts w:ascii="Arial" w:hAnsi="Arial" w:eastAsia="Arial" w:cs="Arial"/>
          <w:b w:val="0"/>
          <w:bCs w:val="0"/>
          <w:i w:val="0"/>
          <w:iCs w:val="0"/>
          <w:strike w:val="0"/>
          <w:dstrike w:val="0"/>
          <w:noProof w:val="0"/>
          <w:color w:val="222222"/>
          <w:sz w:val="20"/>
          <w:szCs w:val="20"/>
          <w:u w:val="none"/>
          <w:lang w:val="en-GB"/>
        </w:rPr>
        <w:t>:</w:t>
      </w:r>
      <w:r w:rsidRPr="6EF0459D" w:rsidR="3DCA56FF">
        <w:rPr>
          <w:rFonts w:ascii="Arial" w:hAnsi="Arial" w:eastAsia="Arial" w:cs="Arial"/>
          <w:b w:val="0"/>
          <w:bCs w:val="0"/>
          <w:i w:val="0"/>
          <w:iCs w:val="0"/>
          <w:strike w:val="0"/>
          <w:dstrike w:val="0"/>
          <w:noProof w:val="0"/>
          <w:color w:val="222222"/>
          <w:sz w:val="20"/>
          <w:szCs w:val="20"/>
          <w:u w:val="single"/>
          <w:lang w:val="en-GB"/>
        </w:rPr>
        <w:t xml:space="preserve"> </w:t>
      </w:r>
      <w:hyperlink r:id="R87cca4fe0afe4678">
        <w:r w:rsidRPr="6EF0459D" w:rsidR="3DCA56FF">
          <w:rPr>
            <w:rStyle w:val="Hyperlink"/>
            <w:rFonts w:ascii="Arial" w:hAnsi="Arial" w:eastAsia="Arial" w:cs="Arial"/>
            <w:b w:val="0"/>
            <w:bCs w:val="0"/>
            <w:i w:val="0"/>
            <w:iCs w:val="0"/>
            <w:strike w:val="0"/>
            <w:dstrike w:val="0"/>
            <w:noProof w:val="0"/>
            <w:sz w:val="20"/>
            <w:szCs w:val="20"/>
            <w:lang w:val="en-GB"/>
          </w:rPr>
          <w:t>https://curve.coventry.ac.uk/open/file/e41ad6f9-cceb-4685-a578-5994bd6f27ec/1/Binder1.pdf</w:t>
        </w:r>
      </w:hyperlink>
    </w:p>
    <w:p xmlns:wp14="http://schemas.microsoft.com/office/word/2010/wordml" w:rsidP="6EF0459D" w14:paraId="003F6272" wp14:textId="7260EEBA">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D905A9"/>
  <w15:docId w15:val="{1423905f-8d91-47d0-9ebf-65b308dae764}"/>
  <w:rsids>
    <w:rsidRoot w:val="40EBB2F1"/>
    <w:rsid w:val="001BC505"/>
    <w:rsid w:val="00DABB3E"/>
    <w:rsid w:val="01A3DE8F"/>
    <w:rsid w:val="03C60FFE"/>
    <w:rsid w:val="0763251F"/>
    <w:rsid w:val="0D9E78B5"/>
    <w:rsid w:val="0F550EA7"/>
    <w:rsid w:val="10F0DF08"/>
    <w:rsid w:val="1204DCA6"/>
    <w:rsid w:val="14287FCA"/>
    <w:rsid w:val="15C4502B"/>
    <w:rsid w:val="163A1BBD"/>
    <w:rsid w:val="19098823"/>
    <w:rsid w:val="1A63D360"/>
    <w:rsid w:val="1F2963AB"/>
    <w:rsid w:val="214FF3E0"/>
    <w:rsid w:val="26DD8A06"/>
    <w:rsid w:val="2933D09A"/>
    <w:rsid w:val="2A325AC5"/>
    <w:rsid w:val="2A9E1E94"/>
    <w:rsid w:val="2B22E0A0"/>
    <w:rsid w:val="2B8ACA2F"/>
    <w:rsid w:val="3201424F"/>
    <w:rsid w:val="35374F7A"/>
    <w:rsid w:val="3BA690FE"/>
    <w:rsid w:val="3DCA56FF"/>
    <w:rsid w:val="3F5DD533"/>
    <w:rsid w:val="4075E1B8"/>
    <w:rsid w:val="40EBB2F1"/>
    <w:rsid w:val="46865EFC"/>
    <w:rsid w:val="471971E2"/>
    <w:rsid w:val="495AB6EE"/>
    <w:rsid w:val="49F87A6C"/>
    <w:rsid w:val="4B3D569D"/>
    <w:rsid w:val="4DAEC6BB"/>
    <w:rsid w:val="4E10E8FD"/>
    <w:rsid w:val="4E77BE5C"/>
    <w:rsid w:val="512DF3F9"/>
    <w:rsid w:val="51A3ED01"/>
    <w:rsid w:val="545A229E"/>
    <w:rsid w:val="54D01BA6"/>
    <w:rsid w:val="54F0E17B"/>
    <w:rsid w:val="55544DC8"/>
    <w:rsid w:val="57E1EF8B"/>
    <w:rsid w:val="580A8365"/>
    <w:rsid w:val="5C75BAB9"/>
    <w:rsid w:val="6464498A"/>
    <w:rsid w:val="65268918"/>
    <w:rsid w:val="665C42F4"/>
    <w:rsid w:val="67F81355"/>
    <w:rsid w:val="697ABB59"/>
    <w:rsid w:val="6A8C7677"/>
    <w:rsid w:val="6BB8A4DB"/>
    <w:rsid w:val="6BEAE404"/>
    <w:rsid w:val="6CBEDD49"/>
    <w:rsid w:val="6D095A2F"/>
    <w:rsid w:val="6E01E07A"/>
    <w:rsid w:val="6E040AAA"/>
    <w:rsid w:val="6EF0459D"/>
    <w:rsid w:val="6FE9FCDD"/>
    <w:rsid w:val="72799031"/>
    <w:rsid w:val="76D8E1D4"/>
    <w:rsid w:val="78C6F614"/>
    <w:rsid w:val="78E8D1B5"/>
    <w:rsid w:val="7A385614"/>
    <w:rsid w:val="7C9094EA"/>
    <w:rsid w:val="7CD725B9"/>
    <w:rsid w:val="7DA049E4"/>
    <w:rsid w:val="7F3EEAD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ooks.google.com.cy/books?hl=en&amp;lr=&amp;id=ZWqFAgAAQBAJ&amp;oi=fnd&amp;pg=PP1&amp;dq=inclusive+practice&amp;ots=LiT6Wx95ui&amp;sig=9EGp6fVtSl1GMJdLVAAfDKJQlBw&amp;redir_esc=y" TargetMode="External" Id="Rda75bea59e634362" /><Relationship Type="http://schemas.openxmlformats.org/officeDocument/2006/relationships/hyperlink" Target="https://books.google.com.cy/books?hl=en&amp;lr=&amp;id=O0isCQAAQBAJ&amp;oi=fnd&amp;pg=PP1&amp;dq=inclusive+arts&amp;ots=YaBwOWVOVn&amp;sig=6pTNrqtG-0BcnCXgwXEdCQyRZkE&amp;redir_esc=y" TargetMode="External" Id="R1eab71fbeb0e4ee1" /><Relationship Type="http://schemas.openxmlformats.org/officeDocument/2006/relationships/hyperlink" Target="https://link.springer.com/article/10.1007/s11256-016-0352-2" TargetMode="External" Id="R4888adce5d374321" /><Relationship Type="http://schemas.openxmlformats.org/officeDocument/2006/relationships/hyperlink" Target="https://web.a.ebscohost.com/ehost/pdfviewer/pdfviewer?vid=1&amp;sid=8658e6b3-be84-48c5-8bbe-8b69b774e8e5%40sessionmgr4006" TargetMode="External" Id="Rc53b332a3ff04cd2" /><Relationship Type="http://schemas.openxmlformats.org/officeDocument/2006/relationships/hyperlink" Target="https://www.who.int/news-room/fact-sheets/detail/mental-disorders" TargetMode="External" Id="R2fe52d053b914bc0" /><Relationship Type="http://schemas.openxmlformats.org/officeDocument/2006/relationships/hyperlink" Target="https://doi-org.ezproxy.uwtsd.ac.uk/10.1016/j.aip.2017.12.009" TargetMode="External" Id="R841add75dbb24af0" /><Relationship Type="http://schemas.openxmlformats.org/officeDocument/2006/relationships/hyperlink" Target="https://onlinelibrary-wiley-com.ezproxy.uwtsd.ac.uk/doi/full/10.1111/1467-9566.13170" TargetMode="External" Id="Re599dd04425343fe" /><Relationship Type="http://schemas.openxmlformats.org/officeDocument/2006/relationships/hyperlink" Target="https://www-sciencedirect-com.ezproxy.uwtsd.ac.uk/science/article/pii/S0197455616300272?via%3Dihub" TargetMode="External" Id="Rfff41352acd24dbb" /><Relationship Type="http://schemas.openxmlformats.org/officeDocument/2006/relationships/hyperlink" Target="https://books.google.com.cy/books?id=OaG4DgAAQBAJ&amp;pg=PT34&amp;dq=my+grandmother%27s+hands+racialized+trauma+and+the+pathway+to+mending+our+hearts+and+bodies&amp;hl=el&amp;sa=X&amp;ved=2ahUKEwjjqcz5munsAhUMyxoKHWiQDRkQ6AEwAHoECAIQAg" TargetMode="External" Id="R6e168a76713f4be3" /><Relationship Type="http://schemas.openxmlformats.org/officeDocument/2006/relationships/hyperlink" Target="https://books.google.com.cy/books?id=OaG4DgAAQBAJ&amp;pg=PT34&amp;dq=my+grandmother%27s+hands+racialized+trauma+and+the+pathway+to+mending+our+hearts+and+bodies&amp;hl=el&amp;sa=X&amp;ved=2ahUKEwjjqcz5munsAhUMyxoKHWiQDRkQ6AEwAHoECAIQAg" TargetMode="External" Id="R553969db606340e4" /><Relationship Type="http://schemas.openxmlformats.org/officeDocument/2006/relationships/hyperlink" Target="https://blogs.scientificamerican.com/guest-blog/whats-so-special-about-mirror-neurons/" TargetMode="External" Id="Rbb52f5df6a7f4ec4" /><Relationship Type="http://schemas.openxmlformats.org/officeDocument/2006/relationships/hyperlink" Target="https://books.google.com.cy/books?hl=en&amp;lr=&amp;id=ie09As4SaLMC&amp;oi=fnd&amp;pg=PR11&amp;dq=Levine,P.+(2010)+In+an+Unspoken+Voice:+How+the+Body+Releases+Trauma+and+Restores+Goodness.+North+Atlantic+Books.+&amp;ots=7jv6PE21XH&amp;sig=dNjON7YPvqLy_yR52FI8Ftx2-7o&amp;redir_esc=y" TargetMode="External" Id="Re5eef87767c94b4c" /><Relationship Type="http://schemas.openxmlformats.org/officeDocument/2006/relationships/hyperlink" Target="https://curve.coventry.ac.uk/open/file/e41ad6f9-cceb-4685-a578-5994bd6f27ec/1/Binder1.pdf" TargetMode="External" Id="R87cca4fe0afe46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2020-12-09T19:26:22.4419798Z</dcterms:created>
  <dcterms:modified xsi:type="dcterms:W3CDTF">2020-12-09T19:52:45.5851661Z</dcterms:modified>
  <dc:creator>Georgia Theochari (1909086)</dc:creator>
  <lastModifiedBy>Georgia Theochari (1909086)</lastModifiedBy>
</coreProperties>
</file>