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Calibri" w:cs="Calibri" w:eastAsia="Calibri" w:hAnsi="Calibri"/>
        </w:rPr>
      </w:pPr>
      <w:r w:rsidDel="00000000" w:rsidR="00000000" w:rsidRPr="00000000">
        <w:rPr>
          <w:rFonts w:ascii="Calibri" w:cs="Calibri" w:eastAsia="Calibri" w:hAnsi="Calibri"/>
          <w:b w:val="1"/>
          <w:bCs w:val="1"/>
          <w:rtl w:val="0"/>
        </w:rPr>
        <w:t xml:space="preserve">Module Title:</w:t>
      </w:r>
      <w:r w:rsidDel="00000000" w:rsidR="00000000" w:rsidRPr="00000000">
        <w:rPr>
          <w:rFonts w:ascii="Calibri" w:cs="Calibri" w:eastAsia="Calibri" w:hAnsi="Calibri"/>
          <w:rtl w:val="0"/>
        </w:rPr>
        <w:t xml:space="preserve"> Introduction to Business</w:t>
        <w:br w:type="textWrapping"/>
      </w:r>
      <w:r w:rsidDel="00000000" w:rsidR="00000000" w:rsidRPr="00000000">
        <w:rPr>
          <w:rFonts w:ascii="Calibri" w:cs="Calibri" w:eastAsia="Calibri" w:hAnsi="Calibri"/>
          <w:b w:val="1"/>
          <w:bCs w:val="1"/>
          <w:rtl w:val="0"/>
        </w:rPr>
        <w:t xml:space="preserve">Module Code:</w:t>
      </w:r>
      <w:r w:rsidDel="00000000" w:rsidR="00000000" w:rsidRPr="00000000">
        <w:rPr>
          <w:rFonts w:ascii="Calibri" w:cs="Calibri" w:eastAsia="Calibri" w:hAnsi="Calibri"/>
          <w:rtl w:val="0"/>
        </w:rPr>
        <w:t xml:space="preserve"> LCBB4014</w:t>
        <w:br w:type="textWrapping"/>
      </w:r>
      <w:r w:rsidDel="00000000" w:rsidR="00000000" w:rsidRPr="00000000">
        <w:rPr>
          <w:rFonts w:ascii="Calibri" w:cs="Calibri" w:eastAsia="Calibri" w:hAnsi="Calibri"/>
          <w:b w:val="1"/>
          <w:bCs w:val="1"/>
          <w:rtl w:val="0"/>
        </w:rPr>
        <w:t xml:space="preserve">Assessment Title:</w:t>
      </w:r>
      <w:r w:rsidDel="00000000" w:rsidR="00000000" w:rsidRPr="00000000">
        <w:rPr>
          <w:rFonts w:ascii="Calibri" w:cs="Calibri" w:eastAsia="Calibri" w:hAnsi="Calibri"/>
          <w:rtl w:val="0"/>
        </w:rPr>
        <w:t xml:space="preserve"> Component 2 – Coursework Essay</w:t>
        <w:br w:type="textWrapping"/>
      </w:r>
      <w:r w:rsidDel="00000000" w:rsidR="00000000" w:rsidRPr="00000000">
        <w:rPr>
          <w:rFonts w:ascii="Calibri" w:cs="Calibri" w:eastAsia="Calibri" w:hAnsi="Calibri"/>
          <w:b w:val="1"/>
          <w:bCs w:val="1"/>
          <w:rtl w:val="0"/>
        </w:rPr>
        <w:t xml:space="preserve">Assignment Topic:</w:t>
      </w: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i w:val="1"/>
          <w:iCs w:val="1"/>
          <w:rtl w:val="0"/>
        </w:rPr>
        <w:t xml:space="preserve">Corporate Integrity and Sustainable Transformation in the Automotive Industry</w:t>
      </w:r>
      <w:r w:rsidDel="00000000" w:rsidR="00000000" w:rsidRPr="00000000">
        <w:rPr>
          <w:rtl w:val="0"/>
        </w:rPr>
      </w:r>
    </w:p>
    <w:p w:rsidR="00000000" w:rsidDel="00000000" w:rsidP="00000000" w:rsidRDefault="00000000" w:rsidRPr="00000000" w14:paraId="00000002">
      <w:pPr>
        <w:spacing w:line="360" w:lineRule="auto"/>
        <w:rPr>
          <w:rFonts w:ascii="Calibri" w:cs="Calibri" w:eastAsia="Calibri" w:hAnsi="Calibri"/>
        </w:rPr>
      </w:pPr>
      <w:r w:rsidDel="00000000" w:rsidR="00000000" w:rsidRPr="00000000">
        <w:rPr>
          <w:rFonts w:ascii="Calibri" w:cs="Calibri" w:eastAsia="Calibri" w:hAnsi="Calibri"/>
          <w:b w:val="1"/>
          <w:bCs w:val="1"/>
          <w:rtl w:val="0"/>
        </w:rPr>
        <w:t xml:space="preserve">Student Name:</w:t>
      </w:r>
      <w:r w:rsidDel="00000000" w:rsidR="00000000" w:rsidRPr="00000000">
        <w:rPr>
          <w:rFonts w:ascii="Calibri" w:cs="Calibri" w:eastAsia="Calibri" w:hAnsi="Calibri"/>
          <w:rtl w:val="0"/>
        </w:rPr>
        <w:t xml:space="preserve"> Cornelia Ioan</w:t>
        <w:br w:type="textWrapping"/>
      </w:r>
      <w:r w:rsidDel="00000000" w:rsidR="00000000" w:rsidRPr="00000000">
        <w:rPr>
          <w:rFonts w:ascii="Calibri" w:cs="Calibri" w:eastAsia="Calibri" w:hAnsi="Calibri"/>
          <w:b w:val="1"/>
          <w:bCs w:val="1"/>
          <w:rtl w:val="0"/>
        </w:rPr>
        <w:t xml:space="preserve">Student ID:</w:t>
      </w:r>
      <w:r w:rsidDel="00000000" w:rsidR="00000000" w:rsidRPr="00000000">
        <w:rPr>
          <w:rFonts w:ascii="Calibri" w:cs="Calibri" w:eastAsia="Calibri" w:hAnsi="Calibri"/>
          <w:rtl w:val="0"/>
        </w:rPr>
        <w:t xml:space="preserve"> 2515711</w:t>
      </w:r>
    </w:p>
    <w:p w:rsidR="00000000" w:rsidDel="00000000" w:rsidP="00000000" w:rsidRDefault="00000000" w:rsidRPr="00000000" w14:paraId="00000003">
      <w:pPr>
        <w:spacing w:line="360" w:lineRule="auto"/>
        <w:rPr>
          <w:rFonts w:ascii="Calibri" w:cs="Calibri" w:eastAsia="Calibri" w:hAnsi="Calibri"/>
          <w:i w:val="1"/>
          <w:iCs w:val="1"/>
        </w:rPr>
      </w:pPr>
      <w:r w:rsidDel="00000000" w:rsidR="00000000" w:rsidRPr="00000000">
        <w:rPr>
          <w:rFonts w:ascii="Calibri" w:cs="Calibri" w:eastAsia="Calibri" w:hAnsi="Calibri"/>
          <w:b w:val="1"/>
          <w:bCs w:val="1"/>
          <w:i w:val="1"/>
          <w:iCs w:val="1"/>
          <w:rtl w:val="0"/>
        </w:rPr>
        <w:t xml:space="preserve">Professor name:</w:t>
      </w:r>
      <w:r w:rsidDel="00000000" w:rsidR="00000000" w:rsidRPr="00000000">
        <w:rPr>
          <w:rFonts w:ascii="Calibri" w:cs="Calibri" w:eastAsia="Calibri" w:hAnsi="Calibri"/>
          <w:i w:val="1"/>
          <w:iCs w:val="1"/>
          <w:rtl w:val="0"/>
        </w:rPr>
        <w:t xml:space="preserve"> Said Usman</w:t>
      </w:r>
    </w:p>
    <w:p w:rsidR="00000000" w:rsidDel="00000000" w:rsidP="00000000" w:rsidRDefault="00000000" w:rsidRPr="00000000" w14:paraId="00000004">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5">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6">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7">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8">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9">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A">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B">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C">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D">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E">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0F">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0">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1">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2">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3">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4">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5">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6">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1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Calibri" w:cs="Calibri" w:eastAsia="Calibri" w:hAnsi="Calibri"/>
          <w:b w:val="0"/>
          <w:bCs w:val="0"/>
          <w:i w:val="0"/>
          <w:iCs w:val="0"/>
          <w:smallCaps w:val="0"/>
          <w:strike w:val="0"/>
          <w:color w:val="0f4761"/>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f4761"/>
          <w:sz w:val="22"/>
          <w:szCs w:val="22"/>
          <w:u w:val="none"/>
          <w:shd w:fill="auto" w:val="clear"/>
          <w:vertAlign w:val="baseline"/>
          <w:rtl w:val="0"/>
        </w:rPr>
        <w:t xml:space="preserve">Contents</w:t>
      </w:r>
    </w:p>
    <w:sdt>
      <w:sdtPr>
        <w:id w:val="-436498966"/>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mhf53mfby13q">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qmn1b4l2p9y3">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Defining Business Ethics and Corporate Social Responsibility</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9zhd2ap2ziu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Theoretical Models</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9b8pwishjtvi">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Application to the Automotive Industry</w:t>
              <w:tab/>
              <w:t xml:space="preserve">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p1u1ybt73opb">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hyperlink w:anchor="_8ctacvcz9i5k">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E">
          <w:pPr>
            <w:spacing w:line="360" w:lineRule="auto"/>
            <w:rPr>
              <w:rFonts w:ascii="Calibri" w:cs="Calibri" w:eastAsia="Calibri" w:hAnsi="Calibri"/>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0">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1">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2">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3">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4">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5">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6">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7">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8">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9">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A">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B">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C">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D">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E">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2F">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30">
      <w:pPr>
        <w:pStyle w:val="Heading1"/>
        <w:spacing w:line="360" w:lineRule="auto"/>
        <w:rPr>
          <w:rFonts w:ascii="Calibri" w:cs="Calibri" w:eastAsia="Calibri" w:hAnsi="Calibri"/>
          <w:sz w:val="22"/>
          <w:szCs w:val="22"/>
        </w:rPr>
      </w:pPr>
      <w:bookmarkStart w:colFirst="0" w:colLast="0" w:name="_mhf53mfby13q" w:id="0"/>
      <w:bookmarkEnd w:id="0"/>
      <w:r w:rsidDel="00000000" w:rsidR="00000000" w:rsidRPr="00000000">
        <w:rPr>
          <w:rFonts w:ascii="Calibri" w:cs="Calibri" w:eastAsia="Calibri" w:hAnsi="Calibri"/>
          <w:sz w:val="22"/>
          <w:szCs w:val="22"/>
          <w:rtl w:val="0"/>
        </w:rPr>
        <w:t xml:space="preserve">Introduction</w:t>
      </w:r>
    </w:p>
    <w:p w:rsidR="00000000" w:rsidDel="00000000" w:rsidP="00000000" w:rsidRDefault="00000000" w:rsidRPr="00000000" w14:paraId="00000031">
      <w:pPr>
        <w:spacing w:line="360" w:lineRule="auto"/>
        <w:rPr>
          <w:rFonts w:ascii="Calibri" w:cs="Calibri" w:eastAsia="Calibri" w:hAnsi="Calibri"/>
        </w:rPr>
      </w:pPr>
      <w:r w:rsidDel="00000000" w:rsidR="00000000" w:rsidRPr="00000000">
        <w:rPr>
          <w:rFonts w:ascii="Calibri" w:cs="Calibri" w:eastAsia="Calibri" w:hAnsi="Calibri"/>
          <w:rtl w:val="0"/>
        </w:rPr>
        <w:t xml:space="preserve">Profitability as a metric for success for the automotive industry has expanded well beyond the boundaries of the corporation’s bottom line profit, due to the increasing socio-ethical and socio-ecological concerns. Companies are now also evaluated on the basis of the level of their integrity, transparency, and responsiveness toward socio-ecological sustainability. Ethical business conduct and corporate social responsibility (CSR) are the two primary pillars of the values system, with the former serving as the guiding fundamental for developing business extends, while CSR guarantees the values are driven under a proactive and measurable strategy (Crane and Matten, 2022). The willingness to engage in ethical conduct alongside CSR frameworks is a competitive advantage for organisations in the globalised economy. This essay will focus on the strategies of integrity and sustainability of business for the automotive companies Toyota, Renault, and Stellantis. Using the CSR Pyramid of Carroll and the Elkington blended Three Pie Bottom Line, this essay will demonstrate how the ethical responsibility of a business shapes its leadership as well as organisational innovation and reputation. The core argument is that the automotive sector’s sustainability is not a green technological innovation, but a moral and accountable oversight at every level of organisational hierarchy.</w:t>
      </w:r>
    </w:p>
    <w:p w:rsidR="00000000" w:rsidDel="00000000" w:rsidP="00000000" w:rsidRDefault="00000000" w:rsidRPr="00000000" w14:paraId="00000032">
      <w:pPr>
        <w:pStyle w:val="Heading1"/>
        <w:spacing w:line="360" w:lineRule="auto"/>
        <w:rPr>
          <w:rFonts w:ascii="Calibri" w:cs="Calibri" w:eastAsia="Calibri" w:hAnsi="Calibri"/>
          <w:sz w:val="22"/>
          <w:szCs w:val="22"/>
        </w:rPr>
      </w:pPr>
      <w:bookmarkStart w:colFirst="0" w:colLast="0" w:name="_qmn1b4l2p9y3" w:id="1"/>
      <w:bookmarkEnd w:id="1"/>
      <w:r w:rsidDel="00000000" w:rsidR="00000000" w:rsidRPr="00000000">
        <w:rPr>
          <w:rFonts w:ascii="Calibri" w:cs="Calibri" w:eastAsia="Calibri" w:hAnsi="Calibri"/>
          <w:sz w:val="22"/>
          <w:szCs w:val="22"/>
          <w:rtl w:val="0"/>
        </w:rPr>
        <w:t xml:space="preserve">Defining Business Ethics and Corporate Social Responsibility</w:t>
      </w:r>
    </w:p>
    <w:p w:rsidR="00000000" w:rsidDel="00000000" w:rsidP="00000000" w:rsidRDefault="00000000" w:rsidRPr="00000000" w14:paraId="00000033">
      <w:pPr>
        <w:spacing w:line="360" w:lineRule="auto"/>
        <w:rPr>
          <w:rFonts w:ascii="Calibri" w:cs="Calibri" w:eastAsia="Calibri" w:hAnsi="Calibri"/>
        </w:rPr>
      </w:pPr>
      <w:r w:rsidDel="00000000" w:rsidR="00000000" w:rsidRPr="00000000">
        <w:rPr>
          <w:rFonts w:ascii="Calibri" w:cs="Calibri" w:eastAsia="Calibri" w:hAnsi="Calibri"/>
          <w:rtl w:val="0"/>
        </w:rPr>
        <w:t xml:space="preserve">Business ethics involves the principles that underpin the procedures threatened upon the decisions taken by an organisation. It purports that businesses should act in good faith, responsively, and be less repugnant, even when under financial duress or under a competitive assault. As noted by Treviño and Nelson (2021) in their in-depth analysis, ethics and mercantile conduct do not only rest upon statutes. It’s more than that; an organisation tries to “do the right thing” for the people and the economy, the environment alike. In sectors such as automotive manufacturing, ethical standards are the uppermost priorities because of their potential inflicted harm to the environment, worldwide distribution, and workforce. To protect their reputation, uphold stakeholders' confidence, protect their reputations, and ethical principles of value are not ignored.</w:t>
      </w:r>
    </w:p>
    <w:p w:rsidR="00000000" w:rsidDel="00000000" w:rsidP="00000000" w:rsidRDefault="00000000" w:rsidRPr="00000000" w14:paraId="00000034">
      <w:pPr>
        <w:spacing w:line="360" w:lineRule="auto"/>
        <w:rPr>
          <w:rFonts w:ascii="Calibri" w:cs="Calibri" w:eastAsia="Calibri" w:hAnsi="Calibri"/>
        </w:rPr>
      </w:pPr>
      <w:r w:rsidDel="00000000" w:rsidR="00000000" w:rsidRPr="00000000">
        <w:rPr>
          <w:rFonts w:ascii="Calibri" w:cs="Calibri" w:eastAsia="Calibri" w:hAnsi="Calibri"/>
          <w:rtl w:val="0"/>
        </w:rPr>
        <w:t xml:space="preserve">Building upon those ethical tenets, Corporate Social Responsibility (CSR) works to provide action-oriented tangible outcomes. Carroll (2021) defines CSR as the integration of the economic and business domain arms with the socially ethical and philanthropy tangent in the domain of societal contribution. Jamali and Karam (2022) assert CSR advocates that the business domain should balance economic productivity with social equity and ecological protection. In combination, ethics and CSR provide the scaffolding for leadership that enables businesses to be profitable and purposeful, and resolves the pressing social problems of pollution, social inequity, and climate change that currently beset the world.</w:t>
      </w:r>
    </w:p>
    <w:p w:rsidR="00000000" w:rsidDel="00000000" w:rsidP="00000000" w:rsidRDefault="00000000" w:rsidRPr="00000000" w14:paraId="00000035">
      <w:pPr>
        <w:pStyle w:val="Heading1"/>
        <w:spacing w:line="360" w:lineRule="auto"/>
        <w:rPr>
          <w:rFonts w:ascii="Calibri" w:cs="Calibri" w:eastAsia="Calibri" w:hAnsi="Calibri"/>
          <w:sz w:val="22"/>
          <w:szCs w:val="22"/>
        </w:rPr>
      </w:pPr>
      <w:bookmarkStart w:colFirst="0" w:colLast="0" w:name="_9zhd2ap2ziur" w:id="2"/>
      <w:bookmarkEnd w:id="2"/>
      <w:r w:rsidDel="00000000" w:rsidR="00000000" w:rsidRPr="00000000">
        <w:rPr>
          <w:rFonts w:ascii="Calibri" w:cs="Calibri" w:eastAsia="Calibri" w:hAnsi="Calibri"/>
          <w:sz w:val="22"/>
          <w:szCs w:val="22"/>
          <w:rtl w:val="0"/>
        </w:rPr>
        <w:t xml:space="preserve">Theoretical Models</w:t>
      </w:r>
    </w:p>
    <w:p w:rsidR="00000000" w:rsidDel="00000000" w:rsidP="00000000" w:rsidRDefault="00000000" w:rsidRPr="00000000" w14:paraId="00000036">
      <w:pPr>
        <w:spacing w:line="360" w:lineRule="auto"/>
        <w:rPr>
          <w:rFonts w:ascii="Calibri" w:cs="Calibri" w:eastAsia="Calibri" w:hAnsi="Calibri"/>
        </w:rPr>
      </w:pPr>
      <w:r w:rsidDel="00000000" w:rsidR="00000000" w:rsidRPr="00000000">
        <w:rPr>
          <w:rFonts w:ascii="Calibri" w:cs="Calibri" w:eastAsia="Calibri" w:hAnsi="Calibri"/>
          <w:rtl w:val="0"/>
        </w:rPr>
        <w:t xml:space="preserve">Carroll's CSR Pyramid and Elkington's Triple Bottom Line (TBL) are two foundational building blocks that provide a concrete understanding of how ethical values and social responsibility can be implemented in corporate strategies for sustainability. Carroll (2021) explains that responsibility can be broken down into four parts, which can be layered, so that they are interconnected: economic, legal, ethical, and philanthropic. While the economic responsibility is to ensure profitability, the legal responsibility is to obey the law. The slide of ethical responsibility is to remain fair and transparent, and the philanthropic responsibility is a voluntary contribution to the wellbeing of the community. This is a clear indication that responsibility at the corporate level involves the incorporation of values at every level of the decision-making process, rather than at the end, or not at all.</w:t>
      </w:r>
    </w:p>
    <w:p w:rsidR="00000000" w:rsidDel="00000000" w:rsidP="00000000" w:rsidRDefault="00000000" w:rsidRPr="00000000" w14:paraId="00000037">
      <w:pPr>
        <w:spacing w:line="360" w:lineRule="auto"/>
        <w:rPr>
          <w:rFonts w:ascii="Calibri" w:cs="Calibri" w:eastAsia="Calibri" w:hAnsi="Calibri"/>
        </w:rPr>
      </w:pPr>
      <w:r w:rsidDel="00000000" w:rsidR="00000000" w:rsidRPr="00000000">
        <w:rPr>
          <w:rFonts w:ascii="Calibri" w:cs="Calibri" w:eastAsia="Calibri" w:hAnsi="Calibri"/>
          <w:rtl w:val="0"/>
        </w:rPr>
        <w:t xml:space="preserve">Elkington's (2018) Triple Bottom Line takes into account all of the above and adds value by extending the concept to corporate success and the three criteria of people, planet, and profit. This model paints a clear picture that social profit and environmental loss are not sustainable, and they are to come together alongside the financial performance. In the automotive industry, this is equated with the development of low-emission technologies, improvement of workplace safety, and contribution to local economies. When all pieces are taken into account, Carroll's Pyramid alongside Elkington's TBL present all aspects of responsible business practice. The innovation that is required to achieve sustainable growth is in the hands of leaders that are courageously ethical. This is the starting point in evaluating the ethical principles of automotive companies and how they convert these principles into actionable, measurable, and long-term results.</w:t>
      </w:r>
    </w:p>
    <w:p w:rsidR="00000000" w:rsidDel="00000000" w:rsidP="00000000" w:rsidRDefault="00000000" w:rsidRPr="00000000" w14:paraId="00000038">
      <w:pPr>
        <w:pStyle w:val="Heading1"/>
        <w:spacing w:line="360" w:lineRule="auto"/>
        <w:rPr>
          <w:rFonts w:ascii="Calibri" w:cs="Calibri" w:eastAsia="Calibri" w:hAnsi="Calibri"/>
          <w:sz w:val="22"/>
          <w:szCs w:val="22"/>
        </w:rPr>
      </w:pPr>
      <w:bookmarkStart w:colFirst="0" w:colLast="0" w:name="_9b8pwishjtvi" w:id="3"/>
      <w:bookmarkEnd w:id="3"/>
      <w:r w:rsidDel="00000000" w:rsidR="00000000" w:rsidRPr="00000000">
        <w:rPr>
          <w:rFonts w:ascii="Calibri" w:cs="Calibri" w:eastAsia="Calibri" w:hAnsi="Calibri"/>
          <w:sz w:val="22"/>
          <w:szCs w:val="22"/>
          <w:rtl w:val="0"/>
        </w:rPr>
        <w:t xml:space="preserve">Application to the Automotive Industry</w:t>
      </w:r>
    </w:p>
    <w:p w:rsidR="00000000" w:rsidDel="00000000" w:rsidP="00000000" w:rsidRDefault="00000000" w:rsidRPr="00000000" w14:paraId="00000039">
      <w:pPr>
        <w:spacing w:line="360" w:lineRule="auto"/>
        <w:rPr>
          <w:rFonts w:ascii="Calibri" w:cs="Calibri" w:eastAsia="Calibri" w:hAnsi="Calibri"/>
        </w:rPr>
      </w:pPr>
      <w:r w:rsidDel="00000000" w:rsidR="00000000" w:rsidRPr="00000000">
        <w:rPr>
          <w:rFonts w:ascii="Calibri" w:cs="Calibri" w:eastAsia="Calibri" w:hAnsi="Calibri"/>
          <w:rtl w:val="0"/>
        </w:rPr>
        <w:t xml:space="preserve">Innovating and communicating with the public is most likely influenced by ethical responsibility and social awareness. For example, Toyota’s “Environmental Challenge 2050” strives to reach carbon neutrality and the complete elimination of waste within production at every stage (Toyota Motor Corporation, 2024). Such actions exemplify Carroll’s ethical and philanthropic responsibilities, as well as Elkington’s planet and people pillars. Toyota’s commitment to positive stakeholder engagement is evident when the dedication is kept to ethical and profitable behaviour reinforced through positive stakeholder engagement and transparent sustainability reporting.</w:t>
      </w:r>
    </w:p>
    <w:p w:rsidR="00000000" w:rsidDel="00000000" w:rsidP="00000000" w:rsidRDefault="00000000" w:rsidRPr="00000000" w14:paraId="0000003A">
      <w:pPr>
        <w:spacing w:line="360" w:lineRule="auto"/>
        <w:rPr>
          <w:rFonts w:ascii="Calibri" w:cs="Calibri" w:eastAsia="Calibri" w:hAnsi="Calibri"/>
        </w:rPr>
      </w:pPr>
      <w:r w:rsidDel="00000000" w:rsidR="00000000" w:rsidRPr="00000000">
        <w:rPr>
          <w:rFonts w:ascii="Calibri" w:cs="Calibri" w:eastAsia="Calibri" w:hAnsi="Calibri"/>
          <w:rtl w:val="0"/>
        </w:rPr>
        <w:t xml:space="preserve">Renault is also committed to strategically sustainable ethical and social responsibility. "Mobilize" promotes electric mobility along with circular economy practices (Renault Group, 2024). Renault also strengthens the ethical and economic CSR and public transport to cleaner fuels through battery recycling, material reuse, and custodianship of the environmentally and socially sustainable mainline rail transport and cleaner fuels.</w:t>
      </w:r>
    </w:p>
    <w:p w:rsidR="00000000" w:rsidDel="00000000" w:rsidP="00000000" w:rsidRDefault="00000000" w:rsidRPr="00000000" w14:paraId="0000003B">
      <w:pPr>
        <w:spacing w:line="360" w:lineRule="auto"/>
        <w:rPr>
          <w:rFonts w:ascii="Calibri" w:cs="Calibri" w:eastAsia="Calibri" w:hAnsi="Calibri"/>
        </w:rPr>
      </w:pPr>
      <w:r w:rsidDel="00000000" w:rsidR="00000000" w:rsidRPr="00000000">
        <w:rPr>
          <w:rFonts w:ascii="Calibri" w:cs="Calibri" w:eastAsia="Calibri" w:hAnsi="Calibri"/>
          <w:rtl w:val="0"/>
        </w:rPr>
        <w:t xml:space="preserve">Stellantis (Peugeot, Fiat, and others) has mapped out the decarbonisation of transport through the most rapid automotive production and burning of hydrocarbons. "Dare Forward 2030" combines the elimination of waste emissions with the increase of decency by ignoring the well-being of employees and equal opportunities (Stellantis, 2024). This, Elkington, and socially profitable balanced ethical governance with economic growth.</w:t>
      </w:r>
    </w:p>
    <w:p w:rsidR="00000000" w:rsidDel="00000000" w:rsidP="00000000" w:rsidRDefault="00000000" w:rsidRPr="00000000" w14:paraId="0000003C">
      <w:pPr>
        <w:spacing w:line="360" w:lineRule="auto"/>
        <w:rPr>
          <w:rFonts w:ascii="Calibri" w:cs="Calibri" w:eastAsia="Calibri" w:hAnsi="Calibri"/>
        </w:rPr>
      </w:pPr>
      <w:r w:rsidDel="00000000" w:rsidR="00000000" w:rsidRPr="00000000">
        <w:rPr>
          <w:rFonts w:ascii="Calibri" w:cs="Calibri" w:eastAsia="Calibri" w:hAnsi="Calibri"/>
          <w:rtl w:val="0"/>
        </w:rPr>
        <w:t xml:space="preserve">The synergy of ethics and stakeholder cooperation proves that responsibility at "Airline" level and the expectation of Lexus quality can survive the dominance of commercial responsibility.</w:t>
      </w:r>
    </w:p>
    <w:p w:rsidR="00000000" w:rsidDel="00000000" w:rsidP="00000000" w:rsidRDefault="00000000" w:rsidRPr="00000000" w14:paraId="0000003D">
      <w:pPr>
        <w:pStyle w:val="Heading1"/>
        <w:spacing w:line="360" w:lineRule="auto"/>
        <w:rPr>
          <w:rFonts w:ascii="Calibri" w:cs="Calibri" w:eastAsia="Calibri" w:hAnsi="Calibri"/>
          <w:sz w:val="22"/>
          <w:szCs w:val="22"/>
        </w:rPr>
      </w:pPr>
      <w:bookmarkStart w:colFirst="0" w:colLast="0" w:name="_p1u1ybt73opb" w:id="4"/>
      <w:bookmarkEnd w:id="4"/>
      <w:r w:rsidDel="00000000" w:rsidR="00000000" w:rsidRPr="00000000">
        <w:rPr>
          <w:rFonts w:ascii="Calibri" w:cs="Calibri" w:eastAsia="Calibri" w:hAnsi="Calibri"/>
          <w:sz w:val="22"/>
          <w:szCs w:val="22"/>
          <w:rtl w:val="0"/>
        </w:rPr>
        <w:t xml:space="preserve">Conclusion</w:t>
      </w:r>
    </w:p>
    <w:p w:rsidR="00000000" w:rsidDel="00000000" w:rsidP="00000000" w:rsidRDefault="00000000" w:rsidRPr="00000000" w14:paraId="0000003E">
      <w:pPr>
        <w:spacing w:line="360" w:lineRule="auto"/>
        <w:rPr>
          <w:rFonts w:ascii="Calibri" w:cs="Calibri" w:eastAsia="Calibri" w:hAnsi="Calibri"/>
        </w:rPr>
      </w:pPr>
      <w:r w:rsidDel="00000000" w:rsidR="00000000" w:rsidRPr="00000000">
        <w:rPr>
          <w:rFonts w:ascii="Calibri" w:cs="Calibri" w:eastAsia="Calibri" w:hAnsi="Calibri"/>
          <w:rtl w:val="0"/>
        </w:rPr>
        <w:t xml:space="preserve">In recent years, the strategic blueprint of every automotive industry stakeholder has encompassed issues of ethical conduct and sustainability. Consider the cases of Toyota, Renault, and Stellantis. These industry leaders demonstrate that authentic corporate virtue, as posited by Carroll’s CSR Pyramid and Elkington’s TBL, generates creative value that advances the interests of both the firm and society. The most meaningful advances will flow from those enterprises that are determined not only to profit but also to be socially and ethically responsible.</w:t>
      </w:r>
    </w:p>
    <w:p w:rsidR="00000000" w:rsidDel="00000000" w:rsidP="00000000" w:rsidRDefault="00000000" w:rsidRPr="00000000" w14:paraId="0000003F">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0">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1">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2">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3">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4">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5">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6">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7">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8">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9">
      <w:pPr>
        <w:spacing w:line="360" w:lineRule="auto"/>
        <w:rPr>
          <w:rFonts w:ascii="Calibri" w:cs="Calibri" w:eastAsia="Calibri" w:hAnsi="Calibri"/>
        </w:rPr>
      </w:pPr>
      <w:r w:rsidDel="00000000" w:rsidR="00000000" w:rsidRPr="00000000">
        <w:rPr>
          <w:rtl w:val="0"/>
        </w:rPr>
      </w:r>
    </w:p>
    <w:p w:rsidR="00000000" w:rsidDel="00000000" w:rsidP="00000000" w:rsidRDefault="00000000" w:rsidRPr="00000000" w14:paraId="0000004A">
      <w:pPr>
        <w:pStyle w:val="Heading1"/>
        <w:spacing w:line="360" w:lineRule="auto"/>
        <w:rPr>
          <w:rFonts w:ascii="Calibri" w:cs="Calibri" w:eastAsia="Calibri" w:hAnsi="Calibri"/>
          <w:sz w:val="22"/>
          <w:szCs w:val="22"/>
        </w:rPr>
      </w:pPr>
      <w:bookmarkStart w:colFirst="0" w:colLast="0" w:name="_8ctacvcz9i5k" w:id="5"/>
      <w:bookmarkEnd w:id="5"/>
      <w:r w:rsidDel="00000000" w:rsidR="00000000" w:rsidRPr="00000000">
        <w:rPr>
          <w:rFonts w:ascii="Calibri" w:cs="Calibri" w:eastAsia="Calibri" w:hAnsi="Calibri"/>
          <w:sz w:val="22"/>
          <w:szCs w:val="22"/>
          <w:rtl w:val="0"/>
        </w:rPr>
        <w:t xml:space="preserve">References </w:t>
      </w:r>
    </w:p>
    <w:p w:rsidR="00000000" w:rsidDel="00000000" w:rsidP="00000000" w:rsidRDefault="00000000" w:rsidRPr="00000000" w14:paraId="0000004B">
      <w:pPr>
        <w:spacing w:line="360" w:lineRule="auto"/>
        <w:rPr>
          <w:rFonts w:ascii="Calibri" w:cs="Calibri" w:eastAsia="Calibri" w:hAnsi="Calibri"/>
        </w:rPr>
      </w:pPr>
      <w:r w:rsidDel="00000000" w:rsidR="00000000" w:rsidRPr="00000000">
        <w:rPr>
          <w:rFonts w:ascii="Calibri" w:cs="Calibri" w:eastAsia="Calibri" w:hAnsi="Calibri"/>
          <w:rtl w:val="0"/>
        </w:rPr>
        <w:t xml:space="preserve">Carroll, A.B. (2021) ‘Corporate Social Responsibility: Perspectives on the CSR Pyramid Thirty Years On’, Business &amp; Society Review, 126(1), pp. 39–68.</w:t>
      </w:r>
    </w:p>
    <w:p w:rsidR="00000000" w:rsidDel="00000000" w:rsidP="00000000" w:rsidRDefault="00000000" w:rsidRPr="00000000" w14:paraId="0000004C">
      <w:pPr>
        <w:spacing w:line="360" w:lineRule="auto"/>
        <w:rPr>
          <w:rFonts w:ascii="Calibri" w:cs="Calibri" w:eastAsia="Calibri" w:hAnsi="Calibri"/>
        </w:rPr>
      </w:pPr>
      <w:r w:rsidDel="00000000" w:rsidR="00000000" w:rsidRPr="00000000">
        <w:rPr>
          <w:rFonts w:ascii="Calibri" w:cs="Calibri" w:eastAsia="Calibri" w:hAnsi="Calibri"/>
          <w:rtl w:val="0"/>
        </w:rPr>
        <w:t xml:space="preserve">Crane, A. and Matten, D. (2022) Business Ethics: Managing Corporate Citizenship and Sustainability in the Age of Globalization. 6th edn. London: Routledge.</w:t>
      </w:r>
    </w:p>
    <w:p w:rsidR="00000000" w:rsidDel="00000000" w:rsidP="00000000" w:rsidRDefault="00000000" w:rsidRPr="00000000" w14:paraId="0000004D">
      <w:pPr>
        <w:spacing w:line="360" w:lineRule="auto"/>
        <w:rPr>
          <w:rFonts w:ascii="Calibri" w:cs="Calibri" w:eastAsia="Calibri" w:hAnsi="Calibri"/>
        </w:rPr>
      </w:pPr>
      <w:r w:rsidDel="00000000" w:rsidR="00000000" w:rsidRPr="00000000">
        <w:rPr>
          <w:rFonts w:ascii="Calibri" w:cs="Calibri" w:eastAsia="Calibri" w:hAnsi="Calibri"/>
          <w:rtl w:val="0"/>
        </w:rPr>
        <w:t xml:space="preserve">Elkington, J. (2018) ‘25 Years Ago I Coined the Phrase “Triple Bottom Line.” Here’s Why It’s Time to Rethink It’, Harvard Business Review, 25 June. Available at: https://hbr.org/</w:t>
      </w:r>
    </w:p>
    <w:p w:rsidR="00000000" w:rsidDel="00000000" w:rsidP="00000000" w:rsidRDefault="00000000" w:rsidRPr="00000000" w14:paraId="0000004E">
      <w:pPr>
        <w:spacing w:line="360" w:lineRule="auto"/>
        <w:rPr>
          <w:rFonts w:ascii="Calibri" w:cs="Calibri" w:eastAsia="Calibri" w:hAnsi="Calibri"/>
        </w:rPr>
      </w:pPr>
      <w:r w:rsidDel="00000000" w:rsidR="00000000" w:rsidRPr="00000000">
        <w:rPr>
          <w:rFonts w:ascii="Calibri" w:cs="Calibri" w:eastAsia="Calibri" w:hAnsi="Calibri"/>
          <w:rtl w:val="0"/>
        </w:rPr>
        <w:t xml:space="preserve"> (Accessed: 20 October 2025)</w:t>
      </w:r>
    </w:p>
    <w:p w:rsidR="00000000" w:rsidDel="00000000" w:rsidP="00000000" w:rsidRDefault="00000000" w:rsidRPr="00000000" w14:paraId="0000004F">
      <w:pPr>
        <w:spacing w:line="360" w:lineRule="auto"/>
        <w:rPr>
          <w:rFonts w:ascii="Calibri" w:cs="Calibri" w:eastAsia="Calibri" w:hAnsi="Calibri"/>
        </w:rPr>
      </w:pPr>
      <w:r w:rsidDel="00000000" w:rsidR="00000000" w:rsidRPr="00000000">
        <w:rPr>
          <w:rFonts w:ascii="Calibri" w:cs="Calibri" w:eastAsia="Calibri" w:hAnsi="Calibri"/>
          <w:rtl w:val="0"/>
        </w:rPr>
        <w:t xml:space="preserve">Jamali, D. and Karam, C. (2022) ‘Corporate Social Responsibility in Developing Countries Revisited: Towards a Contextualised Understanding’, Journal of Business Ethics, 179(3), pp. 503–520</w:t>
      </w:r>
    </w:p>
    <w:p w:rsidR="00000000" w:rsidDel="00000000" w:rsidP="00000000" w:rsidRDefault="00000000" w:rsidRPr="00000000" w14:paraId="00000050">
      <w:pPr>
        <w:spacing w:line="360" w:lineRule="auto"/>
        <w:rPr>
          <w:rFonts w:ascii="Calibri" w:cs="Calibri" w:eastAsia="Calibri" w:hAnsi="Calibri"/>
        </w:rPr>
      </w:pPr>
      <w:r w:rsidDel="00000000" w:rsidR="00000000" w:rsidRPr="00000000">
        <w:rPr>
          <w:rFonts w:ascii="Calibri" w:cs="Calibri" w:eastAsia="Calibri" w:hAnsi="Calibri"/>
          <w:rtl w:val="0"/>
        </w:rPr>
        <w:t xml:space="preserve">Stellantis (2024) Dare Forward 2030: Global Sustainability Strategy. Available at: https://www.stellantis.com/</w:t>
      </w:r>
    </w:p>
    <w:p w:rsidR="00000000" w:rsidDel="00000000" w:rsidP="00000000" w:rsidRDefault="00000000" w:rsidRPr="00000000" w14:paraId="00000051">
      <w:pPr>
        <w:spacing w:line="360" w:lineRule="auto"/>
        <w:rPr>
          <w:rFonts w:ascii="Calibri" w:cs="Calibri" w:eastAsia="Calibri" w:hAnsi="Calibri"/>
        </w:rPr>
      </w:pPr>
      <w:r w:rsidDel="00000000" w:rsidR="00000000" w:rsidRPr="00000000">
        <w:rPr>
          <w:rFonts w:ascii="Calibri" w:cs="Calibri" w:eastAsia="Calibri" w:hAnsi="Calibri"/>
          <w:rtl w:val="0"/>
        </w:rPr>
        <w:t xml:space="preserve"> (Accessed: 23 October 2025).</w:t>
      </w:r>
    </w:p>
    <w:p w:rsidR="00000000" w:rsidDel="00000000" w:rsidP="00000000" w:rsidRDefault="00000000" w:rsidRPr="00000000" w14:paraId="00000052">
      <w:pPr>
        <w:spacing w:line="360" w:lineRule="auto"/>
        <w:rPr>
          <w:rFonts w:ascii="Calibri" w:cs="Calibri" w:eastAsia="Calibri" w:hAnsi="Calibri"/>
        </w:rPr>
      </w:pPr>
      <w:r w:rsidDel="00000000" w:rsidR="00000000" w:rsidRPr="00000000">
        <w:rPr>
          <w:rFonts w:ascii="Calibri" w:cs="Calibri" w:eastAsia="Calibri" w:hAnsi="Calibri"/>
          <w:rtl w:val="0"/>
        </w:rPr>
        <w:t xml:space="preserve">Toyota Motor Corporation (2024) Toyota Environmental Challenge 2050 – Sustainability Report 2024. Available at: https://global.toyota/en/sustainability/</w:t>
      </w:r>
    </w:p>
    <w:p w:rsidR="00000000" w:rsidDel="00000000" w:rsidP="00000000" w:rsidRDefault="00000000" w:rsidRPr="00000000" w14:paraId="00000053">
      <w:pPr>
        <w:spacing w:line="360" w:lineRule="auto"/>
        <w:rPr>
          <w:rFonts w:ascii="Calibri" w:cs="Calibri" w:eastAsia="Calibri" w:hAnsi="Calibri"/>
        </w:rPr>
      </w:pPr>
      <w:r w:rsidDel="00000000" w:rsidR="00000000" w:rsidRPr="00000000">
        <w:rPr>
          <w:rFonts w:ascii="Calibri" w:cs="Calibri" w:eastAsia="Calibri" w:hAnsi="Calibri"/>
          <w:rtl w:val="0"/>
        </w:rPr>
        <w:t xml:space="preserve"> (Accessed: 22 October 2025).</w:t>
      </w:r>
    </w:p>
    <w:p w:rsidR="00000000" w:rsidDel="00000000" w:rsidP="00000000" w:rsidRDefault="00000000" w:rsidRPr="00000000" w14:paraId="00000054">
      <w:pPr>
        <w:spacing w:line="360" w:lineRule="auto"/>
        <w:rPr>
          <w:rFonts w:ascii="Calibri" w:cs="Calibri" w:eastAsia="Calibri" w:hAnsi="Calibri"/>
        </w:rPr>
      </w:pPr>
      <w:r w:rsidDel="00000000" w:rsidR="00000000" w:rsidRPr="00000000">
        <w:rPr>
          <w:rFonts w:ascii="Calibri" w:cs="Calibri" w:eastAsia="Calibri" w:hAnsi="Calibri"/>
          <w:rtl w:val="0"/>
        </w:rPr>
        <w:t xml:space="preserve">Treviño, L.K. and Nelson, K.A. (2021) Managing Business Ethics: Straight Talk about How to Do It Right. 8th edn. Hoboken: Wiley</w:t>
      </w:r>
    </w:p>
    <w:p w:rsidR="00000000" w:rsidDel="00000000" w:rsidP="00000000" w:rsidRDefault="00000000" w:rsidRPr="00000000" w14:paraId="00000055">
      <w:pPr>
        <w:spacing w:line="360" w:lineRule="auto"/>
        <w:rPr>
          <w:rFonts w:ascii="Calibri" w:cs="Calibri" w:eastAsia="Calibri" w:hAnsi="Calibri"/>
        </w:rPr>
      </w:pPr>
      <w:r w:rsidDel="00000000" w:rsidR="00000000" w:rsidRPr="00000000">
        <w:rPr>
          <w:rFonts w:ascii="Calibri" w:cs="Calibri" w:eastAsia="Calibri" w:hAnsi="Calibri"/>
          <w:rtl w:val="0"/>
        </w:rPr>
        <w:t xml:space="preserve">Renault Group (2024) Mobilize: Circular Economy and Sustainable Mobility Report. Available at: https://www.renaultgroup.com/</w:t>
      </w:r>
    </w:p>
    <w:p w:rsidR="00000000" w:rsidDel="00000000" w:rsidP="00000000" w:rsidRDefault="00000000" w:rsidRPr="00000000" w14:paraId="00000056">
      <w:pPr>
        <w:spacing w:line="360" w:lineRule="auto"/>
        <w:rPr>
          <w:rFonts w:ascii="Calibri" w:cs="Calibri" w:eastAsia="Calibri" w:hAnsi="Calibri"/>
        </w:rPr>
      </w:pPr>
      <w:r w:rsidDel="00000000" w:rsidR="00000000" w:rsidRPr="00000000">
        <w:rPr>
          <w:rFonts w:ascii="Calibri" w:cs="Calibri" w:eastAsia="Calibri" w:hAnsi="Calibri"/>
          <w:rtl w:val="0"/>
        </w:rPr>
        <w:t xml:space="preserve"> (Accessed: 22 October 2025).</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Times New Roman"/>
  <w:font w:name="Play"/>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spacing w:after="80" w:before="160" w:lineRule="auto"/>
    </w:pPr>
    <w:rPr>
      <w:rFonts w:ascii="Times New Roman" w:cs="Times New Roman" w:eastAsia="Times New Roman" w:hAnsi="Times New Roman"/>
      <w:b w:val="1"/>
      <w:bCs w:val="1"/>
      <w:sz w:val="24"/>
      <w:szCs w:val="24"/>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