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E897B" w14:textId="34D489BE" w:rsidR="00007E5E" w:rsidRPr="003625FA" w:rsidRDefault="003625FA" w:rsidP="003625FA">
      <w:pPr>
        <w:spacing w:line="360" w:lineRule="auto"/>
        <w:rPr>
          <w:b/>
          <w:bCs/>
          <w:u w:val="single"/>
        </w:rPr>
      </w:pPr>
      <w:r>
        <w:rPr>
          <w:b/>
          <w:bCs/>
          <w:u w:val="single"/>
        </w:rPr>
        <w:t>Medieval Bibliographic Exercise</w:t>
      </w:r>
    </w:p>
    <w:p w14:paraId="17F6DF8D" w14:textId="3603A4D4" w:rsidR="00BB595C" w:rsidRDefault="00007E5E" w:rsidP="003625FA">
      <w:pPr>
        <w:spacing w:line="360" w:lineRule="auto"/>
        <w:ind w:firstLine="720"/>
      </w:pPr>
      <w:r w:rsidRPr="00C41262">
        <w:rPr>
          <w:i/>
          <w:iCs/>
        </w:rPr>
        <w:t>The Legenda Aurea</w:t>
      </w:r>
      <w:r>
        <w:t>, written in the mid</w:t>
      </w:r>
      <w:r w:rsidR="005A0AC7">
        <w:t>-</w:t>
      </w:r>
      <w:r>
        <w:t xml:space="preserve">1200s by Jacobus de </w:t>
      </w:r>
      <w:proofErr w:type="spellStart"/>
      <w:r>
        <w:t>Voraigne</w:t>
      </w:r>
      <w:proofErr w:type="spellEnd"/>
      <w:r>
        <w:t>, is a Christian hagiography of Medieval Saints. It is speculated that it was to be a reference book or guide for priests and preachers</w:t>
      </w:r>
      <w:r w:rsidR="005A0AC7">
        <w:rPr>
          <w:rStyle w:val="FootnoteReference"/>
        </w:rPr>
        <w:footnoteReference w:id="1"/>
      </w:r>
      <w:r w:rsidR="005A0AC7">
        <w:t xml:space="preserve"> </w:t>
      </w:r>
      <w:r w:rsidRPr="001C6623">
        <w:t>however</w:t>
      </w:r>
      <w:r>
        <w:t xml:space="preserve"> became a very popular devotional book</w:t>
      </w:r>
      <w:r w:rsidR="00BB595C">
        <w:t xml:space="preserve"> and has been widely shared, re-translated and republished in the centuries since its original publication. </w:t>
      </w:r>
    </w:p>
    <w:p w14:paraId="092FA30E" w14:textId="58850200" w:rsidR="008B1C27" w:rsidRDefault="00BB595C" w:rsidP="00867C55">
      <w:pPr>
        <w:spacing w:line="360" w:lineRule="auto"/>
        <w:ind w:firstLine="360"/>
      </w:pPr>
      <w:r>
        <w:t xml:space="preserve">My methodology to find significant editions of the text was </w:t>
      </w:r>
      <w:r w:rsidR="00B917BA">
        <w:t>conducted</w:t>
      </w:r>
      <w:r w:rsidR="003F7209">
        <w:t xml:space="preserve"> primarily online, </w:t>
      </w:r>
      <w:r>
        <w:t xml:space="preserve">studying both the University </w:t>
      </w:r>
      <w:r w:rsidR="001C6623">
        <w:t xml:space="preserve">of </w:t>
      </w:r>
      <w:r>
        <w:t>Manchester</w:t>
      </w:r>
      <w:r w:rsidR="001C6623">
        <w:t xml:space="preserve"> and UWTSD</w:t>
      </w:r>
      <w:r>
        <w:t xml:space="preserve"> library sites. I have also used Google Books</w:t>
      </w:r>
      <w:r w:rsidR="001C6623">
        <w:t xml:space="preserve"> and </w:t>
      </w:r>
      <w:proofErr w:type="spellStart"/>
      <w:r w:rsidR="001C6623">
        <w:t>WorldCat</w:t>
      </w:r>
      <w:proofErr w:type="spellEnd"/>
      <w:r w:rsidR="001C6623">
        <w:t xml:space="preserve"> online</w:t>
      </w:r>
      <w:r>
        <w:t xml:space="preserve"> to cross reference my research and locate any details I could not find about some of the texts. </w:t>
      </w:r>
    </w:p>
    <w:p w14:paraId="094F6143" w14:textId="0B34F739" w:rsidR="00867C55" w:rsidRDefault="00C41262" w:rsidP="00867C55">
      <w:pPr>
        <w:spacing w:line="360" w:lineRule="auto"/>
        <w:rPr>
          <w:b/>
          <w:bCs/>
          <w:u w:val="single"/>
        </w:rPr>
      </w:pPr>
      <w:r>
        <w:rPr>
          <w:b/>
          <w:bCs/>
          <w:u w:val="single"/>
        </w:rPr>
        <w:t xml:space="preserve">Annotated </w:t>
      </w:r>
      <w:r w:rsidR="00867C55">
        <w:rPr>
          <w:b/>
          <w:bCs/>
          <w:u w:val="single"/>
        </w:rPr>
        <w:t>Bibliography</w:t>
      </w:r>
    </w:p>
    <w:p w14:paraId="78240867" w14:textId="77777777" w:rsidR="002A2157" w:rsidRPr="00FF50AD" w:rsidRDefault="002A2157" w:rsidP="002A2157">
      <w:pPr>
        <w:spacing w:line="360" w:lineRule="auto"/>
      </w:pPr>
      <w:r>
        <w:t xml:space="preserve">de </w:t>
      </w:r>
      <w:proofErr w:type="spellStart"/>
      <w:r>
        <w:t>Voraigne</w:t>
      </w:r>
      <w:proofErr w:type="spellEnd"/>
      <w:r>
        <w:t xml:space="preserve">, J. </w:t>
      </w:r>
      <w:r>
        <w:rPr>
          <w:i/>
          <w:iCs/>
        </w:rPr>
        <w:t>Legenda Aurea</w:t>
      </w:r>
      <w:r>
        <w:t xml:space="preserve"> (Strasbourg: Georg </w:t>
      </w:r>
      <w:proofErr w:type="spellStart"/>
      <w:r>
        <w:t>Husner</w:t>
      </w:r>
      <w:proofErr w:type="spellEnd"/>
      <w:r>
        <w:t xml:space="preserve">, 1496). </w:t>
      </w:r>
    </w:p>
    <w:p w14:paraId="707F2581" w14:textId="77777777" w:rsidR="002A2157" w:rsidRDefault="002A2157" w:rsidP="002A2157">
      <w:pPr>
        <w:spacing w:line="360" w:lineRule="auto"/>
      </w:pPr>
      <w:r w:rsidRPr="00491575">
        <w:t xml:space="preserve">This edition of the text is important as it is a print copy of de </w:t>
      </w:r>
      <w:proofErr w:type="spellStart"/>
      <w:r w:rsidRPr="00491575">
        <w:t>Voraigne’s</w:t>
      </w:r>
      <w:proofErr w:type="spellEnd"/>
      <w:r w:rsidRPr="00491575">
        <w:t xml:space="preserve"> Latin. While not accessible to a wide audience due to both the language and the age of this print this still has significance to academics and scholars. This text does not include any English translation or supporting notes however it does have handwritten inserts which are valuable alongside the text itself. </w:t>
      </w:r>
    </w:p>
    <w:p w14:paraId="28E3DD31" w14:textId="593EBF40" w:rsidR="002A2157" w:rsidRDefault="002A2157" w:rsidP="002A2157">
      <w:pPr>
        <w:spacing w:line="360" w:lineRule="auto"/>
        <w:ind w:left="720" w:hanging="720"/>
      </w:pPr>
      <w:r>
        <w:t xml:space="preserve">de </w:t>
      </w:r>
      <w:proofErr w:type="spellStart"/>
      <w:r>
        <w:t>Voraigne</w:t>
      </w:r>
      <w:proofErr w:type="spellEnd"/>
      <w:r>
        <w:t xml:space="preserve">, J., </w:t>
      </w:r>
      <w:r>
        <w:rPr>
          <w:i/>
          <w:iCs/>
        </w:rPr>
        <w:t xml:space="preserve">Legenda </w:t>
      </w:r>
      <w:proofErr w:type="spellStart"/>
      <w:r>
        <w:rPr>
          <w:i/>
          <w:iCs/>
        </w:rPr>
        <w:t>aurea</w:t>
      </w:r>
      <w:proofErr w:type="spellEnd"/>
      <w:r>
        <w:rPr>
          <w:i/>
          <w:iCs/>
        </w:rPr>
        <w:t xml:space="preserve"> sanctorum, </w:t>
      </w:r>
      <w:proofErr w:type="spellStart"/>
      <w:r>
        <w:rPr>
          <w:i/>
          <w:iCs/>
        </w:rPr>
        <w:t>sive</w:t>
      </w:r>
      <w:proofErr w:type="spellEnd"/>
      <w:r>
        <w:rPr>
          <w:i/>
          <w:iCs/>
        </w:rPr>
        <w:t xml:space="preserve"> </w:t>
      </w:r>
      <w:proofErr w:type="spellStart"/>
      <w:r>
        <w:rPr>
          <w:i/>
          <w:iCs/>
        </w:rPr>
        <w:t>Lombardica</w:t>
      </w:r>
      <w:proofErr w:type="spellEnd"/>
      <w:r>
        <w:rPr>
          <w:i/>
          <w:iCs/>
        </w:rPr>
        <w:t xml:space="preserve"> </w:t>
      </w:r>
      <w:proofErr w:type="spellStart"/>
      <w:r>
        <w:rPr>
          <w:i/>
          <w:iCs/>
        </w:rPr>
        <w:t>historia</w:t>
      </w:r>
      <w:proofErr w:type="spellEnd"/>
      <w:r>
        <w:t xml:space="preserve"> (Nuremberg: Anton </w:t>
      </w:r>
      <w:proofErr w:type="spellStart"/>
      <w:r>
        <w:t>Koberger</w:t>
      </w:r>
      <w:proofErr w:type="spellEnd"/>
      <w:r>
        <w:t xml:space="preserve">, 1482). </w:t>
      </w:r>
    </w:p>
    <w:p w14:paraId="691C277E" w14:textId="573BE506" w:rsidR="002A2157" w:rsidRDefault="002A2157" w:rsidP="002A2157">
      <w:pPr>
        <w:spacing w:line="360" w:lineRule="auto"/>
      </w:pPr>
      <w:r>
        <w:t xml:space="preserve">This edition of the text is not accessible to many (if any) scholars and certainly not to a wider audience as it is held by the Royal Collection Trust in the UK. It is </w:t>
      </w:r>
      <w:proofErr w:type="gramStart"/>
      <w:r>
        <w:t>similar to</w:t>
      </w:r>
      <w:proofErr w:type="gramEnd"/>
      <w:r>
        <w:t xml:space="preserve"> the text printed by </w:t>
      </w:r>
      <w:proofErr w:type="spellStart"/>
      <w:r>
        <w:t>Husner</w:t>
      </w:r>
      <w:proofErr w:type="spellEnd"/>
      <w:r>
        <w:t xml:space="preserve"> in that it is a translation of de </w:t>
      </w:r>
      <w:proofErr w:type="spellStart"/>
      <w:r>
        <w:t>Voraigne’s</w:t>
      </w:r>
      <w:proofErr w:type="spellEnd"/>
      <w:r>
        <w:t xml:space="preserve"> original Latin. While not accessible easily for study like a regular scholarly publication, this text is still significant as it was acquired by Queen Victoria. This demonstrates the text’s enduring popularity and importance. </w:t>
      </w:r>
    </w:p>
    <w:p w14:paraId="6343E6B8" w14:textId="77777777" w:rsidR="002A2157" w:rsidRPr="00276500" w:rsidRDefault="002A2157" w:rsidP="002A2157">
      <w:pPr>
        <w:spacing w:line="360" w:lineRule="auto"/>
        <w:ind w:left="720" w:hanging="720"/>
      </w:pPr>
      <w:r>
        <w:t xml:space="preserve">de </w:t>
      </w:r>
      <w:proofErr w:type="spellStart"/>
      <w:r>
        <w:t>Voraigne</w:t>
      </w:r>
      <w:proofErr w:type="spellEnd"/>
      <w:r>
        <w:t xml:space="preserve">, J. </w:t>
      </w:r>
      <w:r>
        <w:rPr>
          <w:i/>
          <w:iCs/>
        </w:rPr>
        <w:t>The Golden Legend: All Volumes (Aurea Legenda)</w:t>
      </w:r>
      <w:r>
        <w:t>, trans. by Caxton, W. ([</w:t>
      </w:r>
      <w:proofErr w:type="spellStart"/>
      <w:r>
        <w:t>n.p</w:t>
      </w:r>
      <w:proofErr w:type="spellEnd"/>
      <w:r>
        <w:t>]: SSEL, 2022)</w:t>
      </w:r>
    </w:p>
    <w:p w14:paraId="3EF714D5" w14:textId="77777777" w:rsidR="002A2157" w:rsidRPr="00491575" w:rsidRDefault="002A2157" w:rsidP="002A2157">
      <w:pPr>
        <w:spacing w:line="360" w:lineRule="auto"/>
      </w:pPr>
      <w:r w:rsidRPr="00491575">
        <w:t>This edition is a republication of Caxton’s translation for Kindle e-reader, formatted for easier access on Kindle readers. This text is intended for a populous audience as opposed to a scholarly or academic audience, it is available cheaply on Kindle and published by a Christian publisher and therefore does not have the depth of study some of the other editions in this bibliography have available.</w:t>
      </w:r>
    </w:p>
    <w:p w14:paraId="64689AD7" w14:textId="5642485A" w:rsidR="002A2157" w:rsidRDefault="002A2157" w:rsidP="002A2157">
      <w:pPr>
        <w:spacing w:line="360" w:lineRule="auto"/>
        <w:ind w:left="720" w:hanging="720"/>
      </w:pPr>
      <w:r>
        <w:lastRenderedPageBreak/>
        <w:t xml:space="preserve">de </w:t>
      </w:r>
      <w:proofErr w:type="spellStart"/>
      <w:r>
        <w:t>Voraigne</w:t>
      </w:r>
      <w:proofErr w:type="spellEnd"/>
      <w:r>
        <w:t xml:space="preserve">, J., </w:t>
      </w:r>
      <w:r>
        <w:rPr>
          <w:i/>
          <w:iCs/>
        </w:rPr>
        <w:t>The Golden Legend</w:t>
      </w:r>
      <w:r>
        <w:t>, trans by Caxton, William, ed. by Ellis, F. S., 7 vols (London: Temple Classics, 1900). eBook. Accessed at Fordham University’s Medieval Sourcebook &lt;</w:t>
      </w:r>
      <w:hyperlink r:id="rId8" w:history="1">
        <w:r w:rsidRPr="002A2157">
          <w:rPr>
            <w:rStyle w:val="Hyperlink"/>
          </w:rPr>
          <w:t>https://sourcebooks.fordham.edu/basis/goldenlegend/</w:t>
        </w:r>
      </w:hyperlink>
      <w:r>
        <w:t>&gt;</w:t>
      </w:r>
      <w:r>
        <w:t xml:space="preserve"> Accessed 4/11/23.</w:t>
      </w:r>
    </w:p>
    <w:p w14:paraId="5A114A9F" w14:textId="211A0A64" w:rsidR="002A2157" w:rsidRDefault="002A2157" w:rsidP="002A2157">
      <w:pPr>
        <w:pStyle w:val="ListParagraph"/>
        <w:spacing w:line="360" w:lineRule="auto"/>
        <w:ind w:left="0"/>
      </w:pPr>
      <w:r w:rsidRPr="00491575">
        <w:t xml:space="preserve">This text, a full copy of Ellis’ text from 1900, has been made publicly available on multiple websites, so I have included it due to its easy accessibility. It is a modernisation of Caxton’s translation, and it is important as it is designed for a populous audience as opposed to a scholarly one. This text has been widely shared online on many different websites via Fordham University. </w:t>
      </w:r>
    </w:p>
    <w:p w14:paraId="561F2FC8" w14:textId="77777777" w:rsidR="002A2157" w:rsidRDefault="002A2157" w:rsidP="002A2157">
      <w:pPr>
        <w:spacing w:line="360" w:lineRule="auto"/>
        <w:ind w:left="720" w:hanging="720"/>
      </w:pPr>
      <w:r>
        <w:t xml:space="preserve">de </w:t>
      </w:r>
      <w:proofErr w:type="spellStart"/>
      <w:r>
        <w:t>Voraigne</w:t>
      </w:r>
      <w:proofErr w:type="spellEnd"/>
      <w:r>
        <w:t xml:space="preserve">, J. </w:t>
      </w:r>
      <w:r w:rsidRPr="000F2F41">
        <w:rPr>
          <w:i/>
          <w:iCs/>
        </w:rPr>
        <w:t>The Golden Legend: Lives of the Saints</w:t>
      </w:r>
      <w:r>
        <w:t>, trans. by Caxton, William, ed. by O’Neill, G. V. (Cambridge: Cambridge University Press, 1914).</w:t>
      </w:r>
    </w:p>
    <w:p w14:paraId="0578FC5A" w14:textId="77777777" w:rsidR="002A2157" w:rsidRPr="002A2157" w:rsidRDefault="002A2157" w:rsidP="002A2157">
      <w:pPr>
        <w:spacing w:line="360" w:lineRule="auto"/>
      </w:pPr>
      <w:r w:rsidRPr="002A2157">
        <w:t xml:space="preserve">This is a partial text. It is another modern translation of Caxton’s English with modernised formatting making it more accessible to a modern audience than the original translation. The text is clearly designed for scholars with introductory notes and biographical additions for both de </w:t>
      </w:r>
      <w:proofErr w:type="spellStart"/>
      <w:r w:rsidRPr="002A2157">
        <w:t>Voraigne</w:t>
      </w:r>
      <w:proofErr w:type="spellEnd"/>
      <w:r w:rsidRPr="002A2157">
        <w:t xml:space="preserve"> and Caxton to aid readers’ understanding and referencing the extract of the text selected by the editor. </w:t>
      </w:r>
    </w:p>
    <w:p w14:paraId="0D01769D" w14:textId="65E147EE" w:rsidR="00311ACE" w:rsidRDefault="00311ACE" w:rsidP="00311ACE">
      <w:pPr>
        <w:spacing w:line="360" w:lineRule="auto"/>
        <w:ind w:left="720" w:hanging="720"/>
      </w:pPr>
      <w:r>
        <w:t xml:space="preserve">de </w:t>
      </w:r>
      <w:proofErr w:type="spellStart"/>
      <w:r>
        <w:t>Voraigne</w:t>
      </w:r>
      <w:proofErr w:type="spellEnd"/>
      <w:r>
        <w:t xml:space="preserve">, J. </w:t>
      </w:r>
      <w:r>
        <w:rPr>
          <w:i/>
          <w:iCs/>
        </w:rPr>
        <w:t>Caxton’s Golden Legend</w:t>
      </w:r>
      <w:r>
        <w:t xml:space="preserve"> trans. by Caxton, W. ed. by Scahill, J., </w:t>
      </w:r>
      <w:r w:rsidR="002A2157">
        <w:t xml:space="preserve">Taguchi, M., </w:t>
      </w:r>
      <w:r>
        <w:t xml:space="preserve">and Tokunaga, S. (Oxford: Oxford University Press, 2020). </w:t>
      </w:r>
    </w:p>
    <w:p w14:paraId="7ADFD7DD" w14:textId="65B485DF" w:rsidR="002A2157" w:rsidRDefault="00311ACE" w:rsidP="002A2157">
      <w:pPr>
        <w:spacing w:line="360" w:lineRule="auto"/>
      </w:pPr>
      <w:r w:rsidRPr="00491575">
        <w:t>This edition of the text was printed on behalf of the Early English Text Society by the Oxford University Press. It is a partial edition covering only some of Caxton’s original text. It also includes notes and a glossary for referencing alongside the main text to aid with academic study</w:t>
      </w:r>
      <w:r w:rsidR="00D144E8">
        <w:t xml:space="preserve">. </w:t>
      </w:r>
      <w:r w:rsidRPr="00491575">
        <w:t xml:space="preserve"> </w:t>
      </w:r>
    </w:p>
    <w:p w14:paraId="78694326" w14:textId="77777777" w:rsidR="002A2157" w:rsidRPr="00B91B31" w:rsidRDefault="002A2157" w:rsidP="002A2157">
      <w:pPr>
        <w:spacing w:line="360" w:lineRule="auto"/>
        <w:ind w:left="720" w:hanging="720"/>
      </w:pPr>
      <w:r>
        <w:t xml:space="preserve">de </w:t>
      </w:r>
      <w:proofErr w:type="spellStart"/>
      <w:r>
        <w:t>Voraigne</w:t>
      </w:r>
      <w:proofErr w:type="spellEnd"/>
      <w:r>
        <w:t xml:space="preserve">, J. </w:t>
      </w:r>
      <w:r>
        <w:rPr>
          <w:i/>
          <w:iCs/>
        </w:rPr>
        <w:t xml:space="preserve">La </w:t>
      </w:r>
      <w:proofErr w:type="spellStart"/>
      <w:r>
        <w:rPr>
          <w:i/>
          <w:iCs/>
        </w:rPr>
        <w:t>Légende</w:t>
      </w:r>
      <w:proofErr w:type="spellEnd"/>
      <w:r>
        <w:rPr>
          <w:i/>
          <w:iCs/>
        </w:rPr>
        <w:t xml:space="preserve"> Dorée</w:t>
      </w:r>
      <w:r>
        <w:t xml:space="preserve">, trans. by de </w:t>
      </w:r>
      <w:proofErr w:type="spellStart"/>
      <w:r>
        <w:t>Vignay</w:t>
      </w:r>
      <w:proofErr w:type="spellEnd"/>
      <w:r>
        <w:t xml:space="preserve">, J, ed. by </w:t>
      </w:r>
      <w:proofErr w:type="spellStart"/>
      <w:r>
        <w:t>Battalier</w:t>
      </w:r>
      <w:proofErr w:type="spellEnd"/>
      <w:r>
        <w:t>, J and Dunn-</w:t>
      </w:r>
      <w:proofErr w:type="spellStart"/>
      <w:r>
        <w:t>Lardeau</w:t>
      </w:r>
      <w:proofErr w:type="spellEnd"/>
      <w:r>
        <w:t xml:space="preserve">, B (Paris: CHAMPION: 2000) </w:t>
      </w:r>
    </w:p>
    <w:p w14:paraId="79421165" w14:textId="77777777" w:rsidR="002A2157" w:rsidRPr="00491575" w:rsidRDefault="002A2157" w:rsidP="002A2157">
      <w:pPr>
        <w:spacing w:line="360" w:lineRule="auto"/>
      </w:pPr>
      <w:r w:rsidRPr="00491575">
        <w:t>This is a copy of de Vignay’s French translation that has been reformatted for easier readability by a modern French audience. There are several reprints and editions of this text by these editors, making this an accessible text through ease of purchase. It is designed as a scholarly text for referencing in academic study as it has a study of de Vignay’s sources (</w:t>
      </w:r>
      <w:proofErr w:type="gramStart"/>
      <w:r w:rsidRPr="00491575">
        <w:t>similar to</w:t>
      </w:r>
      <w:proofErr w:type="gramEnd"/>
      <w:r w:rsidRPr="00491575">
        <w:t xml:space="preserve"> the Hamer/Russell text) and other explanatory notes to aid in study of the text for French scholars.  </w:t>
      </w:r>
    </w:p>
    <w:p w14:paraId="1018BB34" w14:textId="145E25E1" w:rsidR="00311ACE" w:rsidRDefault="00311ACE" w:rsidP="00311ACE">
      <w:pPr>
        <w:spacing w:line="360" w:lineRule="auto"/>
        <w:ind w:left="720" w:hanging="720"/>
      </w:pPr>
      <w:r>
        <w:t xml:space="preserve">de </w:t>
      </w:r>
      <w:proofErr w:type="spellStart"/>
      <w:r>
        <w:t>Voraigne</w:t>
      </w:r>
      <w:proofErr w:type="spellEnd"/>
      <w:r>
        <w:t xml:space="preserve">, J. </w:t>
      </w:r>
      <w:proofErr w:type="spellStart"/>
      <w:r>
        <w:rPr>
          <w:i/>
          <w:iCs/>
        </w:rPr>
        <w:t>Gilte</w:t>
      </w:r>
      <w:proofErr w:type="spellEnd"/>
      <w:r>
        <w:rPr>
          <w:i/>
          <w:iCs/>
        </w:rPr>
        <w:t xml:space="preserve"> Legend</w:t>
      </w:r>
      <w:r>
        <w:t>, ed. Hamer, Richard and Russell, Vida. 3 vols (Oxford: Oxford University Press, 2006-2012) I, II, III</w:t>
      </w:r>
      <w:r w:rsidR="00E50D71">
        <w:t>.</w:t>
      </w:r>
    </w:p>
    <w:p w14:paraId="78B342DB" w14:textId="0D7BEB12" w:rsidR="00311ACE" w:rsidRPr="00491575" w:rsidRDefault="00311ACE" w:rsidP="00867C55">
      <w:pPr>
        <w:spacing w:line="360" w:lineRule="auto"/>
      </w:pPr>
      <w:r w:rsidRPr="00491575">
        <w:t>This translation of de Vignay’s original French is a scholarly translation with a glossary and explanatory notes to aid in reading and understanding the text published in the 3</w:t>
      </w:r>
      <w:r w:rsidRPr="00491575">
        <w:rPr>
          <w:vertAlign w:val="superscript"/>
        </w:rPr>
        <w:t>rd</w:t>
      </w:r>
      <w:r w:rsidRPr="00491575">
        <w:t xml:space="preserve"> volume. This edition is important as it is a modern translation of the French making it accessible to an English-speaking audience. While Caxton’s translation drew from de Vignay’s translation (among others) this </w:t>
      </w:r>
      <w:r w:rsidRPr="00491575">
        <w:lastRenderedPageBreak/>
        <w:t>differs from Caxton’s translation as it is a modern translation of the French</w:t>
      </w:r>
      <w:r w:rsidR="00D144E8">
        <w:t xml:space="preserve"> and therefore will differ slightly and be read slightly differently to Caxton’s work. </w:t>
      </w:r>
    </w:p>
    <w:p w14:paraId="0D19CCDF" w14:textId="77777777" w:rsidR="00D144E8" w:rsidRPr="00CC3FB7" w:rsidRDefault="00D144E8" w:rsidP="00D144E8">
      <w:pPr>
        <w:spacing w:line="360" w:lineRule="auto"/>
        <w:ind w:left="720" w:hanging="720"/>
      </w:pPr>
      <w:r>
        <w:t xml:space="preserve">de </w:t>
      </w:r>
      <w:proofErr w:type="spellStart"/>
      <w:r>
        <w:t>Voraigne</w:t>
      </w:r>
      <w:proofErr w:type="spellEnd"/>
      <w:r>
        <w:t xml:space="preserve">, J., </w:t>
      </w:r>
      <w:r>
        <w:rPr>
          <w:i/>
          <w:iCs/>
        </w:rPr>
        <w:t xml:space="preserve">The Golden Legend: Readings on the </w:t>
      </w:r>
      <w:r w:rsidRPr="00CC3FB7">
        <w:rPr>
          <w:i/>
          <w:iCs/>
        </w:rPr>
        <w:t>Saints</w:t>
      </w:r>
      <w:r>
        <w:t>, trans. by Ryan, W. G</w:t>
      </w:r>
      <w:r>
        <w:rPr>
          <w:i/>
          <w:iCs/>
        </w:rPr>
        <w:t>. (</w:t>
      </w:r>
      <w:r>
        <w:t>Princeton: Princeton University Press, 2012).</w:t>
      </w:r>
    </w:p>
    <w:p w14:paraId="31D5504B" w14:textId="77777777" w:rsidR="00D144E8" w:rsidRPr="00867C55" w:rsidRDefault="00D144E8" w:rsidP="00D144E8">
      <w:pPr>
        <w:spacing w:line="360" w:lineRule="auto"/>
        <w:rPr>
          <w:i/>
          <w:iCs/>
        </w:rPr>
      </w:pPr>
      <w:r w:rsidRPr="00867C55">
        <w:t xml:space="preserve">Ryan’s translation is an authoritative one designed for academic research. It is a translation of the full text for referencing and </w:t>
      </w:r>
      <w:r>
        <w:t xml:space="preserve">may be suited </w:t>
      </w:r>
      <w:r w:rsidRPr="00867C55">
        <w:t xml:space="preserve">for scholars of Christianity, with an introduction from </w:t>
      </w:r>
      <w:r>
        <w:t xml:space="preserve">Christian theologian </w:t>
      </w:r>
      <w:r w:rsidRPr="00867C55">
        <w:t>Eamon Duffy</w:t>
      </w:r>
      <w:r>
        <w:rPr>
          <w:i/>
          <w:iCs/>
        </w:rPr>
        <w:t>.</w:t>
      </w:r>
    </w:p>
    <w:p w14:paraId="50F7790E" w14:textId="77777777" w:rsidR="00491575" w:rsidRDefault="00491575" w:rsidP="00491575">
      <w:pPr>
        <w:pStyle w:val="ListParagraph"/>
        <w:spacing w:line="360" w:lineRule="auto"/>
        <w:ind w:hanging="720"/>
      </w:pPr>
      <w:r>
        <w:t xml:space="preserve">de </w:t>
      </w:r>
      <w:proofErr w:type="spellStart"/>
      <w:r>
        <w:t>Voraigne</w:t>
      </w:r>
      <w:proofErr w:type="spellEnd"/>
      <w:r>
        <w:t xml:space="preserve">, J., </w:t>
      </w:r>
      <w:r>
        <w:rPr>
          <w:i/>
          <w:iCs/>
        </w:rPr>
        <w:t xml:space="preserve">The Golden Legend </w:t>
      </w:r>
      <w:r>
        <w:t>trans. by Stace, Christopher ed. by Hamer, Richard. (London: Penguin Books, 2006).</w:t>
      </w:r>
    </w:p>
    <w:p w14:paraId="1126DE71" w14:textId="0910F715" w:rsidR="00491575" w:rsidRPr="00D144E8" w:rsidRDefault="00491575" w:rsidP="00491575">
      <w:pPr>
        <w:spacing w:line="360" w:lineRule="auto"/>
      </w:pPr>
      <w:r w:rsidRPr="00491575">
        <w:t>This is an authoritative translation of the original text by Stace for Penguin’s range of Penguin Classics books. This is both a popular translation but equally one for scholarly research as it is designed to be accessible for both beginner students and more advanced scholars. It has been republished with further revisions to the text over time</w:t>
      </w:r>
      <w:r w:rsidR="00D144E8">
        <w:rPr>
          <w:i/>
          <w:iCs/>
        </w:rPr>
        <w:t xml:space="preserve"> </w:t>
      </w:r>
      <w:r w:rsidR="00D144E8">
        <w:t xml:space="preserve">as several editions of Stace’s translation are available. </w:t>
      </w:r>
    </w:p>
    <w:p w14:paraId="5702B0C3" w14:textId="77777777" w:rsidR="00311ACE" w:rsidRDefault="00311ACE" w:rsidP="00311ACE">
      <w:pPr>
        <w:spacing w:line="360" w:lineRule="auto"/>
        <w:rPr>
          <w:i/>
          <w:iCs/>
        </w:rPr>
      </w:pPr>
    </w:p>
    <w:p w14:paraId="06099849" w14:textId="77777777" w:rsidR="00311ACE" w:rsidRDefault="00311ACE" w:rsidP="004A6258">
      <w:pPr>
        <w:spacing w:line="360" w:lineRule="auto"/>
      </w:pPr>
    </w:p>
    <w:p w14:paraId="2D662A56" w14:textId="77777777" w:rsidR="00311ACE" w:rsidRDefault="00311ACE" w:rsidP="004A6258">
      <w:pPr>
        <w:spacing w:line="360" w:lineRule="auto"/>
      </w:pPr>
    </w:p>
    <w:p w14:paraId="1D13CE4F" w14:textId="1B051793" w:rsidR="00867C55" w:rsidRPr="004A6258" w:rsidRDefault="00FB089B" w:rsidP="004A6258">
      <w:pPr>
        <w:spacing w:line="360" w:lineRule="auto"/>
      </w:pPr>
      <w:r>
        <w:t xml:space="preserve"> </w:t>
      </w:r>
    </w:p>
    <w:sectPr w:rsidR="00867C55" w:rsidRPr="004A625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242BA" w14:textId="77777777" w:rsidR="00417108" w:rsidRDefault="00417108" w:rsidP="008A0504">
      <w:pPr>
        <w:spacing w:after="0" w:line="240" w:lineRule="auto"/>
      </w:pPr>
      <w:r>
        <w:separator/>
      </w:r>
    </w:p>
  </w:endnote>
  <w:endnote w:type="continuationSeparator" w:id="0">
    <w:p w14:paraId="65E9F840" w14:textId="77777777" w:rsidR="00417108" w:rsidRDefault="00417108" w:rsidP="008A0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9D8BB" w14:textId="77777777" w:rsidR="00417108" w:rsidRDefault="00417108" w:rsidP="008A0504">
      <w:pPr>
        <w:spacing w:after="0" w:line="240" w:lineRule="auto"/>
      </w:pPr>
      <w:r>
        <w:separator/>
      </w:r>
    </w:p>
  </w:footnote>
  <w:footnote w:type="continuationSeparator" w:id="0">
    <w:p w14:paraId="2B3D2A14" w14:textId="77777777" w:rsidR="00417108" w:rsidRDefault="00417108" w:rsidP="008A0504">
      <w:pPr>
        <w:spacing w:after="0" w:line="240" w:lineRule="auto"/>
      </w:pPr>
      <w:r>
        <w:continuationSeparator/>
      </w:r>
    </w:p>
  </w:footnote>
  <w:footnote w:id="1">
    <w:p w14:paraId="12646C3D" w14:textId="5521E4C2" w:rsidR="005A0AC7" w:rsidRPr="005A0AC7" w:rsidRDefault="005A0AC7">
      <w:pPr>
        <w:pStyle w:val="FootnoteText"/>
      </w:pPr>
      <w:r>
        <w:rPr>
          <w:rStyle w:val="FootnoteReference"/>
        </w:rPr>
        <w:footnoteRef/>
      </w:r>
      <w:r>
        <w:t xml:space="preserve"> Jacobus de </w:t>
      </w:r>
      <w:proofErr w:type="spellStart"/>
      <w:r>
        <w:t>Voraigne</w:t>
      </w:r>
      <w:proofErr w:type="spellEnd"/>
      <w:r>
        <w:t xml:space="preserve">, </w:t>
      </w:r>
      <w:r>
        <w:rPr>
          <w:i/>
          <w:iCs/>
        </w:rPr>
        <w:t xml:space="preserve">The Golden Legend: Lives of the Saints </w:t>
      </w:r>
      <w:r>
        <w:t>trans. by William Caxton ed. by George V. O’Neill (Cambridge: Cambridge University Press), pp. vii, viii.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60D5A" w14:textId="286FFDA3" w:rsidR="008A0504" w:rsidRDefault="009023F2">
    <w:pPr>
      <w:pStyle w:val="Header"/>
    </w:pPr>
    <w:r>
      <w:t xml:space="preserve">2306897 Liss Dark </w:t>
    </w:r>
    <w:r>
      <w:tab/>
      <w:t>HPHI</w:t>
    </w:r>
    <w:proofErr w:type="gramStart"/>
    <w:r>
      <w:t xml:space="preserve">7016 </w:t>
    </w:r>
    <w:r w:rsidR="008A0504">
      <w:t xml:space="preserve"> –</w:t>
    </w:r>
    <w:proofErr w:type="gramEnd"/>
    <w:r w:rsidR="008A0504">
      <w:t xml:space="preserve"> Assignment </w:t>
    </w:r>
    <w:r>
      <w:t>2</w:t>
    </w:r>
    <w:r w:rsidR="008A0504">
      <w:t>/</w:t>
    </w:r>
    <w:r>
      <w:t>Bibliographic Exercise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E5B8C"/>
    <w:multiLevelType w:val="hybridMultilevel"/>
    <w:tmpl w:val="D696B16C"/>
    <w:lvl w:ilvl="0" w:tplc="0809000F">
      <w:start w:val="1"/>
      <w:numFmt w:val="decimal"/>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num w:numId="1" w16cid:durableId="1805614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19C4"/>
    <w:rsid w:val="00007E5E"/>
    <w:rsid w:val="00046714"/>
    <w:rsid w:val="0006111F"/>
    <w:rsid w:val="00075D49"/>
    <w:rsid w:val="00086352"/>
    <w:rsid w:val="000A6928"/>
    <w:rsid w:val="000B47AB"/>
    <w:rsid w:val="000C6CDF"/>
    <w:rsid w:val="000F2F41"/>
    <w:rsid w:val="001A241A"/>
    <w:rsid w:val="001C6623"/>
    <w:rsid w:val="00213EA1"/>
    <w:rsid w:val="0022799C"/>
    <w:rsid w:val="00252BC6"/>
    <w:rsid w:val="002763B7"/>
    <w:rsid w:val="00276500"/>
    <w:rsid w:val="002A2157"/>
    <w:rsid w:val="00311ACE"/>
    <w:rsid w:val="00314473"/>
    <w:rsid w:val="003572D8"/>
    <w:rsid w:val="003625FA"/>
    <w:rsid w:val="003B0F20"/>
    <w:rsid w:val="003E771F"/>
    <w:rsid w:val="003F7209"/>
    <w:rsid w:val="00400DA6"/>
    <w:rsid w:val="00417108"/>
    <w:rsid w:val="00464EB4"/>
    <w:rsid w:val="00491575"/>
    <w:rsid w:val="004A3AE4"/>
    <w:rsid w:val="004A6258"/>
    <w:rsid w:val="004C3500"/>
    <w:rsid w:val="004D4F9D"/>
    <w:rsid w:val="004F2BEA"/>
    <w:rsid w:val="004F3F10"/>
    <w:rsid w:val="00534252"/>
    <w:rsid w:val="00593A4D"/>
    <w:rsid w:val="005A0AC7"/>
    <w:rsid w:val="005A3645"/>
    <w:rsid w:val="005F11D5"/>
    <w:rsid w:val="00611232"/>
    <w:rsid w:val="00637C7D"/>
    <w:rsid w:val="0065757E"/>
    <w:rsid w:val="00664BF1"/>
    <w:rsid w:val="00683ABF"/>
    <w:rsid w:val="006C7EF2"/>
    <w:rsid w:val="007119C4"/>
    <w:rsid w:val="007473BB"/>
    <w:rsid w:val="00765B80"/>
    <w:rsid w:val="007934A5"/>
    <w:rsid w:val="008231B2"/>
    <w:rsid w:val="008244F0"/>
    <w:rsid w:val="00862C30"/>
    <w:rsid w:val="00867C55"/>
    <w:rsid w:val="008945E8"/>
    <w:rsid w:val="008A0504"/>
    <w:rsid w:val="008B1C27"/>
    <w:rsid w:val="009023F2"/>
    <w:rsid w:val="00913BC3"/>
    <w:rsid w:val="0091670D"/>
    <w:rsid w:val="009203BC"/>
    <w:rsid w:val="00995FAE"/>
    <w:rsid w:val="009C7D26"/>
    <w:rsid w:val="00A75B21"/>
    <w:rsid w:val="00A86E33"/>
    <w:rsid w:val="00A95B6C"/>
    <w:rsid w:val="00B0718C"/>
    <w:rsid w:val="00B17752"/>
    <w:rsid w:val="00B73FED"/>
    <w:rsid w:val="00B860AA"/>
    <w:rsid w:val="00B917BA"/>
    <w:rsid w:val="00B91B31"/>
    <w:rsid w:val="00BA7566"/>
    <w:rsid w:val="00BB595C"/>
    <w:rsid w:val="00BC3E55"/>
    <w:rsid w:val="00BD4DE7"/>
    <w:rsid w:val="00BE0C7F"/>
    <w:rsid w:val="00C00224"/>
    <w:rsid w:val="00C23481"/>
    <w:rsid w:val="00C41262"/>
    <w:rsid w:val="00C5563E"/>
    <w:rsid w:val="00C8106C"/>
    <w:rsid w:val="00C8384F"/>
    <w:rsid w:val="00CC3FB7"/>
    <w:rsid w:val="00CD7F5C"/>
    <w:rsid w:val="00CF2801"/>
    <w:rsid w:val="00D144E8"/>
    <w:rsid w:val="00D9762E"/>
    <w:rsid w:val="00E11E08"/>
    <w:rsid w:val="00E322A9"/>
    <w:rsid w:val="00E50D71"/>
    <w:rsid w:val="00E56A47"/>
    <w:rsid w:val="00EC3D15"/>
    <w:rsid w:val="00F0252F"/>
    <w:rsid w:val="00F07B7D"/>
    <w:rsid w:val="00F166D0"/>
    <w:rsid w:val="00F23083"/>
    <w:rsid w:val="00F52473"/>
    <w:rsid w:val="00F60C74"/>
    <w:rsid w:val="00F87F5F"/>
    <w:rsid w:val="00FB089B"/>
    <w:rsid w:val="00FB5F68"/>
    <w:rsid w:val="00FB6F50"/>
    <w:rsid w:val="00FF5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9F5B"/>
  <w15:docId w15:val="{BB37298C-B8DD-40D9-BDB9-A377BC15C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4EB4"/>
    <w:rPr>
      <w:color w:val="0563C1" w:themeColor="hyperlink"/>
      <w:u w:val="single"/>
    </w:rPr>
  </w:style>
  <w:style w:type="character" w:styleId="UnresolvedMention">
    <w:name w:val="Unresolved Mention"/>
    <w:basedOn w:val="DefaultParagraphFont"/>
    <w:uiPriority w:val="99"/>
    <w:semiHidden/>
    <w:unhideWhenUsed/>
    <w:rsid w:val="00464EB4"/>
    <w:rPr>
      <w:color w:val="605E5C"/>
      <w:shd w:val="clear" w:color="auto" w:fill="E1DFDD"/>
    </w:rPr>
  </w:style>
  <w:style w:type="paragraph" w:styleId="ListParagraph">
    <w:name w:val="List Paragraph"/>
    <w:basedOn w:val="Normal"/>
    <w:uiPriority w:val="34"/>
    <w:qFormat/>
    <w:rsid w:val="008B1C27"/>
    <w:pPr>
      <w:ind w:left="720"/>
      <w:contextualSpacing/>
    </w:pPr>
  </w:style>
  <w:style w:type="character" w:styleId="FollowedHyperlink">
    <w:name w:val="FollowedHyperlink"/>
    <w:basedOn w:val="DefaultParagraphFont"/>
    <w:uiPriority w:val="99"/>
    <w:semiHidden/>
    <w:unhideWhenUsed/>
    <w:rsid w:val="00C23481"/>
    <w:rPr>
      <w:color w:val="954F72" w:themeColor="followedHyperlink"/>
      <w:u w:val="single"/>
    </w:rPr>
  </w:style>
  <w:style w:type="paragraph" w:styleId="Header">
    <w:name w:val="header"/>
    <w:basedOn w:val="Normal"/>
    <w:link w:val="HeaderChar"/>
    <w:uiPriority w:val="99"/>
    <w:unhideWhenUsed/>
    <w:rsid w:val="008A0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504"/>
  </w:style>
  <w:style w:type="paragraph" w:styleId="Footer">
    <w:name w:val="footer"/>
    <w:basedOn w:val="Normal"/>
    <w:link w:val="FooterChar"/>
    <w:uiPriority w:val="99"/>
    <w:unhideWhenUsed/>
    <w:rsid w:val="008A0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504"/>
  </w:style>
  <w:style w:type="paragraph" w:styleId="FootnoteText">
    <w:name w:val="footnote text"/>
    <w:basedOn w:val="Normal"/>
    <w:link w:val="FootnoteTextChar"/>
    <w:uiPriority w:val="99"/>
    <w:semiHidden/>
    <w:unhideWhenUsed/>
    <w:rsid w:val="005A0A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0AC7"/>
    <w:rPr>
      <w:sz w:val="20"/>
      <w:szCs w:val="20"/>
    </w:rPr>
  </w:style>
  <w:style w:type="character" w:styleId="FootnoteReference">
    <w:name w:val="footnote reference"/>
    <w:basedOn w:val="DefaultParagraphFont"/>
    <w:uiPriority w:val="99"/>
    <w:semiHidden/>
    <w:unhideWhenUsed/>
    <w:rsid w:val="005A0A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3866">
      <w:bodyDiv w:val="1"/>
      <w:marLeft w:val="0"/>
      <w:marRight w:val="0"/>
      <w:marTop w:val="0"/>
      <w:marBottom w:val="0"/>
      <w:divBdr>
        <w:top w:val="none" w:sz="0" w:space="0" w:color="auto"/>
        <w:left w:val="none" w:sz="0" w:space="0" w:color="auto"/>
        <w:bottom w:val="none" w:sz="0" w:space="0" w:color="auto"/>
        <w:right w:val="none" w:sz="0" w:space="0" w:color="auto"/>
      </w:divBdr>
      <w:divsChild>
        <w:div w:id="387918940">
          <w:marLeft w:val="0"/>
          <w:marRight w:val="0"/>
          <w:marTop w:val="0"/>
          <w:marBottom w:val="48"/>
          <w:divBdr>
            <w:top w:val="none" w:sz="0" w:space="0" w:color="auto"/>
            <w:left w:val="none" w:sz="0" w:space="0" w:color="auto"/>
            <w:bottom w:val="none" w:sz="0" w:space="0" w:color="auto"/>
            <w:right w:val="none" w:sz="0" w:space="0" w:color="auto"/>
          </w:divBdr>
          <w:divsChild>
            <w:div w:id="1219317652">
              <w:marLeft w:val="0"/>
              <w:marRight w:val="0"/>
              <w:marTop w:val="0"/>
              <w:marBottom w:val="0"/>
              <w:divBdr>
                <w:top w:val="none" w:sz="0" w:space="0" w:color="auto"/>
                <w:left w:val="none" w:sz="0" w:space="0" w:color="auto"/>
                <w:bottom w:val="none" w:sz="0" w:space="0" w:color="auto"/>
                <w:right w:val="none" w:sz="0" w:space="0" w:color="auto"/>
              </w:divBdr>
            </w:div>
            <w:div w:id="1736080727">
              <w:marLeft w:val="0"/>
              <w:marRight w:val="0"/>
              <w:marTop w:val="0"/>
              <w:marBottom w:val="0"/>
              <w:divBdr>
                <w:top w:val="none" w:sz="0" w:space="0" w:color="auto"/>
                <w:left w:val="none" w:sz="0" w:space="0" w:color="auto"/>
                <w:bottom w:val="none" w:sz="0" w:space="0" w:color="auto"/>
                <w:right w:val="none" w:sz="0" w:space="0" w:color="auto"/>
              </w:divBdr>
              <w:divsChild>
                <w:div w:id="1130324798">
                  <w:marLeft w:val="0"/>
                  <w:marRight w:val="0"/>
                  <w:marTop w:val="0"/>
                  <w:marBottom w:val="0"/>
                  <w:divBdr>
                    <w:top w:val="none" w:sz="0" w:space="0" w:color="auto"/>
                    <w:left w:val="none" w:sz="0" w:space="0" w:color="auto"/>
                    <w:bottom w:val="none" w:sz="0" w:space="0" w:color="auto"/>
                    <w:right w:val="none" w:sz="0" w:space="0" w:color="auto"/>
                  </w:divBdr>
                  <w:divsChild>
                    <w:div w:id="363333811">
                      <w:marLeft w:val="0"/>
                      <w:marRight w:val="0"/>
                      <w:marTop w:val="0"/>
                      <w:marBottom w:val="0"/>
                      <w:divBdr>
                        <w:top w:val="none" w:sz="0" w:space="0" w:color="auto"/>
                        <w:left w:val="none" w:sz="0" w:space="0" w:color="auto"/>
                        <w:bottom w:val="none" w:sz="0" w:space="0" w:color="auto"/>
                        <w:right w:val="none" w:sz="0" w:space="0" w:color="auto"/>
                      </w:divBdr>
                      <w:divsChild>
                        <w:div w:id="214724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998756">
          <w:marLeft w:val="0"/>
          <w:marRight w:val="0"/>
          <w:marTop w:val="0"/>
          <w:marBottom w:val="48"/>
          <w:divBdr>
            <w:top w:val="none" w:sz="0" w:space="0" w:color="auto"/>
            <w:left w:val="none" w:sz="0" w:space="0" w:color="auto"/>
            <w:bottom w:val="none" w:sz="0" w:space="0" w:color="auto"/>
            <w:right w:val="none" w:sz="0" w:space="0" w:color="auto"/>
          </w:divBdr>
          <w:divsChild>
            <w:div w:id="1302886735">
              <w:marLeft w:val="0"/>
              <w:marRight w:val="0"/>
              <w:marTop w:val="0"/>
              <w:marBottom w:val="0"/>
              <w:divBdr>
                <w:top w:val="none" w:sz="0" w:space="0" w:color="auto"/>
                <w:left w:val="none" w:sz="0" w:space="0" w:color="auto"/>
                <w:bottom w:val="none" w:sz="0" w:space="0" w:color="auto"/>
                <w:right w:val="none" w:sz="0" w:space="0" w:color="auto"/>
              </w:divBdr>
            </w:div>
            <w:div w:id="111437941">
              <w:marLeft w:val="0"/>
              <w:marRight w:val="0"/>
              <w:marTop w:val="0"/>
              <w:marBottom w:val="0"/>
              <w:divBdr>
                <w:top w:val="none" w:sz="0" w:space="0" w:color="auto"/>
                <w:left w:val="none" w:sz="0" w:space="0" w:color="auto"/>
                <w:bottom w:val="none" w:sz="0" w:space="0" w:color="auto"/>
                <w:right w:val="none" w:sz="0" w:space="0" w:color="auto"/>
              </w:divBdr>
              <w:divsChild>
                <w:div w:id="6686757">
                  <w:marLeft w:val="0"/>
                  <w:marRight w:val="0"/>
                  <w:marTop w:val="0"/>
                  <w:marBottom w:val="0"/>
                  <w:divBdr>
                    <w:top w:val="none" w:sz="0" w:space="0" w:color="auto"/>
                    <w:left w:val="none" w:sz="0" w:space="0" w:color="auto"/>
                    <w:bottom w:val="none" w:sz="0" w:space="0" w:color="auto"/>
                    <w:right w:val="none" w:sz="0" w:space="0" w:color="auto"/>
                  </w:divBdr>
                  <w:divsChild>
                    <w:div w:id="1981883508">
                      <w:marLeft w:val="0"/>
                      <w:marRight w:val="0"/>
                      <w:marTop w:val="0"/>
                      <w:marBottom w:val="0"/>
                      <w:divBdr>
                        <w:top w:val="none" w:sz="0" w:space="0" w:color="auto"/>
                        <w:left w:val="none" w:sz="0" w:space="0" w:color="auto"/>
                        <w:bottom w:val="none" w:sz="0" w:space="0" w:color="auto"/>
                        <w:right w:val="none" w:sz="0" w:space="0" w:color="auto"/>
                      </w:divBdr>
                      <w:divsChild>
                        <w:div w:id="177374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733094">
          <w:marLeft w:val="0"/>
          <w:marRight w:val="0"/>
          <w:marTop w:val="0"/>
          <w:marBottom w:val="48"/>
          <w:divBdr>
            <w:top w:val="none" w:sz="0" w:space="0" w:color="auto"/>
            <w:left w:val="none" w:sz="0" w:space="0" w:color="auto"/>
            <w:bottom w:val="none" w:sz="0" w:space="0" w:color="auto"/>
            <w:right w:val="none" w:sz="0" w:space="0" w:color="auto"/>
          </w:divBdr>
          <w:divsChild>
            <w:div w:id="1820808552">
              <w:marLeft w:val="0"/>
              <w:marRight w:val="0"/>
              <w:marTop w:val="0"/>
              <w:marBottom w:val="0"/>
              <w:divBdr>
                <w:top w:val="none" w:sz="0" w:space="0" w:color="auto"/>
                <w:left w:val="none" w:sz="0" w:space="0" w:color="auto"/>
                <w:bottom w:val="none" w:sz="0" w:space="0" w:color="auto"/>
                <w:right w:val="none" w:sz="0" w:space="0" w:color="auto"/>
              </w:divBdr>
            </w:div>
            <w:div w:id="1241061679">
              <w:marLeft w:val="0"/>
              <w:marRight w:val="0"/>
              <w:marTop w:val="0"/>
              <w:marBottom w:val="0"/>
              <w:divBdr>
                <w:top w:val="none" w:sz="0" w:space="0" w:color="auto"/>
                <w:left w:val="none" w:sz="0" w:space="0" w:color="auto"/>
                <w:bottom w:val="none" w:sz="0" w:space="0" w:color="auto"/>
                <w:right w:val="none" w:sz="0" w:space="0" w:color="auto"/>
              </w:divBdr>
              <w:divsChild>
                <w:div w:id="126633967">
                  <w:marLeft w:val="0"/>
                  <w:marRight w:val="0"/>
                  <w:marTop w:val="0"/>
                  <w:marBottom w:val="0"/>
                  <w:divBdr>
                    <w:top w:val="none" w:sz="0" w:space="0" w:color="auto"/>
                    <w:left w:val="none" w:sz="0" w:space="0" w:color="auto"/>
                    <w:bottom w:val="none" w:sz="0" w:space="0" w:color="auto"/>
                    <w:right w:val="none" w:sz="0" w:space="0" w:color="auto"/>
                  </w:divBdr>
                  <w:divsChild>
                    <w:div w:id="2023584336">
                      <w:marLeft w:val="0"/>
                      <w:marRight w:val="0"/>
                      <w:marTop w:val="0"/>
                      <w:marBottom w:val="0"/>
                      <w:divBdr>
                        <w:top w:val="none" w:sz="0" w:space="0" w:color="auto"/>
                        <w:left w:val="none" w:sz="0" w:space="0" w:color="auto"/>
                        <w:bottom w:val="none" w:sz="0" w:space="0" w:color="auto"/>
                        <w:right w:val="none" w:sz="0" w:space="0" w:color="auto"/>
                      </w:divBdr>
                      <w:divsChild>
                        <w:div w:id="50478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213173">
          <w:marLeft w:val="0"/>
          <w:marRight w:val="0"/>
          <w:marTop w:val="0"/>
          <w:marBottom w:val="48"/>
          <w:divBdr>
            <w:top w:val="none" w:sz="0" w:space="0" w:color="auto"/>
            <w:left w:val="none" w:sz="0" w:space="0" w:color="auto"/>
            <w:bottom w:val="none" w:sz="0" w:space="0" w:color="auto"/>
            <w:right w:val="none" w:sz="0" w:space="0" w:color="auto"/>
          </w:divBdr>
          <w:divsChild>
            <w:div w:id="949897549">
              <w:marLeft w:val="0"/>
              <w:marRight w:val="0"/>
              <w:marTop w:val="0"/>
              <w:marBottom w:val="0"/>
              <w:divBdr>
                <w:top w:val="none" w:sz="0" w:space="0" w:color="auto"/>
                <w:left w:val="none" w:sz="0" w:space="0" w:color="auto"/>
                <w:bottom w:val="none" w:sz="0" w:space="0" w:color="auto"/>
                <w:right w:val="none" w:sz="0" w:space="0" w:color="auto"/>
              </w:divBdr>
            </w:div>
            <w:div w:id="129981552">
              <w:marLeft w:val="0"/>
              <w:marRight w:val="0"/>
              <w:marTop w:val="0"/>
              <w:marBottom w:val="0"/>
              <w:divBdr>
                <w:top w:val="none" w:sz="0" w:space="0" w:color="auto"/>
                <w:left w:val="none" w:sz="0" w:space="0" w:color="auto"/>
                <w:bottom w:val="none" w:sz="0" w:space="0" w:color="auto"/>
                <w:right w:val="none" w:sz="0" w:space="0" w:color="auto"/>
              </w:divBdr>
              <w:divsChild>
                <w:div w:id="1765960084">
                  <w:marLeft w:val="0"/>
                  <w:marRight w:val="0"/>
                  <w:marTop w:val="0"/>
                  <w:marBottom w:val="0"/>
                  <w:divBdr>
                    <w:top w:val="none" w:sz="0" w:space="0" w:color="auto"/>
                    <w:left w:val="none" w:sz="0" w:space="0" w:color="auto"/>
                    <w:bottom w:val="none" w:sz="0" w:space="0" w:color="auto"/>
                    <w:right w:val="none" w:sz="0" w:space="0" w:color="auto"/>
                  </w:divBdr>
                  <w:divsChild>
                    <w:div w:id="1802796427">
                      <w:marLeft w:val="0"/>
                      <w:marRight w:val="0"/>
                      <w:marTop w:val="0"/>
                      <w:marBottom w:val="0"/>
                      <w:divBdr>
                        <w:top w:val="none" w:sz="0" w:space="0" w:color="auto"/>
                        <w:left w:val="none" w:sz="0" w:space="0" w:color="auto"/>
                        <w:bottom w:val="none" w:sz="0" w:space="0" w:color="auto"/>
                        <w:right w:val="none" w:sz="0" w:space="0" w:color="auto"/>
                      </w:divBdr>
                      <w:divsChild>
                        <w:div w:id="5144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46343">
          <w:marLeft w:val="0"/>
          <w:marRight w:val="0"/>
          <w:marTop w:val="0"/>
          <w:marBottom w:val="48"/>
          <w:divBdr>
            <w:top w:val="none" w:sz="0" w:space="0" w:color="auto"/>
            <w:left w:val="none" w:sz="0" w:space="0" w:color="auto"/>
            <w:bottom w:val="none" w:sz="0" w:space="0" w:color="auto"/>
            <w:right w:val="none" w:sz="0" w:space="0" w:color="auto"/>
          </w:divBdr>
          <w:divsChild>
            <w:div w:id="1581209326">
              <w:marLeft w:val="0"/>
              <w:marRight w:val="0"/>
              <w:marTop w:val="0"/>
              <w:marBottom w:val="0"/>
              <w:divBdr>
                <w:top w:val="none" w:sz="0" w:space="0" w:color="auto"/>
                <w:left w:val="none" w:sz="0" w:space="0" w:color="auto"/>
                <w:bottom w:val="none" w:sz="0" w:space="0" w:color="auto"/>
                <w:right w:val="none" w:sz="0" w:space="0" w:color="auto"/>
              </w:divBdr>
            </w:div>
            <w:div w:id="1647322058">
              <w:marLeft w:val="0"/>
              <w:marRight w:val="0"/>
              <w:marTop w:val="0"/>
              <w:marBottom w:val="0"/>
              <w:divBdr>
                <w:top w:val="none" w:sz="0" w:space="0" w:color="auto"/>
                <w:left w:val="none" w:sz="0" w:space="0" w:color="auto"/>
                <w:bottom w:val="none" w:sz="0" w:space="0" w:color="auto"/>
                <w:right w:val="none" w:sz="0" w:space="0" w:color="auto"/>
              </w:divBdr>
              <w:divsChild>
                <w:div w:id="2027976498">
                  <w:marLeft w:val="0"/>
                  <w:marRight w:val="0"/>
                  <w:marTop w:val="0"/>
                  <w:marBottom w:val="0"/>
                  <w:divBdr>
                    <w:top w:val="none" w:sz="0" w:space="0" w:color="auto"/>
                    <w:left w:val="none" w:sz="0" w:space="0" w:color="auto"/>
                    <w:bottom w:val="none" w:sz="0" w:space="0" w:color="auto"/>
                    <w:right w:val="none" w:sz="0" w:space="0" w:color="auto"/>
                  </w:divBdr>
                  <w:divsChild>
                    <w:div w:id="770051319">
                      <w:marLeft w:val="0"/>
                      <w:marRight w:val="0"/>
                      <w:marTop w:val="0"/>
                      <w:marBottom w:val="0"/>
                      <w:divBdr>
                        <w:top w:val="none" w:sz="0" w:space="0" w:color="auto"/>
                        <w:left w:val="none" w:sz="0" w:space="0" w:color="auto"/>
                        <w:bottom w:val="none" w:sz="0" w:space="0" w:color="auto"/>
                        <w:right w:val="none" w:sz="0" w:space="0" w:color="auto"/>
                      </w:divBdr>
                      <w:divsChild>
                        <w:div w:id="214442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52989">
          <w:marLeft w:val="0"/>
          <w:marRight w:val="0"/>
          <w:marTop w:val="0"/>
          <w:marBottom w:val="48"/>
          <w:divBdr>
            <w:top w:val="none" w:sz="0" w:space="0" w:color="auto"/>
            <w:left w:val="none" w:sz="0" w:space="0" w:color="auto"/>
            <w:bottom w:val="none" w:sz="0" w:space="0" w:color="auto"/>
            <w:right w:val="none" w:sz="0" w:space="0" w:color="auto"/>
          </w:divBdr>
          <w:divsChild>
            <w:div w:id="1906456318">
              <w:marLeft w:val="0"/>
              <w:marRight w:val="0"/>
              <w:marTop w:val="0"/>
              <w:marBottom w:val="0"/>
              <w:divBdr>
                <w:top w:val="none" w:sz="0" w:space="0" w:color="auto"/>
                <w:left w:val="none" w:sz="0" w:space="0" w:color="auto"/>
                <w:bottom w:val="none" w:sz="0" w:space="0" w:color="auto"/>
                <w:right w:val="none" w:sz="0" w:space="0" w:color="auto"/>
              </w:divBdr>
            </w:div>
            <w:div w:id="2129422116">
              <w:marLeft w:val="0"/>
              <w:marRight w:val="0"/>
              <w:marTop w:val="0"/>
              <w:marBottom w:val="0"/>
              <w:divBdr>
                <w:top w:val="none" w:sz="0" w:space="0" w:color="auto"/>
                <w:left w:val="none" w:sz="0" w:space="0" w:color="auto"/>
                <w:bottom w:val="none" w:sz="0" w:space="0" w:color="auto"/>
                <w:right w:val="none" w:sz="0" w:space="0" w:color="auto"/>
              </w:divBdr>
              <w:divsChild>
                <w:div w:id="460736257">
                  <w:marLeft w:val="0"/>
                  <w:marRight w:val="0"/>
                  <w:marTop w:val="0"/>
                  <w:marBottom w:val="0"/>
                  <w:divBdr>
                    <w:top w:val="none" w:sz="0" w:space="0" w:color="auto"/>
                    <w:left w:val="none" w:sz="0" w:space="0" w:color="auto"/>
                    <w:bottom w:val="none" w:sz="0" w:space="0" w:color="auto"/>
                    <w:right w:val="none" w:sz="0" w:space="0" w:color="auto"/>
                  </w:divBdr>
                  <w:divsChild>
                    <w:div w:id="977149151">
                      <w:marLeft w:val="0"/>
                      <w:marRight w:val="0"/>
                      <w:marTop w:val="0"/>
                      <w:marBottom w:val="0"/>
                      <w:divBdr>
                        <w:top w:val="none" w:sz="0" w:space="0" w:color="auto"/>
                        <w:left w:val="none" w:sz="0" w:space="0" w:color="auto"/>
                        <w:bottom w:val="none" w:sz="0" w:space="0" w:color="auto"/>
                        <w:right w:val="none" w:sz="0" w:space="0" w:color="auto"/>
                      </w:divBdr>
                      <w:divsChild>
                        <w:div w:id="106024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467187">
          <w:marLeft w:val="0"/>
          <w:marRight w:val="0"/>
          <w:marTop w:val="0"/>
          <w:marBottom w:val="48"/>
          <w:divBdr>
            <w:top w:val="none" w:sz="0" w:space="0" w:color="auto"/>
            <w:left w:val="none" w:sz="0" w:space="0" w:color="auto"/>
            <w:bottom w:val="none" w:sz="0" w:space="0" w:color="auto"/>
            <w:right w:val="none" w:sz="0" w:space="0" w:color="auto"/>
          </w:divBdr>
          <w:divsChild>
            <w:div w:id="250549734">
              <w:marLeft w:val="0"/>
              <w:marRight w:val="0"/>
              <w:marTop w:val="0"/>
              <w:marBottom w:val="0"/>
              <w:divBdr>
                <w:top w:val="none" w:sz="0" w:space="0" w:color="auto"/>
                <w:left w:val="none" w:sz="0" w:space="0" w:color="auto"/>
                <w:bottom w:val="none" w:sz="0" w:space="0" w:color="auto"/>
                <w:right w:val="none" w:sz="0" w:space="0" w:color="auto"/>
              </w:divBdr>
            </w:div>
            <w:div w:id="322666232">
              <w:marLeft w:val="0"/>
              <w:marRight w:val="0"/>
              <w:marTop w:val="0"/>
              <w:marBottom w:val="0"/>
              <w:divBdr>
                <w:top w:val="none" w:sz="0" w:space="0" w:color="auto"/>
                <w:left w:val="none" w:sz="0" w:space="0" w:color="auto"/>
                <w:bottom w:val="none" w:sz="0" w:space="0" w:color="auto"/>
                <w:right w:val="none" w:sz="0" w:space="0" w:color="auto"/>
              </w:divBdr>
              <w:divsChild>
                <w:div w:id="1959487989">
                  <w:marLeft w:val="0"/>
                  <w:marRight w:val="0"/>
                  <w:marTop w:val="0"/>
                  <w:marBottom w:val="0"/>
                  <w:divBdr>
                    <w:top w:val="none" w:sz="0" w:space="0" w:color="auto"/>
                    <w:left w:val="none" w:sz="0" w:space="0" w:color="auto"/>
                    <w:bottom w:val="none" w:sz="0" w:space="0" w:color="auto"/>
                    <w:right w:val="none" w:sz="0" w:space="0" w:color="auto"/>
                  </w:divBdr>
                  <w:divsChild>
                    <w:div w:id="274947775">
                      <w:marLeft w:val="0"/>
                      <w:marRight w:val="0"/>
                      <w:marTop w:val="0"/>
                      <w:marBottom w:val="0"/>
                      <w:divBdr>
                        <w:top w:val="none" w:sz="0" w:space="0" w:color="auto"/>
                        <w:left w:val="none" w:sz="0" w:space="0" w:color="auto"/>
                        <w:bottom w:val="none" w:sz="0" w:space="0" w:color="auto"/>
                        <w:right w:val="none" w:sz="0" w:space="0" w:color="auto"/>
                      </w:divBdr>
                      <w:divsChild>
                        <w:div w:id="35851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091096">
          <w:marLeft w:val="0"/>
          <w:marRight w:val="0"/>
          <w:marTop w:val="0"/>
          <w:marBottom w:val="48"/>
          <w:divBdr>
            <w:top w:val="none" w:sz="0" w:space="0" w:color="auto"/>
            <w:left w:val="none" w:sz="0" w:space="0" w:color="auto"/>
            <w:bottom w:val="none" w:sz="0" w:space="0" w:color="auto"/>
            <w:right w:val="none" w:sz="0" w:space="0" w:color="auto"/>
          </w:divBdr>
          <w:divsChild>
            <w:div w:id="1496460289">
              <w:marLeft w:val="0"/>
              <w:marRight w:val="0"/>
              <w:marTop w:val="0"/>
              <w:marBottom w:val="0"/>
              <w:divBdr>
                <w:top w:val="none" w:sz="0" w:space="0" w:color="auto"/>
                <w:left w:val="none" w:sz="0" w:space="0" w:color="auto"/>
                <w:bottom w:val="none" w:sz="0" w:space="0" w:color="auto"/>
                <w:right w:val="none" w:sz="0" w:space="0" w:color="auto"/>
              </w:divBdr>
            </w:div>
            <w:div w:id="2132437564">
              <w:marLeft w:val="0"/>
              <w:marRight w:val="0"/>
              <w:marTop w:val="0"/>
              <w:marBottom w:val="0"/>
              <w:divBdr>
                <w:top w:val="none" w:sz="0" w:space="0" w:color="auto"/>
                <w:left w:val="none" w:sz="0" w:space="0" w:color="auto"/>
                <w:bottom w:val="none" w:sz="0" w:space="0" w:color="auto"/>
                <w:right w:val="none" w:sz="0" w:space="0" w:color="auto"/>
              </w:divBdr>
              <w:divsChild>
                <w:div w:id="25638582">
                  <w:marLeft w:val="0"/>
                  <w:marRight w:val="0"/>
                  <w:marTop w:val="0"/>
                  <w:marBottom w:val="0"/>
                  <w:divBdr>
                    <w:top w:val="none" w:sz="0" w:space="0" w:color="auto"/>
                    <w:left w:val="none" w:sz="0" w:space="0" w:color="auto"/>
                    <w:bottom w:val="none" w:sz="0" w:space="0" w:color="auto"/>
                    <w:right w:val="none" w:sz="0" w:space="0" w:color="auto"/>
                  </w:divBdr>
                  <w:divsChild>
                    <w:div w:id="1632204028">
                      <w:marLeft w:val="0"/>
                      <w:marRight w:val="0"/>
                      <w:marTop w:val="0"/>
                      <w:marBottom w:val="0"/>
                      <w:divBdr>
                        <w:top w:val="none" w:sz="0" w:space="0" w:color="auto"/>
                        <w:left w:val="none" w:sz="0" w:space="0" w:color="auto"/>
                        <w:bottom w:val="none" w:sz="0" w:space="0" w:color="auto"/>
                        <w:right w:val="none" w:sz="0" w:space="0" w:color="auto"/>
                      </w:divBdr>
                      <w:divsChild>
                        <w:div w:id="87026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47262">
          <w:marLeft w:val="0"/>
          <w:marRight w:val="0"/>
          <w:marTop w:val="0"/>
          <w:marBottom w:val="48"/>
          <w:divBdr>
            <w:top w:val="none" w:sz="0" w:space="0" w:color="auto"/>
            <w:left w:val="none" w:sz="0" w:space="0" w:color="auto"/>
            <w:bottom w:val="none" w:sz="0" w:space="0" w:color="auto"/>
            <w:right w:val="none" w:sz="0" w:space="0" w:color="auto"/>
          </w:divBdr>
          <w:divsChild>
            <w:div w:id="1197353583">
              <w:marLeft w:val="0"/>
              <w:marRight w:val="0"/>
              <w:marTop w:val="0"/>
              <w:marBottom w:val="0"/>
              <w:divBdr>
                <w:top w:val="none" w:sz="0" w:space="0" w:color="auto"/>
                <w:left w:val="none" w:sz="0" w:space="0" w:color="auto"/>
                <w:bottom w:val="none" w:sz="0" w:space="0" w:color="auto"/>
                <w:right w:val="none" w:sz="0" w:space="0" w:color="auto"/>
              </w:divBdr>
            </w:div>
            <w:div w:id="930701002">
              <w:marLeft w:val="0"/>
              <w:marRight w:val="0"/>
              <w:marTop w:val="0"/>
              <w:marBottom w:val="0"/>
              <w:divBdr>
                <w:top w:val="none" w:sz="0" w:space="0" w:color="auto"/>
                <w:left w:val="none" w:sz="0" w:space="0" w:color="auto"/>
                <w:bottom w:val="none" w:sz="0" w:space="0" w:color="auto"/>
                <w:right w:val="none" w:sz="0" w:space="0" w:color="auto"/>
              </w:divBdr>
              <w:divsChild>
                <w:div w:id="1796942339">
                  <w:marLeft w:val="0"/>
                  <w:marRight w:val="0"/>
                  <w:marTop w:val="0"/>
                  <w:marBottom w:val="0"/>
                  <w:divBdr>
                    <w:top w:val="none" w:sz="0" w:space="0" w:color="auto"/>
                    <w:left w:val="none" w:sz="0" w:space="0" w:color="auto"/>
                    <w:bottom w:val="none" w:sz="0" w:space="0" w:color="auto"/>
                    <w:right w:val="none" w:sz="0" w:space="0" w:color="auto"/>
                  </w:divBdr>
                  <w:divsChild>
                    <w:div w:id="554436638">
                      <w:marLeft w:val="0"/>
                      <w:marRight w:val="0"/>
                      <w:marTop w:val="0"/>
                      <w:marBottom w:val="0"/>
                      <w:divBdr>
                        <w:top w:val="none" w:sz="0" w:space="0" w:color="auto"/>
                        <w:left w:val="none" w:sz="0" w:space="0" w:color="auto"/>
                        <w:bottom w:val="none" w:sz="0" w:space="0" w:color="auto"/>
                        <w:right w:val="none" w:sz="0" w:space="0" w:color="auto"/>
                      </w:divBdr>
                      <w:divsChild>
                        <w:div w:id="181255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ourcebooks.fordham.edu/basis/goldenlegen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36F27-B0DB-4700-B0B7-EF85F5279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 Dark</dc:creator>
  <cp:keywords/>
  <dc:description/>
  <cp:lastModifiedBy>Liss Dark</cp:lastModifiedBy>
  <cp:revision>2</cp:revision>
  <dcterms:created xsi:type="dcterms:W3CDTF">2023-12-02T10:49:00Z</dcterms:created>
  <dcterms:modified xsi:type="dcterms:W3CDTF">2023-12-02T10:49:00Z</dcterms:modified>
</cp:coreProperties>
</file>