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6C9FB" w14:textId="207CAD38" w:rsidR="00793B91" w:rsidRDefault="00836217">
      <w:r w:rsidRPr="00A406E5">
        <w:rPr>
          <w:rFonts w:ascii="Arial" w:hAnsi="Arial" w:cs="Arial"/>
          <w:noProof/>
        </w:rPr>
        <w:drawing>
          <wp:anchor distT="0" distB="0" distL="114300" distR="114300" simplePos="0" relativeHeight="251659264" behindDoc="0" locked="0" layoutInCell="1" allowOverlap="1" wp14:anchorId="2D051040" wp14:editId="46D588C0">
            <wp:simplePos x="0" y="0"/>
            <wp:positionH relativeFrom="margin">
              <wp:posOffset>-548640</wp:posOffset>
            </wp:positionH>
            <wp:positionV relativeFrom="page">
              <wp:posOffset>914400</wp:posOffset>
            </wp:positionV>
            <wp:extent cx="2034540" cy="723900"/>
            <wp:effectExtent l="0" t="0" r="381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34540" cy="723900"/>
                    </a:xfrm>
                    <a:prstGeom prst="rect">
                      <a:avLst/>
                    </a:prstGeom>
                    <a:noFill/>
                    <a:ln>
                      <a:noFill/>
                    </a:ln>
                  </pic:spPr>
                </pic:pic>
              </a:graphicData>
            </a:graphic>
            <wp14:sizeRelH relativeFrom="margin">
              <wp14:pctWidth>0</wp14:pctWidth>
            </wp14:sizeRelH>
          </wp:anchor>
        </w:drawing>
      </w:r>
    </w:p>
    <w:p w14:paraId="125578A9" w14:textId="1363E147" w:rsidR="00D72DE3" w:rsidRDefault="00D72DE3"/>
    <w:p w14:paraId="19981623" w14:textId="4A5AF35F" w:rsidR="00544132" w:rsidRDefault="00544132"/>
    <w:p w14:paraId="65FB5029" w14:textId="51A90999" w:rsidR="00544132" w:rsidRDefault="00544132"/>
    <w:p w14:paraId="3322B6E6" w14:textId="4D17AE0B" w:rsidR="00544132" w:rsidRDefault="00544132"/>
    <w:p w14:paraId="1146B6D6" w14:textId="7C75FCBC" w:rsidR="00544132" w:rsidRPr="00836217" w:rsidRDefault="00836217">
      <w:pPr>
        <w:rPr>
          <w:rFonts w:ascii="Arial" w:hAnsi="Arial" w:cs="Arial"/>
          <w:b/>
          <w:bCs/>
        </w:rPr>
      </w:pPr>
      <w:r w:rsidRPr="00836217">
        <w:rPr>
          <w:rFonts w:ascii="Arial" w:hAnsi="Arial" w:cs="Arial"/>
          <w:b/>
          <w:bCs/>
        </w:rPr>
        <w:t>Name &amp;</w:t>
      </w:r>
      <w:r w:rsidR="003D330D">
        <w:rPr>
          <w:rFonts w:ascii="Arial" w:hAnsi="Arial" w:cs="Arial"/>
          <w:b/>
          <w:bCs/>
        </w:rPr>
        <w:t xml:space="preserve"> S</w:t>
      </w:r>
      <w:r w:rsidRPr="00836217">
        <w:rPr>
          <w:rFonts w:ascii="Arial" w:hAnsi="Arial" w:cs="Arial"/>
          <w:b/>
          <w:bCs/>
        </w:rPr>
        <w:t>urname</w:t>
      </w:r>
      <w:r>
        <w:rPr>
          <w:rFonts w:ascii="Arial" w:hAnsi="Arial" w:cs="Arial"/>
          <w:b/>
          <w:bCs/>
        </w:rPr>
        <w:t xml:space="preserve">:        </w:t>
      </w:r>
      <w:r w:rsidRPr="00836217">
        <w:rPr>
          <w:rFonts w:ascii="Arial" w:hAnsi="Arial" w:cs="Arial"/>
          <w:b/>
          <w:bCs/>
        </w:rPr>
        <w:t>Leila Zougui</w:t>
      </w:r>
    </w:p>
    <w:p w14:paraId="09912ADB" w14:textId="0FF9CEA7" w:rsidR="00544132" w:rsidRPr="00836217" w:rsidRDefault="00836217">
      <w:pPr>
        <w:rPr>
          <w:rFonts w:ascii="Arial" w:hAnsi="Arial" w:cs="Arial"/>
          <w:b/>
          <w:bCs/>
        </w:rPr>
      </w:pPr>
      <w:r w:rsidRPr="00836217">
        <w:rPr>
          <w:rFonts w:ascii="Arial" w:hAnsi="Arial" w:cs="Arial"/>
          <w:b/>
          <w:bCs/>
        </w:rPr>
        <w:t xml:space="preserve">LCLM  </w:t>
      </w:r>
      <w:r>
        <w:rPr>
          <w:rFonts w:ascii="Arial" w:hAnsi="Arial" w:cs="Arial"/>
          <w:b/>
          <w:bCs/>
        </w:rPr>
        <w:t xml:space="preserve">                 :         6001</w:t>
      </w:r>
    </w:p>
    <w:p w14:paraId="2A889AD5" w14:textId="77777777" w:rsidR="00836217" w:rsidRDefault="00836217" w:rsidP="00836217">
      <w:pPr>
        <w:spacing w:before="120" w:after="120"/>
        <w:jc w:val="both"/>
        <w:rPr>
          <w:rFonts w:ascii="Arial" w:hAnsi="Arial" w:cs="Arial"/>
          <w:b/>
        </w:rPr>
      </w:pPr>
      <w:r w:rsidRPr="00A406E5">
        <w:rPr>
          <w:rFonts w:ascii="Arial" w:hAnsi="Arial" w:cs="Arial"/>
          <w:b/>
        </w:rPr>
        <w:t>Assignment Title:</w:t>
      </w:r>
      <w:r>
        <w:rPr>
          <w:rFonts w:ascii="Arial" w:hAnsi="Arial" w:cs="Arial"/>
          <w:b/>
        </w:rPr>
        <w:t xml:space="preserve">    </w:t>
      </w:r>
      <w:r w:rsidRPr="00A538BA">
        <w:rPr>
          <w:rFonts w:ascii="Arial" w:hAnsi="Arial" w:cs="Arial"/>
          <w:b/>
        </w:rPr>
        <w:t>Individual Report</w:t>
      </w:r>
    </w:p>
    <w:p w14:paraId="59E31765" w14:textId="445D520D" w:rsidR="00544132" w:rsidRDefault="00836217">
      <w:r w:rsidRPr="00A406E5">
        <w:rPr>
          <w:rFonts w:ascii="Arial" w:hAnsi="Arial" w:cs="Arial"/>
          <w:b/>
        </w:rPr>
        <w:t>Module</w:t>
      </w:r>
      <w:r>
        <w:rPr>
          <w:rFonts w:ascii="Arial" w:hAnsi="Arial" w:cs="Arial"/>
          <w:b/>
        </w:rPr>
        <w:t xml:space="preserve">                 </w:t>
      </w:r>
      <w:r w:rsidRPr="00A406E5">
        <w:rPr>
          <w:rFonts w:ascii="Arial" w:hAnsi="Arial" w:cs="Arial"/>
          <w:b/>
        </w:rPr>
        <w:t>:</w:t>
      </w:r>
      <w:r>
        <w:rPr>
          <w:rFonts w:ascii="Arial" w:hAnsi="Arial" w:cs="Arial"/>
          <w:b/>
        </w:rPr>
        <w:t xml:space="preserve">    </w:t>
      </w:r>
      <w:r w:rsidRPr="00A538BA">
        <w:rPr>
          <w:rFonts w:ascii="Arial" w:hAnsi="Arial" w:cs="Arial"/>
          <w:b/>
        </w:rPr>
        <w:t>Strategic Management for Business</w:t>
      </w:r>
    </w:p>
    <w:p w14:paraId="03D1BEA7" w14:textId="5379921B" w:rsidR="00544132" w:rsidRPr="0064520A" w:rsidRDefault="0064520A" w:rsidP="0064520A">
      <w:pPr>
        <w:tabs>
          <w:tab w:val="left" w:pos="2280"/>
        </w:tabs>
        <w:rPr>
          <w:rFonts w:ascii="Arial" w:hAnsi="Arial" w:cs="Arial"/>
          <w:b/>
          <w:bCs/>
        </w:rPr>
      </w:pPr>
      <w:r w:rsidRPr="0064520A">
        <w:rPr>
          <w:rFonts w:ascii="Arial" w:hAnsi="Arial" w:cs="Arial"/>
          <w:b/>
          <w:bCs/>
        </w:rPr>
        <w:t>Lecturer</w:t>
      </w:r>
      <w:r w:rsidR="003D330D">
        <w:rPr>
          <w:rFonts w:ascii="Arial" w:hAnsi="Arial" w:cs="Arial"/>
          <w:b/>
          <w:bCs/>
        </w:rPr>
        <w:t xml:space="preserve">               :</w:t>
      </w:r>
      <w:r>
        <w:tab/>
      </w:r>
      <w:r w:rsidRPr="0064520A">
        <w:rPr>
          <w:rFonts w:ascii="Arial" w:hAnsi="Arial" w:cs="Arial"/>
          <w:b/>
          <w:bCs/>
        </w:rPr>
        <w:t> Md Ashikul Khan</w:t>
      </w:r>
    </w:p>
    <w:p w14:paraId="7A79D5BC" w14:textId="77777777" w:rsidR="00544132" w:rsidRDefault="00544132"/>
    <w:p w14:paraId="00FF8BFB" w14:textId="77777777" w:rsidR="00544132" w:rsidRDefault="00544132"/>
    <w:p w14:paraId="7662532F" w14:textId="77777777" w:rsidR="00544132" w:rsidRDefault="00544132"/>
    <w:p w14:paraId="2443AB4D" w14:textId="77777777" w:rsidR="00544132" w:rsidRDefault="00544132"/>
    <w:p w14:paraId="573E2A96" w14:textId="77777777" w:rsidR="00544132" w:rsidRDefault="00544132"/>
    <w:p w14:paraId="324BA7D2" w14:textId="77777777" w:rsidR="00544132" w:rsidRDefault="00544132"/>
    <w:p w14:paraId="43102BCC" w14:textId="77777777" w:rsidR="00544132" w:rsidRDefault="00544132"/>
    <w:p w14:paraId="534B03C4" w14:textId="77777777" w:rsidR="00544132" w:rsidRDefault="00544132"/>
    <w:p w14:paraId="3504EE70" w14:textId="77777777" w:rsidR="00544132" w:rsidRDefault="00544132"/>
    <w:p w14:paraId="400CF073" w14:textId="77777777" w:rsidR="00544132" w:rsidRDefault="00544132"/>
    <w:p w14:paraId="78F027E7" w14:textId="77777777" w:rsidR="00544132" w:rsidRDefault="00544132"/>
    <w:p w14:paraId="2B0E5C18" w14:textId="77777777" w:rsidR="00544132" w:rsidRDefault="00544132"/>
    <w:p w14:paraId="3C128956" w14:textId="77777777" w:rsidR="00544132" w:rsidRDefault="00544132"/>
    <w:p w14:paraId="0E9D0B27" w14:textId="77777777" w:rsidR="00544132" w:rsidRDefault="00544132"/>
    <w:p w14:paraId="11BB37F1" w14:textId="77777777" w:rsidR="00544132" w:rsidRDefault="00544132"/>
    <w:p w14:paraId="29F8EB9A" w14:textId="77777777" w:rsidR="00544132" w:rsidRDefault="00544132"/>
    <w:p w14:paraId="79B0AD43" w14:textId="77777777" w:rsidR="00544132" w:rsidRDefault="00544132"/>
    <w:p w14:paraId="7AB6B371" w14:textId="77777777" w:rsidR="00544132" w:rsidRDefault="00544132"/>
    <w:p w14:paraId="46A888F8" w14:textId="77777777" w:rsidR="00544132" w:rsidRDefault="00544132"/>
    <w:p w14:paraId="09DD2240" w14:textId="77777777" w:rsidR="00544132" w:rsidRDefault="00544132"/>
    <w:p w14:paraId="00A5DA98" w14:textId="77777777" w:rsidR="00544132" w:rsidRDefault="00544132"/>
    <w:p w14:paraId="6A7018AD" w14:textId="77777777" w:rsidR="00544132" w:rsidRDefault="00544132" w:rsidP="00D41CD9">
      <w:pPr>
        <w:pStyle w:val="Heading1"/>
        <w:rPr>
          <w:rFonts w:ascii="Arial" w:hAnsi="Arial" w:cs="Arial"/>
          <w:sz w:val="32"/>
          <w:szCs w:val="32"/>
        </w:rPr>
      </w:pPr>
    </w:p>
    <w:p w14:paraId="786F942C" w14:textId="77777777" w:rsidR="00544132" w:rsidRDefault="00544132" w:rsidP="00D41CD9">
      <w:pPr>
        <w:pStyle w:val="Heading1"/>
        <w:rPr>
          <w:rFonts w:ascii="Arial" w:hAnsi="Arial" w:cs="Arial"/>
          <w:sz w:val="32"/>
          <w:szCs w:val="32"/>
        </w:rPr>
      </w:pPr>
    </w:p>
    <w:p w14:paraId="223132B9" w14:textId="696F9337" w:rsidR="00D72DE3" w:rsidRPr="00A36631" w:rsidRDefault="00D72DE3" w:rsidP="00D41CD9">
      <w:pPr>
        <w:pStyle w:val="Heading1"/>
        <w:rPr>
          <w:rFonts w:ascii="Arial" w:hAnsi="Arial" w:cs="Arial"/>
          <w:sz w:val="32"/>
          <w:szCs w:val="32"/>
        </w:rPr>
      </w:pPr>
      <w:bookmarkStart w:id="0" w:name="_Toc224551758"/>
      <w:r w:rsidRPr="00A36631">
        <w:rPr>
          <w:rFonts w:ascii="Arial" w:hAnsi="Arial" w:cs="Arial"/>
          <w:sz w:val="32"/>
          <w:szCs w:val="32"/>
        </w:rPr>
        <w:t>Executive summary</w:t>
      </w:r>
      <w:bookmarkEnd w:id="0"/>
    </w:p>
    <w:p w14:paraId="15DBBC85" w14:textId="5E4FADAB" w:rsidR="00AF1289" w:rsidRDefault="00D72DE3" w:rsidP="00A36631">
      <w:pPr>
        <w:spacing w:line="360" w:lineRule="auto"/>
        <w:rPr>
          <w:rFonts w:ascii="Arial" w:hAnsi="Arial" w:cs="Arial"/>
        </w:rPr>
      </w:pPr>
      <w:r>
        <w:rPr>
          <w:rFonts w:ascii="Arial" w:hAnsi="Arial" w:cs="Arial"/>
        </w:rPr>
        <w:t>This report provides Innocent Drinks’ strategic a</w:t>
      </w:r>
      <w:r w:rsidR="00B57DA4">
        <w:rPr>
          <w:rFonts w:ascii="Arial" w:hAnsi="Arial" w:cs="Arial"/>
        </w:rPr>
        <w:t>nalysis</w:t>
      </w:r>
      <w:r>
        <w:rPr>
          <w:rFonts w:ascii="Arial" w:hAnsi="Arial" w:cs="Arial"/>
        </w:rPr>
        <w:t xml:space="preserve"> and evaluation of its current position in the dynamic fast-moving consumer good (FMCG) beverage industry, where </w:t>
      </w:r>
      <w:r w:rsidR="00460BAE">
        <w:rPr>
          <w:rFonts w:ascii="Arial" w:hAnsi="Arial" w:cs="Arial"/>
        </w:rPr>
        <w:t xml:space="preserve">it faces challenges such as the stricter industry regulations, the evolving consumer behaviours, and the </w:t>
      </w:r>
      <w:r w:rsidR="007B51EE">
        <w:rPr>
          <w:rFonts w:ascii="Arial" w:hAnsi="Arial" w:cs="Arial"/>
        </w:rPr>
        <w:t>rising sustainability requirements.</w:t>
      </w:r>
      <w:r w:rsidR="00100023">
        <w:rPr>
          <w:rFonts w:ascii="Arial" w:hAnsi="Arial" w:cs="Arial"/>
        </w:rPr>
        <w:t xml:space="preserve"> With its well-established brand identity and ethical commitment to natural ingredients, Innocent Drinks(ID) needs to review </w:t>
      </w:r>
      <w:r w:rsidR="008D0E59">
        <w:rPr>
          <w:rFonts w:ascii="Arial" w:hAnsi="Arial" w:cs="Arial"/>
        </w:rPr>
        <w:t xml:space="preserve">and update </w:t>
      </w:r>
      <w:r w:rsidR="00100023">
        <w:rPr>
          <w:rFonts w:ascii="Arial" w:hAnsi="Arial" w:cs="Arial"/>
        </w:rPr>
        <w:t>continuously its</w:t>
      </w:r>
      <w:r w:rsidR="008D0E59">
        <w:rPr>
          <w:rFonts w:ascii="Arial" w:hAnsi="Arial" w:cs="Arial"/>
        </w:rPr>
        <w:t xml:space="preserve"> strategic decisions.</w:t>
      </w:r>
      <w:r w:rsidR="00100023">
        <w:rPr>
          <w:rFonts w:ascii="Arial" w:hAnsi="Arial" w:cs="Arial"/>
        </w:rPr>
        <w:t xml:space="preserve"> </w:t>
      </w:r>
      <w:r w:rsidR="00B57DA4">
        <w:rPr>
          <w:rFonts w:ascii="Arial" w:hAnsi="Arial" w:cs="Arial"/>
        </w:rPr>
        <w:t>This will preserve its position in the beverage sector, and ensure ongoing expansion.</w:t>
      </w:r>
      <w:r w:rsidR="00D43E66">
        <w:rPr>
          <w:rFonts w:ascii="Arial" w:hAnsi="Arial" w:cs="Arial"/>
        </w:rPr>
        <w:t xml:space="preserve">  This report </w:t>
      </w:r>
      <w:r w:rsidR="008E59A5">
        <w:rPr>
          <w:rFonts w:ascii="Arial" w:hAnsi="Arial" w:cs="Arial"/>
        </w:rPr>
        <w:t>offers a thorough assessment of ID by analysing the firm’s organisational and environmental factors that impact its overall performance</w:t>
      </w:r>
      <w:r w:rsidR="00B607F0">
        <w:rPr>
          <w:rFonts w:ascii="Arial" w:hAnsi="Arial" w:cs="Arial"/>
        </w:rPr>
        <w:t xml:space="preserve">. </w:t>
      </w:r>
      <w:r w:rsidR="00D43E66">
        <w:rPr>
          <w:rFonts w:ascii="Arial" w:hAnsi="Arial" w:cs="Arial"/>
        </w:rPr>
        <w:t xml:space="preserve">The method </w:t>
      </w:r>
      <w:r w:rsidR="00B607F0">
        <w:rPr>
          <w:rFonts w:ascii="Arial" w:hAnsi="Arial" w:cs="Arial"/>
        </w:rPr>
        <w:t xml:space="preserve">applied in </w:t>
      </w:r>
      <w:r w:rsidR="00D43E66">
        <w:rPr>
          <w:rFonts w:ascii="Arial" w:hAnsi="Arial" w:cs="Arial"/>
        </w:rPr>
        <w:t xml:space="preserve">this analysis </w:t>
      </w:r>
      <w:r w:rsidR="00B607F0">
        <w:rPr>
          <w:rFonts w:ascii="Arial" w:hAnsi="Arial" w:cs="Arial"/>
        </w:rPr>
        <w:t>incorporates tools such as SWOT and PESTEL analyses</w:t>
      </w:r>
      <w:r w:rsidR="00167099">
        <w:rPr>
          <w:rFonts w:ascii="Arial" w:hAnsi="Arial" w:cs="Arial"/>
        </w:rPr>
        <w:t>. Moreover, other frameworks are used including Porter’s Five Forces, the Ansoff Matrix, Porter’s Generic Strategies, stakeholder theory, Mendelow’s Matrix and the SFA model.</w:t>
      </w:r>
      <w:r w:rsidR="00AF1289">
        <w:rPr>
          <w:rFonts w:ascii="Arial" w:hAnsi="Arial" w:cs="Arial"/>
        </w:rPr>
        <w:t xml:space="preserve"> The report finds that the consumers demand for plant-based functional and eco-friendly drinks offers opportunities for ID to develop its product offering and expansion. Based on the analysis results, the report recommends </w:t>
      </w:r>
      <w:r w:rsidR="005D2FD3">
        <w:rPr>
          <w:rFonts w:ascii="Arial" w:hAnsi="Arial" w:cs="Arial"/>
        </w:rPr>
        <w:t xml:space="preserve">the development of the differentiated product development and selected market expansion. </w:t>
      </w:r>
      <w:r w:rsidR="005353BF">
        <w:rPr>
          <w:rFonts w:ascii="Arial" w:hAnsi="Arial" w:cs="Arial"/>
        </w:rPr>
        <w:t>This strategic proposal is confirmed by the SFA model</w:t>
      </w:r>
      <w:r w:rsidR="00863918">
        <w:rPr>
          <w:rFonts w:ascii="Arial" w:hAnsi="Arial" w:cs="Arial"/>
        </w:rPr>
        <w:t xml:space="preserve"> as it is suitable, feasible, and acceptable. The implementation of th</w:t>
      </w:r>
      <w:r w:rsidR="00EB615E">
        <w:rPr>
          <w:rFonts w:ascii="Arial" w:hAnsi="Arial" w:cs="Arial"/>
        </w:rPr>
        <w:t>ese suggested options can be monitored by using KPIs and the balanced Scorecard(BSC).</w:t>
      </w:r>
      <w:r w:rsidR="00863918">
        <w:rPr>
          <w:rFonts w:ascii="Arial" w:hAnsi="Arial" w:cs="Arial"/>
        </w:rPr>
        <w:t xml:space="preserve"> </w:t>
      </w:r>
    </w:p>
    <w:p w14:paraId="6C85D4BA" w14:textId="77777777" w:rsidR="00876D66" w:rsidRDefault="00876D66" w:rsidP="00A36631">
      <w:pPr>
        <w:spacing w:line="360" w:lineRule="auto"/>
        <w:rPr>
          <w:rFonts w:ascii="Arial" w:hAnsi="Arial" w:cs="Arial"/>
        </w:rPr>
      </w:pPr>
    </w:p>
    <w:p w14:paraId="386FF7C8" w14:textId="77777777" w:rsidR="00876D66" w:rsidRDefault="00876D66" w:rsidP="00A36631">
      <w:pPr>
        <w:spacing w:line="360" w:lineRule="auto"/>
        <w:rPr>
          <w:rFonts w:ascii="Arial" w:hAnsi="Arial" w:cs="Arial"/>
        </w:rPr>
      </w:pPr>
    </w:p>
    <w:p w14:paraId="64D4D6BE" w14:textId="77777777" w:rsidR="00876D66" w:rsidRDefault="00876D66" w:rsidP="00A36631">
      <w:pPr>
        <w:spacing w:line="360" w:lineRule="auto"/>
        <w:rPr>
          <w:rFonts w:ascii="Arial" w:hAnsi="Arial" w:cs="Arial"/>
        </w:rPr>
      </w:pPr>
    </w:p>
    <w:p w14:paraId="040A90B2" w14:textId="77777777" w:rsidR="00876D66" w:rsidRDefault="00876D66" w:rsidP="00A36631">
      <w:pPr>
        <w:spacing w:line="360" w:lineRule="auto"/>
        <w:rPr>
          <w:rFonts w:ascii="Arial" w:hAnsi="Arial" w:cs="Arial"/>
        </w:rPr>
      </w:pPr>
    </w:p>
    <w:p w14:paraId="46A78F71" w14:textId="77777777" w:rsidR="00876D66" w:rsidRDefault="00876D66" w:rsidP="00A36631">
      <w:pPr>
        <w:spacing w:line="360" w:lineRule="auto"/>
        <w:rPr>
          <w:rFonts w:ascii="Arial" w:hAnsi="Arial" w:cs="Arial"/>
        </w:rPr>
      </w:pPr>
    </w:p>
    <w:p w14:paraId="1DDBDECE" w14:textId="77777777" w:rsidR="00876D66" w:rsidRDefault="00876D66" w:rsidP="00A36631">
      <w:pPr>
        <w:spacing w:line="360" w:lineRule="auto"/>
        <w:rPr>
          <w:rFonts w:ascii="Arial" w:hAnsi="Arial" w:cs="Arial"/>
        </w:rPr>
      </w:pPr>
    </w:p>
    <w:p w14:paraId="0E266C97" w14:textId="77777777" w:rsidR="00876D66" w:rsidRDefault="00876D66" w:rsidP="00A36631">
      <w:pPr>
        <w:spacing w:line="360" w:lineRule="auto"/>
        <w:rPr>
          <w:rFonts w:ascii="Arial" w:hAnsi="Arial" w:cs="Arial"/>
        </w:rPr>
      </w:pPr>
    </w:p>
    <w:p w14:paraId="29B88B83" w14:textId="77777777" w:rsidR="00876D66" w:rsidRDefault="00876D66" w:rsidP="00A36631">
      <w:pPr>
        <w:spacing w:line="360" w:lineRule="auto"/>
        <w:rPr>
          <w:rFonts w:ascii="Arial" w:hAnsi="Arial" w:cs="Arial"/>
        </w:rPr>
      </w:pPr>
    </w:p>
    <w:p w14:paraId="7809871E" w14:textId="7EFECACD" w:rsidR="004F7A2A" w:rsidRDefault="004F7A2A" w:rsidP="004F7A2A">
      <w:pPr>
        <w:pStyle w:val="Heading1"/>
      </w:pPr>
      <w:bookmarkStart w:id="1" w:name="_Toc224551759"/>
      <w:r>
        <w:lastRenderedPageBreak/>
        <w:t>Table of contents</w:t>
      </w:r>
      <w:bookmarkEnd w:id="1"/>
    </w:p>
    <w:sdt>
      <w:sdtPr>
        <w:rPr>
          <w:rFonts w:asciiTheme="minorHAnsi" w:eastAsiaTheme="minorHAnsi" w:hAnsiTheme="minorHAnsi" w:cstheme="minorBidi"/>
          <w:color w:val="auto"/>
          <w:kern w:val="2"/>
          <w:sz w:val="22"/>
          <w:szCs w:val="22"/>
          <w:lang w:eastAsia="en-US"/>
          <w14:ligatures w14:val="standardContextual"/>
        </w:rPr>
        <w:id w:val="1211848816"/>
        <w:docPartObj>
          <w:docPartGallery w:val="Table of Contents"/>
          <w:docPartUnique/>
        </w:docPartObj>
      </w:sdtPr>
      <w:sdtEndPr>
        <w:rPr>
          <w:b/>
          <w:bCs/>
        </w:rPr>
      </w:sdtEndPr>
      <w:sdtContent>
        <w:p w14:paraId="097CB651" w14:textId="17CCBA90" w:rsidR="00876D66" w:rsidRDefault="00876D66" w:rsidP="00D06C1E">
          <w:pPr>
            <w:pStyle w:val="TOCHeading"/>
            <w:numPr>
              <w:ilvl w:val="0"/>
              <w:numId w:val="5"/>
            </w:numPr>
          </w:pPr>
          <w:r>
            <w:t>Contents</w:t>
          </w:r>
        </w:p>
        <w:p w14:paraId="7DA59053" w14:textId="6A5FD0B2" w:rsidR="00E627DF" w:rsidRDefault="00876D6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551758" w:history="1">
            <w:r w:rsidR="00E627DF" w:rsidRPr="00AD3B91">
              <w:rPr>
                <w:rStyle w:val="Hyperlink"/>
                <w:rFonts w:ascii="Arial" w:hAnsi="Arial" w:cs="Arial"/>
                <w:noProof/>
              </w:rPr>
              <w:t>Executive summary</w:t>
            </w:r>
            <w:r w:rsidR="00E627DF">
              <w:rPr>
                <w:noProof/>
                <w:webHidden/>
              </w:rPr>
              <w:tab/>
            </w:r>
            <w:r w:rsidR="00E627DF">
              <w:rPr>
                <w:noProof/>
                <w:webHidden/>
              </w:rPr>
              <w:fldChar w:fldCharType="begin"/>
            </w:r>
            <w:r w:rsidR="00E627DF">
              <w:rPr>
                <w:noProof/>
                <w:webHidden/>
              </w:rPr>
              <w:instrText xml:space="preserve"> PAGEREF _Toc224551758 \h </w:instrText>
            </w:r>
            <w:r w:rsidR="00E627DF">
              <w:rPr>
                <w:noProof/>
                <w:webHidden/>
              </w:rPr>
            </w:r>
            <w:r w:rsidR="00E627DF">
              <w:rPr>
                <w:noProof/>
                <w:webHidden/>
              </w:rPr>
              <w:fldChar w:fldCharType="separate"/>
            </w:r>
            <w:r w:rsidR="00E627DF">
              <w:rPr>
                <w:noProof/>
                <w:webHidden/>
              </w:rPr>
              <w:t>2</w:t>
            </w:r>
            <w:r w:rsidR="00E627DF">
              <w:rPr>
                <w:noProof/>
                <w:webHidden/>
              </w:rPr>
              <w:fldChar w:fldCharType="end"/>
            </w:r>
          </w:hyperlink>
        </w:p>
        <w:p w14:paraId="539ECDC4" w14:textId="4E03C128" w:rsidR="00E627DF" w:rsidRDefault="00E627DF">
          <w:pPr>
            <w:pStyle w:val="TOC1"/>
            <w:tabs>
              <w:tab w:val="right" w:leader="dot" w:pos="9016"/>
            </w:tabs>
            <w:rPr>
              <w:rFonts w:eastAsiaTheme="minorEastAsia"/>
              <w:noProof/>
              <w:sz w:val="24"/>
              <w:szCs w:val="24"/>
              <w:lang w:eastAsia="en-GB"/>
            </w:rPr>
          </w:pPr>
          <w:hyperlink w:anchor="_Toc224551759" w:history="1">
            <w:r w:rsidRPr="00AD3B91">
              <w:rPr>
                <w:rStyle w:val="Hyperlink"/>
                <w:noProof/>
              </w:rPr>
              <w:t>Table of contents</w:t>
            </w:r>
            <w:r>
              <w:rPr>
                <w:noProof/>
                <w:webHidden/>
              </w:rPr>
              <w:tab/>
            </w:r>
            <w:r>
              <w:rPr>
                <w:noProof/>
                <w:webHidden/>
              </w:rPr>
              <w:fldChar w:fldCharType="begin"/>
            </w:r>
            <w:r>
              <w:rPr>
                <w:noProof/>
                <w:webHidden/>
              </w:rPr>
              <w:instrText xml:space="preserve"> PAGEREF _Toc224551759 \h </w:instrText>
            </w:r>
            <w:r>
              <w:rPr>
                <w:noProof/>
                <w:webHidden/>
              </w:rPr>
            </w:r>
            <w:r>
              <w:rPr>
                <w:noProof/>
                <w:webHidden/>
              </w:rPr>
              <w:fldChar w:fldCharType="separate"/>
            </w:r>
            <w:r>
              <w:rPr>
                <w:noProof/>
                <w:webHidden/>
              </w:rPr>
              <w:t>3</w:t>
            </w:r>
            <w:r>
              <w:rPr>
                <w:noProof/>
                <w:webHidden/>
              </w:rPr>
              <w:fldChar w:fldCharType="end"/>
            </w:r>
          </w:hyperlink>
        </w:p>
        <w:p w14:paraId="0E48BDBC" w14:textId="42958DA2" w:rsidR="00E627DF" w:rsidRDefault="00E627DF">
          <w:pPr>
            <w:pStyle w:val="TOC1"/>
            <w:tabs>
              <w:tab w:val="right" w:leader="dot" w:pos="9016"/>
            </w:tabs>
            <w:rPr>
              <w:rFonts w:eastAsiaTheme="minorEastAsia"/>
              <w:noProof/>
              <w:sz w:val="24"/>
              <w:szCs w:val="24"/>
              <w:lang w:eastAsia="en-GB"/>
            </w:rPr>
          </w:pPr>
          <w:hyperlink w:anchor="_Toc224551760" w:history="1">
            <w:r w:rsidRPr="00AD3B91">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_Toc224551760 \h </w:instrText>
            </w:r>
            <w:r>
              <w:rPr>
                <w:noProof/>
                <w:webHidden/>
              </w:rPr>
            </w:r>
            <w:r>
              <w:rPr>
                <w:noProof/>
                <w:webHidden/>
              </w:rPr>
              <w:fldChar w:fldCharType="separate"/>
            </w:r>
            <w:r>
              <w:rPr>
                <w:noProof/>
                <w:webHidden/>
              </w:rPr>
              <w:t>4</w:t>
            </w:r>
            <w:r>
              <w:rPr>
                <w:noProof/>
                <w:webHidden/>
              </w:rPr>
              <w:fldChar w:fldCharType="end"/>
            </w:r>
          </w:hyperlink>
        </w:p>
        <w:p w14:paraId="17A38D7F" w14:textId="5C2E0C5A" w:rsidR="00E627DF" w:rsidRDefault="00E627DF">
          <w:pPr>
            <w:pStyle w:val="TOC1"/>
            <w:tabs>
              <w:tab w:val="right" w:leader="dot" w:pos="9016"/>
            </w:tabs>
            <w:rPr>
              <w:rFonts w:eastAsiaTheme="minorEastAsia"/>
              <w:noProof/>
              <w:sz w:val="24"/>
              <w:szCs w:val="24"/>
              <w:lang w:eastAsia="en-GB"/>
            </w:rPr>
          </w:pPr>
          <w:hyperlink w:anchor="_Toc224551761" w:history="1">
            <w:r w:rsidRPr="00AD3B91">
              <w:rPr>
                <w:rStyle w:val="Hyperlink"/>
                <w:rFonts w:ascii="Arial" w:hAnsi="Arial" w:cs="Arial"/>
                <w:noProof/>
              </w:rPr>
              <w:t>2. Innocent Drinks overview</w:t>
            </w:r>
            <w:r>
              <w:rPr>
                <w:noProof/>
                <w:webHidden/>
              </w:rPr>
              <w:tab/>
            </w:r>
            <w:r>
              <w:rPr>
                <w:noProof/>
                <w:webHidden/>
              </w:rPr>
              <w:fldChar w:fldCharType="begin"/>
            </w:r>
            <w:r>
              <w:rPr>
                <w:noProof/>
                <w:webHidden/>
              </w:rPr>
              <w:instrText xml:space="preserve"> PAGEREF _Toc224551761 \h </w:instrText>
            </w:r>
            <w:r>
              <w:rPr>
                <w:noProof/>
                <w:webHidden/>
              </w:rPr>
            </w:r>
            <w:r>
              <w:rPr>
                <w:noProof/>
                <w:webHidden/>
              </w:rPr>
              <w:fldChar w:fldCharType="separate"/>
            </w:r>
            <w:r>
              <w:rPr>
                <w:noProof/>
                <w:webHidden/>
              </w:rPr>
              <w:t>5</w:t>
            </w:r>
            <w:r>
              <w:rPr>
                <w:noProof/>
                <w:webHidden/>
              </w:rPr>
              <w:fldChar w:fldCharType="end"/>
            </w:r>
          </w:hyperlink>
        </w:p>
        <w:p w14:paraId="7877FD73" w14:textId="31572DF9" w:rsidR="00E627DF" w:rsidRDefault="00E627DF">
          <w:pPr>
            <w:pStyle w:val="TOC1"/>
            <w:tabs>
              <w:tab w:val="right" w:leader="dot" w:pos="9016"/>
            </w:tabs>
            <w:rPr>
              <w:rFonts w:eastAsiaTheme="minorEastAsia"/>
              <w:noProof/>
              <w:sz w:val="24"/>
              <w:szCs w:val="24"/>
              <w:lang w:eastAsia="en-GB"/>
            </w:rPr>
          </w:pPr>
          <w:hyperlink w:anchor="_Toc224551762" w:history="1">
            <w:r w:rsidRPr="00AD3B91">
              <w:rPr>
                <w:rStyle w:val="Hyperlink"/>
                <w:rFonts w:ascii="Arial" w:hAnsi="Arial" w:cs="Arial"/>
                <w:noProof/>
              </w:rPr>
              <w:t>3. Current trends</w:t>
            </w:r>
            <w:r>
              <w:rPr>
                <w:noProof/>
                <w:webHidden/>
              </w:rPr>
              <w:tab/>
            </w:r>
            <w:r>
              <w:rPr>
                <w:noProof/>
                <w:webHidden/>
              </w:rPr>
              <w:fldChar w:fldCharType="begin"/>
            </w:r>
            <w:r>
              <w:rPr>
                <w:noProof/>
                <w:webHidden/>
              </w:rPr>
              <w:instrText xml:space="preserve"> PAGEREF _Toc224551762 \h </w:instrText>
            </w:r>
            <w:r>
              <w:rPr>
                <w:noProof/>
                <w:webHidden/>
              </w:rPr>
            </w:r>
            <w:r>
              <w:rPr>
                <w:noProof/>
                <w:webHidden/>
              </w:rPr>
              <w:fldChar w:fldCharType="separate"/>
            </w:r>
            <w:r>
              <w:rPr>
                <w:noProof/>
                <w:webHidden/>
              </w:rPr>
              <w:t>5</w:t>
            </w:r>
            <w:r>
              <w:rPr>
                <w:noProof/>
                <w:webHidden/>
              </w:rPr>
              <w:fldChar w:fldCharType="end"/>
            </w:r>
          </w:hyperlink>
        </w:p>
        <w:p w14:paraId="2E432D73" w14:textId="1C1EC1F0" w:rsidR="00E627DF" w:rsidRDefault="00E627DF">
          <w:pPr>
            <w:pStyle w:val="TOC2"/>
            <w:tabs>
              <w:tab w:val="right" w:leader="dot" w:pos="9016"/>
            </w:tabs>
            <w:rPr>
              <w:rFonts w:eastAsiaTheme="minorEastAsia"/>
              <w:noProof/>
              <w:sz w:val="24"/>
              <w:szCs w:val="24"/>
              <w:lang w:eastAsia="en-GB"/>
            </w:rPr>
          </w:pPr>
          <w:hyperlink w:anchor="_Toc224551763" w:history="1">
            <w:r w:rsidRPr="00AD3B91">
              <w:rPr>
                <w:rStyle w:val="Hyperlink"/>
                <w:rFonts w:ascii="Arial" w:hAnsi="Arial" w:cs="Arial"/>
                <w:noProof/>
              </w:rPr>
              <w:t>3.1 Plant-based innovation</w:t>
            </w:r>
            <w:r>
              <w:rPr>
                <w:noProof/>
                <w:webHidden/>
              </w:rPr>
              <w:tab/>
            </w:r>
            <w:r>
              <w:rPr>
                <w:noProof/>
                <w:webHidden/>
              </w:rPr>
              <w:fldChar w:fldCharType="begin"/>
            </w:r>
            <w:r>
              <w:rPr>
                <w:noProof/>
                <w:webHidden/>
              </w:rPr>
              <w:instrText xml:space="preserve"> PAGEREF _Toc224551763 \h </w:instrText>
            </w:r>
            <w:r>
              <w:rPr>
                <w:noProof/>
                <w:webHidden/>
              </w:rPr>
            </w:r>
            <w:r>
              <w:rPr>
                <w:noProof/>
                <w:webHidden/>
              </w:rPr>
              <w:fldChar w:fldCharType="separate"/>
            </w:r>
            <w:r>
              <w:rPr>
                <w:noProof/>
                <w:webHidden/>
              </w:rPr>
              <w:t>6</w:t>
            </w:r>
            <w:r>
              <w:rPr>
                <w:noProof/>
                <w:webHidden/>
              </w:rPr>
              <w:fldChar w:fldCharType="end"/>
            </w:r>
          </w:hyperlink>
        </w:p>
        <w:p w14:paraId="6233543D" w14:textId="7EFCFC0B" w:rsidR="00E627DF" w:rsidRDefault="00E627DF">
          <w:pPr>
            <w:pStyle w:val="TOC2"/>
            <w:tabs>
              <w:tab w:val="right" w:leader="dot" w:pos="9016"/>
            </w:tabs>
            <w:rPr>
              <w:rFonts w:eastAsiaTheme="minorEastAsia"/>
              <w:noProof/>
              <w:sz w:val="24"/>
              <w:szCs w:val="24"/>
              <w:lang w:eastAsia="en-GB"/>
            </w:rPr>
          </w:pPr>
          <w:hyperlink w:anchor="_Toc224551764" w:history="1">
            <w:r w:rsidRPr="00AD3B91">
              <w:rPr>
                <w:rStyle w:val="Hyperlink"/>
                <w:rFonts w:ascii="Arial" w:hAnsi="Arial" w:cs="Arial"/>
                <w:noProof/>
              </w:rPr>
              <w:t>3.2 Carbon reduction</w:t>
            </w:r>
            <w:r>
              <w:rPr>
                <w:noProof/>
                <w:webHidden/>
              </w:rPr>
              <w:tab/>
            </w:r>
            <w:r>
              <w:rPr>
                <w:noProof/>
                <w:webHidden/>
              </w:rPr>
              <w:fldChar w:fldCharType="begin"/>
            </w:r>
            <w:r>
              <w:rPr>
                <w:noProof/>
                <w:webHidden/>
              </w:rPr>
              <w:instrText xml:space="preserve"> PAGEREF _Toc224551764 \h </w:instrText>
            </w:r>
            <w:r>
              <w:rPr>
                <w:noProof/>
                <w:webHidden/>
              </w:rPr>
            </w:r>
            <w:r>
              <w:rPr>
                <w:noProof/>
                <w:webHidden/>
              </w:rPr>
              <w:fldChar w:fldCharType="separate"/>
            </w:r>
            <w:r>
              <w:rPr>
                <w:noProof/>
                <w:webHidden/>
              </w:rPr>
              <w:t>6</w:t>
            </w:r>
            <w:r>
              <w:rPr>
                <w:noProof/>
                <w:webHidden/>
              </w:rPr>
              <w:fldChar w:fldCharType="end"/>
            </w:r>
          </w:hyperlink>
        </w:p>
        <w:p w14:paraId="6633A297" w14:textId="1B25DB5D" w:rsidR="00E627DF" w:rsidRDefault="00E627DF">
          <w:pPr>
            <w:pStyle w:val="TOC2"/>
            <w:tabs>
              <w:tab w:val="right" w:leader="dot" w:pos="9016"/>
            </w:tabs>
            <w:rPr>
              <w:rFonts w:eastAsiaTheme="minorEastAsia"/>
              <w:noProof/>
              <w:sz w:val="24"/>
              <w:szCs w:val="24"/>
              <w:lang w:eastAsia="en-GB"/>
            </w:rPr>
          </w:pPr>
          <w:hyperlink w:anchor="_Toc224551765" w:history="1">
            <w:r w:rsidRPr="00AD3B91">
              <w:rPr>
                <w:rStyle w:val="Hyperlink"/>
                <w:rFonts w:ascii="Arial" w:hAnsi="Arial" w:cs="Arial"/>
                <w:noProof/>
              </w:rPr>
              <w:t>3.3 Digital engagement</w:t>
            </w:r>
            <w:r>
              <w:rPr>
                <w:noProof/>
                <w:webHidden/>
              </w:rPr>
              <w:tab/>
            </w:r>
            <w:r>
              <w:rPr>
                <w:noProof/>
                <w:webHidden/>
              </w:rPr>
              <w:fldChar w:fldCharType="begin"/>
            </w:r>
            <w:r>
              <w:rPr>
                <w:noProof/>
                <w:webHidden/>
              </w:rPr>
              <w:instrText xml:space="preserve"> PAGEREF _Toc224551765 \h </w:instrText>
            </w:r>
            <w:r>
              <w:rPr>
                <w:noProof/>
                <w:webHidden/>
              </w:rPr>
            </w:r>
            <w:r>
              <w:rPr>
                <w:noProof/>
                <w:webHidden/>
              </w:rPr>
              <w:fldChar w:fldCharType="separate"/>
            </w:r>
            <w:r>
              <w:rPr>
                <w:noProof/>
                <w:webHidden/>
              </w:rPr>
              <w:t>6</w:t>
            </w:r>
            <w:r>
              <w:rPr>
                <w:noProof/>
                <w:webHidden/>
              </w:rPr>
              <w:fldChar w:fldCharType="end"/>
            </w:r>
          </w:hyperlink>
        </w:p>
        <w:p w14:paraId="65F1736A" w14:textId="10DF6032" w:rsidR="00E627DF" w:rsidRDefault="00E627DF">
          <w:pPr>
            <w:pStyle w:val="TOC1"/>
            <w:tabs>
              <w:tab w:val="right" w:leader="dot" w:pos="9016"/>
            </w:tabs>
            <w:rPr>
              <w:rFonts w:eastAsiaTheme="minorEastAsia"/>
              <w:noProof/>
              <w:sz w:val="24"/>
              <w:szCs w:val="24"/>
              <w:lang w:eastAsia="en-GB"/>
            </w:rPr>
          </w:pPr>
          <w:hyperlink w:anchor="_Toc224551766" w:history="1">
            <w:r w:rsidRPr="00AD3B91">
              <w:rPr>
                <w:rStyle w:val="Hyperlink"/>
                <w:rFonts w:ascii="Arial" w:hAnsi="Arial" w:cs="Arial"/>
                <w:noProof/>
              </w:rPr>
              <w:t>4. Evaluation of the current market situation of Innocent Drinks</w:t>
            </w:r>
            <w:r>
              <w:rPr>
                <w:noProof/>
                <w:webHidden/>
              </w:rPr>
              <w:tab/>
            </w:r>
            <w:r>
              <w:rPr>
                <w:noProof/>
                <w:webHidden/>
              </w:rPr>
              <w:fldChar w:fldCharType="begin"/>
            </w:r>
            <w:r>
              <w:rPr>
                <w:noProof/>
                <w:webHidden/>
              </w:rPr>
              <w:instrText xml:space="preserve"> PAGEREF _Toc224551766 \h </w:instrText>
            </w:r>
            <w:r>
              <w:rPr>
                <w:noProof/>
                <w:webHidden/>
              </w:rPr>
            </w:r>
            <w:r>
              <w:rPr>
                <w:noProof/>
                <w:webHidden/>
              </w:rPr>
              <w:fldChar w:fldCharType="separate"/>
            </w:r>
            <w:r>
              <w:rPr>
                <w:noProof/>
                <w:webHidden/>
              </w:rPr>
              <w:t>6</w:t>
            </w:r>
            <w:r>
              <w:rPr>
                <w:noProof/>
                <w:webHidden/>
              </w:rPr>
              <w:fldChar w:fldCharType="end"/>
            </w:r>
          </w:hyperlink>
        </w:p>
        <w:p w14:paraId="7AE58D4F" w14:textId="3AE6A809" w:rsidR="00E627DF" w:rsidRDefault="00E627DF">
          <w:pPr>
            <w:pStyle w:val="TOC2"/>
            <w:tabs>
              <w:tab w:val="right" w:leader="dot" w:pos="9016"/>
            </w:tabs>
            <w:rPr>
              <w:rFonts w:eastAsiaTheme="minorEastAsia"/>
              <w:noProof/>
              <w:sz w:val="24"/>
              <w:szCs w:val="24"/>
              <w:lang w:eastAsia="en-GB"/>
            </w:rPr>
          </w:pPr>
          <w:hyperlink w:anchor="_Toc224551767" w:history="1">
            <w:r w:rsidRPr="00AD3B91">
              <w:rPr>
                <w:rStyle w:val="Hyperlink"/>
                <w:rFonts w:ascii="Arial" w:hAnsi="Arial" w:cs="Arial"/>
                <w:noProof/>
              </w:rPr>
              <w:t>4.1 SWOT Analysis</w:t>
            </w:r>
            <w:r>
              <w:rPr>
                <w:noProof/>
                <w:webHidden/>
              </w:rPr>
              <w:tab/>
            </w:r>
            <w:r>
              <w:rPr>
                <w:noProof/>
                <w:webHidden/>
              </w:rPr>
              <w:fldChar w:fldCharType="begin"/>
            </w:r>
            <w:r>
              <w:rPr>
                <w:noProof/>
                <w:webHidden/>
              </w:rPr>
              <w:instrText xml:space="preserve"> PAGEREF _Toc224551767 \h </w:instrText>
            </w:r>
            <w:r>
              <w:rPr>
                <w:noProof/>
                <w:webHidden/>
              </w:rPr>
            </w:r>
            <w:r>
              <w:rPr>
                <w:noProof/>
                <w:webHidden/>
              </w:rPr>
              <w:fldChar w:fldCharType="separate"/>
            </w:r>
            <w:r>
              <w:rPr>
                <w:noProof/>
                <w:webHidden/>
              </w:rPr>
              <w:t>7</w:t>
            </w:r>
            <w:r>
              <w:rPr>
                <w:noProof/>
                <w:webHidden/>
              </w:rPr>
              <w:fldChar w:fldCharType="end"/>
            </w:r>
          </w:hyperlink>
        </w:p>
        <w:p w14:paraId="536B0DCD" w14:textId="691073D2" w:rsidR="00E627DF" w:rsidRDefault="00E627DF">
          <w:pPr>
            <w:pStyle w:val="TOC2"/>
            <w:tabs>
              <w:tab w:val="right" w:leader="dot" w:pos="9016"/>
            </w:tabs>
            <w:rPr>
              <w:rFonts w:eastAsiaTheme="minorEastAsia"/>
              <w:noProof/>
              <w:sz w:val="24"/>
              <w:szCs w:val="24"/>
              <w:lang w:eastAsia="en-GB"/>
            </w:rPr>
          </w:pPr>
          <w:hyperlink w:anchor="_Toc224551768" w:history="1">
            <w:r w:rsidRPr="00AD3B91">
              <w:rPr>
                <w:rStyle w:val="Hyperlink"/>
                <w:rFonts w:ascii="Arial" w:hAnsi="Arial" w:cs="Arial"/>
                <w:noProof/>
              </w:rPr>
              <w:t>4.1.1 SWOT table</w:t>
            </w:r>
            <w:r>
              <w:rPr>
                <w:noProof/>
                <w:webHidden/>
              </w:rPr>
              <w:tab/>
            </w:r>
            <w:r>
              <w:rPr>
                <w:noProof/>
                <w:webHidden/>
              </w:rPr>
              <w:fldChar w:fldCharType="begin"/>
            </w:r>
            <w:r>
              <w:rPr>
                <w:noProof/>
                <w:webHidden/>
              </w:rPr>
              <w:instrText xml:space="preserve"> PAGEREF _Toc224551768 \h </w:instrText>
            </w:r>
            <w:r>
              <w:rPr>
                <w:noProof/>
                <w:webHidden/>
              </w:rPr>
            </w:r>
            <w:r>
              <w:rPr>
                <w:noProof/>
                <w:webHidden/>
              </w:rPr>
              <w:fldChar w:fldCharType="separate"/>
            </w:r>
            <w:r>
              <w:rPr>
                <w:noProof/>
                <w:webHidden/>
              </w:rPr>
              <w:t>7</w:t>
            </w:r>
            <w:r>
              <w:rPr>
                <w:noProof/>
                <w:webHidden/>
              </w:rPr>
              <w:fldChar w:fldCharType="end"/>
            </w:r>
          </w:hyperlink>
        </w:p>
        <w:p w14:paraId="4CFD6649" w14:textId="00595F72" w:rsidR="00E627DF" w:rsidRDefault="00E627DF">
          <w:pPr>
            <w:pStyle w:val="TOC3"/>
            <w:tabs>
              <w:tab w:val="right" w:leader="dot" w:pos="9016"/>
            </w:tabs>
            <w:rPr>
              <w:rFonts w:cstheme="minorBidi"/>
              <w:noProof/>
              <w:kern w:val="2"/>
              <w:sz w:val="24"/>
              <w:szCs w:val="24"/>
              <w14:ligatures w14:val="standardContextual"/>
            </w:rPr>
          </w:pPr>
          <w:hyperlink w:anchor="_Toc224551769" w:history="1">
            <w:r w:rsidRPr="00AD3B91">
              <w:rPr>
                <w:rStyle w:val="Hyperlink"/>
                <w:rFonts w:ascii="Arial" w:hAnsi="Arial" w:cs="Arial"/>
                <w:noProof/>
              </w:rPr>
              <w:t>4.1.2 Explanation of the SWOT table</w:t>
            </w:r>
            <w:r>
              <w:rPr>
                <w:noProof/>
                <w:webHidden/>
              </w:rPr>
              <w:tab/>
            </w:r>
            <w:r>
              <w:rPr>
                <w:noProof/>
                <w:webHidden/>
              </w:rPr>
              <w:fldChar w:fldCharType="begin"/>
            </w:r>
            <w:r>
              <w:rPr>
                <w:noProof/>
                <w:webHidden/>
              </w:rPr>
              <w:instrText xml:space="preserve"> PAGEREF _Toc224551769 \h </w:instrText>
            </w:r>
            <w:r>
              <w:rPr>
                <w:noProof/>
                <w:webHidden/>
              </w:rPr>
            </w:r>
            <w:r>
              <w:rPr>
                <w:noProof/>
                <w:webHidden/>
              </w:rPr>
              <w:fldChar w:fldCharType="separate"/>
            </w:r>
            <w:r>
              <w:rPr>
                <w:noProof/>
                <w:webHidden/>
              </w:rPr>
              <w:t>7</w:t>
            </w:r>
            <w:r>
              <w:rPr>
                <w:noProof/>
                <w:webHidden/>
              </w:rPr>
              <w:fldChar w:fldCharType="end"/>
            </w:r>
          </w:hyperlink>
        </w:p>
        <w:p w14:paraId="3049DF2E" w14:textId="033B98CA" w:rsidR="00E627DF" w:rsidRDefault="00E627DF">
          <w:pPr>
            <w:pStyle w:val="TOC2"/>
            <w:tabs>
              <w:tab w:val="right" w:leader="dot" w:pos="9016"/>
            </w:tabs>
            <w:rPr>
              <w:rFonts w:eastAsiaTheme="minorEastAsia"/>
              <w:noProof/>
              <w:sz w:val="24"/>
              <w:szCs w:val="24"/>
              <w:lang w:eastAsia="en-GB"/>
            </w:rPr>
          </w:pPr>
          <w:hyperlink w:anchor="_Toc224551770" w:history="1">
            <w:r w:rsidRPr="00AD3B91">
              <w:rPr>
                <w:rStyle w:val="Hyperlink"/>
                <w:rFonts w:ascii="Arial" w:hAnsi="Arial" w:cs="Arial"/>
                <w:noProof/>
              </w:rPr>
              <w:t>4.2 PESTEL analysis</w:t>
            </w:r>
            <w:r>
              <w:rPr>
                <w:noProof/>
                <w:webHidden/>
              </w:rPr>
              <w:tab/>
            </w:r>
            <w:r>
              <w:rPr>
                <w:noProof/>
                <w:webHidden/>
              </w:rPr>
              <w:fldChar w:fldCharType="begin"/>
            </w:r>
            <w:r>
              <w:rPr>
                <w:noProof/>
                <w:webHidden/>
              </w:rPr>
              <w:instrText xml:space="preserve"> PAGEREF _Toc224551770 \h </w:instrText>
            </w:r>
            <w:r>
              <w:rPr>
                <w:noProof/>
                <w:webHidden/>
              </w:rPr>
            </w:r>
            <w:r>
              <w:rPr>
                <w:noProof/>
                <w:webHidden/>
              </w:rPr>
              <w:fldChar w:fldCharType="separate"/>
            </w:r>
            <w:r>
              <w:rPr>
                <w:noProof/>
                <w:webHidden/>
              </w:rPr>
              <w:t>8</w:t>
            </w:r>
            <w:r>
              <w:rPr>
                <w:noProof/>
                <w:webHidden/>
              </w:rPr>
              <w:fldChar w:fldCharType="end"/>
            </w:r>
          </w:hyperlink>
        </w:p>
        <w:p w14:paraId="1D03A754" w14:textId="4C3D325A" w:rsidR="00E627DF" w:rsidRDefault="00E627DF">
          <w:pPr>
            <w:pStyle w:val="TOC3"/>
            <w:tabs>
              <w:tab w:val="right" w:leader="dot" w:pos="9016"/>
            </w:tabs>
            <w:rPr>
              <w:rFonts w:cstheme="minorBidi"/>
              <w:noProof/>
              <w:kern w:val="2"/>
              <w:sz w:val="24"/>
              <w:szCs w:val="24"/>
              <w14:ligatures w14:val="standardContextual"/>
            </w:rPr>
          </w:pPr>
          <w:hyperlink w:anchor="_Toc224551771" w:history="1">
            <w:r w:rsidRPr="00AD3B91">
              <w:rPr>
                <w:rStyle w:val="Hyperlink"/>
                <w:rFonts w:ascii="Arial" w:hAnsi="Arial" w:cs="Arial"/>
                <w:noProof/>
              </w:rPr>
              <w:t>4.2.1 PESTEL Analysis</w:t>
            </w:r>
            <w:r>
              <w:rPr>
                <w:noProof/>
                <w:webHidden/>
              </w:rPr>
              <w:tab/>
            </w:r>
            <w:r>
              <w:rPr>
                <w:noProof/>
                <w:webHidden/>
              </w:rPr>
              <w:fldChar w:fldCharType="begin"/>
            </w:r>
            <w:r>
              <w:rPr>
                <w:noProof/>
                <w:webHidden/>
              </w:rPr>
              <w:instrText xml:space="preserve"> PAGEREF _Toc224551771 \h </w:instrText>
            </w:r>
            <w:r>
              <w:rPr>
                <w:noProof/>
                <w:webHidden/>
              </w:rPr>
            </w:r>
            <w:r>
              <w:rPr>
                <w:noProof/>
                <w:webHidden/>
              </w:rPr>
              <w:fldChar w:fldCharType="separate"/>
            </w:r>
            <w:r>
              <w:rPr>
                <w:noProof/>
                <w:webHidden/>
              </w:rPr>
              <w:t>8</w:t>
            </w:r>
            <w:r>
              <w:rPr>
                <w:noProof/>
                <w:webHidden/>
              </w:rPr>
              <w:fldChar w:fldCharType="end"/>
            </w:r>
          </w:hyperlink>
        </w:p>
        <w:p w14:paraId="3036FD29" w14:textId="37B7138D" w:rsidR="00E627DF" w:rsidRDefault="00E627DF">
          <w:pPr>
            <w:pStyle w:val="TOC2"/>
            <w:tabs>
              <w:tab w:val="right" w:leader="dot" w:pos="9016"/>
            </w:tabs>
            <w:rPr>
              <w:rFonts w:eastAsiaTheme="minorEastAsia"/>
              <w:noProof/>
              <w:sz w:val="24"/>
              <w:szCs w:val="24"/>
              <w:lang w:eastAsia="en-GB"/>
            </w:rPr>
          </w:pPr>
          <w:hyperlink w:anchor="_Toc224551772" w:history="1">
            <w:r w:rsidRPr="00AD3B91">
              <w:rPr>
                <w:rStyle w:val="Hyperlink"/>
                <w:rFonts w:ascii="Arial" w:hAnsi="Arial" w:cs="Arial"/>
                <w:noProof/>
              </w:rPr>
              <w:t>4.3 Porter’s Five Forces</w:t>
            </w:r>
            <w:r>
              <w:rPr>
                <w:noProof/>
                <w:webHidden/>
              </w:rPr>
              <w:tab/>
            </w:r>
            <w:r>
              <w:rPr>
                <w:noProof/>
                <w:webHidden/>
              </w:rPr>
              <w:fldChar w:fldCharType="begin"/>
            </w:r>
            <w:r>
              <w:rPr>
                <w:noProof/>
                <w:webHidden/>
              </w:rPr>
              <w:instrText xml:space="preserve"> PAGEREF _Toc224551772 \h </w:instrText>
            </w:r>
            <w:r>
              <w:rPr>
                <w:noProof/>
                <w:webHidden/>
              </w:rPr>
            </w:r>
            <w:r>
              <w:rPr>
                <w:noProof/>
                <w:webHidden/>
              </w:rPr>
              <w:fldChar w:fldCharType="separate"/>
            </w:r>
            <w:r>
              <w:rPr>
                <w:noProof/>
                <w:webHidden/>
              </w:rPr>
              <w:t>9</w:t>
            </w:r>
            <w:r>
              <w:rPr>
                <w:noProof/>
                <w:webHidden/>
              </w:rPr>
              <w:fldChar w:fldCharType="end"/>
            </w:r>
          </w:hyperlink>
        </w:p>
        <w:p w14:paraId="489AD7D9" w14:textId="13A291B1" w:rsidR="00E627DF" w:rsidRDefault="00E627DF">
          <w:pPr>
            <w:pStyle w:val="TOC2"/>
            <w:tabs>
              <w:tab w:val="right" w:leader="dot" w:pos="9016"/>
            </w:tabs>
            <w:rPr>
              <w:rFonts w:eastAsiaTheme="minorEastAsia"/>
              <w:noProof/>
              <w:sz w:val="24"/>
              <w:szCs w:val="24"/>
              <w:lang w:eastAsia="en-GB"/>
            </w:rPr>
          </w:pPr>
          <w:hyperlink w:anchor="_Toc224551773" w:history="1">
            <w:r w:rsidRPr="00AD3B91">
              <w:rPr>
                <w:rStyle w:val="Hyperlink"/>
                <w:rFonts w:ascii="Arial" w:hAnsi="Arial" w:cs="Arial"/>
                <w:noProof/>
              </w:rPr>
              <w:t>4.3.1. Porter’s Five Forces</w:t>
            </w:r>
            <w:r>
              <w:rPr>
                <w:noProof/>
                <w:webHidden/>
              </w:rPr>
              <w:tab/>
            </w:r>
            <w:r>
              <w:rPr>
                <w:noProof/>
                <w:webHidden/>
              </w:rPr>
              <w:fldChar w:fldCharType="begin"/>
            </w:r>
            <w:r>
              <w:rPr>
                <w:noProof/>
                <w:webHidden/>
              </w:rPr>
              <w:instrText xml:space="preserve"> PAGEREF _Toc224551773 \h </w:instrText>
            </w:r>
            <w:r>
              <w:rPr>
                <w:noProof/>
                <w:webHidden/>
              </w:rPr>
            </w:r>
            <w:r>
              <w:rPr>
                <w:noProof/>
                <w:webHidden/>
              </w:rPr>
              <w:fldChar w:fldCharType="separate"/>
            </w:r>
            <w:r>
              <w:rPr>
                <w:noProof/>
                <w:webHidden/>
              </w:rPr>
              <w:t>9</w:t>
            </w:r>
            <w:r>
              <w:rPr>
                <w:noProof/>
                <w:webHidden/>
              </w:rPr>
              <w:fldChar w:fldCharType="end"/>
            </w:r>
          </w:hyperlink>
        </w:p>
        <w:p w14:paraId="77578462" w14:textId="680D236C" w:rsidR="00E627DF" w:rsidRDefault="00E627DF">
          <w:pPr>
            <w:pStyle w:val="TOC3"/>
            <w:tabs>
              <w:tab w:val="right" w:leader="dot" w:pos="9016"/>
            </w:tabs>
            <w:rPr>
              <w:rFonts w:cstheme="minorBidi"/>
              <w:noProof/>
              <w:kern w:val="2"/>
              <w:sz w:val="24"/>
              <w:szCs w:val="24"/>
              <w14:ligatures w14:val="standardContextual"/>
            </w:rPr>
          </w:pPr>
          <w:hyperlink w:anchor="_Toc224551774" w:history="1">
            <w:r w:rsidRPr="00AD3B91">
              <w:rPr>
                <w:rStyle w:val="Hyperlink"/>
                <w:noProof/>
              </w:rPr>
              <w:t>4.3.2 Explanation of Porter’s</w:t>
            </w:r>
            <w:r>
              <w:rPr>
                <w:noProof/>
                <w:webHidden/>
              </w:rPr>
              <w:tab/>
            </w:r>
            <w:r>
              <w:rPr>
                <w:noProof/>
                <w:webHidden/>
              </w:rPr>
              <w:fldChar w:fldCharType="begin"/>
            </w:r>
            <w:r>
              <w:rPr>
                <w:noProof/>
                <w:webHidden/>
              </w:rPr>
              <w:instrText xml:space="preserve"> PAGEREF _Toc224551774 \h </w:instrText>
            </w:r>
            <w:r>
              <w:rPr>
                <w:noProof/>
                <w:webHidden/>
              </w:rPr>
            </w:r>
            <w:r>
              <w:rPr>
                <w:noProof/>
                <w:webHidden/>
              </w:rPr>
              <w:fldChar w:fldCharType="separate"/>
            </w:r>
            <w:r>
              <w:rPr>
                <w:noProof/>
                <w:webHidden/>
              </w:rPr>
              <w:t>10</w:t>
            </w:r>
            <w:r>
              <w:rPr>
                <w:noProof/>
                <w:webHidden/>
              </w:rPr>
              <w:fldChar w:fldCharType="end"/>
            </w:r>
          </w:hyperlink>
        </w:p>
        <w:p w14:paraId="737E9AA9" w14:textId="48EAEA1D" w:rsidR="00E627DF" w:rsidRDefault="00E627DF">
          <w:pPr>
            <w:pStyle w:val="TOC1"/>
            <w:tabs>
              <w:tab w:val="right" w:leader="dot" w:pos="9016"/>
            </w:tabs>
            <w:rPr>
              <w:rFonts w:eastAsiaTheme="minorEastAsia"/>
              <w:noProof/>
              <w:sz w:val="24"/>
              <w:szCs w:val="24"/>
              <w:lang w:eastAsia="en-GB"/>
            </w:rPr>
          </w:pPr>
          <w:hyperlink w:anchor="_Toc224551775" w:history="1">
            <w:r w:rsidRPr="00AD3B91">
              <w:rPr>
                <w:rStyle w:val="Hyperlink"/>
                <w:rFonts w:ascii="Arial" w:hAnsi="Arial" w:cs="Arial"/>
                <w:noProof/>
              </w:rPr>
              <w:t>5. Strategic growth options and proposed strategy</w:t>
            </w:r>
            <w:r>
              <w:rPr>
                <w:noProof/>
                <w:webHidden/>
              </w:rPr>
              <w:tab/>
            </w:r>
            <w:r>
              <w:rPr>
                <w:noProof/>
                <w:webHidden/>
              </w:rPr>
              <w:fldChar w:fldCharType="begin"/>
            </w:r>
            <w:r>
              <w:rPr>
                <w:noProof/>
                <w:webHidden/>
              </w:rPr>
              <w:instrText xml:space="preserve"> PAGEREF _Toc224551775 \h </w:instrText>
            </w:r>
            <w:r>
              <w:rPr>
                <w:noProof/>
                <w:webHidden/>
              </w:rPr>
            </w:r>
            <w:r>
              <w:rPr>
                <w:noProof/>
                <w:webHidden/>
              </w:rPr>
              <w:fldChar w:fldCharType="separate"/>
            </w:r>
            <w:r>
              <w:rPr>
                <w:noProof/>
                <w:webHidden/>
              </w:rPr>
              <w:t>10</w:t>
            </w:r>
            <w:r>
              <w:rPr>
                <w:noProof/>
                <w:webHidden/>
              </w:rPr>
              <w:fldChar w:fldCharType="end"/>
            </w:r>
          </w:hyperlink>
        </w:p>
        <w:p w14:paraId="5B00375C" w14:textId="431F76DE" w:rsidR="00E627DF" w:rsidRDefault="00E627DF">
          <w:pPr>
            <w:pStyle w:val="TOC2"/>
            <w:tabs>
              <w:tab w:val="right" w:leader="dot" w:pos="9016"/>
            </w:tabs>
            <w:rPr>
              <w:rFonts w:eastAsiaTheme="minorEastAsia"/>
              <w:noProof/>
              <w:sz w:val="24"/>
              <w:szCs w:val="24"/>
              <w:lang w:eastAsia="en-GB"/>
            </w:rPr>
          </w:pPr>
          <w:hyperlink w:anchor="_Toc224551776" w:history="1">
            <w:r w:rsidRPr="00AD3B91">
              <w:rPr>
                <w:rStyle w:val="Hyperlink"/>
                <w:rFonts w:ascii="Arial" w:hAnsi="Arial" w:cs="Arial"/>
                <w:noProof/>
              </w:rPr>
              <w:t>5.1 Potential planned growth path for Innocent Drinks</w:t>
            </w:r>
            <w:r>
              <w:rPr>
                <w:noProof/>
                <w:webHidden/>
              </w:rPr>
              <w:tab/>
            </w:r>
            <w:r>
              <w:rPr>
                <w:noProof/>
                <w:webHidden/>
              </w:rPr>
              <w:fldChar w:fldCharType="begin"/>
            </w:r>
            <w:r>
              <w:rPr>
                <w:noProof/>
                <w:webHidden/>
              </w:rPr>
              <w:instrText xml:space="preserve"> PAGEREF _Toc224551776 \h </w:instrText>
            </w:r>
            <w:r>
              <w:rPr>
                <w:noProof/>
                <w:webHidden/>
              </w:rPr>
            </w:r>
            <w:r>
              <w:rPr>
                <w:noProof/>
                <w:webHidden/>
              </w:rPr>
              <w:fldChar w:fldCharType="separate"/>
            </w:r>
            <w:r>
              <w:rPr>
                <w:noProof/>
                <w:webHidden/>
              </w:rPr>
              <w:t>10</w:t>
            </w:r>
            <w:r>
              <w:rPr>
                <w:noProof/>
                <w:webHidden/>
              </w:rPr>
              <w:fldChar w:fldCharType="end"/>
            </w:r>
          </w:hyperlink>
        </w:p>
        <w:p w14:paraId="3258A8E7" w14:textId="48D033FB" w:rsidR="00E627DF" w:rsidRDefault="00E627DF">
          <w:pPr>
            <w:pStyle w:val="TOC2"/>
            <w:tabs>
              <w:tab w:val="right" w:leader="dot" w:pos="9016"/>
            </w:tabs>
            <w:rPr>
              <w:rFonts w:eastAsiaTheme="minorEastAsia"/>
              <w:noProof/>
              <w:sz w:val="24"/>
              <w:szCs w:val="24"/>
              <w:lang w:eastAsia="en-GB"/>
            </w:rPr>
          </w:pPr>
          <w:hyperlink w:anchor="_Toc224551777" w:history="1">
            <w:r w:rsidRPr="00AD3B91">
              <w:rPr>
                <w:rStyle w:val="Hyperlink"/>
                <w:rFonts w:ascii="Arial" w:hAnsi="Arial" w:cs="Arial"/>
                <w:noProof/>
              </w:rPr>
              <w:t>5.2 Recommended strategy and justification</w:t>
            </w:r>
            <w:r>
              <w:rPr>
                <w:noProof/>
                <w:webHidden/>
              </w:rPr>
              <w:tab/>
            </w:r>
            <w:r>
              <w:rPr>
                <w:noProof/>
                <w:webHidden/>
              </w:rPr>
              <w:fldChar w:fldCharType="begin"/>
            </w:r>
            <w:r>
              <w:rPr>
                <w:noProof/>
                <w:webHidden/>
              </w:rPr>
              <w:instrText xml:space="preserve"> PAGEREF _Toc224551777 \h </w:instrText>
            </w:r>
            <w:r>
              <w:rPr>
                <w:noProof/>
                <w:webHidden/>
              </w:rPr>
            </w:r>
            <w:r>
              <w:rPr>
                <w:noProof/>
                <w:webHidden/>
              </w:rPr>
              <w:fldChar w:fldCharType="separate"/>
            </w:r>
            <w:r>
              <w:rPr>
                <w:noProof/>
                <w:webHidden/>
              </w:rPr>
              <w:t>12</w:t>
            </w:r>
            <w:r>
              <w:rPr>
                <w:noProof/>
                <w:webHidden/>
              </w:rPr>
              <w:fldChar w:fldCharType="end"/>
            </w:r>
          </w:hyperlink>
        </w:p>
        <w:p w14:paraId="0E546FA7" w14:textId="6A14A7DD" w:rsidR="00E627DF" w:rsidRDefault="00E627DF">
          <w:pPr>
            <w:pStyle w:val="TOC3"/>
            <w:tabs>
              <w:tab w:val="right" w:leader="dot" w:pos="9016"/>
            </w:tabs>
            <w:rPr>
              <w:rFonts w:cstheme="minorBidi"/>
              <w:noProof/>
              <w:kern w:val="2"/>
              <w:sz w:val="24"/>
              <w:szCs w:val="24"/>
              <w14:ligatures w14:val="standardContextual"/>
            </w:rPr>
          </w:pPr>
          <w:hyperlink w:anchor="_Toc224551778" w:history="1">
            <w:r w:rsidRPr="00AD3B91">
              <w:rPr>
                <w:rStyle w:val="Hyperlink"/>
                <w:rFonts w:ascii="Arial" w:hAnsi="Arial" w:cs="Arial"/>
                <w:noProof/>
              </w:rPr>
              <w:t>5.2.1 Growth Options Through Porter’s Generic Strategies</w:t>
            </w:r>
            <w:r>
              <w:rPr>
                <w:noProof/>
                <w:webHidden/>
              </w:rPr>
              <w:tab/>
            </w:r>
            <w:r>
              <w:rPr>
                <w:noProof/>
                <w:webHidden/>
              </w:rPr>
              <w:fldChar w:fldCharType="begin"/>
            </w:r>
            <w:r>
              <w:rPr>
                <w:noProof/>
                <w:webHidden/>
              </w:rPr>
              <w:instrText xml:space="preserve"> PAGEREF _Toc224551778 \h </w:instrText>
            </w:r>
            <w:r>
              <w:rPr>
                <w:noProof/>
                <w:webHidden/>
              </w:rPr>
            </w:r>
            <w:r>
              <w:rPr>
                <w:noProof/>
                <w:webHidden/>
              </w:rPr>
              <w:fldChar w:fldCharType="separate"/>
            </w:r>
            <w:r>
              <w:rPr>
                <w:noProof/>
                <w:webHidden/>
              </w:rPr>
              <w:t>13</w:t>
            </w:r>
            <w:r>
              <w:rPr>
                <w:noProof/>
                <w:webHidden/>
              </w:rPr>
              <w:fldChar w:fldCharType="end"/>
            </w:r>
          </w:hyperlink>
        </w:p>
        <w:p w14:paraId="584C02F4" w14:textId="7444242F" w:rsidR="00E627DF" w:rsidRDefault="00E627DF">
          <w:pPr>
            <w:pStyle w:val="TOC3"/>
            <w:tabs>
              <w:tab w:val="right" w:leader="dot" w:pos="9016"/>
            </w:tabs>
            <w:rPr>
              <w:rFonts w:cstheme="minorBidi"/>
              <w:noProof/>
              <w:kern w:val="2"/>
              <w:sz w:val="24"/>
              <w:szCs w:val="24"/>
              <w14:ligatures w14:val="standardContextual"/>
            </w:rPr>
          </w:pPr>
          <w:hyperlink w:anchor="_Toc224551779" w:history="1">
            <w:r w:rsidRPr="00AD3B91">
              <w:rPr>
                <w:rStyle w:val="Hyperlink"/>
                <w:rFonts w:ascii="Arial" w:hAnsi="Arial" w:cs="Arial"/>
                <w:noProof/>
              </w:rPr>
              <w:t>5.2.2 Growth Options Through the Ansoff Matrix</w:t>
            </w:r>
            <w:r>
              <w:rPr>
                <w:noProof/>
                <w:webHidden/>
              </w:rPr>
              <w:tab/>
            </w:r>
            <w:r>
              <w:rPr>
                <w:noProof/>
                <w:webHidden/>
              </w:rPr>
              <w:fldChar w:fldCharType="begin"/>
            </w:r>
            <w:r>
              <w:rPr>
                <w:noProof/>
                <w:webHidden/>
              </w:rPr>
              <w:instrText xml:space="preserve"> PAGEREF _Toc224551779 \h </w:instrText>
            </w:r>
            <w:r>
              <w:rPr>
                <w:noProof/>
                <w:webHidden/>
              </w:rPr>
            </w:r>
            <w:r>
              <w:rPr>
                <w:noProof/>
                <w:webHidden/>
              </w:rPr>
              <w:fldChar w:fldCharType="separate"/>
            </w:r>
            <w:r>
              <w:rPr>
                <w:noProof/>
                <w:webHidden/>
              </w:rPr>
              <w:t>14</w:t>
            </w:r>
            <w:r>
              <w:rPr>
                <w:noProof/>
                <w:webHidden/>
              </w:rPr>
              <w:fldChar w:fldCharType="end"/>
            </w:r>
          </w:hyperlink>
        </w:p>
        <w:p w14:paraId="771A27B3" w14:textId="5F3DF6BA" w:rsidR="00E627DF" w:rsidRDefault="00E627DF">
          <w:pPr>
            <w:pStyle w:val="TOC3"/>
            <w:tabs>
              <w:tab w:val="right" w:leader="dot" w:pos="9016"/>
            </w:tabs>
            <w:rPr>
              <w:rFonts w:cstheme="minorBidi"/>
              <w:noProof/>
              <w:kern w:val="2"/>
              <w:sz w:val="24"/>
              <w:szCs w:val="24"/>
              <w14:ligatures w14:val="standardContextual"/>
            </w:rPr>
          </w:pPr>
          <w:hyperlink w:anchor="_Toc224551780" w:history="1">
            <w:r w:rsidRPr="00AD3B91">
              <w:rPr>
                <w:rStyle w:val="Hyperlink"/>
                <w:rFonts w:ascii="Arial" w:hAnsi="Arial" w:cs="Arial"/>
                <w:noProof/>
              </w:rPr>
              <w:t>5.2.3 Growth Options through the BCG Matrix</w:t>
            </w:r>
            <w:r>
              <w:rPr>
                <w:noProof/>
                <w:webHidden/>
              </w:rPr>
              <w:tab/>
            </w:r>
            <w:r>
              <w:rPr>
                <w:noProof/>
                <w:webHidden/>
              </w:rPr>
              <w:fldChar w:fldCharType="begin"/>
            </w:r>
            <w:r>
              <w:rPr>
                <w:noProof/>
                <w:webHidden/>
              </w:rPr>
              <w:instrText xml:space="preserve"> PAGEREF _Toc224551780 \h </w:instrText>
            </w:r>
            <w:r>
              <w:rPr>
                <w:noProof/>
                <w:webHidden/>
              </w:rPr>
            </w:r>
            <w:r>
              <w:rPr>
                <w:noProof/>
                <w:webHidden/>
              </w:rPr>
              <w:fldChar w:fldCharType="separate"/>
            </w:r>
            <w:r>
              <w:rPr>
                <w:noProof/>
                <w:webHidden/>
              </w:rPr>
              <w:t>14</w:t>
            </w:r>
            <w:r>
              <w:rPr>
                <w:noProof/>
                <w:webHidden/>
              </w:rPr>
              <w:fldChar w:fldCharType="end"/>
            </w:r>
          </w:hyperlink>
        </w:p>
        <w:p w14:paraId="4171EECB" w14:textId="1878FC97" w:rsidR="00E627DF" w:rsidRDefault="00E627DF">
          <w:pPr>
            <w:pStyle w:val="TOC2"/>
            <w:tabs>
              <w:tab w:val="right" w:leader="dot" w:pos="9016"/>
            </w:tabs>
            <w:rPr>
              <w:rFonts w:eastAsiaTheme="minorEastAsia"/>
              <w:noProof/>
              <w:sz w:val="24"/>
              <w:szCs w:val="24"/>
              <w:lang w:eastAsia="en-GB"/>
            </w:rPr>
          </w:pPr>
          <w:hyperlink w:anchor="_Toc224551781" w:history="1">
            <w:r w:rsidRPr="00AD3B91">
              <w:rPr>
                <w:rStyle w:val="Hyperlink"/>
                <w:noProof/>
              </w:rPr>
              <w:t>5.3 Recommended strategies and justification</w:t>
            </w:r>
            <w:r>
              <w:rPr>
                <w:noProof/>
                <w:webHidden/>
              </w:rPr>
              <w:tab/>
            </w:r>
            <w:r>
              <w:rPr>
                <w:noProof/>
                <w:webHidden/>
              </w:rPr>
              <w:fldChar w:fldCharType="begin"/>
            </w:r>
            <w:r>
              <w:rPr>
                <w:noProof/>
                <w:webHidden/>
              </w:rPr>
              <w:instrText xml:space="preserve"> PAGEREF _Toc224551781 \h </w:instrText>
            </w:r>
            <w:r>
              <w:rPr>
                <w:noProof/>
                <w:webHidden/>
              </w:rPr>
            </w:r>
            <w:r>
              <w:rPr>
                <w:noProof/>
                <w:webHidden/>
              </w:rPr>
              <w:fldChar w:fldCharType="separate"/>
            </w:r>
            <w:r>
              <w:rPr>
                <w:noProof/>
                <w:webHidden/>
              </w:rPr>
              <w:t>15</w:t>
            </w:r>
            <w:r>
              <w:rPr>
                <w:noProof/>
                <w:webHidden/>
              </w:rPr>
              <w:fldChar w:fldCharType="end"/>
            </w:r>
          </w:hyperlink>
        </w:p>
        <w:p w14:paraId="4AE2C9D2" w14:textId="43E0DDFF" w:rsidR="00E627DF" w:rsidRDefault="00E627DF">
          <w:pPr>
            <w:pStyle w:val="TOC3"/>
            <w:tabs>
              <w:tab w:val="right" w:leader="dot" w:pos="9016"/>
            </w:tabs>
            <w:rPr>
              <w:rFonts w:cstheme="minorBidi"/>
              <w:noProof/>
              <w:kern w:val="2"/>
              <w:sz w:val="24"/>
              <w:szCs w:val="24"/>
              <w14:ligatures w14:val="standardContextual"/>
            </w:rPr>
          </w:pPr>
          <w:hyperlink w:anchor="_Toc224551782" w:history="1">
            <w:r w:rsidRPr="00AD3B91">
              <w:rPr>
                <w:rStyle w:val="Hyperlink"/>
                <w:noProof/>
              </w:rPr>
              <w:t>5.3.1 Strategies</w:t>
            </w:r>
            <w:r>
              <w:rPr>
                <w:noProof/>
                <w:webHidden/>
              </w:rPr>
              <w:tab/>
            </w:r>
            <w:r>
              <w:rPr>
                <w:noProof/>
                <w:webHidden/>
              </w:rPr>
              <w:fldChar w:fldCharType="begin"/>
            </w:r>
            <w:r>
              <w:rPr>
                <w:noProof/>
                <w:webHidden/>
              </w:rPr>
              <w:instrText xml:space="preserve"> PAGEREF _Toc224551782 \h </w:instrText>
            </w:r>
            <w:r>
              <w:rPr>
                <w:noProof/>
                <w:webHidden/>
              </w:rPr>
            </w:r>
            <w:r>
              <w:rPr>
                <w:noProof/>
                <w:webHidden/>
              </w:rPr>
              <w:fldChar w:fldCharType="separate"/>
            </w:r>
            <w:r>
              <w:rPr>
                <w:noProof/>
                <w:webHidden/>
              </w:rPr>
              <w:t>15</w:t>
            </w:r>
            <w:r>
              <w:rPr>
                <w:noProof/>
                <w:webHidden/>
              </w:rPr>
              <w:fldChar w:fldCharType="end"/>
            </w:r>
          </w:hyperlink>
        </w:p>
        <w:p w14:paraId="79656297" w14:textId="4426DEF5" w:rsidR="00E627DF" w:rsidRDefault="00E627DF">
          <w:pPr>
            <w:pStyle w:val="TOC3"/>
            <w:tabs>
              <w:tab w:val="right" w:leader="dot" w:pos="9016"/>
            </w:tabs>
            <w:rPr>
              <w:rFonts w:cstheme="minorBidi"/>
              <w:noProof/>
              <w:kern w:val="2"/>
              <w:sz w:val="24"/>
              <w:szCs w:val="24"/>
              <w14:ligatures w14:val="standardContextual"/>
            </w:rPr>
          </w:pPr>
          <w:hyperlink w:anchor="_Toc224551783" w:history="1">
            <w:r w:rsidRPr="00AD3B91">
              <w:rPr>
                <w:rStyle w:val="Hyperlink"/>
                <w:noProof/>
              </w:rPr>
              <w:t>5.3.2 Strategic Justification</w:t>
            </w:r>
            <w:r>
              <w:rPr>
                <w:noProof/>
                <w:webHidden/>
              </w:rPr>
              <w:tab/>
            </w:r>
            <w:r>
              <w:rPr>
                <w:noProof/>
                <w:webHidden/>
              </w:rPr>
              <w:fldChar w:fldCharType="begin"/>
            </w:r>
            <w:r>
              <w:rPr>
                <w:noProof/>
                <w:webHidden/>
              </w:rPr>
              <w:instrText xml:space="preserve"> PAGEREF _Toc224551783 \h </w:instrText>
            </w:r>
            <w:r>
              <w:rPr>
                <w:noProof/>
                <w:webHidden/>
              </w:rPr>
            </w:r>
            <w:r>
              <w:rPr>
                <w:noProof/>
                <w:webHidden/>
              </w:rPr>
              <w:fldChar w:fldCharType="separate"/>
            </w:r>
            <w:r>
              <w:rPr>
                <w:noProof/>
                <w:webHidden/>
              </w:rPr>
              <w:t>15</w:t>
            </w:r>
            <w:r>
              <w:rPr>
                <w:noProof/>
                <w:webHidden/>
              </w:rPr>
              <w:fldChar w:fldCharType="end"/>
            </w:r>
          </w:hyperlink>
        </w:p>
        <w:p w14:paraId="41842AE0" w14:textId="2C102421" w:rsidR="00E627DF" w:rsidRDefault="00E627DF">
          <w:pPr>
            <w:pStyle w:val="TOC3"/>
            <w:tabs>
              <w:tab w:val="right" w:leader="dot" w:pos="9016"/>
            </w:tabs>
            <w:rPr>
              <w:rFonts w:cstheme="minorBidi"/>
              <w:noProof/>
              <w:kern w:val="2"/>
              <w:sz w:val="24"/>
              <w:szCs w:val="24"/>
              <w14:ligatures w14:val="standardContextual"/>
            </w:rPr>
          </w:pPr>
          <w:hyperlink w:anchor="_Toc224551784" w:history="1">
            <w:r w:rsidRPr="00AD3B91">
              <w:rPr>
                <w:rStyle w:val="Hyperlink"/>
                <w:noProof/>
              </w:rPr>
              <w:t>5.3.3 Coordination with Existing Product Range</w:t>
            </w:r>
            <w:r>
              <w:rPr>
                <w:noProof/>
                <w:webHidden/>
              </w:rPr>
              <w:tab/>
            </w:r>
            <w:r>
              <w:rPr>
                <w:noProof/>
                <w:webHidden/>
              </w:rPr>
              <w:fldChar w:fldCharType="begin"/>
            </w:r>
            <w:r>
              <w:rPr>
                <w:noProof/>
                <w:webHidden/>
              </w:rPr>
              <w:instrText xml:space="preserve"> PAGEREF _Toc224551784 \h </w:instrText>
            </w:r>
            <w:r>
              <w:rPr>
                <w:noProof/>
                <w:webHidden/>
              </w:rPr>
            </w:r>
            <w:r>
              <w:rPr>
                <w:noProof/>
                <w:webHidden/>
              </w:rPr>
              <w:fldChar w:fldCharType="separate"/>
            </w:r>
            <w:r>
              <w:rPr>
                <w:noProof/>
                <w:webHidden/>
              </w:rPr>
              <w:t>16</w:t>
            </w:r>
            <w:r>
              <w:rPr>
                <w:noProof/>
                <w:webHidden/>
              </w:rPr>
              <w:fldChar w:fldCharType="end"/>
            </w:r>
          </w:hyperlink>
        </w:p>
        <w:p w14:paraId="066D9C22" w14:textId="6FB5CB59" w:rsidR="00E627DF" w:rsidRDefault="00E627DF">
          <w:pPr>
            <w:pStyle w:val="TOC1"/>
            <w:tabs>
              <w:tab w:val="right" w:leader="dot" w:pos="9016"/>
            </w:tabs>
            <w:rPr>
              <w:rFonts w:eastAsiaTheme="minorEastAsia"/>
              <w:noProof/>
              <w:sz w:val="24"/>
              <w:szCs w:val="24"/>
              <w:lang w:eastAsia="en-GB"/>
            </w:rPr>
          </w:pPr>
          <w:hyperlink w:anchor="_Toc224551785" w:history="1">
            <w:r w:rsidRPr="00AD3B91">
              <w:rPr>
                <w:rStyle w:val="Hyperlink"/>
                <w:rFonts w:ascii="Arial" w:hAnsi="Arial" w:cs="Arial"/>
                <w:noProof/>
              </w:rPr>
              <w:t>6. SFA to evaluate the proposed strategy</w:t>
            </w:r>
            <w:r>
              <w:rPr>
                <w:noProof/>
                <w:webHidden/>
              </w:rPr>
              <w:tab/>
            </w:r>
            <w:r>
              <w:rPr>
                <w:noProof/>
                <w:webHidden/>
              </w:rPr>
              <w:fldChar w:fldCharType="begin"/>
            </w:r>
            <w:r>
              <w:rPr>
                <w:noProof/>
                <w:webHidden/>
              </w:rPr>
              <w:instrText xml:space="preserve"> PAGEREF _Toc224551785 \h </w:instrText>
            </w:r>
            <w:r>
              <w:rPr>
                <w:noProof/>
                <w:webHidden/>
              </w:rPr>
            </w:r>
            <w:r>
              <w:rPr>
                <w:noProof/>
                <w:webHidden/>
              </w:rPr>
              <w:fldChar w:fldCharType="separate"/>
            </w:r>
            <w:r>
              <w:rPr>
                <w:noProof/>
                <w:webHidden/>
              </w:rPr>
              <w:t>17</w:t>
            </w:r>
            <w:r>
              <w:rPr>
                <w:noProof/>
                <w:webHidden/>
              </w:rPr>
              <w:fldChar w:fldCharType="end"/>
            </w:r>
          </w:hyperlink>
        </w:p>
        <w:p w14:paraId="360B8624" w14:textId="39B103E2" w:rsidR="00E627DF" w:rsidRDefault="00E627DF">
          <w:pPr>
            <w:pStyle w:val="TOC2"/>
            <w:tabs>
              <w:tab w:val="right" w:leader="dot" w:pos="9016"/>
            </w:tabs>
            <w:rPr>
              <w:rFonts w:eastAsiaTheme="minorEastAsia"/>
              <w:noProof/>
              <w:sz w:val="24"/>
              <w:szCs w:val="24"/>
              <w:lang w:eastAsia="en-GB"/>
            </w:rPr>
          </w:pPr>
          <w:hyperlink w:anchor="_Toc224551786" w:history="1">
            <w:r w:rsidRPr="00AD3B91">
              <w:rPr>
                <w:rStyle w:val="Hyperlink"/>
                <w:rFonts w:ascii="Arial" w:hAnsi="Arial" w:cs="Arial"/>
                <w:noProof/>
              </w:rPr>
              <w:t>6.1 Evaluation of strategic options</w:t>
            </w:r>
            <w:r>
              <w:rPr>
                <w:noProof/>
                <w:webHidden/>
              </w:rPr>
              <w:tab/>
            </w:r>
            <w:r>
              <w:rPr>
                <w:noProof/>
                <w:webHidden/>
              </w:rPr>
              <w:fldChar w:fldCharType="begin"/>
            </w:r>
            <w:r>
              <w:rPr>
                <w:noProof/>
                <w:webHidden/>
              </w:rPr>
              <w:instrText xml:space="preserve"> PAGEREF _Toc224551786 \h </w:instrText>
            </w:r>
            <w:r>
              <w:rPr>
                <w:noProof/>
                <w:webHidden/>
              </w:rPr>
            </w:r>
            <w:r>
              <w:rPr>
                <w:noProof/>
                <w:webHidden/>
              </w:rPr>
              <w:fldChar w:fldCharType="separate"/>
            </w:r>
            <w:r>
              <w:rPr>
                <w:noProof/>
                <w:webHidden/>
              </w:rPr>
              <w:t>18</w:t>
            </w:r>
            <w:r>
              <w:rPr>
                <w:noProof/>
                <w:webHidden/>
              </w:rPr>
              <w:fldChar w:fldCharType="end"/>
            </w:r>
          </w:hyperlink>
        </w:p>
        <w:p w14:paraId="7325D8FC" w14:textId="207D7CA2" w:rsidR="00E627DF" w:rsidRDefault="00E627DF">
          <w:pPr>
            <w:pStyle w:val="TOC1"/>
            <w:tabs>
              <w:tab w:val="right" w:leader="dot" w:pos="9016"/>
            </w:tabs>
            <w:rPr>
              <w:rFonts w:eastAsiaTheme="minorEastAsia"/>
              <w:noProof/>
              <w:sz w:val="24"/>
              <w:szCs w:val="24"/>
              <w:lang w:eastAsia="en-GB"/>
            </w:rPr>
          </w:pPr>
          <w:hyperlink w:anchor="_Toc224551787" w:history="1">
            <w:r w:rsidRPr="00AD3B91">
              <w:rPr>
                <w:rStyle w:val="Hyperlink"/>
                <w:rFonts w:ascii="Arial" w:hAnsi="Arial" w:cs="Arial"/>
                <w:noProof/>
              </w:rPr>
              <w:t>7. Stakeholder Analysis</w:t>
            </w:r>
            <w:r>
              <w:rPr>
                <w:noProof/>
                <w:webHidden/>
              </w:rPr>
              <w:tab/>
            </w:r>
            <w:r>
              <w:rPr>
                <w:noProof/>
                <w:webHidden/>
              </w:rPr>
              <w:fldChar w:fldCharType="begin"/>
            </w:r>
            <w:r>
              <w:rPr>
                <w:noProof/>
                <w:webHidden/>
              </w:rPr>
              <w:instrText xml:space="preserve"> PAGEREF _Toc224551787 \h </w:instrText>
            </w:r>
            <w:r>
              <w:rPr>
                <w:noProof/>
                <w:webHidden/>
              </w:rPr>
            </w:r>
            <w:r>
              <w:rPr>
                <w:noProof/>
                <w:webHidden/>
              </w:rPr>
              <w:fldChar w:fldCharType="separate"/>
            </w:r>
            <w:r>
              <w:rPr>
                <w:noProof/>
                <w:webHidden/>
              </w:rPr>
              <w:t>18</w:t>
            </w:r>
            <w:r>
              <w:rPr>
                <w:noProof/>
                <w:webHidden/>
              </w:rPr>
              <w:fldChar w:fldCharType="end"/>
            </w:r>
          </w:hyperlink>
        </w:p>
        <w:p w14:paraId="0E022772" w14:textId="2231D99C" w:rsidR="00E627DF" w:rsidRDefault="00E627DF">
          <w:pPr>
            <w:pStyle w:val="TOC2"/>
            <w:tabs>
              <w:tab w:val="right" w:leader="dot" w:pos="9016"/>
            </w:tabs>
            <w:rPr>
              <w:rFonts w:eastAsiaTheme="minorEastAsia"/>
              <w:noProof/>
              <w:sz w:val="24"/>
              <w:szCs w:val="24"/>
              <w:lang w:eastAsia="en-GB"/>
            </w:rPr>
          </w:pPr>
          <w:hyperlink w:anchor="_Toc224551788" w:history="1">
            <w:r w:rsidRPr="00AD3B91">
              <w:rPr>
                <w:rStyle w:val="Hyperlink"/>
                <w:noProof/>
              </w:rPr>
              <w:t>7.1 Mendelow’s Matrix for Innocent’s Strategic Stakeholders</w:t>
            </w:r>
            <w:r>
              <w:rPr>
                <w:noProof/>
                <w:webHidden/>
              </w:rPr>
              <w:tab/>
            </w:r>
            <w:r>
              <w:rPr>
                <w:noProof/>
                <w:webHidden/>
              </w:rPr>
              <w:fldChar w:fldCharType="begin"/>
            </w:r>
            <w:r>
              <w:rPr>
                <w:noProof/>
                <w:webHidden/>
              </w:rPr>
              <w:instrText xml:space="preserve"> PAGEREF _Toc224551788 \h </w:instrText>
            </w:r>
            <w:r>
              <w:rPr>
                <w:noProof/>
                <w:webHidden/>
              </w:rPr>
            </w:r>
            <w:r>
              <w:rPr>
                <w:noProof/>
                <w:webHidden/>
              </w:rPr>
              <w:fldChar w:fldCharType="separate"/>
            </w:r>
            <w:r>
              <w:rPr>
                <w:noProof/>
                <w:webHidden/>
              </w:rPr>
              <w:t>19</w:t>
            </w:r>
            <w:r>
              <w:rPr>
                <w:noProof/>
                <w:webHidden/>
              </w:rPr>
              <w:fldChar w:fldCharType="end"/>
            </w:r>
          </w:hyperlink>
        </w:p>
        <w:p w14:paraId="03B00979" w14:textId="60EB380D" w:rsidR="00E627DF" w:rsidRDefault="00E627DF">
          <w:pPr>
            <w:pStyle w:val="TOC3"/>
            <w:tabs>
              <w:tab w:val="right" w:leader="dot" w:pos="9016"/>
            </w:tabs>
            <w:rPr>
              <w:rFonts w:cstheme="minorBidi"/>
              <w:noProof/>
              <w:kern w:val="2"/>
              <w:sz w:val="24"/>
              <w:szCs w:val="24"/>
              <w14:ligatures w14:val="standardContextual"/>
            </w:rPr>
          </w:pPr>
          <w:hyperlink w:anchor="_Toc224551789" w:history="1">
            <w:r w:rsidRPr="00AD3B91">
              <w:rPr>
                <w:rStyle w:val="Hyperlink"/>
                <w:rFonts w:ascii="Arial" w:hAnsi="Arial" w:cs="Arial"/>
                <w:noProof/>
              </w:rPr>
              <w:t>7.1.1 Mendelow Matrix table</w:t>
            </w:r>
            <w:r>
              <w:rPr>
                <w:noProof/>
                <w:webHidden/>
              </w:rPr>
              <w:tab/>
            </w:r>
            <w:r>
              <w:rPr>
                <w:noProof/>
                <w:webHidden/>
              </w:rPr>
              <w:fldChar w:fldCharType="begin"/>
            </w:r>
            <w:r>
              <w:rPr>
                <w:noProof/>
                <w:webHidden/>
              </w:rPr>
              <w:instrText xml:space="preserve"> PAGEREF _Toc224551789 \h </w:instrText>
            </w:r>
            <w:r>
              <w:rPr>
                <w:noProof/>
                <w:webHidden/>
              </w:rPr>
            </w:r>
            <w:r>
              <w:rPr>
                <w:noProof/>
                <w:webHidden/>
              </w:rPr>
              <w:fldChar w:fldCharType="separate"/>
            </w:r>
            <w:r>
              <w:rPr>
                <w:noProof/>
                <w:webHidden/>
              </w:rPr>
              <w:t>19</w:t>
            </w:r>
            <w:r>
              <w:rPr>
                <w:noProof/>
                <w:webHidden/>
              </w:rPr>
              <w:fldChar w:fldCharType="end"/>
            </w:r>
          </w:hyperlink>
        </w:p>
        <w:p w14:paraId="13681E42" w14:textId="2CD122F7" w:rsidR="00E627DF" w:rsidRDefault="00E627DF">
          <w:pPr>
            <w:pStyle w:val="TOC3"/>
            <w:tabs>
              <w:tab w:val="right" w:leader="dot" w:pos="9016"/>
            </w:tabs>
            <w:rPr>
              <w:rFonts w:cstheme="minorBidi"/>
              <w:noProof/>
              <w:kern w:val="2"/>
              <w:sz w:val="24"/>
              <w:szCs w:val="24"/>
              <w14:ligatures w14:val="standardContextual"/>
            </w:rPr>
          </w:pPr>
          <w:hyperlink w:anchor="_Toc224551790" w:history="1">
            <w:r w:rsidRPr="00AD3B91">
              <w:rPr>
                <w:rStyle w:val="Hyperlink"/>
                <w:rFonts w:ascii="Arial" w:hAnsi="Arial" w:cs="Arial"/>
                <w:noProof/>
              </w:rPr>
              <w:t>7.1.2 Explanation of figure</w:t>
            </w:r>
            <w:r>
              <w:rPr>
                <w:noProof/>
                <w:webHidden/>
              </w:rPr>
              <w:tab/>
            </w:r>
            <w:r>
              <w:rPr>
                <w:noProof/>
                <w:webHidden/>
              </w:rPr>
              <w:fldChar w:fldCharType="begin"/>
            </w:r>
            <w:r>
              <w:rPr>
                <w:noProof/>
                <w:webHidden/>
              </w:rPr>
              <w:instrText xml:space="preserve"> PAGEREF _Toc224551790 \h </w:instrText>
            </w:r>
            <w:r>
              <w:rPr>
                <w:noProof/>
                <w:webHidden/>
              </w:rPr>
            </w:r>
            <w:r>
              <w:rPr>
                <w:noProof/>
                <w:webHidden/>
              </w:rPr>
              <w:fldChar w:fldCharType="separate"/>
            </w:r>
            <w:r>
              <w:rPr>
                <w:noProof/>
                <w:webHidden/>
              </w:rPr>
              <w:t>20</w:t>
            </w:r>
            <w:r>
              <w:rPr>
                <w:noProof/>
                <w:webHidden/>
              </w:rPr>
              <w:fldChar w:fldCharType="end"/>
            </w:r>
          </w:hyperlink>
        </w:p>
        <w:p w14:paraId="1C5D7F67" w14:textId="56983681" w:rsidR="00E627DF" w:rsidRDefault="00E627DF">
          <w:pPr>
            <w:pStyle w:val="TOC1"/>
            <w:tabs>
              <w:tab w:val="right" w:leader="dot" w:pos="9016"/>
            </w:tabs>
            <w:rPr>
              <w:rFonts w:eastAsiaTheme="minorEastAsia"/>
              <w:noProof/>
              <w:sz w:val="24"/>
              <w:szCs w:val="24"/>
              <w:lang w:eastAsia="en-GB"/>
            </w:rPr>
          </w:pPr>
          <w:hyperlink w:anchor="_Toc224551791" w:history="1">
            <w:r w:rsidRPr="00AD3B91">
              <w:rPr>
                <w:rStyle w:val="Hyperlink"/>
                <w:rFonts w:ascii="Arial" w:hAnsi="Arial" w:cs="Arial"/>
                <w:noProof/>
              </w:rPr>
              <w:t>8. Implementation and Monitoring</w:t>
            </w:r>
            <w:r>
              <w:rPr>
                <w:noProof/>
                <w:webHidden/>
              </w:rPr>
              <w:tab/>
            </w:r>
            <w:r>
              <w:rPr>
                <w:noProof/>
                <w:webHidden/>
              </w:rPr>
              <w:fldChar w:fldCharType="begin"/>
            </w:r>
            <w:r>
              <w:rPr>
                <w:noProof/>
                <w:webHidden/>
              </w:rPr>
              <w:instrText xml:space="preserve"> PAGEREF _Toc224551791 \h </w:instrText>
            </w:r>
            <w:r>
              <w:rPr>
                <w:noProof/>
                <w:webHidden/>
              </w:rPr>
            </w:r>
            <w:r>
              <w:rPr>
                <w:noProof/>
                <w:webHidden/>
              </w:rPr>
              <w:fldChar w:fldCharType="separate"/>
            </w:r>
            <w:r>
              <w:rPr>
                <w:noProof/>
                <w:webHidden/>
              </w:rPr>
              <w:t>20</w:t>
            </w:r>
            <w:r>
              <w:rPr>
                <w:noProof/>
                <w:webHidden/>
              </w:rPr>
              <w:fldChar w:fldCharType="end"/>
            </w:r>
          </w:hyperlink>
        </w:p>
        <w:p w14:paraId="49ED5973" w14:textId="65C1D367" w:rsidR="00E627DF" w:rsidRDefault="00E627DF">
          <w:pPr>
            <w:pStyle w:val="TOC2"/>
            <w:tabs>
              <w:tab w:val="right" w:leader="dot" w:pos="9016"/>
            </w:tabs>
            <w:rPr>
              <w:rFonts w:eastAsiaTheme="minorEastAsia"/>
              <w:noProof/>
              <w:sz w:val="24"/>
              <w:szCs w:val="24"/>
              <w:lang w:eastAsia="en-GB"/>
            </w:rPr>
          </w:pPr>
          <w:hyperlink w:anchor="_Toc224551792" w:history="1">
            <w:r w:rsidRPr="00AD3B91">
              <w:rPr>
                <w:rStyle w:val="Hyperlink"/>
                <w:rFonts w:ascii="Arial" w:hAnsi="Arial" w:cs="Arial"/>
                <w:noProof/>
              </w:rPr>
              <w:t>8.1 Objectives and Key Actions</w:t>
            </w:r>
            <w:r>
              <w:rPr>
                <w:noProof/>
                <w:webHidden/>
              </w:rPr>
              <w:tab/>
            </w:r>
            <w:r>
              <w:rPr>
                <w:noProof/>
                <w:webHidden/>
              </w:rPr>
              <w:fldChar w:fldCharType="begin"/>
            </w:r>
            <w:r>
              <w:rPr>
                <w:noProof/>
                <w:webHidden/>
              </w:rPr>
              <w:instrText xml:space="preserve"> PAGEREF _Toc224551792 \h </w:instrText>
            </w:r>
            <w:r>
              <w:rPr>
                <w:noProof/>
                <w:webHidden/>
              </w:rPr>
            </w:r>
            <w:r>
              <w:rPr>
                <w:noProof/>
                <w:webHidden/>
              </w:rPr>
              <w:fldChar w:fldCharType="separate"/>
            </w:r>
            <w:r>
              <w:rPr>
                <w:noProof/>
                <w:webHidden/>
              </w:rPr>
              <w:t>21</w:t>
            </w:r>
            <w:r>
              <w:rPr>
                <w:noProof/>
                <w:webHidden/>
              </w:rPr>
              <w:fldChar w:fldCharType="end"/>
            </w:r>
          </w:hyperlink>
        </w:p>
        <w:p w14:paraId="318D721C" w14:textId="15F479F0" w:rsidR="00E627DF" w:rsidRDefault="00E627DF">
          <w:pPr>
            <w:pStyle w:val="TOC2"/>
            <w:tabs>
              <w:tab w:val="right" w:leader="dot" w:pos="9016"/>
            </w:tabs>
            <w:rPr>
              <w:rFonts w:eastAsiaTheme="minorEastAsia"/>
              <w:noProof/>
              <w:sz w:val="24"/>
              <w:szCs w:val="24"/>
              <w:lang w:eastAsia="en-GB"/>
            </w:rPr>
          </w:pPr>
          <w:hyperlink w:anchor="_Toc224551793" w:history="1">
            <w:r w:rsidRPr="00AD3B91">
              <w:rPr>
                <w:rStyle w:val="Hyperlink"/>
                <w:rFonts w:ascii="Arial" w:hAnsi="Arial" w:cs="Arial"/>
                <w:noProof/>
              </w:rPr>
              <w:t>8.2 KPIs and Balanced Scorecard</w:t>
            </w:r>
            <w:r>
              <w:rPr>
                <w:noProof/>
                <w:webHidden/>
              </w:rPr>
              <w:tab/>
            </w:r>
            <w:r>
              <w:rPr>
                <w:noProof/>
                <w:webHidden/>
              </w:rPr>
              <w:fldChar w:fldCharType="begin"/>
            </w:r>
            <w:r>
              <w:rPr>
                <w:noProof/>
                <w:webHidden/>
              </w:rPr>
              <w:instrText xml:space="preserve"> PAGEREF _Toc224551793 \h </w:instrText>
            </w:r>
            <w:r>
              <w:rPr>
                <w:noProof/>
                <w:webHidden/>
              </w:rPr>
            </w:r>
            <w:r>
              <w:rPr>
                <w:noProof/>
                <w:webHidden/>
              </w:rPr>
              <w:fldChar w:fldCharType="separate"/>
            </w:r>
            <w:r>
              <w:rPr>
                <w:noProof/>
                <w:webHidden/>
              </w:rPr>
              <w:t>21</w:t>
            </w:r>
            <w:r>
              <w:rPr>
                <w:noProof/>
                <w:webHidden/>
              </w:rPr>
              <w:fldChar w:fldCharType="end"/>
            </w:r>
          </w:hyperlink>
        </w:p>
        <w:p w14:paraId="1A5F7424" w14:textId="3A40616D" w:rsidR="00E627DF" w:rsidRDefault="00E627DF">
          <w:pPr>
            <w:pStyle w:val="TOC1"/>
            <w:tabs>
              <w:tab w:val="right" w:leader="dot" w:pos="9016"/>
            </w:tabs>
            <w:rPr>
              <w:rFonts w:eastAsiaTheme="minorEastAsia"/>
              <w:noProof/>
              <w:sz w:val="24"/>
              <w:szCs w:val="24"/>
              <w:lang w:eastAsia="en-GB"/>
            </w:rPr>
          </w:pPr>
          <w:hyperlink w:anchor="_Toc224551794" w:history="1">
            <w:r w:rsidRPr="00AD3B91">
              <w:rPr>
                <w:rStyle w:val="Hyperlink"/>
                <w:rFonts w:ascii="Arial" w:hAnsi="Arial" w:cs="Arial"/>
                <w:noProof/>
              </w:rPr>
              <w:t>9. Risk Assessment</w:t>
            </w:r>
            <w:r>
              <w:rPr>
                <w:noProof/>
                <w:webHidden/>
              </w:rPr>
              <w:tab/>
            </w:r>
            <w:r>
              <w:rPr>
                <w:noProof/>
                <w:webHidden/>
              </w:rPr>
              <w:fldChar w:fldCharType="begin"/>
            </w:r>
            <w:r>
              <w:rPr>
                <w:noProof/>
                <w:webHidden/>
              </w:rPr>
              <w:instrText xml:space="preserve"> PAGEREF _Toc224551794 \h </w:instrText>
            </w:r>
            <w:r>
              <w:rPr>
                <w:noProof/>
                <w:webHidden/>
              </w:rPr>
            </w:r>
            <w:r>
              <w:rPr>
                <w:noProof/>
                <w:webHidden/>
              </w:rPr>
              <w:fldChar w:fldCharType="separate"/>
            </w:r>
            <w:r>
              <w:rPr>
                <w:noProof/>
                <w:webHidden/>
              </w:rPr>
              <w:t>21</w:t>
            </w:r>
            <w:r>
              <w:rPr>
                <w:noProof/>
                <w:webHidden/>
              </w:rPr>
              <w:fldChar w:fldCharType="end"/>
            </w:r>
          </w:hyperlink>
        </w:p>
        <w:p w14:paraId="5AF745FE" w14:textId="6A96307B" w:rsidR="00E627DF" w:rsidRDefault="00E627DF">
          <w:pPr>
            <w:pStyle w:val="TOC1"/>
            <w:tabs>
              <w:tab w:val="right" w:leader="dot" w:pos="9016"/>
            </w:tabs>
            <w:rPr>
              <w:rFonts w:eastAsiaTheme="minorEastAsia"/>
              <w:noProof/>
              <w:sz w:val="24"/>
              <w:szCs w:val="24"/>
              <w:lang w:eastAsia="en-GB"/>
            </w:rPr>
          </w:pPr>
          <w:hyperlink w:anchor="_Toc224551795" w:history="1">
            <w:r w:rsidRPr="00AD3B91">
              <w:rPr>
                <w:rStyle w:val="Hyperlink"/>
                <w:rFonts w:ascii="Arial" w:hAnsi="Arial" w:cs="Arial"/>
                <w:noProof/>
              </w:rPr>
              <w:t>10. Conclusion</w:t>
            </w:r>
            <w:r>
              <w:rPr>
                <w:noProof/>
                <w:webHidden/>
              </w:rPr>
              <w:tab/>
            </w:r>
            <w:r>
              <w:rPr>
                <w:noProof/>
                <w:webHidden/>
              </w:rPr>
              <w:fldChar w:fldCharType="begin"/>
            </w:r>
            <w:r>
              <w:rPr>
                <w:noProof/>
                <w:webHidden/>
              </w:rPr>
              <w:instrText xml:space="preserve"> PAGEREF _Toc224551795 \h </w:instrText>
            </w:r>
            <w:r>
              <w:rPr>
                <w:noProof/>
                <w:webHidden/>
              </w:rPr>
            </w:r>
            <w:r>
              <w:rPr>
                <w:noProof/>
                <w:webHidden/>
              </w:rPr>
              <w:fldChar w:fldCharType="separate"/>
            </w:r>
            <w:r>
              <w:rPr>
                <w:noProof/>
                <w:webHidden/>
              </w:rPr>
              <w:t>22</w:t>
            </w:r>
            <w:r>
              <w:rPr>
                <w:noProof/>
                <w:webHidden/>
              </w:rPr>
              <w:fldChar w:fldCharType="end"/>
            </w:r>
          </w:hyperlink>
        </w:p>
        <w:p w14:paraId="5B4514F6" w14:textId="7F7D90D3" w:rsidR="00E627DF" w:rsidRDefault="00E627DF">
          <w:pPr>
            <w:pStyle w:val="TOC1"/>
            <w:tabs>
              <w:tab w:val="right" w:leader="dot" w:pos="9016"/>
            </w:tabs>
            <w:rPr>
              <w:rFonts w:eastAsiaTheme="minorEastAsia"/>
              <w:noProof/>
              <w:sz w:val="24"/>
              <w:szCs w:val="24"/>
              <w:lang w:eastAsia="en-GB"/>
            </w:rPr>
          </w:pPr>
          <w:hyperlink w:anchor="_Toc224551796" w:history="1">
            <w:r w:rsidRPr="00AD3B9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_Toc224551796 \h </w:instrText>
            </w:r>
            <w:r>
              <w:rPr>
                <w:noProof/>
                <w:webHidden/>
              </w:rPr>
            </w:r>
            <w:r>
              <w:rPr>
                <w:noProof/>
                <w:webHidden/>
              </w:rPr>
              <w:fldChar w:fldCharType="separate"/>
            </w:r>
            <w:r>
              <w:rPr>
                <w:noProof/>
                <w:webHidden/>
              </w:rPr>
              <w:t>23</w:t>
            </w:r>
            <w:r>
              <w:rPr>
                <w:noProof/>
                <w:webHidden/>
              </w:rPr>
              <w:fldChar w:fldCharType="end"/>
            </w:r>
          </w:hyperlink>
        </w:p>
        <w:p w14:paraId="106B0803" w14:textId="04420C98" w:rsidR="00876D66" w:rsidRDefault="00876D66">
          <w:r>
            <w:rPr>
              <w:b/>
              <w:bCs/>
            </w:rPr>
            <w:fldChar w:fldCharType="end"/>
          </w:r>
        </w:p>
      </w:sdtContent>
    </w:sdt>
    <w:p w14:paraId="2A90D4EE" w14:textId="77777777" w:rsidR="00A37B17" w:rsidRDefault="00A37B17" w:rsidP="004F7A2A"/>
    <w:p w14:paraId="2FC4EF19" w14:textId="77777777" w:rsidR="00A37B17" w:rsidRDefault="00A37B17" w:rsidP="004F7A2A"/>
    <w:p w14:paraId="1E52C8FA" w14:textId="77777777" w:rsidR="00A37B17" w:rsidRDefault="00A37B17" w:rsidP="004F7A2A"/>
    <w:p w14:paraId="15F1DFBB" w14:textId="77777777" w:rsidR="00A37B17" w:rsidRDefault="00A37B17" w:rsidP="004F7A2A"/>
    <w:p w14:paraId="30A12890" w14:textId="77777777" w:rsidR="00A37B17" w:rsidRDefault="00A37B17" w:rsidP="004F7A2A"/>
    <w:p w14:paraId="6D45AE40" w14:textId="77777777" w:rsidR="004F7A2A" w:rsidRDefault="004F7A2A" w:rsidP="004F7A2A"/>
    <w:p w14:paraId="0B507308" w14:textId="77777777" w:rsidR="00876D66" w:rsidRDefault="00876D66" w:rsidP="004F7A2A"/>
    <w:p w14:paraId="0F283CA5" w14:textId="77777777" w:rsidR="00876D66" w:rsidRDefault="00876D66" w:rsidP="004F7A2A"/>
    <w:p w14:paraId="71441357" w14:textId="77777777" w:rsidR="00876D66" w:rsidRDefault="00876D66" w:rsidP="004F7A2A"/>
    <w:p w14:paraId="7EAD4518" w14:textId="77777777" w:rsidR="00876D66" w:rsidRDefault="00876D66" w:rsidP="004F7A2A"/>
    <w:p w14:paraId="52525A7A" w14:textId="77777777" w:rsidR="00876D66" w:rsidRDefault="00876D66" w:rsidP="004F7A2A"/>
    <w:p w14:paraId="16C0BC64" w14:textId="77777777" w:rsidR="00876D66" w:rsidRDefault="00876D66" w:rsidP="004F7A2A"/>
    <w:p w14:paraId="1E12098A" w14:textId="77777777" w:rsidR="00876D66" w:rsidRDefault="00876D66" w:rsidP="004F7A2A"/>
    <w:p w14:paraId="3092A4D3" w14:textId="77777777" w:rsidR="00876D66" w:rsidRDefault="00876D66" w:rsidP="004F7A2A"/>
    <w:p w14:paraId="39D17993" w14:textId="77777777" w:rsidR="00E627DF" w:rsidRDefault="00E627DF" w:rsidP="004F7A2A"/>
    <w:p w14:paraId="24C69C5C" w14:textId="77777777" w:rsidR="00E627DF" w:rsidRDefault="00E627DF" w:rsidP="004F7A2A"/>
    <w:p w14:paraId="4A18D148" w14:textId="77777777" w:rsidR="00E627DF" w:rsidRDefault="00E627DF" w:rsidP="004F7A2A"/>
    <w:p w14:paraId="6664FA0B" w14:textId="77777777" w:rsidR="00E627DF" w:rsidRDefault="00E627DF" w:rsidP="004F7A2A"/>
    <w:p w14:paraId="130A9808" w14:textId="77777777" w:rsidR="00E627DF" w:rsidRDefault="00E627DF" w:rsidP="004F7A2A"/>
    <w:p w14:paraId="2DB59D30" w14:textId="77777777" w:rsidR="00E627DF" w:rsidRDefault="00E627DF" w:rsidP="004F7A2A"/>
    <w:p w14:paraId="0443D355" w14:textId="77777777" w:rsidR="00E627DF" w:rsidRDefault="00E627DF" w:rsidP="004F7A2A"/>
    <w:p w14:paraId="12053983" w14:textId="77777777" w:rsidR="00876D66" w:rsidRPr="004F7A2A" w:rsidRDefault="00876D66" w:rsidP="004F7A2A"/>
    <w:p w14:paraId="789179DF" w14:textId="7B9C8A86" w:rsidR="00D72DE3" w:rsidRPr="00A36631" w:rsidRDefault="00D41CD9" w:rsidP="006369F5">
      <w:pPr>
        <w:pStyle w:val="Heading1"/>
        <w:spacing w:line="360" w:lineRule="auto"/>
        <w:rPr>
          <w:rFonts w:ascii="Arial" w:hAnsi="Arial" w:cs="Arial"/>
          <w:sz w:val="32"/>
          <w:szCs w:val="32"/>
        </w:rPr>
      </w:pPr>
      <w:bookmarkStart w:id="2" w:name="_Toc224551760"/>
      <w:r w:rsidRPr="00A36631">
        <w:rPr>
          <w:rFonts w:ascii="Arial" w:hAnsi="Arial" w:cs="Arial"/>
          <w:sz w:val="32"/>
          <w:szCs w:val="32"/>
        </w:rPr>
        <w:lastRenderedPageBreak/>
        <w:t>1</w:t>
      </w:r>
      <w:r w:rsidR="00913E99" w:rsidRPr="00A36631">
        <w:rPr>
          <w:rFonts w:ascii="Arial" w:hAnsi="Arial" w:cs="Arial"/>
          <w:sz w:val="32"/>
          <w:szCs w:val="32"/>
        </w:rPr>
        <w:t>.</w:t>
      </w:r>
      <w:r w:rsidR="00B607F0" w:rsidRPr="00A36631">
        <w:rPr>
          <w:rFonts w:ascii="Arial" w:hAnsi="Arial" w:cs="Arial"/>
          <w:sz w:val="32"/>
          <w:szCs w:val="32"/>
        </w:rPr>
        <w:t xml:space="preserve"> </w:t>
      </w:r>
      <w:r w:rsidRPr="00A36631">
        <w:rPr>
          <w:rFonts w:ascii="Arial" w:hAnsi="Arial" w:cs="Arial"/>
          <w:sz w:val="32"/>
          <w:szCs w:val="32"/>
        </w:rPr>
        <w:t>Introduction</w:t>
      </w:r>
      <w:bookmarkEnd w:id="2"/>
      <w:r w:rsidR="00B607F0" w:rsidRPr="00A36631">
        <w:rPr>
          <w:rFonts w:ascii="Arial" w:hAnsi="Arial" w:cs="Arial"/>
          <w:sz w:val="32"/>
          <w:szCs w:val="32"/>
        </w:rPr>
        <w:t xml:space="preserve"> </w:t>
      </w:r>
    </w:p>
    <w:p w14:paraId="3BB1099B" w14:textId="77777777" w:rsidR="00FE4A26" w:rsidRDefault="001B6FFE" w:rsidP="00FE4A26">
      <w:pPr>
        <w:spacing w:line="360" w:lineRule="auto"/>
        <w:rPr>
          <w:rFonts w:ascii="Arial" w:hAnsi="Arial" w:cs="Arial"/>
        </w:rPr>
      </w:pPr>
      <w:r w:rsidRPr="001B6FFE">
        <w:rPr>
          <w:rFonts w:ascii="Arial" w:hAnsi="Arial" w:cs="Arial"/>
        </w:rPr>
        <w:t xml:space="preserve">This </w:t>
      </w:r>
      <w:r>
        <w:rPr>
          <w:rFonts w:ascii="Arial" w:hAnsi="Arial" w:cs="Arial"/>
        </w:rPr>
        <w:t>report applies a variety of tools and frameworks to evaluate Innocent’s position in the beverage industry and identify possible opportunities for growth. It begins by providing an overview of the Innocent Drinks company</w:t>
      </w:r>
      <w:r w:rsidR="00E906BC">
        <w:rPr>
          <w:rFonts w:ascii="Arial" w:hAnsi="Arial" w:cs="Arial"/>
        </w:rPr>
        <w:t xml:space="preserve">. Then, it moves to evaluate the current market environment by using the tools SWOT, PESTEL, and the Porter’s Five Forces. This to help examine the company’s internal and external environment impacting negatively on the Innocent Drinks’ performance. </w:t>
      </w:r>
      <w:r w:rsidR="00AF1064">
        <w:rPr>
          <w:rFonts w:ascii="Arial" w:hAnsi="Arial" w:cs="Arial"/>
        </w:rPr>
        <w:t>Building on this anal</w:t>
      </w:r>
      <w:r w:rsidR="00F35AF6">
        <w:rPr>
          <w:rFonts w:ascii="Arial" w:hAnsi="Arial" w:cs="Arial"/>
        </w:rPr>
        <w:t>ysis, potential strategic growth options are then explored by using frameworks including Porter’s Generic Strategies</w:t>
      </w:r>
      <w:r w:rsidR="001A4CD7">
        <w:rPr>
          <w:rFonts w:ascii="Arial" w:hAnsi="Arial" w:cs="Arial"/>
        </w:rPr>
        <w:t xml:space="preserve"> and the Ansoff Matrix. Then, an assessment is applied to the Innocent’s existing strategy and the proposal of a new strategy. Also, a stakeholder analysis is done using the stakeholder theory and the Mendelow’s Matrix</w:t>
      </w:r>
      <w:r w:rsidR="00534360">
        <w:rPr>
          <w:rFonts w:ascii="Arial" w:hAnsi="Arial" w:cs="Arial"/>
        </w:rPr>
        <w:t xml:space="preserve"> to understand how the new strategy might impact the key stakeholders. The last section in this report deals with the new strategy implementation and monitoring plan, by setting out clear objectives, the required actions, and the KPIs evaluated </w:t>
      </w:r>
      <w:r w:rsidR="000D7AA2">
        <w:rPr>
          <w:rFonts w:ascii="Arial" w:hAnsi="Arial" w:cs="Arial"/>
        </w:rPr>
        <w:t>by the Balanced Scorecard(BSC). The report concludes by reinforcing how the  proposed strategy aligns with the Innocent’s core mission, brand value, and its long sustainability.</w:t>
      </w:r>
      <w:r w:rsidR="00913E99">
        <w:rPr>
          <w:rFonts w:ascii="Arial" w:hAnsi="Arial" w:cs="Arial"/>
        </w:rPr>
        <w:t xml:space="preserve"> Establishing Innocent’s organisational background is important before conducting the strategic analysis. The next section outlines the company’s establishment, brand positioning within the competitive and evolving beverage market.                                                  </w:t>
      </w:r>
      <w:r w:rsidR="000D7AA2">
        <w:rPr>
          <w:rFonts w:ascii="Arial" w:hAnsi="Arial" w:cs="Arial"/>
        </w:rPr>
        <w:t xml:space="preserve"> </w:t>
      </w:r>
    </w:p>
    <w:p w14:paraId="5BE84C2D" w14:textId="648564B8" w:rsidR="00913E99" w:rsidRPr="00FE4A26" w:rsidRDefault="00913E99" w:rsidP="00FE4A26">
      <w:pPr>
        <w:pStyle w:val="Heading1"/>
        <w:rPr>
          <w:rFonts w:ascii="Arial" w:hAnsi="Arial" w:cs="Arial"/>
          <w:sz w:val="32"/>
          <w:szCs w:val="32"/>
        </w:rPr>
      </w:pPr>
      <w:bookmarkStart w:id="3" w:name="_Toc224551761"/>
      <w:r w:rsidRPr="00FE4A26">
        <w:rPr>
          <w:rFonts w:ascii="Arial" w:hAnsi="Arial" w:cs="Arial"/>
          <w:sz w:val="32"/>
          <w:szCs w:val="32"/>
        </w:rPr>
        <w:t>2.</w:t>
      </w:r>
      <w:r w:rsidR="00A36631" w:rsidRPr="00FE4A26">
        <w:rPr>
          <w:rFonts w:ascii="Arial" w:hAnsi="Arial" w:cs="Arial"/>
          <w:sz w:val="32"/>
          <w:szCs w:val="32"/>
        </w:rPr>
        <w:t xml:space="preserve"> Innocent Drink</w:t>
      </w:r>
      <w:r w:rsidR="00C663FE">
        <w:rPr>
          <w:rFonts w:ascii="Arial" w:hAnsi="Arial" w:cs="Arial"/>
          <w:sz w:val="32"/>
          <w:szCs w:val="32"/>
        </w:rPr>
        <w:t>s</w:t>
      </w:r>
      <w:r w:rsidR="00A36631" w:rsidRPr="00FE4A26">
        <w:rPr>
          <w:rFonts w:ascii="Arial" w:hAnsi="Arial" w:cs="Arial"/>
          <w:sz w:val="32"/>
          <w:szCs w:val="32"/>
        </w:rPr>
        <w:t xml:space="preserve"> overview</w:t>
      </w:r>
      <w:bookmarkEnd w:id="3"/>
    </w:p>
    <w:p w14:paraId="0BC9D942" w14:textId="77777777" w:rsidR="00E627DF" w:rsidRDefault="00FA5BF9" w:rsidP="00E627DF">
      <w:pPr>
        <w:spacing w:line="360" w:lineRule="auto"/>
        <w:rPr>
          <w:rFonts w:ascii="Arial" w:hAnsi="Arial" w:cs="Arial"/>
        </w:rPr>
      </w:pPr>
      <w:r w:rsidRPr="00FA5BF9">
        <w:rPr>
          <w:rFonts w:ascii="Arial" w:hAnsi="Arial" w:cs="Arial"/>
        </w:rPr>
        <w:t>Innocent Drink</w:t>
      </w:r>
      <w:r w:rsidR="007C1305">
        <w:rPr>
          <w:rFonts w:ascii="Arial" w:hAnsi="Arial" w:cs="Arial"/>
        </w:rPr>
        <w:t>s</w:t>
      </w:r>
      <w:r w:rsidRPr="00FA5BF9">
        <w:rPr>
          <w:rFonts w:ascii="Arial" w:hAnsi="Arial" w:cs="Arial"/>
        </w:rPr>
        <w:t xml:space="preserve">, headquartered in the United Kingdom, is </w:t>
      </w:r>
      <w:r w:rsidR="007C1305">
        <w:rPr>
          <w:rFonts w:ascii="Arial" w:hAnsi="Arial" w:cs="Arial"/>
        </w:rPr>
        <w:t xml:space="preserve">a leading player in the juice sector. </w:t>
      </w:r>
      <w:r w:rsidR="000A7E6B">
        <w:rPr>
          <w:rFonts w:ascii="Arial" w:hAnsi="Arial" w:cs="Arial"/>
        </w:rPr>
        <w:t>E</w:t>
      </w:r>
      <w:r w:rsidR="007C1305">
        <w:rPr>
          <w:rFonts w:ascii="Arial" w:hAnsi="Arial" w:cs="Arial"/>
        </w:rPr>
        <w:t>stablished in 1999 by the three co-founders Richard Reed, Adam Balon, and Jon Wright</w:t>
      </w:r>
      <w:r w:rsidR="000A7E6B">
        <w:rPr>
          <w:rFonts w:ascii="Arial" w:hAnsi="Arial" w:cs="Arial"/>
        </w:rPr>
        <w:t xml:space="preserve">, the firm has grown into one </w:t>
      </w:r>
      <w:r w:rsidR="007C1305">
        <w:rPr>
          <w:rFonts w:ascii="Arial" w:hAnsi="Arial" w:cs="Arial"/>
        </w:rPr>
        <w:t xml:space="preserve"> </w:t>
      </w:r>
      <w:r w:rsidR="000A7E6B">
        <w:rPr>
          <w:rFonts w:ascii="Arial" w:hAnsi="Arial" w:cs="Arial"/>
        </w:rPr>
        <w:t>.</w:t>
      </w:r>
      <w:r w:rsidR="007C1305">
        <w:rPr>
          <w:rFonts w:ascii="Arial" w:hAnsi="Arial" w:cs="Arial"/>
        </w:rPr>
        <w:t xml:space="preserve">The company specialises in producing beverages from fresh natural fruits including smoothies and chilled juices, and a diverse range of </w:t>
      </w:r>
      <w:r w:rsidR="00967788">
        <w:rPr>
          <w:rFonts w:ascii="Arial" w:hAnsi="Arial" w:cs="Arial"/>
        </w:rPr>
        <w:t>functional drinks.</w:t>
      </w:r>
      <w:r w:rsidR="00FB4ED9">
        <w:rPr>
          <w:rFonts w:ascii="Arial" w:hAnsi="Arial" w:cs="Arial"/>
        </w:rPr>
        <w:t xml:space="preserve"> As reported by Abigail Thakadu(2025), Innocent distributed its products throughout Europe, and in 2024 the company returned to profitability following a loss in the previous year.</w:t>
      </w:r>
      <w:r w:rsidR="007C1305">
        <w:rPr>
          <w:rFonts w:ascii="Arial" w:hAnsi="Arial" w:cs="Arial"/>
        </w:rPr>
        <w:t xml:space="preserve"> </w:t>
      </w:r>
      <w:r w:rsidR="008F156C">
        <w:rPr>
          <w:rFonts w:ascii="Arial" w:hAnsi="Arial" w:cs="Arial"/>
        </w:rPr>
        <w:t xml:space="preserve">Innocent Drinks not only </w:t>
      </w:r>
      <w:r w:rsidR="00DC3067">
        <w:rPr>
          <w:rFonts w:ascii="Arial" w:hAnsi="Arial" w:cs="Arial"/>
        </w:rPr>
        <w:t xml:space="preserve">has </w:t>
      </w:r>
      <w:r w:rsidR="008F156C">
        <w:rPr>
          <w:rFonts w:ascii="Arial" w:hAnsi="Arial" w:cs="Arial"/>
        </w:rPr>
        <w:t>look</w:t>
      </w:r>
      <w:r w:rsidR="00DC3067">
        <w:rPr>
          <w:rFonts w:ascii="Arial" w:hAnsi="Arial" w:cs="Arial"/>
        </w:rPr>
        <w:t>ed</w:t>
      </w:r>
      <w:r w:rsidR="008F156C">
        <w:rPr>
          <w:rFonts w:ascii="Arial" w:hAnsi="Arial" w:cs="Arial"/>
        </w:rPr>
        <w:t xml:space="preserve"> for financial profit but focus</w:t>
      </w:r>
      <w:r w:rsidR="00DC3067">
        <w:rPr>
          <w:rFonts w:ascii="Arial" w:hAnsi="Arial" w:cs="Arial"/>
        </w:rPr>
        <w:t>ed</w:t>
      </w:r>
      <w:r w:rsidR="008F156C">
        <w:rPr>
          <w:rFonts w:ascii="Arial" w:hAnsi="Arial" w:cs="Arial"/>
        </w:rPr>
        <w:t xml:space="preserve"> also on creating nutritious beverages, protecting the environment, and ensuring a positive and healthy working environment for employees</w:t>
      </w:r>
      <w:r w:rsidR="00F3733C">
        <w:rPr>
          <w:rFonts w:ascii="Arial" w:hAnsi="Arial" w:cs="Arial"/>
        </w:rPr>
        <w:t>, and t</w:t>
      </w:r>
      <w:r w:rsidR="00DC3067">
        <w:rPr>
          <w:rFonts w:ascii="Arial" w:hAnsi="Arial" w:cs="Arial"/>
        </w:rPr>
        <w:t>his commitment has been central to attain a B Corp certificate in 1918</w:t>
      </w:r>
      <w:r w:rsidR="00325033">
        <w:rPr>
          <w:rFonts w:ascii="Arial" w:hAnsi="Arial" w:cs="Arial"/>
        </w:rPr>
        <w:t>( Innocent Drinks,2024).</w:t>
      </w:r>
      <w:r w:rsidR="00535581">
        <w:rPr>
          <w:rFonts w:ascii="Arial" w:hAnsi="Arial" w:cs="Arial"/>
        </w:rPr>
        <w:t xml:space="preserve"> Given the brand position of Innocent Drinks and its commitment to responsible growth, it is worth to consider the wider market trends that are currently reshaping the beverage industry. </w:t>
      </w:r>
      <w:r w:rsidR="006369F5">
        <w:rPr>
          <w:rFonts w:ascii="Arial" w:hAnsi="Arial" w:cs="Arial"/>
        </w:rPr>
        <w:t>Given Innocent’s</w:t>
      </w:r>
      <w:r w:rsidR="00DA1EC9">
        <w:rPr>
          <w:rFonts w:ascii="Arial" w:hAnsi="Arial" w:cs="Arial"/>
        </w:rPr>
        <w:t xml:space="preserve"> </w:t>
      </w:r>
      <w:r w:rsidR="006369F5">
        <w:rPr>
          <w:rFonts w:ascii="Arial" w:hAnsi="Arial" w:cs="Arial"/>
        </w:rPr>
        <w:t>brand position and commitment to responsible growth, it is necessary to examine the key trends that are shaping the beverage industry.</w:t>
      </w:r>
      <w:bookmarkStart w:id="4" w:name="_Toc224551762"/>
    </w:p>
    <w:p w14:paraId="40131C05" w14:textId="1B3CEFD7" w:rsidR="00DA1EC9" w:rsidRPr="00E627DF" w:rsidRDefault="00DA1EC9" w:rsidP="00E627DF">
      <w:pPr>
        <w:pStyle w:val="Heading1"/>
        <w:rPr>
          <w:sz w:val="22"/>
          <w:szCs w:val="22"/>
        </w:rPr>
      </w:pPr>
      <w:r w:rsidRPr="00DA1EC9">
        <w:lastRenderedPageBreak/>
        <w:t>3. Current trends</w:t>
      </w:r>
      <w:bookmarkEnd w:id="4"/>
    </w:p>
    <w:p w14:paraId="12A5AEE5" w14:textId="77777777" w:rsidR="00E627DF" w:rsidRDefault="00EA0828" w:rsidP="005E7E85">
      <w:pPr>
        <w:spacing w:line="360" w:lineRule="auto"/>
        <w:rPr>
          <w:rFonts w:ascii="Arial" w:hAnsi="Arial" w:cs="Arial"/>
        </w:rPr>
      </w:pPr>
      <w:r w:rsidRPr="005E7E85">
        <w:rPr>
          <w:rFonts w:ascii="Arial" w:hAnsi="Arial" w:cs="Arial"/>
        </w:rPr>
        <w:t xml:space="preserve">Corporate Social Responsibility (CSR) </w:t>
      </w:r>
      <w:r w:rsidR="00A73398" w:rsidRPr="005E7E85">
        <w:rPr>
          <w:rFonts w:ascii="Arial" w:hAnsi="Arial" w:cs="Arial"/>
        </w:rPr>
        <w:t>is generally understood as a voluntary</w:t>
      </w:r>
      <w:r w:rsidR="00342038" w:rsidRPr="005E7E85">
        <w:rPr>
          <w:rFonts w:ascii="Arial" w:hAnsi="Arial" w:cs="Arial"/>
        </w:rPr>
        <w:t xml:space="preserve"> approach through which companies contribute to sustainable development and being responsible towards the stakeholders, the society and the environment(</w:t>
      </w:r>
      <w:r w:rsidR="003A056B" w:rsidRPr="005E7E85">
        <w:rPr>
          <w:rFonts w:ascii="Arial" w:hAnsi="Arial" w:cs="Arial"/>
        </w:rPr>
        <w:t>Agudelo et al.,2019</w:t>
      </w:r>
      <w:r w:rsidR="005E7E85" w:rsidRPr="005E7E85">
        <w:rPr>
          <w:rFonts w:ascii="Arial" w:hAnsi="Arial" w:cs="Arial"/>
        </w:rPr>
        <w:t xml:space="preserve">, </w:t>
      </w:r>
      <w:r w:rsidR="00B80E4F">
        <w:rPr>
          <w:rFonts w:ascii="Arial" w:hAnsi="Arial" w:cs="Arial"/>
        </w:rPr>
        <w:t xml:space="preserve">Gazzola,2022, as cited in Gazzola et al.,2024 </w:t>
      </w:r>
      <w:r w:rsidR="005E7E85" w:rsidRPr="005E7E85">
        <w:rPr>
          <w:rFonts w:ascii="Arial" w:hAnsi="Arial" w:cs="Arial"/>
        </w:rPr>
        <w:t>as cited in Gazzola et all., 2024</w:t>
      </w:r>
      <w:r w:rsidR="003A056B" w:rsidRPr="005E7E85">
        <w:rPr>
          <w:rFonts w:ascii="Arial" w:hAnsi="Arial" w:cs="Arial"/>
        </w:rPr>
        <w:t>)</w:t>
      </w:r>
      <w:r w:rsidR="00A73398" w:rsidRPr="005E7E85">
        <w:rPr>
          <w:rFonts w:ascii="Arial" w:hAnsi="Arial" w:cs="Arial"/>
        </w:rPr>
        <w:t>.</w:t>
      </w:r>
      <w:r w:rsidR="005E7E85">
        <w:rPr>
          <w:rFonts w:ascii="Arial" w:hAnsi="Arial" w:cs="Arial"/>
        </w:rPr>
        <w:t xml:space="preserve"> N</w:t>
      </w:r>
      <w:r w:rsidRPr="005E7E85">
        <w:rPr>
          <w:rFonts w:ascii="Arial" w:hAnsi="Arial" w:cs="Arial"/>
        </w:rPr>
        <w:t>ow</w:t>
      </w:r>
      <w:r w:rsidR="005E7E85">
        <w:rPr>
          <w:rFonts w:ascii="Arial" w:hAnsi="Arial" w:cs="Arial"/>
        </w:rPr>
        <w:t>, it</w:t>
      </w:r>
      <w:r w:rsidRPr="005E7E85">
        <w:rPr>
          <w:rFonts w:ascii="Arial" w:hAnsi="Arial" w:cs="Arial"/>
        </w:rPr>
        <w:t xml:space="preserve"> plays a central role in shaping strategic expectations in the UK beverage industry, with firms required to demonstrate how to address sustainability, consumer</w:t>
      </w:r>
      <w:r w:rsidR="003312B6" w:rsidRPr="005E7E85">
        <w:rPr>
          <w:rFonts w:ascii="Arial" w:hAnsi="Arial" w:cs="Arial"/>
        </w:rPr>
        <w:t xml:space="preserve"> wellbeing and transparent business practices.</w:t>
      </w:r>
      <w:r w:rsidR="00276988" w:rsidRPr="005E7E85">
        <w:rPr>
          <w:rFonts w:ascii="Arial" w:hAnsi="Arial" w:cs="Arial"/>
        </w:rPr>
        <w:t xml:space="preserve"> Innocent’s B Corp certificate demonstrates the firm’s commitment to CSR expectations by requiring credible environmental and social engagement. In this context, three trends are </w:t>
      </w:r>
      <w:r w:rsidR="00123300" w:rsidRPr="005E7E85">
        <w:rPr>
          <w:rFonts w:ascii="Arial" w:hAnsi="Arial" w:cs="Arial"/>
        </w:rPr>
        <w:t>influential for the company’s strategic direction that are plant-based innovation, carbon reduction and digital engagement.</w:t>
      </w:r>
    </w:p>
    <w:p w14:paraId="3C47C757" w14:textId="77777777" w:rsidR="00E627DF" w:rsidRDefault="00E627DF" w:rsidP="005E7E85">
      <w:pPr>
        <w:spacing w:line="360" w:lineRule="auto"/>
        <w:rPr>
          <w:rFonts w:ascii="Arial" w:hAnsi="Arial" w:cs="Arial"/>
        </w:rPr>
      </w:pPr>
    </w:p>
    <w:p w14:paraId="177A91B5" w14:textId="77777777" w:rsidR="00E627DF" w:rsidRDefault="00E627DF" w:rsidP="005E7E85">
      <w:pPr>
        <w:spacing w:line="360" w:lineRule="auto"/>
        <w:rPr>
          <w:rFonts w:ascii="Arial" w:hAnsi="Arial" w:cs="Arial"/>
        </w:rPr>
      </w:pPr>
    </w:p>
    <w:p w14:paraId="003BC5AD" w14:textId="77777777" w:rsidR="00E627DF" w:rsidRDefault="00E627DF" w:rsidP="005E7E85">
      <w:pPr>
        <w:spacing w:line="360" w:lineRule="auto"/>
        <w:rPr>
          <w:rFonts w:ascii="Arial" w:hAnsi="Arial" w:cs="Arial"/>
        </w:rPr>
      </w:pPr>
    </w:p>
    <w:p w14:paraId="7BB0AC4F" w14:textId="77777777" w:rsidR="00E627DF" w:rsidRDefault="00E627DF" w:rsidP="005E7E85">
      <w:pPr>
        <w:spacing w:line="360" w:lineRule="auto"/>
        <w:rPr>
          <w:rFonts w:ascii="Arial" w:hAnsi="Arial" w:cs="Arial"/>
        </w:rPr>
      </w:pPr>
    </w:p>
    <w:p w14:paraId="5DA20B64" w14:textId="101B203E" w:rsidR="00EA0828" w:rsidRPr="005E7E85" w:rsidRDefault="00A73398" w:rsidP="005E7E85">
      <w:pPr>
        <w:spacing w:line="360" w:lineRule="auto"/>
        <w:rPr>
          <w:rFonts w:ascii="Arial" w:hAnsi="Arial" w:cs="Arial"/>
        </w:rPr>
      </w:pPr>
      <w:r w:rsidRPr="005E7E85">
        <w:rPr>
          <w:rFonts w:ascii="Arial" w:hAnsi="Arial" w:cs="Arial"/>
        </w:rPr>
        <w:t xml:space="preserve"> </w:t>
      </w:r>
    </w:p>
    <w:p w14:paraId="2F2CD714" w14:textId="6B755077" w:rsidR="00DA1EC9" w:rsidRDefault="00DA1EC9" w:rsidP="00DA1EC9">
      <w:pPr>
        <w:pStyle w:val="Heading2"/>
        <w:rPr>
          <w:rFonts w:ascii="Arial" w:hAnsi="Arial" w:cs="Arial"/>
          <w:sz w:val="28"/>
          <w:szCs w:val="28"/>
        </w:rPr>
      </w:pPr>
      <w:bookmarkStart w:id="5" w:name="_Toc224551763"/>
      <w:r w:rsidRPr="00DA1EC9">
        <w:rPr>
          <w:rFonts w:ascii="Arial" w:hAnsi="Arial" w:cs="Arial"/>
          <w:sz w:val="28"/>
          <w:szCs w:val="28"/>
        </w:rPr>
        <w:t>3.1 Plant-based innovation</w:t>
      </w:r>
      <w:bookmarkEnd w:id="5"/>
    </w:p>
    <w:p w14:paraId="26DF65ED" w14:textId="6E6D01BC" w:rsidR="00655448" w:rsidRPr="00D012F6" w:rsidRDefault="00655448" w:rsidP="00D012F6">
      <w:pPr>
        <w:spacing w:line="360" w:lineRule="auto"/>
        <w:rPr>
          <w:rFonts w:ascii="Arial" w:hAnsi="Arial" w:cs="Arial"/>
        </w:rPr>
      </w:pPr>
      <w:r w:rsidRPr="00D012F6">
        <w:rPr>
          <w:rFonts w:ascii="Arial" w:hAnsi="Arial" w:cs="Arial"/>
        </w:rPr>
        <w:t>The consumption of plant-based diets is shaping the beverage markets, with the consumers needing products that align with health, environmental and ethical values, Recent peer-reviewed research shows that consuming plant-derived beverages is expanding rapidly in the UK and Europe( Medici et al.,2023</w:t>
      </w:r>
      <w:r w:rsidR="00685CDF" w:rsidRPr="00D012F6">
        <w:rPr>
          <w:rFonts w:ascii="Arial" w:hAnsi="Arial" w:cs="Arial"/>
        </w:rPr>
        <w:t>; Apostolidis &amp; McLeay, 2016). Although, ID maintains a strong position in this segment, an ongoing innovation is necessary to remain competitive against the new entrant in the market of beverage.</w:t>
      </w:r>
    </w:p>
    <w:p w14:paraId="673A23A7" w14:textId="5210F7D0" w:rsidR="00F23511" w:rsidRDefault="00757C11" w:rsidP="00757C11">
      <w:pPr>
        <w:pStyle w:val="Heading2"/>
        <w:rPr>
          <w:rFonts w:ascii="Arial" w:hAnsi="Arial" w:cs="Arial"/>
          <w:sz w:val="28"/>
          <w:szCs w:val="28"/>
        </w:rPr>
      </w:pPr>
      <w:bookmarkStart w:id="6" w:name="_Toc224551764"/>
      <w:r w:rsidRPr="00757C11">
        <w:rPr>
          <w:rFonts w:ascii="Arial" w:hAnsi="Arial" w:cs="Arial"/>
          <w:sz w:val="28"/>
          <w:szCs w:val="28"/>
        </w:rPr>
        <w:t>3.2 Carbon reduction</w:t>
      </w:r>
      <w:bookmarkEnd w:id="6"/>
    </w:p>
    <w:p w14:paraId="316D708C" w14:textId="09527E4B" w:rsidR="00F23511" w:rsidRDefault="000E6A28" w:rsidP="00E9513B">
      <w:pPr>
        <w:spacing w:line="360" w:lineRule="auto"/>
        <w:rPr>
          <w:rFonts w:ascii="Arial" w:hAnsi="Arial" w:cs="Arial"/>
        </w:rPr>
      </w:pPr>
      <w:r>
        <w:rPr>
          <w:rFonts w:ascii="Arial" w:hAnsi="Arial" w:cs="Arial"/>
        </w:rPr>
        <w:t>T</w:t>
      </w:r>
      <w:r w:rsidR="00724D58">
        <w:rPr>
          <w:rFonts w:ascii="Arial" w:hAnsi="Arial" w:cs="Arial"/>
        </w:rPr>
        <w:t>he stakeholders</w:t>
      </w:r>
      <w:r>
        <w:rPr>
          <w:rFonts w:ascii="Arial" w:hAnsi="Arial" w:cs="Arial"/>
        </w:rPr>
        <w:t xml:space="preserve"> increasingly</w:t>
      </w:r>
      <w:r w:rsidR="00724D58">
        <w:rPr>
          <w:rFonts w:ascii="Arial" w:hAnsi="Arial" w:cs="Arial"/>
        </w:rPr>
        <w:t xml:space="preserve"> demand</w:t>
      </w:r>
      <w:r>
        <w:rPr>
          <w:rFonts w:ascii="Arial" w:hAnsi="Arial" w:cs="Arial"/>
        </w:rPr>
        <w:t xml:space="preserve"> companies to demonstrate tangible </w:t>
      </w:r>
      <w:r w:rsidR="00724D58">
        <w:rPr>
          <w:rFonts w:ascii="Arial" w:hAnsi="Arial" w:cs="Arial"/>
        </w:rPr>
        <w:t>carbon-reduction</w:t>
      </w:r>
      <w:r>
        <w:rPr>
          <w:rFonts w:ascii="Arial" w:hAnsi="Arial" w:cs="Arial"/>
        </w:rPr>
        <w:t xml:space="preserve"> progress</w:t>
      </w:r>
      <w:r w:rsidR="00724D58">
        <w:rPr>
          <w:rFonts w:ascii="Arial" w:hAnsi="Arial" w:cs="Arial"/>
        </w:rPr>
        <w:t xml:space="preserve"> across the</w:t>
      </w:r>
      <w:r>
        <w:rPr>
          <w:rFonts w:ascii="Arial" w:hAnsi="Arial" w:cs="Arial"/>
        </w:rPr>
        <w:t>ir</w:t>
      </w:r>
      <w:r w:rsidR="00724D58">
        <w:rPr>
          <w:rFonts w:ascii="Arial" w:hAnsi="Arial" w:cs="Arial"/>
        </w:rPr>
        <w:t xml:space="preserve"> value chain</w:t>
      </w:r>
      <w:r>
        <w:rPr>
          <w:rFonts w:ascii="Arial" w:hAnsi="Arial" w:cs="Arial"/>
        </w:rPr>
        <w:t xml:space="preserve">, a pressure backed by the UK climate regulations. The government publications and the beverage companies’ annual reports consistently declare that </w:t>
      </w:r>
      <w:r w:rsidR="006116CB">
        <w:rPr>
          <w:rFonts w:ascii="Arial" w:hAnsi="Arial" w:cs="Arial"/>
        </w:rPr>
        <w:t>carbon reduction is a priority to protect the environment</w:t>
      </w:r>
      <w:r w:rsidR="00B315F9">
        <w:rPr>
          <w:rFonts w:ascii="Arial" w:hAnsi="Arial" w:cs="Arial"/>
        </w:rPr>
        <w:t>. Innocent’s B Corp status demonstrate this commitment. This is evident in the fall of its footprint, which was around 5000 tonnes lower than in 2019, reduced plastic use, 86%renewable-energy production, and fewer road miles</w:t>
      </w:r>
      <w:r w:rsidR="00756364">
        <w:rPr>
          <w:rFonts w:ascii="Arial" w:hAnsi="Arial" w:cs="Arial"/>
        </w:rPr>
        <w:t>(</w:t>
      </w:r>
      <w:r w:rsidR="00756364" w:rsidRPr="00756364">
        <w:rPr>
          <w:rFonts w:ascii="Arial" w:hAnsi="Arial" w:cs="Arial"/>
        </w:rPr>
        <w:t>innocent-GAR-2021.pdf</w:t>
      </w:r>
      <w:r w:rsidR="00756364">
        <w:rPr>
          <w:rFonts w:ascii="Arial" w:hAnsi="Arial" w:cs="Arial"/>
        </w:rPr>
        <w:t>).</w:t>
      </w:r>
    </w:p>
    <w:p w14:paraId="31E23546" w14:textId="5C989D8D" w:rsidR="002A1844" w:rsidRDefault="0029077B" w:rsidP="0029077B">
      <w:pPr>
        <w:pStyle w:val="Heading2"/>
        <w:rPr>
          <w:rFonts w:ascii="Arial" w:hAnsi="Arial" w:cs="Arial"/>
          <w:sz w:val="28"/>
          <w:szCs w:val="28"/>
        </w:rPr>
      </w:pPr>
      <w:bookmarkStart w:id="7" w:name="_Toc224551765"/>
      <w:r w:rsidRPr="0029077B">
        <w:rPr>
          <w:rFonts w:ascii="Arial" w:hAnsi="Arial" w:cs="Arial"/>
          <w:sz w:val="28"/>
          <w:szCs w:val="28"/>
        </w:rPr>
        <w:lastRenderedPageBreak/>
        <w:t>3.3 Digital engagement</w:t>
      </w:r>
      <w:bookmarkEnd w:id="7"/>
    </w:p>
    <w:p w14:paraId="44B81EA6" w14:textId="3A5E38D8" w:rsidR="0029077B" w:rsidRDefault="006F4302" w:rsidP="00E9513B">
      <w:pPr>
        <w:spacing w:line="360" w:lineRule="auto"/>
        <w:rPr>
          <w:rFonts w:ascii="Arial" w:hAnsi="Arial" w:cs="Arial"/>
        </w:rPr>
      </w:pPr>
      <w:r w:rsidRPr="00E9513B">
        <w:rPr>
          <w:rFonts w:ascii="Arial" w:hAnsi="Arial" w:cs="Arial"/>
        </w:rPr>
        <w:t xml:space="preserve">Digital engagement has become essential for beverage </w:t>
      </w:r>
      <w:r w:rsidR="00013282">
        <w:rPr>
          <w:rFonts w:ascii="Arial" w:hAnsi="Arial" w:cs="Arial"/>
        </w:rPr>
        <w:t xml:space="preserve">industry as it </w:t>
      </w:r>
      <w:r w:rsidRPr="00E9513B">
        <w:rPr>
          <w:rFonts w:ascii="Arial" w:hAnsi="Arial" w:cs="Arial"/>
        </w:rPr>
        <w:t>enabl</w:t>
      </w:r>
      <w:r w:rsidR="00013282">
        <w:rPr>
          <w:rFonts w:ascii="Arial" w:hAnsi="Arial" w:cs="Arial"/>
        </w:rPr>
        <w:t>es</w:t>
      </w:r>
      <w:r w:rsidRPr="00E9513B">
        <w:rPr>
          <w:rFonts w:ascii="Arial" w:hAnsi="Arial" w:cs="Arial"/>
        </w:rPr>
        <w:t xml:space="preserve"> real-time communication, transparency, </w:t>
      </w:r>
      <w:r w:rsidR="00013282">
        <w:rPr>
          <w:rFonts w:ascii="Arial" w:hAnsi="Arial" w:cs="Arial"/>
        </w:rPr>
        <w:t xml:space="preserve">builds </w:t>
      </w:r>
      <w:r w:rsidRPr="00E9513B">
        <w:rPr>
          <w:rFonts w:ascii="Arial" w:hAnsi="Arial" w:cs="Arial"/>
        </w:rPr>
        <w:t>consumer</w:t>
      </w:r>
      <w:r w:rsidR="00013282">
        <w:rPr>
          <w:rFonts w:ascii="Arial" w:hAnsi="Arial" w:cs="Arial"/>
        </w:rPr>
        <w:t>’s</w:t>
      </w:r>
      <w:r w:rsidRPr="00E9513B">
        <w:rPr>
          <w:rFonts w:ascii="Arial" w:hAnsi="Arial" w:cs="Arial"/>
        </w:rPr>
        <w:t xml:space="preserve"> trust across online platforms. </w:t>
      </w:r>
      <w:r w:rsidR="00E9513B" w:rsidRPr="00E9513B">
        <w:rPr>
          <w:rFonts w:ascii="Arial" w:hAnsi="Arial" w:cs="Arial"/>
        </w:rPr>
        <w:t>Research shows that digital channels play a</w:t>
      </w:r>
      <w:r w:rsidR="00013282">
        <w:rPr>
          <w:rFonts w:ascii="Arial" w:hAnsi="Arial" w:cs="Arial"/>
        </w:rPr>
        <w:t>n important</w:t>
      </w:r>
      <w:r w:rsidR="00E9513B" w:rsidRPr="00E9513B">
        <w:rPr>
          <w:rFonts w:ascii="Arial" w:hAnsi="Arial" w:cs="Arial"/>
        </w:rPr>
        <w:t xml:space="preserve"> role in shaping consumers perceptions and supporting brand authenticity(Pizzi&amp; Scarpi,2020). Also, academic evidence further highlights that clear and accessible communication is critical </w:t>
      </w:r>
      <w:r w:rsidR="00A326FE">
        <w:rPr>
          <w:rFonts w:ascii="Arial" w:hAnsi="Arial" w:cs="Arial"/>
        </w:rPr>
        <w:t>for building public confidence and sharing best-practice information within the food and beverage industry</w:t>
      </w:r>
      <w:r w:rsidR="00013282">
        <w:rPr>
          <w:rFonts w:ascii="Arial" w:hAnsi="Arial" w:cs="Arial"/>
        </w:rPr>
        <w:t xml:space="preserve"> (Wall&amp;Chen,2018). For Innocent, strong digital engagement reinforces its ethical identity and the visibility of its sustainability commitment.</w:t>
      </w:r>
    </w:p>
    <w:p w14:paraId="40472FCE" w14:textId="77777777" w:rsidR="00E627DF" w:rsidRDefault="00E627DF" w:rsidP="00E9513B">
      <w:pPr>
        <w:spacing w:line="360" w:lineRule="auto"/>
        <w:rPr>
          <w:rFonts w:ascii="Arial" w:hAnsi="Arial" w:cs="Arial"/>
        </w:rPr>
      </w:pPr>
    </w:p>
    <w:p w14:paraId="0FC12892" w14:textId="77777777" w:rsidR="00E627DF" w:rsidRDefault="00E627DF" w:rsidP="00E9513B">
      <w:pPr>
        <w:spacing w:line="360" w:lineRule="auto"/>
        <w:rPr>
          <w:rFonts w:ascii="Arial" w:hAnsi="Arial" w:cs="Arial"/>
        </w:rPr>
      </w:pPr>
    </w:p>
    <w:p w14:paraId="5708FD79" w14:textId="77777777" w:rsidR="00E627DF" w:rsidRDefault="00E627DF" w:rsidP="00E9513B">
      <w:pPr>
        <w:spacing w:line="360" w:lineRule="auto"/>
        <w:rPr>
          <w:rFonts w:ascii="Arial" w:hAnsi="Arial" w:cs="Arial"/>
        </w:rPr>
      </w:pPr>
    </w:p>
    <w:p w14:paraId="4E7D063F" w14:textId="77777777" w:rsidR="00E627DF" w:rsidRDefault="00E627DF" w:rsidP="00E9513B">
      <w:pPr>
        <w:spacing w:line="360" w:lineRule="auto"/>
        <w:rPr>
          <w:rFonts w:ascii="Arial" w:hAnsi="Arial" w:cs="Arial"/>
        </w:rPr>
      </w:pPr>
    </w:p>
    <w:p w14:paraId="441C565C" w14:textId="77777777" w:rsidR="00E627DF" w:rsidRDefault="00E627DF" w:rsidP="00E9513B">
      <w:pPr>
        <w:spacing w:line="360" w:lineRule="auto"/>
        <w:rPr>
          <w:rFonts w:ascii="Arial" w:hAnsi="Arial" w:cs="Arial"/>
        </w:rPr>
      </w:pPr>
    </w:p>
    <w:p w14:paraId="0D16B921" w14:textId="77777777" w:rsidR="00E627DF" w:rsidRPr="00E9513B" w:rsidRDefault="00E627DF" w:rsidP="00E9513B">
      <w:pPr>
        <w:spacing w:line="360" w:lineRule="auto"/>
        <w:rPr>
          <w:rFonts w:ascii="Arial" w:hAnsi="Arial" w:cs="Arial"/>
        </w:rPr>
      </w:pPr>
    </w:p>
    <w:p w14:paraId="3D07E724" w14:textId="3FD495E7" w:rsidR="00F43273" w:rsidRPr="00034C1D" w:rsidRDefault="00F43273" w:rsidP="00F43273">
      <w:pPr>
        <w:pStyle w:val="Heading1"/>
        <w:rPr>
          <w:rFonts w:ascii="Arial" w:hAnsi="Arial" w:cs="Arial"/>
          <w:sz w:val="32"/>
          <w:szCs w:val="32"/>
        </w:rPr>
      </w:pPr>
      <w:bookmarkStart w:id="8" w:name="_Toc224551766"/>
      <w:r w:rsidRPr="00034C1D">
        <w:rPr>
          <w:rFonts w:ascii="Arial" w:hAnsi="Arial" w:cs="Arial"/>
          <w:sz w:val="32"/>
          <w:szCs w:val="32"/>
        </w:rPr>
        <w:t>4. Evaluation of the current market situation of Innocent Drinks</w:t>
      </w:r>
      <w:bookmarkEnd w:id="8"/>
    </w:p>
    <w:p w14:paraId="75BD8C4F" w14:textId="5AB7C60C" w:rsidR="00F23511" w:rsidRPr="00175A8A" w:rsidRDefault="004726DD" w:rsidP="008B082C">
      <w:pPr>
        <w:spacing w:line="360" w:lineRule="auto"/>
        <w:rPr>
          <w:rFonts w:ascii="Arial" w:hAnsi="Arial" w:cs="Arial"/>
        </w:rPr>
      </w:pPr>
      <w:r>
        <w:rPr>
          <w:rFonts w:ascii="Arial" w:hAnsi="Arial" w:cs="Arial"/>
        </w:rPr>
        <w:t xml:space="preserve">Assessing Innocent Drinks market position requires an analysis of both internal capabilities and external challenges that influence its strategic decisions. Tools such as SWOT, PESTEL, and Porter’s Five Forces help shed light on the company’s resources, ethical commitment, growth prospect, and competitive </w:t>
      </w:r>
      <w:r w:rsidR="004F5B75">
        <w:rPr>
          <w:rFonts w:ascii="Arial" w:hAnsi="Arial" w:cs="Arial"/>
        </w:rPr>
        <w:t>environment.</w:t>
      </w:r>
      <w:r>
        <w:rPr>
          <w:rFonts w:ascii="Arial" w:hAnsi="Arial" w:cs="Arial"/>
        </w:rPr>
        <w:t xml:space="preserve"> </w:t>
      </w:r>
      <w:r w:rsidR="003B7DF5">
        <w:rPr>
          <w:rFonts w:ascii="Arial" w:hAnsi="Arial" w:cs="Arial"/>
        </w:rPr>
        <w:t>One of Innocent’s main challenges is sustaining its premium pricing in a market where major UK retailers exert substantial bargaining power.</w:t>
      </w:r>
      <w:r w:rsidR="005D2455">
        <w:rPr>
          <w:rFonts w:ascii="Arial" w:hAnsi="Arial" w:cs="Arial"/>
        </w:rPr>
        <w:t xml:space="preserve"> </w:t>
      </w:r>
      <w:r w:rsidR="00054F8E">
        <w:rPr>
          <w:rFonts w:ascii="Arial" w:hAnsi="Arial" w:cs="Arial"/>
        </w:rPr>
        <w:t>As an example, large retailers such as Tesco exercise strong buyer power, Allowing them to secure advantageous pricing and promotional conditions, especially in markets where private-label options are prominent</w:t>
      </w:r>
      <w:r w:rsidR="00EC7003">
        <w:rPr>
          <w:rFonts w:ascii="Arial" w:hAnsi="Arial" w:cs="Arial"/>
        </w:rPr>
        <w:t>(Burt &amp; Sparks,2003).</w:t>
      </w:r>
      <w:r w:rsidR="00DC5984">
        <w:rPr>
          <w:rFonts w:ascii="Arial" w:hAnsi="Arial" w:cs="Arial"/>
        </w:rPr>
        <w:t xml:space="preserve"> </w:t>
      </w:r>
      <w:r w:rsidR="00AF5AC8">
        <w:rPr>
          <w:rFonts w:ascii="Arial" w:hAnsi="Arial" w:cs="Arial"/>
        </w:rPr>
        <w:t>As consumer become more price-sensitive, retailers may refuse suppliers price rise, ask for more promotional support, or reduce shelf space, putting pressure on premium brands ‘ margins(CMA,2023).</w:t>
      </w:r>
      <w:r w:rsidR="007C1CDB">
        <w:rPr>
          <w:rFonts w:ascii="Arial" w:hAnsi="Arial" w:cs="Arial"/>
        </w:rPr>
        <w:t xml:space="preserve"> This shows how difficult it is for Innocent to stay different while managing costs in a market controlled by major retailers. </w:t>
      </w:r>
    </w:p>
    <w:p w14:paraId="79A0D43B" w14:textId="4D62EBC7" w:rsidR="00F23511" w:rsidRPr="007C1CDB" w:rsidRDefault="007C1CDB" w:rsidP="007C1CDB">
      <w:pPr>
        <w:pStyle w:val="Heading2"/>
        <w:rPr>
          <w:rFonts w:ascii="Arial" w:hAnsi="Arial" w:cs="Arial"/>
          <w:sz w:val="28"/>
          <w:szCs w:val="28"/>
        </w:rPr>
      </w:pPr>
      <w:bookmarkStart w:id="9" w:name="_Toc224551767"/>
      <w:r w:rsidRPr="007C1CDB">
        <w:rPr>
          <w:rFonts w:ascii="Arial" w:hAnsi="Arial" w:cs="Arial"/>
          <w:sz w:val="28"/>
          <w:szCs w:val="28"/>
        </w:rPr>
        <w:t>4.1 SWOT Analysis</w:t>
      </w:r>
      <w:bookmarkEnd w:id="9"/>
    </w:p>
    <w:p w14:paraId="15D1C486" w14:textId="14739A5B" w:rsidR="00F23511" w:rsidRDefault="00E23441" w:rsidP="0035071E">
      <w:pPr>
        <w:spacing w:line="360" w:lineRule="auto"/>
        <w:rPr>
          <w:rFonts w:ascii="Arial" w:hAnsi="Arial" w:cs="Arial"/>
        </w:rPr>
      </w:pPr>
      <w:r>
        <w:rPr>
          <w:rFonts w:ascii="Arial" w:hAnsi="Arial" w:cs="Arial"/>
        </w:rPr>
        <w:t xml:space="preserve">SWOT analysis </w:t>
      </w:r>
      <w:r w:rsidR="004A0CA7">
        <w:rPr>
          <w:rFonts w:ascii="Arial" w:hAnsi="Arial" w:cs="Arial"/>
        </w:rPr>
        <w:t xml:space="preserve">is a tool used to help organisations assess their position to identify the internal strength and weaknesses  alongside external opportunities and threats( Helms and Nixon,2010). </w:t>
      </w:r>
      <w:r w:rsidR="0035071E">
        <w:rPr>
          <w:rFonts w:ascii="Arial" w:hAnsi="Arial" w:cs="Arial"/>
        </w:rPr>
        <w:t xml:space="preserve">By combining internal and external factors, SWOT offers a clear overview of </w:t>
      </w:r>
      <w:r w:rsidR="0035071E">
        <w:rPr>
          <w:rFonts w:ascii="Arial" w:hAnsi="Arial" w:cs="Arial"/>
        </w:rPr>
        <w:lastRenderedPageBreak/>
        <w:t xml:space="preserve">the company’s situation </w:t>
      </w:r>
      <w:r w:rsidR="00D824A4">
        <w:rPr>
          <w:rFonts w:ascii="Arial" w:hAnsi="Arial" w:cs="Arial"/>
        </w:rPr>
        <w:t>and an opportunity to start a strategic evaluation to address any issues or take any possible opportunity.</w:t>
      </w:r>
    </w:p>
    <w:p w14:paraId="6201225F" w14:textId="4BE6E609" w:rsidR="00E32607" w:rsidRPr="00E32607" w:rsidRDefault="00F900AA" w:rsidP="00E32607">
      <w:pPr>
        <w:pStyle w:val="Heading2"/>
        <w:rPr>
          <w:rFonts w:ascii="Arial" w:hAnsi="Arial" w:cs="Arial"/>
          <w:sz w:val="24"/>
          <w:szCs w:val="24"/>
        </w:rPr>
      </w:pPr>
      <w:bookmarkStart w:id="10" w:name="_Toc224551768"/>
      <w:r w:rsidRPr="00E32607">
        <w:rPr>
          <w:rFonts w:ascii="Arial" w:hAnsi="Arial" w:cs="Arial"/>
          <w:sz w:val="24"/>
          <w:szCs w:val="24"/>
        </w:rPr>
        <w:t>4.1</w:t>
      </w:r>
      <w:r w:rsidR="00E32607" w:rsidRPr="00E32607">
        <w:rPr>
          <w:rFonts w:ascii="Arial" w:hAnsi="Arial" w:cs="Arial"/>
          <w:sz w:val="24"/>
          <w:szCs w:val="24"/>
        </w:rPr>
        <w:t>.1</w:t>
      </w:r>
      <w:r w:rsidRPr="00E32607">
        <w:rPr>
          <w:rFonts w:ascii="Arial" w:hAnsi="Arial" w:cs="Arial"/>
          <w:sz w:val="24"/>
          <w:szCs w:val="24"/>
        </w:rPr>
        <w:t xml:space="preserve"> SWOT table</w:t>
      </w:r>
      <w:bookmarkEnd w:id="10"/>
    </w:p>
    <w:tbl>
      <w:tblPr>
        <w:tblStyle w:val="TableGrid"/>
        <w:tblW w:w="0" w:type="auto"/>
        <w:tblLook w:val="04A0" w:firstRow="1" w:lastRow="0" w:firstColumn="1" w:lastColumn="0" w:noHBand="0" w:noVBand="1"/>
      </w:tblPr>
      <w:tblGrid>
        <w:gridCol w:w="4508"/>
        <w:gridCol w:w="4508"/>
      </w:tblGrid>
      <w:tr w:rsidR="00E32607" w14:paraId="16741CE7" w14:textId="77777777" w:rsidTr="00E32607">
        <w:tc>
          <w:tcPr>
            <w:tcW w:w="4508" w:type="dxa"/>
            <w:shd w:val="clear" w:color="auto" w:fill="E8E8E8" w:themeFill="background2"/>
          </w:tcPr>
          <w:p w14:paraId="6FCD28EC" w14:textId="77777777" w:rsidR="00E32607" w:rsidRPr="00E627DF" w:rsidRDefault="00E32607" w:rsidP="00E32607">
            <w:pPr>
              <w:rPr>
                <w:rFonts w:ascii="Arial" w:hAnsi="Arial" w:cs="Arial"/>
              </w:rPr>
            </w:pPr>
            <w:r w:rsidRPr="00E627DF">
              <w:rPr>
                <w:rFonts w:ascii="Arial" w:hAnsi="Arial" w:cs="Arial"/>
              </w:rPr>
              <w:t xml:space="preserve">Strengths: </w:t>
            </w:r>
          </w:p>
          <w:p w14:paraId="7467D86C" w14:textId="77777777" w:rsidR="00E32607" w:rsidRDefault="00E32607" w:rsidP="00E32607">
            <w:pPr>
              <w:pStyle w:val="ListParagraph"/>
              <w:numPr>
                <w:ilvl w:val="0"/>
                <w:numId w:val="1"/>
              </w:numPr>
            </w:pPr>
            <w:r>
              <w:t>Strong ethical brand</w:t>
            </w:r>
          </w:p>
          <w:p w14:paraId="20A73044" w14:textId="77777777" w:rsidR="00E32607" w:rsidRDefault="00E32607" w:rsidP="00E32607">
            <w:pPr>
              <w:pStyle w:val="ListParagraph"/>
              <w:numPr>
                <w:ilvl w:val="0"/>
                <w:numId w:val="1"/>
              </w:numPr>
            </w:pPr>
            <w:r>
              <w:t>B Corp</w:t>
            </w:r>
          </w:p>
          <w:p w14:paraId="1BDD5C9B" w14:textId="77777777" w:rsidR="00E32607" w:rsidRDefault="00E32607" w:rsidP="00E32607">
            <w:pPr>
              <w:pStyle w:val="ListParagraph"/>
              <w:numPr>
                <w:ilvl w:val="0"/>
                <w:numId w:val="1"/>
              </w:numPr>
            </w:pPr>
            <w:r>
              <w:t>Leading UK share</w:t>
            </w:r>
          </w:p>
          <w:p w14:paraId="5A9228D9" w14:textId="33845F22" w:rsidR="00E32607" w:rsidRDefault="00E32607" w:rsidP="00E32607">
            <w:pPr>
              <w:pStyle w:val="ListParagraph"/>
              <w:numPr>
                <w:ilvl w:val="0"/>
                <w:numId w:val="1"/>
              </w:numPr>
            </w:pPr>
            <w:r>
              <w:t>Coca-Cola distribution access</w:t>
            </w:r>
          </w:p>
        </w:tc>
        <w:tc>
          <w:tcPr>
            <w:tcW w:w="4508" w:type="dxa"/>
            <w:shd w:val="clear" w:color="auto" w:fill="ADADAD" w:themeFill="background2" w:themeFillShade="BF"/>
          </w:tcPr>
          <w:p w14:paraId="0C54B6B3" w14:textId="77777777" w:rsidR="00E32607" w:rsidRPr="002B378E" w:rsidRDefault="00E32607" w:rsidP="00E32607">
            <w:pPr>
              <w:rPr>
                <w:rFonts w:ascii="Arial" w:hAnsi="Arial" w:cs="Arial"/>
              </w:rPr>
            </w:pPr>
            <w:r w:rsidRPr="002B378E">
              <w:rPr>
                <w:rFonts w:ascii="Arial" w:hAnsi="Arial" w:cs="Arial"/>
              </w:rPr>
              <w:t>Weaknesses:</w:t>
            </w:r>
          </w:p>
          <w:p w14:paraId="30533557" w14:textId="77777777" w:rsidR="00E32607" w:rsidRPr="002B378E" w:rsidRDefault="00E32607" w:rsidP="00E32607">
            <w:pPr>
              <w:pStyle w:val="ListParagraph"/>
              <w:numPr>
                <w:ilvl w:val="0"/>
                <w:numId w:val="2"/>
              </w:numPr>
              <w:rPr>
                <w:rFonts w:ascii="Arial" w:hAnsi="Arial" w:cs="Arial"/>
              </w:rPr>
            </w:pPr>
            <w:r w:rsidRPr="002B378E">
              <w:rPr>
                <w:rFonts w:ascii="Arial" w:hAnsi="Arial" w:cs="Arial"/>
              </w:rPr>
              <w:t>Depending on chilled supply chain</w:t>
            </w:r>
          </w:p>
          <w:p w14:paraId="19375BF6" w14:textId="77777777" w:rsidR="00E32607" w:rsidRPr="002B378E" w:rsidRDefault="00E32607" w:rsidP="00E32607">
            <w:pPr>
              <w:pStyle w:val="ListParagraph"/>
              <w:numPr>
                <w:ilvl w:val="0"/>
                <w:numId w:val="2"/>
              </w:numPr>
              <w:rPr>
                <w:rFonts w:ascii="Arial" w:hAnsi="Arial" w:cs="Arial"/>
              </w:rPr>
            </w:pPr>
            <w:r w:rsidRPr="002B378E">
              <w:rPr>
                <w:rFonts w:ascii="Arial" w:hAnsi="Arial" w:cs="Arial"/>
              </w:rPr>
              <w:t>Higher price point</w:t>
            </w:r>
          </w:p>
          <w:p w14:paraId="3435FE93" w14:textId="6E6B658B" w:rsidR="00E32607" w:rsidRDefault="00E32607" w:rsidP="00E32607">
            <w:pPr>
              <w:pStyle w:val="ListParagraph"/>
              <w:numPr>
                <w:ilvl w:val="0"/>
                <w:numId w:val="2"/>
              </w:numPr>
            </w:pPr>
            <w:r w:rsidRPr="002B378E">
              <w:rPr>
                <w:rFonts w:ascii="Arial" w:hAnsi="Arial" w:cs="Arial"/>
              </w:rPr>
              <w:t>Limited diversification only beverages</w:t>
            </w:r>
          </w:p>
        </w:tc>
      </w:tr>
      <w:tr w:rsidR="00E32607" w14:paraId="08ACF88D" w14:textId="77777777" w:rsidTr="00E32607">
        <w:tc>
          <w:tcPr>
            <w:tcW w:w="4508" w:type="dxa"/>
            <w:shd w:val="clear" w:color="auto" w:fill="ADADAD" w:themeFill="background2" w:themeFillShade="BF"/>
          </w:tcPr>
          <w:p w14:paraId="74914F64" w14:textId="77777777" w:rsidR="00E32607" w:rsidRDefault="00E32607" w:rsidP="00E32607">
            <w:r w:rsidRPr="00E627DF">
              <w:rPr>
                <w:rFonts w:ascii="Arial" w:hAnsi="Arial" w:cs="Arial"/>
              </w:rPr>
              <w:t>Opportunities</w:t>
            </w:r>
            <w:r>
              <w:t>:</w:t>
            </w:r>
          </w:p>
          <w:p w14:paraId="761C56F2" w14:textId="77777777" w:rsidR="00E32607" w:rsidRPr="00E627DF" w:rsidRDefault="00E32607" w:rsidP="00E32607">
            <w:pPr>
              <w:pStyle w:val="ListParagraph"/>
              <w:numPr>
                <w:ilvl w:val="0"/>
                <w:numId w:val="3"/>
              </w:numPr>
              <w:rPr>
                <w:rFonts w:ascii="Arial" w:hAnsi="Arial" w:cs="Arial"/>
              </w:rPr>
            </w:pPr>
            <w:r w:rsidRPr="00E627DF">
              <w:rPr>
                <w:rFonts w:ascii="Arial" w:hAnsi="Arial" w:cs="Arial"/>
              </w:rPr>
              <w:t>Growth in health, plant-based and functional drinks</w:t>
            </w:r>
          </w:p>
          <w:p w14:paraId="5A1A1DCF" w14:textId="77777777" w:rsidR="00E32607" w:rsidRPr="00E627DF" w:rsidRDefault="00E32607" w:rsidP="00E32607">
            <w:pPr>
              <w:pStyle w:val="ListParagraph"/>
              <w:numPr>
                <w:ilvl w:val="0"/>
                <w:numId w:val="3"/>
              </w:numPr>
              <w:rPr>
                <w:rFonts w:ascii="Arial" w:hAnsi="Arial" w:cs="Arial"/>
              </w:rPr>
            </w:pPr>
            <w:r w:rsidRPr="00E627DF">
              <w:rPr>
                <w:rFonts w:ascii="Arial" w:hAnsi="Arial" w:cs="Arial"/>
              </w:rPr>
              <w:t>International expansion</w:t>
            </w:r>
          </w:p>
          <w:p w14:paraId="4284FFF6" w14:textId="6B8BC1B7" w:rsidR="00E32607" w:rsidRDefault="00E32607" w:rsidP="00E32607">
            <w:pPr>
              <w:pStyle w:val="ListParagraph"/>
              <w:numPr>
                <w:ilvl w:val="0"/>
                <w:numId w:val="3"/>
              </w:numPr>
            </w:pPr>
            <w:r w:rsidRPr="00E627DF">
              <w:rPr>
                <w:rFonts w:ascii="Arial" w:hAnsi="Arial" w:cs="Arial"/>
              </w:rPr>
              <w:t>Low-carbon innovation</w:t>
            </w:r>
          </w:p>
        </w:tc>
        <w:tc>
          <w:tcPr>
            <w:tcW w:w="4508" w:type="dxa"/>
            <w:shd w:val="clear" w:color="auto" w:fill="E8E8E8" w:themeFill="background2"/>
          </w:tcPr>
          <w:p w14:paraId="0752AA40" w14:textId="5ED22B4D" w:rsidR="00E32607" w:rsidRPr="002B378E" w:rsidRDefault="00E32607" w:rsidP="00E32607">
            <w:pPr>
              <w:rPr>
                <w:rFonts w:ascii="Arial" w:hAnsi="Arial" w:cs="Arial"/>
              </w:rPr>
            </w:pPr>
            <w:r w:rsidRPr="002B378E">
              <w:rPr>
                <w:rFonts w:ascii="Arial" w:hAnsi="Arial" w:cs="Arial"/>
              </w:rPr>
              <w:t>Threats:</w:t>
            </w:r>
          </w:p>
          <w:p w14:paraId="45A77E46" w14:textId="6B270377" w:rsidR="00E32607" w:rsidRPr="002B378E" w:rsidRDefault="00E32607" w:rsidP="00E32607">
            <w:pPr>
              <w:pStyle w:val="ListParagraph"/>
              <w:numPr>
                <w:ilvl w:val="0"/>
                <w:numId w:val="4"/>
              </w:numPr>
              <w:rPr>
                <w:rFonts w:ascii="Arial" w:hAnsi="Arial" w:cs="Arial"/>
              </w:rPr>
            </w:pPr>
            <w:r w:rsidRPr="002B378E">
              <w:rPr>
                <w:rFonts w:ascii="Arial" w:hAnsi="Arial" w:cs="Arial"/>
              </w:rPr>
              <w:t>Intense FMCG competition</w:t>
            </w:r>
          </w:p>
          <w:p w14:paraId="33CE8B4C" w14:textId="71A67F24" w:rsidR="00E32607" w:rsidRPr="002B378E" w:rsidRDefault="00E32607" w:rsidP="00E32607">
            <w:pPr>
              <w:pStyle w:val="ListParagraph"/>
              <w:numPr>
                <w:ilvl w:val="0"/>
                <w:numId w:val="4"/>
              </w:numPr>
              <w:rPr>
                <w:rFonts w:ascii="Arial" w:hAnsi="Arial" w:cs="Arial"/>
              </w:rPr>
            </w:pPr>
            <w:r w:rsidRPr="002B378E">
              <w:rPr>
                <w:rFonts w:ascii="Arial" w:hAnsi="Arial" w:cs="Arial"/>
              </w:rPr>
              <w:t>Plant-based and functional drinks</w:t>
            </w:r>
          </w:p>
          <w:p w14:paraId="149A1FF9" w14:textId="0BB39A19" w:rsidR="00E32607" w:rsidRPr="002B378E" w:rsidRDefault="00E32607" w:rsidP="00E32607">
            <w:pPr>
              <w:pStyle w:val="ListParagraph"/>
              <w:numPr>
                <w:ilvl w:val="0"/>
                <w:numId w:val="4"/>
              </w:numPr>
              <w:rPr>
                <w:rFonts w:ascii="Arial" w:hAnsi="Arial" w:cs="Arial"/>
              </w:rPr>
            </w:pPr>
            <w:r w:rsidRPr="002B378E">
              <w:rPr>
                <w:rFonts w:ascii="Arial" w:hAnsi="Arial" w:cs="Arial"/>
              </w:rPr>
              <w:t>Regulatory pressure on sugar</w:t>
            </w:r>
          </w:p>
          <w:p w14:paraId="0EAF5FC8" w14:textId="71DE88E1" w:rsidR="00E32607" w:rsidRPr="002B378E" w:rsidRDefault="00E32607" w:rsidP="00E32607">
            <w:pPr>
              <w:pStyle w:val="ListParagraph"/>
              <w:numPr>
                <w:ilvl w:val="0"/>
                <w:numId w:val="4"/>
              </w:numPr>
              <w:rPr>
                <w:rFonts w:ascii="Arial" w:hAnsi="Arial" w:cs="Arial"/>
              </w:rPr>
            </w:pPr>
            <w:r w:rsidRPr="002B378E">
              <w:rPr>
                <w:rFonts w:ascii="Arial" w:hAnsi="Arial" w:cs="Arial"/>
              </w:rPr>
              <w:t>Reputational risk</w:t>
            </w:r>
          </w:p>
          <w:p w14:paraId="035C581D" w14:textId="2E71666B" w:rsidR="00E32607" w:rsidRDefault="00E32607" w:rsidP="00E32607"/>
        </w:tc>
      </w:tr>
    </w:tbl>
    <w:p w14:paraId="7AC36F91" w14:textId="4A665A3A" w:rsidR="00DA752C" w:rsidRDefault="00E32607" w:rsidP="00E32607">
      <w:pPr>
        <w:rPr>
          <w:rFonts w:ascii="Arial" w:hAnsi="Arial" w:cs="Arial"/>
        </w:rPr>
      </w:pPr>
      <w:r w:rsidRPr="005B6003">
        <w:rPr>
          <w:rFonts w:ascii="Arial" w:hAnsi="Arial" w:cs="Arial"/>
        </w:rPr>
        <w:t>Figure 1</w:t>
      </w:r>
    </w:p>
    <w:p w14:paraId="54DDCACE" w14:textId="77777777" w:rsidR="002B378E" w:rsidRDefault="002B378E" w:rsidP="00E32607">
      <w:pPr>
        <w:rPr>
          <w:rFonts w:ascii="Arial" w:hAnsi="Arial" w:cs="Arial"/>
        </w:rPr>
      </w:pPr>
    </w:p>
    <w:p w14:paraId="0DA3F044" w14:textId="77777777" w:rsidR="002B378E" w:rsidRDefault="002B378E" w:rsidP="00E32607">
      <w:pPr>
        <w:rPr>
          <w:rFonts w:ascii="Arial" w:hAnsi="Arial" w:cs="Arial"/>
        </w:rPr>
      </w:pPr>
    </w:p>
    <w:p w14:paraId="6BBAAC2C" w14:textId="77777777" w:rsidR="002B378E" w:rsidRDefault="002B378E" w:rsidP="00E32607">
      <w:pPr>
        <w:rPr>
          <w:rFonts w:ascii="Arial" w:hAnsi="Arial" w:cs="Arial"/>
        </w:rPr>
      </w:pPr>
    </w:p>
    <w:p w14:paraId="0AC2153F" w14:textId="77777777" w:rsidR="002B378E" w:rsidRPr="005B6003" w:rsidRDefault="002B378E" w:rsidP="00E32607">
      <w:pPr>
        <w:rPr>
          <w:rFonts w:ascii="Arial" w:hAnsi="Arial" w:cs="Arial"/>
        </w:rPr>
      </w:pPr>
    </w:p>
    <w:p w14:paraId="23673C56" w14:textId="6D743AAD" w:rsidR="00247C84" w:rsidRPr="00E32607" w:rsidRDefault="00E32607" w:rsidP="00E32607">
      <w:pPr>
        <w:pStyle w:val="Heading3"/>
        <w:rPr>
          <w:rFonts w:ascii="Arial" w:hAnsi="Arial" w:cs="Arial"/>
          <w:sz w:val="24"/>
          <w:szCs w:val="24"/>
        </w:rPr>
      </w:pPr>
      <w:bookmarkStart w:id="11" w:name="_Toc224551769"/>
      <w:r w:rsidRPr="00E32607">
        <w:rPr>
          <w:rFonts w:ascii="Arial" w:hAnsi="Arial" w:cs="Arial"/>
          <w:sz w:val="24"/>
          <w:szCs w:val="24"/>
        </w:rPr>
        <w:t>4.1.2 Explanation of the SWOT table</w:t>
      </w:r>
      <w:bookmarkEnd w:id="11"/>
    </w:p>
    <w:p w14:paraId="077699FE" w14:textId="44432A23" w:rsidR="00247C84" w:rsidRDefault="0075716E" w:rsidP="00D37266">
      <w:pPr>
        <w:spacing w:line="360" w:lineRule="auto"/>
        <w:rPr>
          <w:rFonts w:ascii="Arial" w:hAnsi="Arial" w:cs="Arial"/>
        </w:rPr>
      </w:pPr>
      <w:r w:rsidRPr="00D37266">
        <w:rPr>
          <w:rFonts w:ascii="Arial" w:hAnsi="Arial" w:cs="Arial"/>
        </w:rPr>
        <w:t xml:space="preserve">SWOT shows that Innocent’s focus on ethics and sustainability is central to how it builds and maintains its competitive advantage. Research shows that ethical and value -driven brands in FMCG enjoy high trust, loyalty and price tolerance, particularly when authenticity is </w:t>
      </w:r>
      <w:r w:rsidR="001A713E" w:rsidRPr="00D37266">
        <w:rPr>
          <w:rFonts w:ascii="Arial" w:hAnsi="Arial" w:cs="Arial"/>
        </w:rPr>
        <w:t>consistently demonstrated( Iglesias et al., 2019; Carrington et al., 2014)</w:t>
      </w:r>
      <w:r w:rsidR="008D4DCE" w:rsidRPr="00D37266">
        <w:rPr>
          <w:rFonts w:ascii="Arial" w:hAnsi="Arial" w:cs="Arial"/>
        </w:rPr>
        <w:t>. Innocent’s B Corp status, the 10% profit donations to charity, and investment in low-carbon facilities strengthen these strengths in a highly competitive beverage sector.</w:t>
      </w:r>
      <w:r w:rsidR="003E5098" w:rsidRPr="00D37266">
        <w:rPr>
          <w:rFonts w:ascii="Arial" w:hAnsi="Arial" w:cs="Arial"/>
        </w:rPr>
        <w:t xml:space="preserve"> However, its premium pricing and reliance on chilled logistics create weaknesses in cost efficiency and increase operational complexity. Opportunities </w:t>
      </w:r>
      <w:r w:rsidR="009E2BC6" w:rsidRPr="00D37266">
        <w:rPr>
          <w:rFonts w:ascii="Arial" w:hAnsi="Arial" w:cs="Arial"/>
        </w:rPr>
        <w:t xml:space="preserve">can arise from the </w:t>
      </w:r>
      <w:r w:rsidR="001C2C7B" w:rsidRPr="00D37266">
        <w:rPr>
          <w:rFonts w:ascii="Arial" w:hAnsi="Arial" w:cs="Arial"/>
        </w:rPr>
        <w:t>high demand for healthy, plant-based and functional beverages, where innovation in formats, like the powdered smoothies or no-added sugar lines, can offer ways to expand market reach and cut waste.</w:t>
      </w:r>
      <w:r w:rsidR="00B90F60" w:rsidRPr="00D37266">
        <w:rPr>
          <w:rFonts w:ascii="Arial" w:hAnsi="Arial" w:cs="Arial"/>
        </w:rPr>
        <w:t xml:space="preserve"> At the same time, threats</w:t>
      </w:r>
      <w:r w:rsidR="00F77A3A" w:rsidRPr="00D37266">
        <w:rPr>
          <w:rFonts w:ascii="Arial" w:hAnsi="Arial" w:cs="Arial"/>
        </w:rPr>
        <w:t xml:space="preserve"> from rising competition from retailer own label products, sugar-related regulation and sustainability expectatio</w:t>
      </w:r>
      <w:r w:rsidR="005C2E65" w:rsidRPr="00D37266">
        <w:rPr>
          <w:rFonts w:ascii="Arial" w:hAnsi="Arial" w:cs="Arial"/>
        </w:rPr>
        <w:t>n</w:t>
      </w:r>
      <w:r w:rsidR="00F77A3A" w:rsidRPr="00D37266">
        <w:rPr>
          <w:rFonts w:ascii="Arial" w:hAnsi="Arial" w:cs="Arial"/>
        </w:rPr>
        <w:t>s</w:t>
      </w:r>
      <w:r w:rsidR="00365CB6" w:rsidRPr="00D37266">
        <w:rPr>
          <w:rFonts w:ascii="Arial" w:hAnsi="Arial" w:cs="Arial"/>
        </w:rPr>
        <w:t xml:space="preserve"> force  Innocent to align its ethical positioning with operational practices(Jones et al., 2021</w:t>
      </w:r>
      <w:r w:rsidR="00D37266" w:rsidRPr="00D37266">
        <w:rPr>
          <w:rFonts w:ascii="Arial" w:hAnsi="Arial" w:cs="Arial"/>
        </w:rPr>
        <w:t>).</w:t>
      </w:r>
    </w:p>
    <w:p w14:paraId="02A36355" w14:textId="6D614FED" w:rsidR="00F13E12" w:rsidRPr="00F13E12" w:rsidRDefault="00F13E12" w:rsidP="00F13E12">
      <w:pPr>
        <w:pStyle w:val="Heading2"/>
        <w:rPr>
          <w:rFonts w:ascii="Arial" w:hAnsi="Arial" w:cs="Arial"/>
          <w:sz w:val="28"/>
          <w:szCs w:val="28"/>
        </w:rPr>
      </w:pPr>
      <w:bookmarkStart w:id="12" w:name="_Toc224551770"/>
      <w:r w:rsidRPr="00F13E12">
        <w:rPr>
          <w:rFonts w:ascii="Arial" w:hAnsi="Arial" w:cs="Arial"/>
          <w:sz w:val="28"/>
          <w:szCs w:val="28"/>
        </w:rPr>
        <w:t>4.2 PESTEL analysis</w:t>
      </w:r>
      <w:bookmarkEnd w:id="12"/>
    </w:p>
    <w:p w14:paraId="69C10010" w14:textId="44BE5796" w:rsidR="00247C84" w:rsidRDefault="00FF2DE6" w:rsidP="00D37266">
      <w:pPr>
        <w:spacing w:line="360" w:lineRule="auto"/>
        <w:rPr>
          <w:rFonts w:ascii="Arial" w:hAnsi="Arial" w:cs="Arial"/>
        </w:rPr>
      </w:pPr>
      <w:r>
        <w:rPr>
          <w:rFonts w:ascii="Arial" w:hAnsi="Arial" w:cs="Arial"/>
        </w:rPr>
        <w:t xml:space="preserve">PESTEL analysis is a tool that examines the political, economic, social, technological, environmental and legal forces shaping  a firm’s external context. It helps organisations anticipate external pressures and adjust strategy accordingly( Rastogi and Trivedi,2016). In FMCG markets, it is especially useful because sustainability rules, health policy and </w:t>
      </w:r>
      <w:r>
        <w:rPr>
          <w:rFonts w:ascii="Arial" w:hAnsi="Arial" w:cs="Arial"/>
        </w:rPr>
        <w:lastRenderedPageBreak/>
        <w:t>environmental expectations strongly influence</w:t>
      </w:r>
      <w:r w:rsidR="00AD7A25">
        <w:rPr>
          <w:rFonts w:ascii="Arial" w:hAnsi="Arial" w:cs="Arial"/>
        </w:rPr>
        <w:t xml:space="preserve"> product development and competitiveness (Rasheed, 2020). For Innocent Drinks, this shows how its ethical branding, carbon-reduction goals and the shift towards health-focused  consumer behaviour influence its future strategic choices.</w:t>
      </w:r>
    </w:p>
    <w:p w14:paraId="0F828726" w14:textId="77777777" w:rsidR="002B378E" w:rsidRDefault="002B378E" w:rsidP="00D37266">
      <w:pPr>
        <w:spacing w:line="360" w:lineRule="auto"/>
        <w:rPr>
          <w:rFonts w:ascii="Arial" w:hAnsi="Arial" w:cs="Arial"/>
        </w:rPr>
      </w:pPr>
    </w:p>
    <w:p w14:paraId="6FF3EB70" w14:textId="77777777" w:rsidR="002B378E" w:rsidRDefault="002B378E" w:rsidP="00D37266">
      <w:pPr>
        <w:spacing w:line="360" w:lineRule="auto"/>
        <w:rPr>
          <w:rFonts w:ascii="Arial" w:hAnsi="Arial" w:cs="Arial"/>
        </w:rPr>
      </w:pPr>
    </w:p>
    <w:p w14:paraId="48FC902A" w14:textId="77777777" w:rsidR="002B378E" w:rsidRDefault="002B378E" w:rsidP="00D37266">
      <w:pPr>
        <w:spacing w:line="360" w:lineRule="auto"/>
        <w:rPr>
          <w:rFonts w:ascii="Arial" w:hAnsi="Arial" w:cs="Arial"/>
        </w:rPr>
      </w:pPr>
    </w:p>
    <w:p w14:paraId="56B06E36" w14:textId="77777777" w:rsidR="002B378E" w:rsidRDefault="002B378E" w:rsidP="00D37266">
      <w:pPr>
        <w:spacing w:line="360" w:lineRule="auto"/>
        <w:rPr>
          <w:rFonts w:ascii="Arial" w:hAnsi="Arial" w:cs="Arial"/>
        </w:rPr>
      </w:pPr>
    </w:p>
    <w:p w14:paraId="25DE6466" w14:textId="77777777" w:rsidR="002B378E" w:rsidRDefault="002B378E" w:rsidP="00D37266">
      <w:pPr>
        <w:spacing w:line="360" w:lineRule="auto"/>
        <w:rPr>
          <w:rFonts w:ascii="Arial" w:hAnsi="Arial" w:cs="Arial"/>
        </w:rPr>
      </w:pPr>
    </w:p>
    <w:p w14:paraId="2790E1E0" w14:textId="77777777" w:rsidR="002B378E" w:rsidRDefault="002B378E" w:rsidP="00D37266">
      <w:pPr>
        <w:spacing w:line="360" w:lineRule="auto"/>
        <w:rPr>
          <w:rFonts w:ascii="Arial" w:hAnsi="Arial" w:cs="Arial"/>
        </w:rPr>
      </w:pPr>
    </w:p>
    <w:p w14:paraId="04202B8D" w14:textId="77777777" w:rsidR="002B378E" w:rsidRDefault="002B378E" w:rsidP="00D37266">
      <w:pPr>
        <w:spacing w:line="360" w:lineRule="auto"/>
        <w:rPr>
          <w:rFonts w:ascii="Arial" w:hAnsi="Arial" w:cs="Arial"/>
        </w:rPr>
      </w:pPr>
    </w:p>
    <w:p w14:paraId="7209563E" w14:textId="77777777" w:rsidR="002B378E" w:rsidRPr="00D37266" w:rsidRDefault="002B378E" w:rsidP="00D37266">
      <w:pPr>
        <w:spacing w:line="360" w:lineRule="auto"/>
        <w:rPr>
          <w:rFonts w:ascii="Arial" w:hAnsi="Arial" w:cs="Arial"/>
        </w:rPr>
      </w:pPr>
    </w:p>
    <w:p w14:paraId="213EF5FE" w14:textId="0167D63F" w:rsidR="00247C84" w:rsidRPr="00242A44" w:rsidRDefault="00491D00" w:rsidP="00242A44">
      <w:pPr>
        <w:pStyle w:val="Heading3"/>
        <w:rPr>
          <w:rFonts w:ascii="Arial" w:hAnsi="Arial" w:cs="Arial"/>
          <w:sz w:val="24"/>
          <w:szCs w:val="24"/>
        </w:rPr>
      </w:pPr>
      <w:bookmarkStart w:id="13" w:name="_Toc224551771"/>
      <w:r w:rsidRPr="00242A44">
        <w:rPr>
          <w:rFonts w:ascii="Arial" w:hAnsi="Arial" w:cs="Arial"/>
          <w:sz w:val="24"/>
          <w:szCs w:val="24"/>
        </w:rPr>
        <w:t>4.2.1 PESTEL Analysis</w:t>
      </w:r>
      <w:bookmarkEnd w:id="13"/>
    </w:p>
    <w:tbl>
      <w:tblPr>
        <w:tblStyle w:val="TableGrid"/>
        <w:tblW w:w="0" w:type="auto"/>
        <w:tblLook w:val="04A0" w:firstRow="1" w:lastRow="0" w:firstColumn="1" w:lastColumn="0" w:noHBand="0" w:noVBand="1"/>
      </w:tblPr>
      <w:tblGrid>
        <w:gridCol w:w="1838"/>
        <w:gridCol w:w="7178"/>
      </w:tblGrid>
      <w:tr w:rsidR="00242A44" w14:paraId="2D3A2F68" w14:textId="77777777" w:rsidTr="00B46D72">
        <w:tc>
          <w:tcPr>
            <w:tcW w:w="1838" w:type="dxa"/>
            <w:shd w:val="clear" w:color="auto" w:fill="4C94D8" w:themeFill="text2" w:themeFillTint="80"/>
          </w:tcPr>
          <w:p w14:paraId="69A1A783" w14:textId="45D21689" w:rsidR="00242A44" w:rsidRPr="00B14499" w:rsidRDefault="00242A44" w:rsidP="00247C84">
            <w:r w:rsidRPr="00B14499">
              <w:rPr>
                <w:rFonts w:ascii="Arial" w:hAnsi="Arial" w:cs="Arial"/>
                <w:color w:val="000000" w:themeColor="text1"/>
              </w:rPr>
              <w:t>Dimension</w:t>
            </w:r>
          </w:p>
        </w:tc>
        <w:tc>
          <w:tcPr>
            <w:tcW w:w="7178" w:type="dxa"/>
            <w:shd w:val="clear" w:color="auto" w:fill="DAE9F7" w:themeFill="text2" w:themeFillTint="1A"/>
          </w:tcPr>
          <w:p w14:paraId="626D2731" w14:textId="77777777" w:rsidR="00242A44" w:rsidRPr="002B378E" w:rsidRDefault="00B14499" w:rsidP="00247C84">
            <w:pPr>
              <w:rPr>
                <w:rFonts w:ascii="Arial" w:hAnsi="Arial" w:cs="Arial"/>
              </w:rPr>
            </w:pPr>
            <w:r w:rsidRPr="002B378E">
              <w:rPr>
                <w:rFonts w:ascii="Arial" w:hAnsi="Arial" w:cs="Arial"/>
              </w:rPr>
              <w:t>Key issues for Innocent Drinks</w:t>
            </w:r>
          </w:p>
          <w:p w14:paraId="6F3E08E4" w14:textId="77777777" w:rsidR="00B46D72" w:rsidRPr="002B378E" w:rsidRDefault="00B46D72" w:rsidP="00247C84">
            <w:pPr>
              <w:rPr>
                <w:rFonts w:ascii="Arial" w:hAnsi="Arial" w:cs="Arial"/>
              </w:rPr>
            </w:pPr>
          </w:p>
          <w:p w14:paraId="79A4400D" w14:textId="2D797E66" w:rsidR="00B46D72" w:rsidRPr="002B378E" w:rsidRDefault="00B46D72" w:rsidP="00247C84">
            <w:pPr>
              <w:rPr>
                <w:rFonts w:ascii="Arial" w:hAnsi="Arial" w:cs="Arial"/>
              </w:rPr>
            </w:pPr>
          </w:p>
        </w:tc>
      </w:tr>
      <w:tr w:rsidR="00242A44" w14:paraId="2A6DA8B3" w14:textId="77777777" w:rsidTr="00B46D72">
        <w:tc>
          <w:tcPr>
            <w:tcW w:w="1838" w:type="dxa"/>
            <w:shd w:val="clear" w:color="auto" w:fill="DAE9F7" w:themeFill="text2" w:themeFillTint="1A"/>
          </w:tcPr>
          <w:p w14:paraId="2C3965D9" w14:textId="605782DD" w:rsidR="00242A44" w:rsidRDefault="00B14499" w:rsidP="00247C84">
            <w:r w:rsidRPr="00626D43">
              <w:rPr>
                <w:rFonts w:ascii="Arial" w:hAnsi="Arial" w:cs="Arial"/>
                <w:color w:val="000000" w:themeColor="text1"/>
              </w:rPr>
              <w:t>Political</w:t>
            </w:r>
          </w:p>
        </w:tc>
        <w:tc>
          <w:tcPr>
            <w:tcW w:w="7178" w:type="dxa"/>
            <w:shd w:val="clear" w:color="auto" w:fill="4C94D8" w:themeFill="text2" w:themeFillTint="80"/>
          </w:tcPr>
          <w:p w14:paraId="29BDBCC9" w14:textId="0FC19C3E" w:rsidR="00B14499" w:rsidRPr="00626D43" w:rsidRDefault="00B14499" w:rsidP="00B14499">
            <w:pPr>
              <w:rPr>
                <w:rFonts w:ascii="Arial" w:hAnsi="Arial" w:cs="Arial"/>
                <w:color w:val="000000" w:themeColor="text1"/>
              </w:rPr>
            </w:pPr>
            <w:r>
              <w:rPr>
                <w:rFonts w:ascii="Arial" w:hAnsi="Arial" w:cs="Arial"/>
                <w:color w:val="000000" w:themeColor="text1"/>
              </w:rPr>
              <w:t>UK</w:t>
            </w:r>
            <w:r w:rsidRPr="00626D43">
              <w:rPr>
                <w:rFonts w:ascii="Arial" w:hAnsi="Arial" w:cs="Arial"/>
                <w:color w:val="000000" w:themeColor="text1"/>
              </w:rPr>
              <w:t xml:space="preserve"> sugar levy, EU/UK environmental and packaging regulations</w:t>
            </w:r>
          </w:p>
          <w:p w14:paraId="14CAA747" w14:textId="77777777" w:rsidR="00242A44" w:rsidRDefault="00242A44" w:rsidP="00247C84"/>
          <w:p w14:paraId="31051119" w14:textId="77777777" w:rsidR="00B46D72" w:rsidRDefault="00B46D72" w:rsidP="00247C84"/>
        </w:tc>
      </w:tr>
      <w:tr w:rsidR="00242A44" w14:paraId="18344A22" w14:textId="77777777" w:rsidTr="00B46D72">
        <w:tc>
          <w:tcPr>
            <w:tcW w:w="1838" w:type="dxa"/>
            <w:shd w:val="clear" w:color="auto" w:fill="4C94D8" w:themeFill="text2" w:themeFillTint="80"/>
          </w:tcPr>
          <w:p w14:paraId="4BEDB2D8" w14:textId="2A2002C1" w:rsidR="00242A44" w:rsidRDefault="00B14499" w:rsidP="00247C84">
            <w:r w:rsidRPr="00626D43">
              <w:rPr>
                <w:rFonts w:ascii="Arial" w:hAnsi="Arial" w:cs="Arial"/>
                <w:color w:val="000000" w:themeColor="text1"/>
              </w:rPr>
              <w:t>Economic</w:t>
            </w:r>
          </w:p>
        </w:tc>
        <w:tc>
          <w:tcPr>
            <w:tcW w:w="7178" w:type="dxa"/>
            <w:shd w:val="clear" w:color="auto" w:fill="DAE9F7" w:themeFill="text2" w:themeFillTint="1A"/>
          </w:tcPr>
          <w:p w14:paraId="59AFE246" w14:textId="77777777" w:rsidR="00B14499" w:rsidRPr="00626D43" w:rsidRDefault="00B14499" w:rsidP="00B14499">
            <w:pPr>
              <w:rPr>
                <w:rFonts w:ascii="Arial" w:hAnsi="Arial" w:cs="Arial"/>
                <w:color w:val="000000" w:themeColor="text1"/>
              </w:rPr>
            </w:pPr>
            <w:r w:rsidRPr="00626D43">
              <w:rPr>
                <w:rFonts w:ascii="Arial" w:hAnsi="Arial" w:cs="Arial"/>
                <w:color w:val="000000" w:themeColor="text1"/>
              </w:rPr>
              <w:t>Cost</w:t>
            </w:r>
            <w:r w:rsidRPr="00626D43">
              <w:rPr>
                <w:rFonts w:ascii="Arial" w:hAnsi="Arial" w:cs="Arial"/>
                <w:color w:val="000000" w:themeColor="text1"/>
              </w:rPr>
              <w:noBreakHyphen/>
              <w:t>of</w:t>
            </w:r>
            <w:r w:rsidRPr="00626D43">
              <w:rPr>
                <w:rFonts w:ascii="Arial" w:hAnsi="Arial" w:cs="Arial"/>
                <w:color w:val="000000" w:themeColor="text1"/>
              </w:rPr>
              <w:noBreakHyphen/>
              <w:t>living pressures, input price volatility (fruit, energy, logistics)</w:t>
            </w:r>
          </w:p>
          <w:p w14:paraId="7439F358" w14:textId="77777777" w:rsidR="00242A44" w:rsidRDefault="00242A44" w:rsidP="00247C84"/>
          <w:p w14:paraId="78F2DDCF" w14:textId="77777777" w:rsidR="00B46D72" w:rsidRDefault="00B46D72" w:rsidP="00247C84"/>
        </w:tc>
      </w:tr>
      <w:tr w:rsidR="00242A44" w14:paraId="3FE733D6" w14:textId="77777777" w:rsidTr="00B46D72">
        <w:tc>
          <w:tcPr>
            <w:tcW w:w="1838" w:type="dxa"/>
            <w:shd w:val="clear" w:color="auto" w:fill="DAE9F7" w:themeFill="text2" w:themeFillTint="1A"/>
          </w:tcPr>
          <w:p w14:paraId="290CBE9D" w14:textId="3D44A714" w:rsidR="00242A44" w:rsidRPr="00B14499" w:rsidRDefault="00B14499" w:rsidP="00247C84">
            <w:pPr>
              <w:rPr>
                <w:rFonts w:ascii="Arial" w:hAnsi="Arial" w:cs="Arial"/>
              </w:rPr>
            </w:pPr>
            <w:r w:rsidRPr="00B14499">
              <w:rPr>
                <w:rFonts w:ascii="Arial" w:hAnsi="Arial" w:cs="Arial"/>
              </w:rPr>
              <w:t>Social</w:t>
            </w:r>
          </w:p>
        </w:tc>
        <w:tc>
          <w:tcPr>
            <w:tcW w:w="7178" w:type="dxa"/>
            <w:shd w:val="clear" w:color="auto" w:fill="4C94D8" w:themeFill="text2" w:themeFillTint="80"/>
          </w:tcPr>
          <w:p w14:paraId="3E7A96F6" w14:textId="77777777" w:rsidR="00B14499" w:rsidRPr="00626D43" w:rsidRDefault="00B14499" w:rsidP="004469D4">
            <w:pPr>
              <w:spacing w:line="360" w:lineRule="auto"/>
              <w:rPr>
                <w:rFonts w:ascii="Arial" w:hAnsi="Arial" w:cs="Arial"/>
                <w:color w:val="000000" w:themeColor="text1"/>
              </w:rPr>
            </w:pPr>
            <w:r w:rsidRPr="00626D43">
              <w:rPr>
                <w:rFonts w:ascii="Arial" w:hAnsi="Arial" w:cs="Arial"/>
                <w:color w:val="000000" w:themeColor="text1"/>
              </w:rPr>
              <w:t>Rising health consciousness, ethical consumerism, demand for transparency</w:t>
            </w:r>
          </w:p>
          <w:p w14:paraId="68F952B7" w14:textId="77777777" w:rsidR="00242A44" w:rsidRDefault="00242A44" w:rsidP="00247C84"/>
        </w:tc>
      </w:tr>
      <w:tr w:rsidR="00242A44" w14:paraId="01531D51" w14:textId="77777777" w:rsidTr="00B46D72">
        <w:tc>
          <w:tcPr>
            <w:tcW w:w="1838" w:type="dxa"/>
            <w:shd w:val="clear" w:color="auto" w:fill="4C94D8" w:themeFill="text2" w:themeFillTint="80"/>
          </w:tcPr>
          <w:p w14:paraId="23BC6E2A" w14:textId="398F05E8" w:rsidR="00242A44" w:rsidRDefault="00B14499" w:rsidP="00247C84">
            <w:r w:rsidRPr="00626D43">
              <w:rPr>
                <w:rFonts w:ascii="Arial" w:hAnsi="Arial" w:cs="Arial"/>
                <w:color w:val="000000" w:themeColor="text1"/>
              </w:rPr>
              <w:t>Technological</w:t>
            </w:r>
          </w:p>
        </w:tc>
        <w:tc>
          <w:tcPr>
            <w:tcW w:w="7178" w:type="dxa"/>
            <w:shd w:val="clear" w:color="auto" w:fill="DAE9F7" w:themeFill="text2" w:themeFillTint="1A"/>
          </w:tcPr>
          <w:p w14:paraId="6258090E" w14:textId="77777777" w:rsidR="00B14499" w:rsidRPr="00626D43" w:rsidRDefault="00B14499" w:rsidP="004469D4">
            <w:pPr>
              <w:spacing w:line="360" w:lineRule="auto"/>
              <w:rPr>
                <w:rFonts w:ascii="Arial" w:hAnsi="Arial" w:cs="Arial"/>
                <w:color w:val="000000" w:themeColor="text1"/>
              </w:rPr>
            </w:pPr>
            <w:r w:rsidRPr="00626D43">
              <w:rPr>
                <w:rFonts w:ascii="Arial" w:hAnsi="Arial" w:cs="Arial"/>
                <w:color w:val="000000" w:themeColor="text1"/>
              </w:rPr>
              <w:t>Process innovation (energy</w:t>
            </w:r>
            <w:r w:rsidRPr="00626D43">
              <w:rPr>
                <w:rFonts w:ascii="Arial" w:hAnsi="Arial" w:cs="Arial"/>
                <w:color w:val="000000" w:themeColor="text1"/>
              </w:rPr>
              <w:noBreakHyphen/>
              <w:t>efficient plants, packaging), digital marketing and data analytics</w:t>
            </w:r>
          </w:p>
          <w:p w14:paraId="0EDAF76F" w14:textId="77777777" w:rsidR="00242A44" w:rsidRDefault="00242A44" w:rsidP="00247C84"/>
        </w:tc>
      </w:tr>
      <w:tr w:rsidR="00242A44" w14:paraId="5DAC1501" w14:textId="77777777" w:rsidTr="00B46D72">
        <w:tc>
          <w:tcPr>
            <w:tcW w:w="1838" w:type="dxa"/>
            <w:shd w:val="clear" w:color="auto" w:fill="DAE9F7" w:themeFill="text2" w:themeFillTint="1A"/>
          </w:tcPr>
          <w:p w14:paraId="6C98648B" w14:textId="3C1BE5DB" w:rsidR="00242A44" w:rsidRDefault="00B14499" w:rsidP="00247C84">
            <w:r w:rsidRPr="00626D43">
              <w:rPr>
                <w:rFonts w:ascii="Arial" w:hAnsi="Arial" w:cs="Arial"/>
                <w:color w:val="000000" w:themeColor="text1"/>
              </w:rPr>
              <w:t>Environmental</w:t>
            </w:r>
          </w:p>
        </w:tc>
        <w:tc>
          <w:tcPr>
            <w:tcW w:w="7178" w:type="dxa"/>
            <w:shd w:val="clear" w:color="auto" w:fill="4C94D8" w:themeFill="text2" w:themeFillTint="80"/>
          </w:tcPr>
          <w:p w14:paraId="36242D93" w14:textId="77777777" w:rsidR="00242A44" w:rsidRDefault="00B14499" w:rsidP="004469D4">
            <w:pPr>
              <w:spacing w:line="360" w:lineRule="auto"/>
              <w:rPr>
                <w:rFonts w:ascii="Arial" w:hAnsi="Arial" w:cs="Arial"/>
                <w:color w:val="000000" w:themeColor="text1"/>
              </w:rPr>
            </w:pPr>
            <w:r w:rsidRPr="00626D43">
              <w:rPr>
                <w:rFonts w:ascii="Arial" w:hAnsi="Arial" w:cs="Arial"/>
                <w:color w:val="000000" w:themeColor="text1"/>
              </w:rPr>
              <w:t>Climate impacts on crop yields, carbon reduction targets, circular packaging expectations</w:t>
            </w:r>
          </w:p>
          <w:p w14:paraId="2D562A93" w14:textId="248085D7" w:rsidR="00B46D72" w:rsidRDefault="00B46D72" w:rsidP="004469D4">
            <w:pPr>
              <w:spacing w:line="360" w:lineRule="auto"/>
            </w:pPr>
          </w:p>
        </w:tc>
      </w:tr>
      <w:tr w:rsidR="00242A44" w14:paraId="16E79873" w14:textId="77777777" w:rsidTr="00B46D72">
        <w:tc>
          <w:tcPr>
            <w:tcW w:w="1838" w:type="dxa"/>
            <w:shd w:val="clear" w:color="auto" w:fill="4C94D8" w:themeFill="text2" w:themeFillTint="80"/>
          </w:tcPr>
          <w:p w14:paraId="7177C485" w14:textId="051E3997" w:rsidR="00242A44" w:rsidRDefault="00B14499" w:rsidP="00247C84">
            <w:r w:rsidRPr="00626D43">
              <w:rPr>
                <w:rFonts w:ascii="Arial" w:hAnsi="Arial" w:cs="Arial"/>
                <w:color w:val="000000" w:themeColor="text1"/>
              </w:rPr>
              <w:t>Legal</w:t>
            </w:r>
          </w:p>
        </w:tc>
        <w:tc>
          <w:tcPr>
            <w:tcW w:w="7178" w:type="dxa"/>
            <w:shd w:val="clear" w:color="auto" w:fill="DAE9F7" w:themeFill="text2" w:themeFillTint="1A"/>
          </w:tcPr>
          <w:p w14:paraId="799C97B7" w14:textId="77777777" w:rsidR="00B14499" w:rsidRPr="00B14499" w:rsidRDefault="00B14499" w:rsidP="004469D4">
            <w:pPr>
              <w:spacing w:line="360" w:lineRule="auto"/>
              <w:rPr>
                <w:rFonts w:ascii="Arial" w:hAnsi="Arial" w:cs="Arial"/>
                <w:color w:val="000000" w:themeColor="text1"/>
              </w:rPr>
            </w:pPr>
            <w:r w:rsidRPr="00B14499">
              <w:rPr>
                <w:rFonts w:ascii="Arial" w:hAnsi="Arial" w:cs="Arial"/>
                <w:color w:val="000000" w:themeColor="text1"/>
              </w:rPr>
              <w:t>Food safety, labelling, advertising standards, Environmental, Social and Governance(ESG) reporting requirements</w:t>
            </w:r>
          </w:p>
          <w:p w14:paraId="1ABB1A2B" w14:textId="77777777" w:rsidR="00242A44" w:rsidRDefault="00242A44" w:rsidP="00247C84"/>
        </w:tc>
      </w:tr>
    </w:tbl>
    <w:p w14:paraId="3101CA64" w14:textId="5F5B2389" w:rsidR="00247C84" w:rsidRDefault="005B6003" w:rsidP="009873A0">
      <w:pPr>
        <w:spacing w:line="360" w:lineRule="auto"/>
        <w:rPr>
          <w:rFonts w:ascii="Arial" w:hAnsi="Arial" w:cs="Arial"/>
        </w:rPr>
      </w:pPr>
      <w:r w:rsidRPr="009873A0">
        <w:rPr>
          <w:rFonts w:ascii="Arial" w:hAnsi="Arial" w:cs="Arial"/>
        </w:rPr>
        <w:t>Figure 2</w:t>
      </w:r>
    </w:p>
    <w:p w14:paraId="07127208" w14:textId="498D217E" w:rsidR="00247C84" w:rsidRPr="002B378E" w:rsidRDefault="005B6003" w:rsidP="002B378E">
      <w:pPr>
        <w:pStyle w:val="Heading3"/>
        <w:rPr>
          <w:rFonts w:ascii="Arial" w:hAnsi="Arial" w:cs="Arial"/>
          <w:sz w:val="24"/>
          <w:szCs w:val="24"/>
        </w:rPr>
      </w:pPr>
      <w:r w:rsidRPr="002B378E">
        <w:rPr>
          <w:rFonts w:ascii="Arial" w:hAnsi="Arial" w:cs="Arial"/>
          <w:sz w:val="24"/>
          <w:szCs w:val="24"/>
        </w:rPr>
        <w:lastRenderedPageBreak/>
        <w:t>4.2.2 PESTEL explanation</w:t>
      </w:r>
    </w:p>
    <w:p w14:paraId="3C11EB47" w14:textId="27080BB8" w:rsidR="005B6003" w:rsidRDefault="005B6003" w:rsidP="009873A0">
      <w:pPr>
        <w:spacing w:line="360" w:lineRule="auto"/>
        <w:rPr>
          <w:rFonts w:ascii="Arial" w:hAnsi="Arial" w:cs="Arial"/>
        </w:rPr>
      </w:pPr>
      <w:r w:rsidRPr="009873A0">
        <w:rPr>
          <w:rFonts w:ascii="Arial" w:hAnsi="Arial" w:cs="Arial"/>
        </w:rPr>
        <w:t>PESTEL shows Innocent</w:t>
      </w:r>
      <w:r w:rsidR="009873A0" w:rsidRPr="009873A0">
        <w:rPr>
          <w:rFonts w:ascii="Arial" w:hAnsi="Arial" w:cs="Arial"/>
        </w:rPr>
        <w:t xml:space="preserve"> operating in a strict regulated and sustainability- sensitive environment.  Political and legal pressures around sugar content, plastic use and carbon emissions are reshaping product portfolios and packaging strategies across FCMG ( Sharma et al., 2023)</w:t>
      </w:r>
      <w:r w:rsidR="00006901">
        <w:rPr>
          <w:rFonts w:ascii="Arial" w:hAnsi="Arial" w:cs="Arial"/>
        </w:rPr>
        <w:t>. Innocent’s investment in renewable energy, its fully electric “Blender” factory places itself ahead of many rivals complying with the sustainability rules. Socially, the consumers are demanding healthy and ethically produced beverages</w:t>
      </w:r>
      <w:r w:rsidR="007A0780">
        <w:rPr>
          <w:rFonts w:ascii="Arial" w:hAnsi="Arial" w:cs="Arial"/>
        </w:rPr>
        <w:t xml:space="preserve"> reinforcing the strategic importance of Innocence’s mission -driven brand identity(Iglesias et all.,2019).</w:t>
      </w:r>
      <w:r w:rsidR="00810010">
        <w:rPr>
          <w:rFonts w:ascii="Arial" w:hAnsi="Arial" w:cs="Arial"/>
        </w:rPr>
        <w:t xml:space="preserve"> Economic pressures and inflation are increasing price sensitivity,  making shoppers more price- sensitive, so premium brands must show clear functional, quality. At the same time, new technologies in processing, shelf improvement and digital engagement are enabling fresh product format and more personalised marketing, supporting evidence </w:t>
      </w:r>
      <w:r w:rsidR="00026194">
        <w:rPr>
          <w:rFonts w:ascii="Arial" w:hAnsi="Arial" w:cs="Arial"/>
        </w:rPr>
        <w:t>that innovation capability boots competitiveness in food and beverage markets</w:t>
      </w:r>
      <w:r w:rsidR="004519CF">
        <w:rPr>
          <w:rFonts w:ascii="Arial" w:hAnsi="Arial" w:cs="Arial"/>
        </w:rPr>
        <w:t>( Sarkar and Costa.,2008)</w:t>
      </w:r>
      <w:r w:rsidR="00026194">
        <w:rPr>
          <w:rFonts w:ascii="Arial" w:hAnsi="Arial" w:cs="Arial"/>
        </w:rPr>
        <w:t>.</w:t>
      </w:r>
    </w:p>
    <w:p w14:paraId="17D817A5" w14:textId="77777777" w:rsidR="002B378E" w:rsidRDefault="002B378E" w:rsidP="009873A0">
      <w:pPr>
        <w:spacing w:line="360" w:lineRule="auto"/>
        <w:rPr>
          <w:rFonts w:ascii="Arial" w:hAnsi="Arial" w:cs="Arial"/>
        </w:rPr>
      </w:pPr>
    </w:p>
    <w:p w14:paraId="70BC4036" w14:textId="77777777" w:rsidR="002B378E" w:rsidRPr="009873A0" w:rsidRDefault="002B378E" w:rsidP="009873A0">
      <w:pPr>
        <w:spacing w:line="360" w:lineRule="auto"/>
        <w:rPr>
          <w:rFonts w:ascii="Arial" w:hAnsi="Arial" w:cs="Arial"/>
        </w:rPr>
      </w:pPr>
    </w:p>
    <w:p w14:paraId="03A225E8" w14:textId="2EFA5EA3" w:rsidR="00247C84" w:rsidRPr="00830ED9" w:rsidRDefault="008748D6" w:rsidP="00830ED9">
      <w:pPr>
        <w:pStyle w:val="Heading2"/>
        <w:rPr>
          <w:rFonts w:ascii="Arial" w:hAnsi="Arial" w:cs="Arial"/>
          <w:sz w:val="28"/>
          <w:szCs w:val="28"/>
        </w:rPr>
      </w:pPr>
      <w:bookmarkStart w:id="14" w:name="_Toc224551772"/>
      <w:r>
        <w:rPr>
          <w:rFonts w:ascii="Arial" w:hAnsi="Arial" w:cs="Arial"/>
          <w:sz w:val="28"/>
          <w:szCs w:val="28"/>
        </w:rPr>
        <w:t>4</w:t>
      </w:r>
      <w:r w:rsidR="00A278B3" w:rsidRPr="00830ED9">
        <w:rPr>
          <w:rFonts w:ascii="Arial" w:hAnsi="Arial" w:cs="Arial"/>
          <w:sz w:val="28"/>
          <w:szCs w:val="28"/>
        </w:rPr>
        <w:t>.3 Porter’s Five Forces</w:t>
      </w:r>
      <w:bookmarkEnd w:id="14"/>
    </w:p>
    <w:p w14:paraId="77B2E449" w14:textId="78B9585A" w:rsidR="00247C84" w:rsidRPr="00904FF6" w:rsidRDefault="00904FF6" w:rsidP="00A14BB6">
      <w:pPr>
        <w:spacing w:line="360" w:lineRule="auto"/>
        <w:rPr>
          <w:rFonts w:ascii="Arial" w:hAnsi="Arial" w:cs="Arial"/>
        </w:rPr>
      </w:pPr>
      <w:r>
        <w:rPr>
          <w:rFonts w:ascii="Arial" w:hAnsi="Arial" w:cs="Arial"/>
        </w:rPr>
        <w:t>Porter Five Forces evaluate the industry competitiveness by examining rivalry, new entrants, substitutes, and the bargaining power of buyers and suppliers. It helps to explain how structural pressures shape profitability and strategic positioning (Porter,2008). In FMCG markets, the model remain useful because retailers power, intense rivalry and easy product substitution strongly influence firm ‘s performance</w:t>
      </w:r>
      <w:r w:rsidR="00A14BB6">
        <w:rPr>
          <w:rFonts w:ascii="Arial" w:hAnsi="Arial" w:cs="Arial"/>
        </w:rPr>
        <w:t>(Dobbs,2014</w:t>
      </w:r>
      <w:r w:rsidR="003B6DFC">
        <w:rPr>
          <w:rFonts w:ascii="Arial" w:hAnsi="Arial" w:cs="Arial"/>
        </w:rPr>
        <w:t>). For Innocent Drinks, it highlights how ethical differentiation and innovation can help reduce competitiveness in a dynamic beverage industry.</w:t>
      </w:r>
    </w:p>
    <w:p w14:paraId="261D34CC" w14:textId="2992581E" w:rsidR="008007E1" w:rsidRPr="00FF46B2" w:rsidRDefault="003B6DFC" w:rsidP="00FF46B2">
      <w:pPr>
        <w:pStyle w:val="Heading2"/>
        <w:rPr>
          <w:rFonts w:ascii="Arial" w:hAnsi="Arial" w:cs="Arial"/>
          <w:sz w:val="28"/>
          <w:szCs w:val="28"/>
        </w:rPr>
      </w:pPr>
      <w:r>
        <w:t xml:space="preserve"> </w:t>
      </w:r>
      <w:bookmarkStart w:id="15" w:name="_Toc224551773"/>
      <w:r w:rsidR="008748D6">
        <w:rPr>
          <w:rFonts w:ascii="Arial" w:hAnsi="Arial" w:cs="Arial"/>
          <w:sz w:val="28"/>
          <w:szCs w:val="28"/>
        </w:rPr>
        <w:t>4</w:t>
      </w:r>
      <w:r w:rsidRPr="003B6DFC">
        <w:rPr>
          <w:rFonts w:ascii="Arial" w:hAnsi="Arial" w:cs="Arial"/>
          <w:sz w:val="28"/>
          <w:szCs w:val="28"/>
        </w:rPr>
        <w:t>.3.1. Porter’s Five Forces</w:t>
      </w:r>
      <w:bookmarkEnd w:id="15"/>
    </w:p>
    <w:tbl>
      <w:tblPr>
        <w:tblStyle w:val="TableGrid"/>
        <w:tblW w:w="0" w:type="auto"/>
        <w:tblLook w:val="04A0" w:firstRow="1" w:lastRow="0" w:firstColumn="1" w:lastColumn="0" w:noHBand="0" w:noVBand="1"/>
      </w:tblPr>
      <w:tblGrid>
        <w:gridCol w:w="2405"/>
        <w:gridCol w:w="6611"/>
      </w:tblGrid>
      <w:tr w:rsidR="00FF46B2" w14:paraId="680DCA8B" w14:textId="77777777" w:rsidTr="0092683F">
        <w:tc>
          <w:tcPr>
            <w:tcW w:w="2405" w:type="dxa"/>
            <w:shd w:val="clear" w:color="auto" w:fill="F1A983" w:themeFill="accent2" w:themeFillTint="99"/>
          </w:tcPr>
          <w:p w14:paraId="6914021C" w14:textId="1118DECE" w:rsidR="00FF46B2" w:rsidRPr="00FF46B2" w:rsidRDefault="00FF46B2" w:rsidP="00247C84">
            <w:pPr>
              <w:rPr>
                <w:rFonts w:ascii="Arial" w:hAnsi="Arial" w:cs="Arial"/>
              </w:rPr>
            </w:pPr>
            <w:r w:rsidRPr="00FF46B2">
              <w:rPr>
                <w:rFonts w:ascii="Arial" w:hAnsi="Arial" w:cs="Arial"/>
              </w:rPr>
              <w:t>Force</w:t>
            </w:r>
          </w:p>
          <w:p w14:paraId="2799FB2E" w14:textId="77777777" w:rsidR="00FF46B2" w:rsidRDefault="00FF46B2" w:rsidP="00247C84"/>
        </w:tc>
        <w:tc>
          <w:tcPr>
            <w:tcW w:w="6611" w:type="dxa"/>
            <w:shd w:val="clear" w:color="auto" w:fill="E97132" w:themeFill="accent2"/>
          </w:tcPr>
          <w:p w14:paraId="5945DBCA" w14:textId="44C52D2C" w:rsidR="00FF46B2" w:rsidRDefault="00FF46B2" w:rsidP="00FF46B2">
            <w:pPr>
              <w:tabs>
                <w:tab w:val="left" w:pos="1620"/>
              </w:tabs>
            </w:pPr>
            <w:r>
              <w:t>Assessment for Innocent Drinks</w:t>
            </w:r>
          </w:p>
        </w:tc>
      </w:tr>
      <w:tr w:rsidR="00FF46B2" w14:paraId="3237976F" w14:textId="77777777" w:rsidTr="0092683F">
        <w:tc>
          <w:tcPr>
            <w:tcW w:w="2405" w:type="dxa"/>
            <w:shd w:val="clear" w:color="auto" w:fill="E97132" w:themeFill="accent2"/>
          </w:tcPr>
          <w:p w14:paraId="40D67D7B" w14:textId="0737755B" w:rsidR="00FF46B2" w:rsidRPr="00FF46B2" w:rsidRDefault="00FF46B2" w:rsidP="00247C84">
            <w:pPr>
              <w:rPr>
                <w:rFonts w:ascii="Arial" w:hAnsi="Arial" w:cs="Arial"/>
              </w:rPr>
            </w:pPr>
            <w:r w:rsidRPr="00FF46B2">
              <w:rPr>
                <w:rFonts w:ascii="Arial" w:hAnsi="Arial" w:cs="Arial"/>
              </w:rPr>
              <w:t>Threat of new entrant</w:t>
            </w:r>
          </w:p>
          <w:p w14:paraId="7420217E" w14:textId="77777777" w:rsidR="00FF46B2" w:rsidRDefault="00FF46B2" w:rsidP="00247C84"/>
        </w:tc>
        <w:tc>
          <w:tcPr>
            <w:tcW w:w="6611" w:type="dxa"/>
            <w:shd w:val="clear" w:color="auto" w:fill="F1A983" w:themeFill="accent2" w:themeFillTint="99"/>
          </w:tcPr>
          <w:p w14:paraId="3DF933B9" w14:textId="3BA2CA2E" w:rsidR="00FF46B2" w:rsidRPr="00FF46B2" w:rsidRDefault="00FF46B2" w:rsidP="00247C84">
            <w:pPr>
              <w:rPr>
                <w:rFonts w:ascii="Arial" w:hAnsi="Arial" w:cs="Arial"/>
              </w:rPr>
            </w:pPr>
            <w:r w:rsidRPr="00FF46B2">
              <w:rPr>
                <w:rFonts w:ascii="Arial" w:hAnsi="Arial" w:cs="Arial"/>
              </w:rPr>
              <w:t>Moderate/ low: High brand, scale and distribution barriers, but niche entrants possible</w:t>
            </w:r>
          </w:p>
          <w:p w14:paraId="0FB1C74D" w14:textId="6848F474" w:rsidR="00FF46B2" w:rsidRDefault="00FF46B2" w:rsidP="00247C84"/>
        </w:tc>
      </w:tr>
      <w:tr w:rsidR="00FF46B2" w14:paraId="22446667" w14:textId="77777777" w:rsidTr="0092683F">
        <w:tc>
          <w:tcPr>
            <w:tcW w:w="2405" w:type="dxa"/>
            <w:shd w:val="clear" w:color="auto" w:fill="F1A983" w:themeFill="accent2" w:themeFillTint="99"/>
          </w:tcPr>
          <w:p w14:paraId="1E528533" w14:textId="14EFF556" w:rsidR="00FF46B2" w:rsidRPr="00FF46B2" w:rsidRDefault="00FF46B2" w:rsidP="00247C84">
            <w:pPr>
              <w:rPr>
                <w:rFonts w:ascii="Arial" w:hAnsi="Arial" w:cs="Arial"/>
              </w:rPr>
            </w:pPr>
            <w:r w:rsidRPr="00FF46B2">
              <w:rPr>
                <w:rFonts w:ascii="Arial" w:hAnsi="Arial" w:cs="Arial"/>
              </w:rPr>
              <w:t>Bargaining power of suppliers</w:t>
            </w:r>
          </w:p>
          <w:p w14:paraId="19B95B96" w14:textId="77777777" w:rsidR="00FF46B2" w:rsidRDefault="00FF46B2" w:rsidP="00247C84"/>
        </w:tc>
        <w:tc>
          <w:tcPr>
            <w:tcW w:w="6611" w:type="dxa"/>
            <w:shd w:val="clear" w:color="auto" w:fill="E97132" w:themeFill="accent2"/>
          </w:tcPr>
          <w:p w14:paraId="76FB504C" w14:textId="4717199B" w:rsidR="00FF46B2" w:rsidRDefault="00FF46B2" w:rsidP="00247C84">
            <w:r>
              <w:t>Moderate: Reliance on quality fruit, but scale and long-term relationships mitigate risk</w:t>
            </w:r>
          </w:p>
        </w:tc>
      </w:tr>
      <w:tr w:rsidR="00FF46B2" w14:paraId="6211EA5E" w14:textId="77777777" w:rsidTr="0092683F">
        <w:trPr>
          <w:trHeight w:val="862"/>
        </w:trPr>
        <w:tc>
          <w:tcPr>
            <w:tcW w:w="2405" w:type="dxa"/>
            <w:shd w:val="clear" w:color="auto" w:fill="E97132" w:themeFill="accent2"/>
          </w:tcPr>
          <w:p w14:paraId="0A192CA4" w14:textId="130A258E" w:rsidR="00FF46B2" w:rsidRPr="00FF46B2" w:rsidRDefault="00FF46B2" w:rsidP="00247C84">
            <w:pPr>
              <w:rPr>
                <w:rFonts w:ascii="Arial" w:hAnsi="Arial" w:cs="Arial"/>
              </w:rPr>
            </w:pPr>
            <w:r w:rsidRPr="00FF46B2">
              <w:rPr>
                <w:rFonts w:ascii="Arial" w:hAnsi="Arial" w:cs="Arial"/>
              </w:rPr>
              <w:t>Bargaining power of buyers</w:t>
            </w:r>
          </w:p>
          <w:p w14:paraId="3C17A511" w14:textId="77777777" w:rsidR="00FF46B2" w:rsidRDefault="00FF46B2" w:rsidP="00247C84"/>
          <w:p w14:paraId="35193B62" w14:textId="09DB45F6" w:rsidR="00FF46B2" w:rsidRDefault="00FF46B2" w:rsidP="00247C84">
            <w:r>
              <w:t xml:space="preserve"> </w:t>
            </w:r>
          </w:p>
        </w:tc>
        <w:tc>
          <w:tcPr>
            <w:tcW w:w="6611" w:type="dxa"/>
            <w:shd w:val="clear" w:color="auto" w:fill="F1A983" w:themeFill="accent2" w:themeFillTint="99"/>
          </w:tcPr>
          <w:p w14:paraId="601D765E" w14:textId="77777777" w:rsidR="00FF46B2" w:rsidRPr="005A6FBC" w:rsidRDefault="00FF46B2" w:rsidP="00247C84">
            <w:pPr>
              <w:rPr>
                <w:rFonts w:ascii="Arial" w:hAnsi="Arial" w:cs="Arial"/>
              </w:rPr>
            </w:pPr>
            <w:r w:rsidRPr="005A6FBC">
              <w:rPr>
                <w:rFonts w:ascii="Arial" w:hAnsi="Arial" w:cs="Arial"/>
              </w:rPr>
              <w:t>High: Powerful retailers and low switching cost for consumers</w:t>
            </w:r>
          </w:p>
          <w:p w14:paraId="37560A7C" w14:textId="77777777" w:rsidR="00FF46B2" w:rsidRDefault="00FF46B2" w:rsidP="00FF46B2"/>
          <w:p w14:paraId="240800C2" w14:textId="3E572A3E" w:rsidR="0092683F" w:rsidRPr="0092683F" w:rsidRDefault="0092683F" w:rsidP="0092683F"/>
        </w:tc>
      </w:tr>
      <w:tr w:rsidR="00FF46B2" w14:paraId="7E28FBE8" w14:textId="77777777" w:rsidTr="0092683F">
        <w:tc>
          <w:tcPr>
            <w:tcW w:w="2405" w:type="dxa"/>
            <w:shd w:val="clear" w:color="auto" w:fill="F1A983" w:themeFill="accent2" w:themeFillTint="99"/>
          </w:tcPr>
          <w:p w14:paraId="480AA50C" w14:textId="33DB5368" w:rsidR="00FF46B2" w:rsidRPr="00FF46B2" w:rsidRDefault="00FF46B2" w:rsidP="00247C84">
            <w:pPr>
              <w:rPr>
                <w:rFonts w:ascii="Arial" w:hAnsi="Arial" w:cs="Arial"/>
              </w:rPr>
            </w:pPr>
            <w:r w:rsidRPr="00FF46B2">
              <w:rPr>
                <w:rFonts w:ascii="Arial" w:hAnsi="Arial" w:cs="Arial"/>
              </w:rPr>
              <w:t>Threats of substitutes</w:t>
            </w:r>
          </w:p>
          <w:p w14:paraId="0C3C5BA3" w14:textId="77777777" w:rsidR="00FF46B2" w:rsidRPr="00FF46B2" w:rsidRDefault="00FF46B2" w:rsidP="00247C84">
            <w:pPr>
              <w:rPr>
                <w:rFonts w:ascii="Arial" w:hAnsi="Arial" w:cs="Arial"/>
              </w:rPr>
            </w:pPr>
          </w:p>
          <w:p w14:paraId="6458F475" w14:textId="77777777" w:rsidR="00FF46B2" w:rsidRDefault="00FF46B2" w:rsidP="00247C84"/>
        </w:tc>
        <w:tc>
          <w:tcPr>
            <w:tcW w:w="6611" w:type="dxa"/>
            <w:shd w:val="clear" w:color="auto" w:fill="E97132" w:themeFill="accent2"/>
          </w:tcPr>
          <w:p w14:paraId="43A72450" w14:textId="297F2F2C" w:rsidR="00FF46B2" w:rsidRDefault="00FF46B2" w:rsidP="00247C84">
            <w:r>
              <w:t xml:space="preserve">High: Juices, flavoured water, energy drinks, private   labels               </w:t>
            </w:r>
          </w:p>
        </w:tc>
      </w:tr>
      <w:tr w:rsidR="00FF46B2" w14:paraId="21914803" w14:textId="77777777" w:rsidTr="0092683F">
        <w:tc>
          <w:tcPr>
            <w:tcW w:w="2405" w:type="dxa"/>
            <w:shd w:val="clear" w:color="auto" w:fill="E97132" w:themeFill="accent2"/>
          </w:tcPr>
          <w:p w14:paraId="211249E7" w14:textId="2E08C4E4" w:rsidR="00FF46B2" w:rsidRPr="00FF46B2" w:rsidRDefault="00FF46B2" w:rsidP="00247C84">
            <w:pPr>
              <w:rPr>
                <w:rFonts w:ascii="Arial" w:hAnsi="Arial" w:cs="Arial"/>
              </w:rPr>
            </w:pPr>
            <w:r w:rsidRPr="00FF46B2">
              <w:rPr>
                <w:rFonts w:ascii="Arial" w:hAnsi="Arial" w:cs="Arial"/>
              </w:rPr>
              <w:lastRenderedPageBreak/>
              <w:t>Rivalry among competitors</w:t>
            </w:r>
          </w:p>
          <w:p w14:paraId="0554F43D" w14:textId="77777777" w:rsidR="00FF46B2" w:rsidRDefault="00FF46B2" w:rsidP="00247C84"/>
        </w:tc>
        <w:tc>
          <w:tcPr>
            <w:tcW w:w="6611" w:type="dxa"/>
            <w:shd w:val="clear" w:color="auto" w:fill="F1A983" w:themeFill="accent2" w:themeFillTint="99"/>
          </w:tcPr>
          <w:p w14:paraId="272A6C81" w14:textId="30F1A933" w:rsidR="00FF46B2" w:rsidRPr="005A6FBC" w:rsidRDefault="00FF46B2" w:rsidP="00247C84">
            <w:pPr>
              <w:rPr>
                <w:rFonts w:ascii="Arial" w:hAnsi="Arial" w:cs="Arial"/>
              </w:rPr>
            </w:pPr>
            <w:r w:rsidRPr="005A6FBC">
              <w:rPr>
                <w:rFonts w:ascii="Arial" w:hAnsi="Arial" w:cs="Arial"/>
              </w:rPr>
              <w:t xml:space="preserve">High: Branded players(e.g. Naked), retailer branded, and adjacent health-drink </w:t>
            </w:r>
            <w:r w:rsidR="005A6FBC" w:rsidRPr="005A6FBC">
              <w:rPr>
                <w:rFonts w:ascii="Arial" w:hAnsi="Arial" w:cs="Arial"/>
              </w:rPr>
              <w:t>categories</w:t>
            </w:r>
            <w:r w:rsidR="005A6FBC">
              <w:rPr>
                <w:rFonts w:ascii="Arial" w:hAnsi="Arial" w:cs="Arial"/>
              </w:rPr>
              <w:t>.</w:t>
            </w:r>
          </w:p>
        </w:tc>
      </w:tr>
    </w:tbl>
    <w:p w14:paraId="308798DA" w14:textId="54C794B2" w:rsidR="008007E1" w:rsidRDefault="008748D6" w:rsidP="00247C84">
      <w:r>
        <w:t>Figure 3</w:t>
      </w:r>
    </w:p>
    <w:p w14:paraId="58D321A6" w14:textId="0CF8A52F" w:rsidR="008007E1" w:rsidRPr="008748D6" w:rsidRDefault="008748D6" w:rsidP="008748D6">
      <w:pPr>
        <w:pStyle w:val="Heading3"/>
      </w:pPr>
      <w:bookmarkStart w:id="16" w:name="_Toc224551774"/>
      <w:r w:rsidRPr="008748D6">
        <w:t>4.3.2 Explanation of Porte</w:t>
      </w:r>
      <w:r w:rsidR="00B766E8">
        <w:t>r</w:t>
      </w:r>
      <w:r w:rsidRPr="008748D6">
        <w:t>’s</w:t>
      </w:r>
      <w:bookmarkEnd w:id="16"/>
    </w:p>
    <w:p w14:paraId="2DEB5467" w14:textId="77777777" w:rsidR="00043AA2" w:rsidRDefault="00386B7B" w:rsidP="006161F9">
      <w:pPr>
        <w:spacing w:line="360" w:lineRule="auto"/>
        <w:rPr>
          <w:rFonts w:ascii="Arial" w:hAnsi="Arial" w:cs="Arial"/>
        </w:rPr>
      </w:pPr>
      <w:r w:rsidRPr="00386B7B">
        <w:rPr>
          <w:rFonts w:ascii="Arial" w:hAnsi="Arial" w:cs="Arial"/>
        </w:rPr>
        <w:t>Porter’s Five Forces</w:t>
      </w:r>
      <w:r>
        <w:rPr>
          <w:rFonts w:ascii="Arial" w:hAnsi="Arial" w:cs="Arial"/>
        </w:rPr>
        <w:t xml:space="preserve"> highlights a high  competitive market in which Innocent</w:t>
      </w:r>
      <w:r w:rsidR="002F30EB">
        <w:rPr>
          <w:rFonts w:ascii="Arial" w:hAnsi="Arial" w:cs="Arial"/>
        </w:rPr>
        <w:t xml:space="preserve"> must rely on its ethical and innovative positioning to protect margin. The presence of an intense rivalry and the wide availability of substitutes make consumer switching easy, increasing the need for strong differentiation through health benefits, taste and responsible sourcing(Porte,2008; Dobbs, 2014).</w:t>
      </w:r>
      <w:r w:rsidR="00286C5F">
        <w:rPr>
          <w:rFonts w:ascii="Arial" w:hAnsi="Arial" w:cs="Arial"/>
        </w:rPr>
        <w:t>Buyers power is significant</w:t>
      </w:r>
      <w:r w:rsidR="008037D5">
        <w:rPr>
          <w:rFonts w:ascii="Arial" w:hAnsi="Arial" w:cs="Arial"/>
        </w:rPr>
        <w:t xml:space="preserve"> as major retailers negotiates aggressively, and consumers can switch brands easily. Innocent responds by building brand equity and offering added value through sustainability and social impact. Suppliers power is reduced by Innocent’s scale and long-partnership, although climate risks and commodity price volatility remain important concern. Barriers to entry such as brand reputation, marketing investment and chilled</w:t>
      </w:r>
      <w:r w:rsidR="00325024">
        <w:rPr>
          <w:rFonts w:ascii="Arial" w:hAnsi="Arial" w:cs="Arial"/>
        </w:rPr>
        <w:t xml:space="preserve"> distribution restrict large new entrants, but smaller purpose-driven brands can still appear. Overall, these </w:t>
      </w:r>
      <w:r w:rsidR="008037D5">
        <w:rPr>
          <w:rFonts w:ascii="Arial" w:hAnsi="Arial" w:cs="Arial"/>
        </w:rPr>
        <w:t xml:space="preserve"> </w:t>
      </w:r>
      <w:r w:rsidR="00325024">
        <w:rPr>
          <w:rFonts w:ascii="Arial" w:hAnsi="Arial" w:cs="Arial"/>
        </w:rPr>
        <w:t xml:space="preserve">forces show that must combine ethical </w:t>
      </w:r>
      <w:r w:rsidR="008037D5">
        <w:rPr>
          <w:rFonts w:ascii="Arial" w:hAnsi="Arial" w:cs="Arial"/>
        </w:rPr>
        <w:t xml:space="preserve"> </w:t>
      </w:r>
      <w:r w:rsidR="00325024">
        <w:rPr>
          <w:rFonts w:ascii="Arial" w:hAnsi="Arial" w:cs="Arial"/>
        </w:rPr>
        <w:t>commitment such as carbon reduction, fair sourcing and community impact with commercial priorities including innovation cost efficiency and brand differentiation.</w:t>
      </w:r>
    </w:p>
    <w:p w14:paraId="3F32F2DC" w14:textId="77777777" w:rsidR="002B378E" w:rsidRDefault="002B378E" w:rsidP="006161F9">
      <w:pPr>
        <w:spacing w:line="360" w:lineRule="auto"/>
        <w:rPr>
          <w:rFonts w:ascii="Arial" w:hAnsi="Arial" w:cs="Arial"/>
        </w:rPr>
      </w:pPr>
    </w:p>
    <w:p w14:paraId="76EE25B4" w14:textId="77777777" w:rsidR="002B378E" w:rsidRDefault="002B378E" w:rsidP="006161F9">
      <w:pPr>
        <w:spacing w:line="360" w:lineRule="auto"/>
        <w:rPr>
          <w:rFonts w:ascii="Arial" w:hAnsi="Arial" w:cs="Arial"/>
        </w:rPr>
      </w:pPr>
    </w:p>
    <w:p w14:paraId="7047554C" w14:textId="77777777" w:rsidR="00FE0990" w:rsidRPr="004E368C" w:rsidRDefault="00B766E8" w:rsidP="00FE0990">
      <w:pPr>
        <w:pStyle w:val="Heading1"/>
        <w:rPr>
          <w:rFonts w:ascii="Arial" w:hAnsi="Arial" w:cs="Arial"/>
          <w:sz w:val="32"/>
          <w:szCs w:val="32"/>
        </w:rPr>
      </w:pPr>
      <w:r w:rsidRPr="00B766E8">
        <w:t xml:space="preserve"> </w:t>
      </w:r>
      <w:bookmarkStart w:id="17" w:name="_Toc224551775"/>
      <w:r w:rsidR="00FE0990" w:rsidRPr="004E368C">
        <w:rPr>
          <w:rFonts w:ascii="Arial" w:hAnsi="Arial" w:cs="Arial"/>
          <w:sz w:val="32"/>
          <w:szCs w:val="32"/>
        </w:rPr>
        <w:t>5. Strategic growth options and proposed strategy</w:t>
      </w:r>
      <w:bookmarkEnd w:id="17"/>
    </w:p>
    <w:p w14:paraId="7BA03586" w14:textId="77777777" w:rsidR="00FE0990" w:rsidRPr="004E368C" w:rsidRDefault="00FE0990" w:rsidP="00FE0990">
      <w:pPr>
        <w:pStyle w:val="Heading2"/>
        <w:rPr>
          <w:rFonts w:ascii="Arial" w:hAnsi="Arial" w:cs="Arial"/>
          <w:sz w:val="28"/>
          <w:szCs w:val="28"/>
        </w:rPr>
      </w:pPr>
      <w:bookmarkStart w:id="18" w:name="_Toc224551776"/>
      <w:r w:rsidRPr="004E368C">
        <w:rPr>
          <w:rFonts w:ascii="Arial" w:hAnsi="Arial" w:cs="Arial"/>
          <w:sz w:val="28"/>
          <w:szCs w:val="28"/>
        </w:rPr>
        <w:t>5.1 Potential planned growth path for Innocent Drinks</w:t>
      </w:r>
      <w:bookmarkEnd w:id="18"/>
    </w:p>
    <w:p w14:paraId="4C324BB1"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Innocent Drinks operates in a mature but rapidly evolving FMCG beverage market, where growth within this sector relies on innovation, ethical positioning, and international expansion. This analysis is based on several key assumptions, which are that consumer demand for healthier beverages will continue to rise, sustainability and ethical practices will continue to increase and influence purchasing decisions, convenience will also influence product choices and emerging European markets will offer strong opportunities as health trends become more widespread across the region. These market trends are supported by recent industry reports and reflect broader changes in consumer behaviour. </w:t>
      </w:r>
    </w:p>
    <w:p w14:paraId="408EA270"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One framework that can be used to assess these opportunities is the Ansoff Matrix, which helps companies identify areas of growth through the use of 4 strategies: Market penetration, market development, product development and diversification. “Organisations </w:t>
      </w:r>
      <w:r w:rsidRPr="004E368C">
        <w:rPr>
          <w:rFonts w:ascii="Arial" w:hAnsi="Arial" w:cs="Arial"/>
          <w:color w:val="000000" w:themeColor="text1"/>
        </w:rPr>
        <w:lastRenderedPageBreak/>
        <w:t xml:space="preserve">that stick to traditional products and methods find it challenging to grow because they fail to keep up with market changes” (Ferreira and De Sa Moscoso, 2024). </w:t>
      </w:r>
    </w:p>
    <w:p w14:paraId="3AFA740F"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Market penetration focuses on increasing sales within existing markets, and so Innocent Drinks may achieve this through the use of promotions, expanding distribution, or new packaging formats such as multipacks or portable bottles. This approach carries relatively low risk, since it leverages established products and consumer familiarity. However, significant growth potential may be limited as the company operates in a crowded and highly competitive product category.</w:t>
      </w:r>
    </w:p>
    <w:p w14:paraId="35434754" w14:textId="77777777" w:rsidR="00FE0990" w:rsidRPr="00BA3753" w:rsidRDefault="00FE0990" w:rsidP="00FE0990">
      <w:pPr>
        <w:spacing w:line="360" w:lineRule="auto"/>
        <w:rPr>
          <w:rFonts w:ascii="Arial" w:hAnsi="Arial" w:cs="Arial"/>
          <w:color w:val="000000" w:themeColor="text1"/>
        </w:rPr>
      </w:pPr>
      <w:r w:rsidRPr="004E368C">
        <w:rPr>
          <w:rFonts w:ascii="Arial" w:hAnsi="Arial" w:cs="Arial"/>
          <w:color w:val="000000" w:themeColor="text1"/>
        </w:rPr>
        <w:t>Market development involves taking existing products into new geographic markets. For Innocent drinks, this could be through expanding into the European regions where demand for healthy and premium beverages is rising, but brand penetration remains low. Research suggests that companies with strong ethical reputations can enter new markets more effectively because consumers increasingly appreciate sustainability and genuineness (Iglesias et al., 2019). Innocent’s focus on natural ingredients and responsible sourcing gives it an advantage in markets where trust and transparency influence purchasing decisions.</w:t>
      </w:r>
    </w:p>
    <w:p w14:paraId="71144039"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Product development is another strategy used to offer potential growth for Innocent Drinks. It focuses on creating new products or formats that meet developing consumer needs. Some examples include powdered smoothie mixes, functional drinks, or plant-based nutritional beverages. These categories are growing as consumers seek convenience, health benefits, and environmentally responsible options. Innovation in product attributes and delivery formats strengthens competitive advantage in food and beverage markets. Research also suggests that firms who are investing here are more likely to maintain long-term growth (Sarkar and Costa, 2008). Innocent reputation for natural, health-focused products provides a strong base for expanding into functional or plant-based segments.</w:t>
      </w:r>
    </w:p>
    <w:p w14:paraId="30F0BB53"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A report from Packaging Insights indicates that Innocent Drinks is prioritising the reinforcement of its core product lines, such as juices and smoothies, through packaging redesigns that improve shelf visibility and brand recognition. Rather than diversifying into unrelated categories like healthy snacks or broader wellness products, Innocent maintains a strong association with fruit-based beverages, natural ingredients, and ethical values. Expanding into unrelated categories could dilute this positioning unless new products match closely with the brand’s mission and buyer expectations. Moreover, diversification carries several risks for Innocent. Entering unfamiliar categories may weaken the company's brand identity and confuse consumers about what Innocent stands for, reducing the effectiveness of its ethical message. New categories can also introduce operational complexities and divert resources from core business strengths. There is increased potential for commercial </w:t>
      </w:r>
      <w:r w:rsidRPr="004E368C">
        <w:rPr>
          <w:rFonts w:ascii="Arial" w:hAnsi="Arial" w:cs="Arial"/>
          <w:color w:val="000000" w:themeColor="text1"/>
        </w:rPr>
        <w:lastRenderedPageBreak/>
        <w:t>underperformance if new ventures lack synergy with existing capabilities or fail to meet established consumer expectations. This highlights the importance of a disciplined approach toward diversification, ensuring that any expansion aligns with Innocent's values and leverages its core competencies.</w:t>
      </w:r>
    </w:p>
    <w:p w14:paraId="1E4F394B"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An analysis on Innocents strengths and market conditions conclude that product development and market development represent the most coherent strategic options. Both strategies build on the company’s brand equity and ethical reputation while tackling consumer trends in health, sustainability, and convenience. By focussing on these approaches, it allows Innocent to pursue innovation without diverging significantly from its core identity. While diversification may be considered in the future, it would call for careful management to prevent overextension of the brand.</w:t>
      </w:r>
    </w:p>
    <w:p w14:paraId="6055B96D" w14:textId="77777777" w:rsidR="00FE0990" w:rsidRPr="004E368C" w:rsidRDefault="00FE0990" w:rsidP="00FE0990">
      <w:pPr>
        <w:pStyle w:val="Heading2"/>
        <w:rPr>
          <w:rFonts w:ascii="Arial" w:hAnsi="Arial" w:cs="Arial"/>
          <w:sz w:val="28"/>
          <w:szCs w:val="28"/>
        </w:rPr>
      </w:pPr>
      <w:bookmarkStart w:id="19" w:name="_Toc224551777"/>
      <w:r w:rsidRPr="004E368C">
        <w:rPr>
          <w:rFonts w:ascii="Arial" w:hAnsi="Arial" w:cs="Arial"/>
          <w:sz w:val="28"/>
          <w:szCs w:val="28"/>
        </w:rPr>
        <w:t>5.2 Recommended strategy and justification</w:t>
      </w:r>
      <w:bookmarkEnd w:id="19"/>
    </w:p>
    <w:p w14:paraId="40CB095F" w14:textId="4E37D3C6"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Porter’s Generic Strategies, and the Ansoff Matrix, help structure Innocent’s growth options. Porter (1980) outlines three routes to competitive advantage: cost leadership, differentiation and focus. Differentiation is most relevant to Innocent because product attributes such as natural ingredients, fair sourcing and strong brand meaning, may appeal to perceived customer value. This matters in FMCG markets where functional differences between products are small, so consumers rely on the sincerity of brand values when choosing what to buy – sustainability and genuineness for example (Iglesias et al., 2019). The Ansoff Matrix supplements this by assessing new and existing products, and markets, highlighting the balance between opportunity and risk (Ansoff, 1957).</w:t>
      </w:r>
    </w:p>
    <w:p w14:paraId="76CB4BC7" w14:textId="505E56E1"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Considering Innocent’s current market status, focussing primarily on differentiated product development and expanding its portfolio of health-focused, low-carbon, and functionally enhanced beverages, is recommended. If resources are constrained, product development should be prioritised over market development. This leverages Innocent’s existing brand equity and operational strengths in its core markets, creating differentiation through innovation. Additionally, Innocent should establish itself within known European markets and, as resources allow, pursue entry into new regions where demand for their product and company values is increasing. This route ensures that growth is actionable and aligned with company capabilities, while still addressing customer preferences (Bhupendra and Sangle, 2017).</w:t>
      </w:r>
    </w:p>
    <w:p w14:paraId="2244F003" w14:textId="2DC0969A"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Porter’s framework indicates that Innocent should compete based on perceived value rather than price. Research demonstrates that ethical and sustainable brands can implement price premiums and encourage stronger customer loyalty, notably among younger consumers who prioritize company values and product transparency (Carrington et al., 2014; Iglesias et al., </w:t>
      </w:r>
      <w:r w:rsidRPr="004E368C">
        <w:rPr>
          <w:rFonts w:ascii="Arial" w:hAnsi="Arial" w:cs="Arial"/>
          <w:color w:val="000000" w:themeColor="text1"/>
        </w:rPr>
        <w:lastRenderedPageBreak/>
        <w:t>2019). The Ansoff Matrix categorizes this differentiation strategy as moderate-risk growth, as it lessens uncertainties associated with unrelated diversification while helping with market penetration. Agudelo</w:t>
      </w:r>
    </w:p>
    <w:p w14:paraId="41C6745D" w14:textId="5680FEEC"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This strategy aligns with Innocent’s mission and values. The company’s B Corp certification, responsible sourcing, and low carbon investment are foundational for sustainability-driven innovation. Environmental product development initiatives such as shelf-stable powdered formats that minimize waste and transport emissions, enable Innocent to translate its ethical commitments into tangible product benefits. Research on sustainability in FMCG markets indicates that consistency between brand messaging and operational practices achieves credibility (Jones et al., 2021; Bhupendra and Sangle, 2017).</w:t>
      </w:r>
    </w:p>
    <w:p w14:paraId="209876E8" w14:textId="6A338BA4"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To assess the success of its sustainability-driven innovation, Innocent could implement specific KPI metrics: reductions in greenhouse gas emissions per unit sold, packaging made from recycled or renewable materials, waste reduction rates, and sustainable product criteria – carbon-neutral certification/plant-based content. Other KPIs might include consumer perception metrics, such as brand trust and net promoter score among ethically motivated consumers, as well as monitoring sales growth in new sustainably developed product lines. Tracking these metrics enables Innocent to quantify progress and identify areas for improvement, and demonstrate the commercial value generated by its sustainability initiatives.</w:t>
      </w:r>
    </w:p>
    <w:p w14:paraId="365ED5FC" w14:textId="44138515" w:rsidR="00FE0990" w:rsidRPr="00FE0990" w:rsidRDefault="00FE0990" w:rsidP="002B378E">
      <w:pPr>
        <w:spacing w:line="360" w:lineRule="auto"/>
        <w:rPr>
          <w:rFonts w:ascii="Arial" w:hAnsi="Arial" w:cs="Arial"/>
          <w:color w:val="000000" w:themeColor="text1"/>
        </w:rPr>
      </w:pPr>
      <w:r w:rsidRPr="004E368C">
        <w:rPr>
          <w:rFonts w:ascii="Arial" w:hAnsi="Arial" w:cs="Arial"/>
          <w:color w:val="000000" w:themeColor="text1"/>
        </w:rPr>
        <w:t xml:space="preserve">A differentiated product development strategy advances both commercial and ethical objectives. According to a recent report from Sustainable Times, Innocent Drinks has funded nine organizations to promote the adoption of regenerative agriculture practices within its global fruit and vegetable supply chains. These investments enhance Innocent’s capacity to lower environmental impact and reinforce community participation, while positioning the company for growth regarding functional beverages and plant-based nutrition. Growth is realised through leveraging Innocent’s core values rather than compromising </w:t>
      </w:r>
      <w:r w:rsidR="002B378E" w:rsidRPr="004E368C">
        <w:rPr>
          <w:rFonts w:ascii="Arial" w:hAnsi="Arial" w:cs="Arial"/>
          <w:color w:val="000000" w:themeColor="text1"/>
        </w:rPr>
        <w:t>them. To</w:t>
      </w:r>
      <w:r w:rsidRPr="004E368C">
        <w:rPr>
          <w:rFonts w:ascii="Arial" w:hAnsi="Arial" w:cs="Arial"/>
          <w:color w:val="000000" w:themeColor="text1"/>
        </w:rPr>
        <w:t xml:space="preserve"> summarise, Innocent should pursue differentiated product development, supported by selective market development. This approach draws on Porter’s differentiation strategy and the Ansoff product development quadrant and builds on Innocent’s strengths in ethical branding and sustainability. It also meets developing consumer expectations while balancing strategic risk.</w:t>
      </w:r>
    </w:p>
    <w:p w14:paraId="1EC50AAA" w14:textId="4EC42B32" w:rsidR="00FE0990" w:rsidRDefault="00FE0990" w:rsidP="00FE0990">
      <w:pPr>
        <w:pStyle w:val="Heading3"/>
        <w:rPr>
          <w:rFonts w:ascii="Arial" w:hAnsi="Arial" w:cs="Arial"/>
          <w:sz w:val="24"/>
          <w:szCs w:val="24"/>
        </w:rPr>
      </w:pPr>
      <w:bookmarkStart w:id="20" w:name="_Toc224551778"/>
      <w:r w:rsidRPr="004E368C">
        <w:rPr>
          <w:rFonts w:ascii="Arial" w:hAnsi="Arial" w:cs="Arial"/>
          <w:sz w:val="24"/>
          <w:szCs w:val="24"/>
        </w:rPr>
        <w:t>5.2.1 Growth Options Through Porter’s Generic Strategies</w:t>
      </w:r>
      <w:bookmarkEnd w:id="20"/>
    </w:p>
    <w:p w14:paraId="0836E32B"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 xml:space="preserve">Porter’s framework describes three strategic options: cost leadership, differentiation, and focus. Cost leadership does not correspond to Innocent’s identity and commercial strategy. Competing mainly on price would weaken positioning and limit investment in high quality </w:t>
      </w:r>
      <w:r w:rsidRPr="004E368C">
        <w:rPr>
          <w:rFonts w:ascii="Arial" w:hAnsi="Arial" w:cs="Arial"/>
          <w:color w:val="000000" w:themeColor="text1"/>
        </w:rPr>
        <w:lastRenderedPageBreak/>
        <w:t>ingredients. Research shows that differentiation works well in markets where consumers value authenticity, health, and sustainability (Hollensen, 2022; Varadarajan, 2020). Innocent already follows this route through natural ingredients, transparent branding, and ethical commitments. However, persistent innovation is needed against competitors. A focus strategy also yields potential. Targeting specific consumer groups can strengthen loyalty and reduce price sensitivity when products meet particular functional or lifestyle needs (Baines et al., 2020). Innocent’s vegan and health-oriented image provide a firm foundation for deeper segmentation, especially among consumers desiring convenience or functional nutrition.</w:t>
      </w:r>
    </w:p>
    <w:p w14:paraId="5CE57DB5" w14:textId="00186F32" w:rsidR="00FE0990" w:rsidRPr="00FE0990" w:rsidRDefault="00FE0990" w:rsidP="00FE0990">
      <w:pPr>
        <w:pStyle w:val="Heading3"/>
        <w:rPr>
          <w:rFonts w:ascii="Arial" w:hAnsi="Arial" w:cs="Arial"/>
          <w:sz w:val="24"/>
          <w:szCs w:val="24"/>
        </w:rPr>
      </w:pPr>
      <w:bookmarkStart w:id="21" w:name="_Toc224551779"/>
      <w:r w:rsidRPr="004E368C">
        <w:rPr>
          <w:rFonts w:ascii="Arial" w:hAnsi="Arial" w:cs="Arial"/>
          <w:sz w:val="24"/>
          <w:szCs w:val="24"/>
        </w:rPr>
        <w:t>5.2.2 Growth Options Through the Ansoff Matrix</w:t>
      </w:r>
      <w:bookmarkEnd w:id="21"/>
    </w:p>
    <w:p w14:paraId="6B146AD5"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The Ansoff Matrix identifies four growth paths: market penetration, market development, product development and diversification. Market penetration offers limited potential for Innocent because the UK smoothie market is already mature. (Fruit juice market in the UK - statistics &amp; facts, 2025) Market development is more promising. Innocent’s expansion into Europe, supported by Coca Cola’s distribution network, demonstrates its ability to enter new markets. Recent studies indicate that companies concerned with environmental product innovation can achieve competitive advantages. According to research published in Sustainability, this makes product development a strong opportunity for international growth as ethical consumption increases globally. FMCG companies increasingly depend on innovation to stand out and meet developing consumer needs (Grewal et al., 2021). For Innocent, new formats like freeze-dried powdered smoothies would broaden its range whilst remaining with its natural, sustainable identity. Powdered smoothies offer a longer shelf life, less refrigeration, and greater portability; therefore, these features appeal to travelers, outdoor consumers, and people in zones with limited cold-chain infrastructure. (Cold Chain Gaps Limit Growth of India’s Smoothie Market, 2023) This is consistent with research showing that functional and convenience-driven innovations are key growth drivers in health-focused beverage markets (Sorescu, 2017).</w:t>
      </w:r>
    </w:p>
    <w:p w14:paraId="5F49AE30" w14:textId="77777777" w:rsidR="00FE0990" w:rsidRPr="004E368C" w:rsidRDefault="00FE0990" w:rsidP="00FE0990">
      <w:pPr>
        <w:pStyle w:val="Heading3"/>
        <w:rPr>
          <w:rFonts w:ascii="Arial" w:hAnsi="Arial" w:cs="Arial"/>
          <w:sz w:val="24"/>
          <w:szCs w:val="24"/>
        </w:rPr>
      </w:pPr>
      <w:bookmarkStart w:id="22" w:name="_Toc224551780"/>
      <w:r w:rsidRPr="004E368C">
        <w:rPr>
          <w:rFonts w:ascii="Arial" w:hAnsi="Arial" w:cs="Arial"/>
          <w:sz w:val="24"/>
          <w:szCs w:val="24"/>
        </w:rPr>
        <w:t>5.2.3 Growth Options through the BCG Matrix</w:t>
      </w:r>
      <w:bookmarkEnd w:id="22"/>
    </w:p>
    <w:p w14:paraId="28AC5EE0" w14:textId="77777777" w:rsidR="00FE0990" w:rsidRPr="004E368C" w:rsidRDefault="00FE0990" w:rsidP="00FE0990">
      <w:pPr>
        <w:spacing w:line="360" w:lineRule="auto"/>
        <w:rPr>
          <w:rFonts w:ascii="Arial" w:hAnsi="Arial" w:cs="Arial"/>
          <w:color w:val="000000" w:themeColor="text1"/>
        </w:rPr>
      </w:pPr>
      <w:r w:rsidRPr="004E368C">
        <w:rPr>
          <w:rFonts w:ascii="Arial" w:hAnsi="Arial" w:cs="Arial"/>
          <w:color w:val="000000" w:themeColor="text1"/>
        </w:rPr>
        <w:t>The BCG Matrix clarifies Innocent’s strategic priorities by assessing each product category according to market growth and relative market share.</w:t>
      </w:r>
    </w:p>
    <w:p w14:paraId="416105A9" w14:textId="4310B314" w:rsidR="00B8402D" w:rsidRPr="00B8402D" w:rsidRDefault="00FE0990" w:rsidP="00B8402D">
      <w:pPr>
        <w:pStyle w:val="Heading4"/>
        <w:rPr>
          <w:rFonts w:ascii="Arial" w:hAnsi="Arial" w:cs="Arial"/>
        </w:rPr>
      </w:pPr>
      <w:r w:rsidRPr="004E368C">
        <w:rPr>
          <w:rFonts w:ascii="Arial" w:hAnsi="Arial" w:cs="Arial"/>
        </w:rPr>
        <w:t>5.2.3.1 BCG Matrix table</w:t>
      </w:r>
    </w:p>
    <w:tbl>
      <w:tblPr>
        <w:tblStyle w:val="TableGrid"/>
        <w:tblW w:w="0" w:type="auto"/>
        <w:tblLook w:val="04A0" w:firstRow="1" w:lastRow="0" w:firstColumn="1" w:lastColumn="0" w:noHBand="0" w:noVBand="1"/>
      </w:tblPr>
      <w:tblGrid>
        <w:gridCol w:w="3005"/>
        <w:gridCol w:w="3005"/>
        <w:gridCol w:w="3006"/>
      </w:tblGrid>
      <w:tr w:rsidR="00B8402D" w14:paraId="24E86B8B" w14:textId="77777777" w:rsidTr="00CB2882">
        <w:tc>
          <w:tcPr>
            <w:tcW w:w="3005" w:type="dxa"/>
            <w:shd w:val="clear" w:color="auto" w:fill="00B050"/>
          </w:tcPr>
          <w:p w14:paraId="5DA98B9D" w14:textId="77777777" w:rsidR="00B8402D" w:rsidRDefault="00B8402D" w:rsidP="00FE0990">
            <w:pPr>
              <w:tabs>
                <w:tab w:val="left" w:pos="6780"/>
              </w:tabs>
              <w:spacing w:line="360" w:lineRule="auto"/>
              <w:rPr>
                <w:rFonts w:ascii="Arial" w:hAnsi="Arial" w:cs="Arial"/>
                <w:color w:val="000000" w:themeColor="text1"/>
              </w:rPr>
            </w:pPr>
          </w:p>
        </w:tc>
        <w:tc>
          <w:tcPr>
            <w:tcW w:w="3005" w:type="dxa"/>
            <w:shd w:val="clear" w:color="auto" w:fill="84E290" w:themeFill="accent3" w:themeFillTint="66"/>
          </w:tcPr>
          <w:p w14:paraId="4C5DF335" w14:textId="559C62D7" w:rsidR="00B8402D" w:rsidRDefault="00B8402D" w:rsidP="00FE0990">
            <w:pPr>
              <w:tabs>
                <w:tab w:val="left" w:pos="6780"/>
              </w:tabs>
              <w:spacing w:line="360" w:lineRule="auto"/>
              <w:rPr>
                <w:rFonts w:ascii="Arial" w:hAnsi="Arial" w:cs="Arial"/>
                <w:color w:val="000000" w:themeColor="text1"/>
              </w:rPr>
            </w:pPr>
            <w:r w:rsidRPr="00626D43">
              <w:rPr>
                <w:rFonts w:ascii="Arial" w:hAnsi="Arial" w:cs="Arial"/>
                <w:color w:val="000000" w:themeColor="text1"/>
              </w:rPr>
              <w:t>High market growth</w:t>
            </w:r>
          </w:p>
        </w:tc>
        <w:tc>
          <w:tcPr>
            <w:tcW w:w="3006" w:type="dxa"/>
            <w:shd w:val="clear" w:color="auto" w:fill="84E290" w:themeFill="accent3" w:themeFillTint="66"/>
          </w:tcPr>
          <w:p w14:paraId="32AE8681" w14:textId="77777777" w:rsidR="00B8402D" w:rsidRPr="00626D43" w:rsidRDefault="00B8402D" w:rsidP="00B8402D">
            <w:pPr>
              <w:rPr>
                <w:rFonts w:ascii="Arial" w:hAnsi="Arial" w:cs="Arial"/>
                <w:b/>
                <w:bCs/>
                <w:color w:val="000000" w:themeColor="text1"/>
              </w:rPr>
            </w:pPr>
            <w:r w:rsidRPr="00626D43">
              <w:rPr>
                <w:rFonts w:ascii="Arial" w:eastAsia="Times New Roman" w:hAnsi="Arial" w:cs="Arial"/>
                <w:color w:val="000000" w:themeColor="text1"/>
                <w:kern w:val="0"/>
                <w:lang w:eastAsia="en-GB"/>
                <w14:ligatures w14:val="none"/>
              </w:rPr>
              <w:t>Low Market Growth</w:t>
            </w:r>
          </w:p>
          <w:p w14:paraId="4B4804AE" w14:textId="77777777" w:rsidR="00B8402D" w:rsidRDefault="00B8402D" w:rsidP="00FE0990">
            <w:pPr>
              <w:tabs>
                <w:tab w:val="left" w:pos="6780"/>
              </w:tabs>
              <w:spacing w:line="360" w:lineRule="auto"/>
              <w:rPr>
                <w:rFonts w:ascii="Arial" w:hAnsi="Arial" w:cs="Arial"/>
                <w:color w:val="000000" w:themeColor="text1"/>
              </w:rPr>
            </w:pPr>
          </w:p>
        </w:tc>
      </w:tr>
      <w:tr w:rsidR="00B8402D" w14:paraId="412D8CF9" w14:textId="77777777" w:rsidTr="00CB2882">
        <w:tc>
          <w:tcPr>
            <w:tcW w:w="3005" w:type="dxa"/>
            <w:shd w:val="clear" w:color="auto" w:fill="84E290" w:themeFill="accent3" w:themeFillTint="66"/>
          </w:tcPr>
          <w:p w14:paraId="200EF40F" w14:textId="77777777" w:rsidR="00B8402D" w:rsidRPr="00626D43" w:rsidRDefault="00B8402D" w:rsidP="00B8402D">
            <w:pPr>
              <w:rPr>
                <w:rFonts w:ascii="Arial" w:hAnsi="Arial" w:cs="Arial"/>
                <w:b/>
                <w:bCs/>
                <w:color w:val="000000" w:themeColor="text1"/>
              </w:rPr>
            </w:pPr>
            <w:r w:rsidRPr="00626D43">
              <w:rPr>
                <w:rFonts w:ascii="Arial" w:eastAsia="Times New Roman" w:hAnsi="Arial" w:cs="Arial"/>
                <w:color w:val="000000" w:themeColor="text1"/>
                <w:kern w:val="0"/>
                <w:lang w:eastAsia="en-GB"/>
                <w14:ligatures w14:val="none"/>
              </w:rPr>
              <w:t>High Market Share</w:t>
            </w:r>
          </w:p>
          <w:p w14:paraId="03726F4B" w14:textId="77777777" w:rsidR="00B8402D" w:rsidRDefault="00B8402D" w:rsidP="00FE0990">
            <w:pPr>
              <w:tabs>
                <w:tab w:val="left" w:pos="6780"/>
              </w:tabs>
              <w:spacing w:line="360" w:lineRule="auto"/>
              <w:rPr>
                <w:rFonts w:ascii="Arial" w:hAnsi="Arial" w:cs="Arial"/>
                <w:color w:val="000000" w:themeColor="text1"/>
              </w:rPr>
            </w:pPr>
          </w:p>
        </w:tc>
        <w:tc>
          <w:tcPr>
            <w:tcW w:w="3005" w:type="dxa"/>
            <w:shd w:val="clear" w:color="auto" w:fill="00B050"/>
          </w:tcPr>
          <w:p w14:paraId="7F8AB4DB" w14:textId="77777777" w:rsidR="00CB2882" w:rsidRPr="00626D43" w:rsidRDefault="00CB2882" w:rsidP="00CB2882">
            <w:pPr>
              <w:rPr>
                <w:noProof/>
                <w:color w:val="000000" w:themeColor="text1"/>
              </w:rPr>
            </w:pPr>
            <w:r w:rsidRPr="00626D43">
              <w:rPr>
                <w:rFonts w:ascii="Arial" w:eastAsia="Times New Roman" w:hAnsi="Arial" w:cs="Arial"/>
                <w:color w:val="000000" w:themeColor="text1"/>
                <w:kern w:val="0"/>
                <w:lang w:eastAsia="en-GB"/>
                <w14:ligatures w14:val="none"/>
              </w:rPr>
              <w:t>1- Core smoothies</w:t>
            </w:r>
            <w:r w:rsidRPr="00626D43">
              <w:rPr>
                <w:noProof/>
                <w:color w:val="000000" w:themeColor="text1"/>
              </w:rPr>
              <w:t xml:space="preserve">                      </w:t>
            </w:r>
          </w:p>
          <w:p w14:paraId="074936F7" w14:textId="77777777" w:rsidR="00CB2882" w:rsidRPr="00626D43" w:rsidRDefault="00CB2882" w:rsidP="00CB2882">
            <w:pPr>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2-Super smoothies</w:t>
            </w:r>
          </w:p>
          <w:p w14:paraId="582441C6" w14:textId="77777777" w:rsidR="00B8402D" w:rsidRDefault="00B8402D" w:rsidP="00FE0990">
            <w:pPr>
              <w:tabs>
                <w:tab w:val="left" w:pos="6780"/>
              </w:tabs>
              <w:spacing w:line="360" w:lineRule="auto"/>
              <w:rPr>
                <w:rFonts w:ascii="Arial" w:hAnsi="Arial" w:cs="Arial"/>
                <w:color w:val="000000" w:themeColor="text1"/>
              </w:rPr>
            </w:pPr>
          </w:p>
        </w:tc>
        <w:tc>
          <w:tcPr>
            <w:tcW w:w="3006" w:type="dxa"/>
            <w:shd w:val="clear" w:color="auto" w:fill="00B050"/>
          </w:tcPr>
          <w:p w14:paraId="6C35E455"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1.Chilled juices</w:t>
            </w:r>
          </w:p>
          <w:p w14:paraId="6A858278"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2. Multi-pack formats</w:t>
            </w:r>
          </w:p>
          <w:p w14:paraId="01FC253F" w14:textId="77777777" w:rsidR="00B8402D" w:rsidRDefault="00B8402D" w:rsidP="00FE0990">
            <w:pPr>
              <w:tabs>
                <w:tab w:val="left" w:pos="6780"/>
              </w:tabs>
              <w:spacing w:line="360" w:lineRule="auto"/>
              <w:rPr>
                <w:rFonts w:ascii="Arial" w:hAnsi="Arial" w:cs="Arial"/>
                <w:color w:val="000000" w:themeColor="text1"/>
              </w:rPr>
            </w:pPr>
          </w:p>
        </w:tc>
      </w:tr>
      <w:tr w:rsidR="00B8402D" w14:paraId="17D66DBC" w14:textId="77777777" w:rsidTr="00CB2882">
        <w:tc>
          <w:tcPr>
            <w:tcW w:w="3005" w:type="dxa"/>
            <w:shd w:val="clear" w:color="auto" w:fill="84E290" w:themeFill="accent3" w:themeFillTint="66"/>
          </w:tcPr>
          <w:p w14:paraId="5C450A88" w14:textId="77777777" w:rsidR="00CB2882" w:rsidRPr="00626D43" w:rsidRDefault="00CB2882" w:rsidP="00CB2882">
            <w:pPr>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lastRenderedPageBreak/>
              <w:t>Low Market Share</w:t>
            </w:r>
          </w:p>
          <w:p w14:paraId="0B85F0F3" w14:textId="77777777" w:rsidR="00B8402D" w:rsidRDefault="00B8402D" w:rsidP="00FE0990">
            <w:pPr>
              <w:tabs>
                <w:tab w:val="left" w:pos="6780"/>
              </w:tabs>
              <w:spacing w:line="360" w:lineRule="auto"/>
              <w:rPr>
                <w:rFonts w:ascii="Arial" w:hAnsi="Arial" w:cs="Arial"/>
                <w:color w:val="000000" w:themeColor="text1"/>
              </w:rPr>
            </w:pPr>
          </w:p>
        </w:tc>
        <w:tc>
          <w:tcPr>
            <w:tcW w:w="3005" w:type="dxa"/>
            <w:shd w:val="clear" w:color="auto" w:fill="00B050"/>
          </w:tcPr>
          <w:p w14:paraId="410B2170"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p>
          <w:p w14:paraId="630E97BB"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1- Functional shots</w:t>
            </w:r>
          </w:p>
          <w:p w14:paraId="41DFDD2A" w14:textId="77777777" w:rsidR="00CB2882" w:rsidRPr="00626D43" w:rsidRDefault="00CB2882" w:rsidP="00CB2882">
            <w:pPr>
              <w:pStyle w:val="ListParagraph"/>
              <w:spacing w:before="100" w:beforeAutospacing="1" w:after="100" w:afterAutospacing="1"/>
              <w:ind w:left="0"/>
              <w:rPr>
                <w:rFonts w:ascii="Arial" w:eastAsia="Times New Roman" w:hAnsi="Arial" w:cs="Arial"/>
                <w:color w:val="000000" w:themeColor="text1"/>
                <w:kern w:val="0"/>
                <w:lang w:eastAsia="en-GB"/>
                <w14:ligatures w14:val="none"/>
              </w:rPr>
            </w:pPr>
            <w:r w:rsidRPr="00626D43">
              <w:rPr>
                <w:rFonts w:ascii="Arial" w:eastAsia="Times New Roman" w:hAnsi="Arial" w:cs="Arial"/>
                <w:color w:val="000000" w:themeColor="text1"/>
                <w:kern w:val="0"/>
                <w:lang w:eastAsia="en-GB"/>
                <w14:ligatures w14:val="none"/>
              </w:rPr>
              <w:t>2- Plant-based lines</w:t>
            </w:r>
          </w:p>
          <w:p w14:paraId="2C793F25" w14:textId="77777777" w:rsidR="00B8402D" w:rsidRDefault="00B8402D" w:rsidP="00FE0990">
            <w:pPr>
              <w:tabs>
                <w:tab w:val="left" w:pos="6780"/>
              </w:tabs>
              <w:spacing w:line="360" w:lineRule="auto"/>
              <w:rPr>
                <w:rFonts w:ascii="Arial" w:hAnsi="Arial" w:cs="Arial"/>
                <w:color w:val="000000" w:themeColor="text1"/>
              </w:rPr>
            </w:pPr>
          </w:p>
        </w:tc>
        <w:tc>
          <w:tcPr>
            <w:tcW w:w="3006" w:type="dxa"/>
            <w:shd w:val="clear" w:color="auto" w:fill="00B050"/>
          </w:tcPr>
          <w:p w14:paraId="42783001" w14:textId="1F200E40" w:rsidR="00B8402D" w:rsidRDefault="00CB2882" w:rsidP="00FE0990">
            <w:pPr>
              <w:tabs>
                <w:tab w:val="left" w:pos="6780"/>
              </w:tabs>
              <w:spacing w:line="360" w:lineRule="auto"/>
              <w:rPr>
                <w:rFonts w:ascii="Arial" w:hAnsi="Arial" w:cs="Arial"/>
                <w:color w:val="000000" w:themeColor="text1"/>
              </w:rPr>
            </w:pPr>
            <w:r w:rsidRPr="00626D43">
              <w:rPr>
                <w:rFonts w:ascii="Arial" w:eastAsia="Times New Roman" w:hAnsi="Arial" w:cs="Arial"/>
                <w:color w:val="000000" w:themeColor="text1"/>
                <w:kern w:val="0"/>
                <w:lang w:eastAsia="en-GB"/>
                <w14:ligatures w14:val="none"/>
              </w:rPr>
              <w:t>1- Seasonal SKUs              2- Niche low-volume items</w:t>
            </w:r>
          </w:p>
        </w:tc>
      </w:tr>
    </w:tbl>
    <w:p w14:paraId="67AEC1FD" w14:textId="55A8A223" w:rsidR="00FE0990" w:rsidRPr="00BA3753" w:rsidRDefault="00FE0990" w:rsidP="00FE0990">
      <w:pPr>
        <w:tabs>
          <w:tab w:val="left" w:pos="6780"/>
        </w:tabs>
        <w:spacing w:line="360" w:lineRule="auto"/>
        <w:rPr>
          <w:rFonts w:ascii="Arial" w:hAnsi="Arial" w:cs="Arial"/>
          <w:color w:val="000000" w:themeColor="text1"/>
        </w:rPr>
      </w:pPr>
      <w:r w:rsidRPr="00BA3753">
        <w:rPr>
          <w:rFonts w:ascii="Arial" w:hAnsi="Arial" w:cs="Arial"/>
          <w:color w:val="000000" w:themeColor="text1"/>
        </w:rPr>
        <w:t>Figure 4</w:t>
      </w:r>
    </w:p>
    <w:p w14:paraId="3655082A" w14:textId="77777777" w:rsidR="00FE0990" w:rsidRPr="004E368C" w:rsidRDefault="00FE0990" w:rsidP="00FE0990">
      <w:pPr>
        <w:pStyle w:val="Heading5"/>
        <w:rPr>
          <w:rFonts w:ascii="Arial" w:hAnsi="Arial" w:cs="Arial"/>
        </w:rPr>
      </w:pPr>
      <w:r w:rsidRPr="004E368C">
        <w:rPr>
          <w:rFonts w:ascii="Arial" w:hAnsi="Arial" w:cs="Arial"/>
        </w:rPr>
        <w:t>5.2.3.2 The BCG Matrix explanation</w:t>
      </w:r>
    </w:p>
    <w:p w14:paraId="7726F365" w14:textId="77777777" w:rsidR="00FE0990" w:rsidRDefault="00FE0990" w:rsidP="00FE0990">
      <w:pPr>
        <w:spacing w:line="360" w:lineRule="auto"/>
        <w:rPr>
          <w:rFonts w:ascii="Arial" w:hAnsi="Arial" w:cs="Arial"/>
          <w:color w:val="000000" w:themeColor="text1"/>
        </w:rPr>
      </w:pPr>
      <w:r w:rsidRPr="003E0D18">
        <w:rPr>
          <w:rFonts w:ascii="Arial" w:hAnsi="Arial" w:cs="Arial"/>
          <w:color w:val="000000" w:themeColor="text1"/>
        </w:rPr>
        <w:t>The BCG Matrix highlights clear differences in Innocent’s portfolio. Core smoothies sit in the Star quadrant, signifying strong market share in a growing health</w:t>
      </w:r>
      <w:r w:rsidRPr="003E0D18">
        <w:rPr>
          <w:rFonts w:ascii="Arial" w:hAnsi="Arial" w:cs="Arial"/>
          <w:color w:val="000000" w:themeColor="text1"/>
        </w:rPr>
        <w:noBreakHyphen/>
        <w:t>oriented beverages segment and supporting persistent investment (Hossain &amp; Kader, 2020). Established chilled juices and multipack formats act as Cash Cows, generating dependable returns that may be reinvested into emerging categories (Umema &amp; Japee, 2024). According to a report on Innocent Drinks' marketing strategy, the company's "stars" in the Boston Consulting Group matrix are products such as smoothies, fruit juices, and kids' smoothies, which have high market growth and market share. Overall, applying the BCG Matrix supports disciplined resource planning and reinforces the case for innovation</w:t>
      </w:r>
      <w:r w:rsidRPr="003E0D18">
        <w:rPr>
          <w:rFonts w:ascii="Arial" w:hAnsi="Arial" w:cs="Arial"/>
          <w:color w:val="000000" w:themeColor="text1"/>
        </w:rPr>
        <w:noBreakHyphen/>
        <w:t>led product development in high</w:t>
      </w:r>
      <w:r w:rsidRPr="003E0D18">
        <w:rPr>
          <w:rFonts w:ascii="Arial" w:hAnsi="Arial" w:cs="Arial"/>
          <w:color w:val="000000" w:themeColor="text1"/>
        </w:rPr>
        <w:noBreakHyphen/>
        <w:t>potential categories (Umema &amp; Japee, 2024).</w:t>
      </w:r>
    </w:p>
    <w:p w14:paraId="75539BA5" w14:textId="77777777" w:rsidR="00B17997" w:rsidRDefault="00B17997" w:rsidP="00FE0990">
      <w:pPr>
        <w:spacing w:line="360" w:lineRule="auto"/>
        <w:rPr>
          <w:rFonts w:ascii="Arial" w:hAnsi="Arial" w:cs="Arial"/>
          <w:color w:val="000000" w:themeColor="text1"/>
        </w:rPr>
      </w:pPr>
    </w:p>
    <w:p w14:paraId="0EC43EC6" w14:textId="77777777" w:rsidR="00B17997" w:rsidRDefault="00B17997" w:rsidP="00FE0990">
      <w:pPr>
        <w:spacing w:line="360" w:lineRule="auto"/>
        <w:rPr>
          <w:rFonts w:ascii="Arial" w:hAnsi="Arial" w:cs="Arial"/>
          <w:color w:val="000000" w:themeColor="text1"/>
        </w:rPr>
      </w:pPr>
    </w:p>
    <w:p w14:paraId="020D9A95" w14:textId="77777777" w:rsidR="00B17997" w:rsidRDefault="00B17997" w:rsidP="00FE0990">
      <w:pPr>
        <w:spacing w:line="360" w:lineRule="auto"/>
        <w:rPr>
          <w:rFonts w:ascii="Arial" w:hAnsi="Arial" w:cs="Arial"/>
          <w:color w:val="000000" w:themeColor="text1"/>
        </w:rPr>
      </w:pPr>
    </w:p>
    <w:p w14:paraId="38475579" w14:textId="77777777" w:rsidR="00B17997" w:rsidRDefault="00B17997" w:rsidP="00FE0990">
      <w:pPr>
        <w:spacing w:line="360" w:lineRule="auto"/>
        <w:rPr>
          <w:rFonts w:ascii="Arial" w:hAnsi="Arial" w:cs="Arial"/>
          <w:color w:val="000000" w:themeColor="text1"/>
        </w:rPr>
      </w:pPr>
    </w:p>
    <w:p w14:paraId="53998DF8" w14:textId="77777777" w:rsidR="00B17997" w:rsidRPr="003E0D18" w:rsidRDefault="00B17997" w:rsidP="00FE0990">
      <w:pPr>
        <w:spacing w:line="360" w:lineRule="auto"/>
        <w:rPr>
          <w:rFonts w:ascii="Arial" w:hAnsi="Arial" w:cs="Arial"/>
          <w:color w:val="000000" w:themeColor="text1"/>
        </w:rPr>
      </w:pPr>
    </w:p>
    <w:p w14:paraId="2C54561D" w14:textId="77777777" w:rsidR="00FE0990" w:rsidRPr="004E368C" w:rsidRDefault="00FE0990" w:rsidP="00FE0990">
      <w:pPr>
        <w:pStyle w:val="Heading2"/>
      </w:pPr>
      <w:bookmarkStart w:id="23" w:name="_Toc224551781"/>
      <w:r w:rsidRPr="004E368C">
        <w:t>5.3 Recommended strategies and justification</w:t>
      </w:r>
      <w:bookmarkEnd w:id="23"/>
    </w:p>
    <w:p w14:paraId="388A6F69" w14:textId="77777777" w:rsidR="00FE0990" w:rsidRPr="00BA3753" w:rsidRDefault="00FE0990" w:rsidP="00FE0990">
      <w:pPr>
        <w:pStyle w:val="Heading3"/>
      </w:pPr>
      <w:bookmarkStart w:id="24" w:name="_Toc224551782"/>
      <w:r w:rsidRPr="00BA3753">
        <w:t>5.3.1 Strategies</w:t>
      </w:r>
      <w:bookmarkEnd w:id="24"/>
    </w:p>
    <w:p w14:paraId="7F032E74" w14:textId="77777777" w:rsidR="00B17997" w:rsidRDefault="00FE0990" w:rsidP="00FE0990">
      <w:pPr>
        <w:spacing w:line="360" w:lineRule="auto"/>
        <w:rPr>
          <w:rFonts w:ascii="Arial" w:hAnsi="Arial" w:cs="Arial"/>
          <w:color w:val="000000" w:themeColor="text1"/>
        </w:rPr>
      </w:pPr>
      <w:r w:rsidRPr="003E0D18">
        <w:rPr>
          <w:rFonts w:ascii="Arial" w:hAnsi="Arial" w:cs="Arial"/>
          <w:color w:val="000000" w:themeColor="text1"/>
        </w:rPr>
        <w:t xml:space="preserve">1. Differentiation Through Product Development through </w:t>
      </w:r>
    </w:p>
    <w:p w14:paraId="31E0E96F" w14:textId="20DD9DB4" w:rsidR="00FE0990" w:rsidRPr="00B17997" w:rsidRDefault="00FE0990" w:rsidP="00B17997">
      <w:pPr>
        <w:pStyle w:val="ListParagraph"/>
        <w:numPr>
          <w:ilvl w:val="0"/>
          <w:numId w:val="6"/>
        </w:numPr>
        <w:spacing w:line="360" w:lineRule="auto"/>
        <w:rPr>
          <w:rFonts w:ascii="Arial" w:hAnsi="Arial" w:cs="Arial"/>
          <w:color w:val="000000" w:themeColor="text1"/>
        </w:rPr>
      </w:pPr>
      <w:r w:rsidRPr="00B17997">
        <w:rPr>
          <w:rFonts w:ascii="Arial" w:hAnsi="Arial" w:cs="Arial"/>
          <w:color w:val="000000" w:themeColor="text1"/>
        </w:rPr>
        <w:t>Introduction of Powdered Smoothies</w:t>
      </w:r>
    </w:p>
    <w:p w14:paraId="664BFC79" w14:textId="03CA6B18" w:rsidR="00B17997" w:rsidRDefault="00FE0990" w:rsidP="00FE0990">
      <w:pPr>
        <w:spacing w:line="360" w:lineRule="auto"/>
        <w:rPr>
          <w:rFonts w:ascii="Arial" w:hAnsi="Arial" w:cs="Arial"/>
          <w:color w:val="000000" w:themeColor="text1"/>
        </w:rPr>
      </w:pPr>
      <w:r w:rsidRPr="003E0D18">
        <w:rPr>
          <w:rFonts w:ascii="Arial" w:hAnsi="Arial" w:cs="Arial"/>
          <w:color w:val="000000" w:themeColor="text1"/>
        </w:rPr>
        <w:t xml:space="preserve">2. Market development through geographic expansion </w:t>
      </w:r>
    </w:p>
    <w:p w14:paraId="1C681C72" w14:textId="7064CE51" w:rsidR="00FE0990" w:rsidRPr="00B17997" w:rsidRDefault="00FE0990" w:rsidP="00B17997">
      <w:pPr>
        <w:pStyle w:val="ListParagraph"/>
        <w:numPr>
          <w:ilvl w:val="0"/>
          <w:numId w:val="6"/>
        </w:numPr>
        <w:spacing w:line="360" w:lineRule="auto"/>
        <w:rPr>
          <w:rFonts w:ascii="Arial" w:hAnsi="Arial" w:cs="Arial"/>
          <w:color w:val="000000" w:themeColor="text1"/>
        </w:rPr>
      </w:pPr>
      <w:r w:rsidRPr="00B17997">
        <w:rPr>
          <w:rFonts w:ascii="Arial" w:hAnsi="Arial" w:cs="Arial"/>
          <w:color w:val="000000" w:themeColor="text1"/>
        </w:rPr>
        <w:t>international market opportunities in hot regions</w:t>
      </w:r>
    </w:p>
    <w:p w14:paraId="1C8DDF52" w14:textId="77777777" w:rsidR="00B17997" w:rsidRDefault="00FE0990" w:rsidP="00FE0990">
      <w:pPr>
        <w:spacing w:line="360" w:lineRule="auto"/>
        <w:rPr>
          <w:rFonts w:ascii="Arial" w:hAnsi="Arial" w:cs="Arial"/>
          <w:color w:val="000000" w:themeColor="text1"/>
        </w:rPr>
      </w:pPr>
      <w:r w:rsidRPr="003E0D18">
        <w:rPr>
          <w:rFonts w:ascii="Arial" w:hAnsi="Arial" w:cs="Arial"/>
          <w:color w:val="000000" w:themeColor="text1"/>
        </w:rPr>
        <w:t xml:space="preserve">3.  Differentiation Through Product Development. </w:t>
      </w:r>
    </w:p>
    <w:p w14:paraId="61180213" w14:textId="077B3431" w:rsidR="00FE0990" w:rsidRPr="003E0D18" w:rsidRDefault="00FE0990" w:rsidP="00FE0990">
      <w:pPr>
        <w:spacing w:line="360" w:lineRule="auto"/>
        <w:rPr>
          <w:rFonts w:ascii="Arial" w:hAnsi="Arial" w:cs="Arial"/>
          <w:color w:val="000000" w:themeColor="text1"/>
        </w:rPr>
      </w:pPr>
      <w:r w:rsidRPr="003E0D18">
        <w:rPr>
          <w:rFonts w:ascii="Arial" w:hAnsi="Arial" w:cs="Arial"/>
          <w:color w:val="000000" w:themeColor="text1"/>
        </w:rPr>
        <w:t>The introduction of a dried smoothie powder offers Innocent a new format that extends its fresh fruit expertise into a more convenient, sustainable product.</w:t>
      </w:r>
    </w:p>
    <w:p w14:paraId="711489BC" w14:textId="77777777" w:rsidR="00FE0990" w:rsidRPr="003E0D18" w:rsidRDefault="00FE0990" w:rsidP="00FE0990">
      <w:pPr>
        <w:pStyle w:val="Heading3"/>
      </w:pPr>
      <w:bookmarkStart w:id="25" w:name="_Toc224551783"/>
      <w:r w:rsidRPr="003E0D18">
        <w:lastRenderedPageBreak/>
        <w:t>5.3.2 Strategic Justification</w:t>
      </w:r>
      <w:bookmarkEnd w:id="25"/>
    </w:p>
    <w:p w14:paraId="3BF4F4A6" w14:textId="77777777" w:rsidR="00FE0990" w:rsidRPr="003E0D18" w:rsidRDefault="00FE0990" w:rsidP="00FE0990">
      <w:pPr>
        <w:spacing w:line="360" w:lineRule="auto"/>
        <w:rPr>
          <w:rFonts w:ascii="Arial" w:hAnsi="Arial" w:cs="Arial"/>
          <w:color w:val="000000" w:themeColor="text1"/>
        </w:rPr>
      </w:pPr>
      <w:r w:rsidRPr="003E0D18">
        <w:rPr>
          <w:rFonts w:ascii="Arial" w:hAnsi="Arial" w:cs="Arial"/>
          <w:color w:val="000000" w:themeColor="text1"/>
        </w:rPr>
        <w:t>Differentiation through product development is the most logical and appropriate growth path for Innocent, as it aligns with the company’s strengths in responsible procurement, sustainability, and a health-oriented positioning, while enabling it to innovate within its existing markets. This approach corresponds with Ansoff’s product development strategy, which is suitable when a firm aims to grow by launching new products to its existing customers. It also fits Porter’s differentiation strategy, enabling Innocent to compete on unique value rather than price.</w:t>
      </w:r>
    </w:p>
    <w:p w14:paraId="3F5A47D1" w14:textId="77777777" w:rsidR="00FE0990" w:rsidRPr="003E0D18" w:rsidRDefault="00FE0990" w:rsidP="00FE0990">
      <w:pPr>
        <w:pStyle w:val="Heading3"/>
      </w:pPr>
      <w:bookmarkStart w:id="26" w:name="_Toc224551784"/>
      <w:r w:rsidRPr="003E0D18">
        <w:t>5.3.3 Coordination with Existing Product Range</w:t>
      </w:r>
      <w:bookmarkEnd w:id="26"/>
    </w:p>
    <w:p w14:paraId="0581E9A8" w14:textId="77777777" w:rsidR="00FE0990" w:rsidRPr="003E0D18" w:rsidRDefault="00FE0990" w:rsidP="00FE0990">
      <w:pPr>
        <w:spacing w:line="360" w:lineRule="auto"/>
        <w:rPr>
          <w:rFonts w:ascii="Arial" w:hAnsi="Arial" w:cs="Arial"/>
          <w:color w:val="000000" w:themeColor="text1"/>
        </w:rPr>
      </w:pPr>
      <w:r w:rsidRPr="003E0D18">
        <w:rPr>
          <w:rFonts w:ascii="Arial" w:hAnsi="Arial" w:cs="Arial"/>
          <w:color w:val="000000" w:themeColor="text1"/>
        </w:rPr>
        <w:t>According to a report from Packaging Europe, Innocent Drinks has redesigned the packaging across its entire juice and smoothie range to emphasise the natural, refreshing ingredients and make it easier for consumers to find and comprehend its products. A product development strategy would complement the efforts by building on Innocent’s existing strengths and enables the company to expand into promising new categories, as shown by the recent launch of Green Goodness and Red Goodness high-vegetable smoothies. According to Innocent Drinks, the company sets itself apart by focusing on health, convenience, and sustainability, which are important to its customers. As part of its environmental initiatives, Innocent Drinks has pledged to cut its carbon footprint per bottle by half by 2030 and reach carbon neutrality by 2025. They also create opportunities for social impact within regions with limited access to fresh produce, strengthening Innocent’s ethical brand identity.</w:t>
      </w:r>
    </w:p>
    <w:p w14:paraId="4FACBF48" w14:textId="63ED8581" w:rsidR="008007E1" w:rsidRPr="00386B7B" w:rsidRDefault="008007E1" w:rsidP="00FE0990">
      <w:pPr>
        <w:pStyle w:val="Heading1"/>
        <w:rPr>
          <w:rFonts w:ascii="Arial" w:hAnsi="Arial" w:cs="Arial"/>
          <w:sz w:val="22"/>
          <w:szCs w:val="22"/>
        </w:rPr>
      </w:pPr>
    </w:p>
    <w:p w14:paraId="0FB6DE42" w14:textId="667D7227" w:rsidR="008007E1" w:rsidRDefault="008007E1" w:rsidP="00247C84"/>
    <w:p w14:paraId="34128594" w14:textId="636C82AA"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5.3.4 </w:t>
      </w:r>
      <w:r w:rsidR="00417D51" w:rsidRPr="005C4FCB">
        <w:rPr>
          <w:rFonts w:ascii="Arial" w:hAnsi="Arial" w:cs="Arial"/>
          <w:sz w:val="24"/>
          <w:szCs w:val="24"/>
        </w:rPr>
        <w:t xml:space="preserve"> Alignment With Existing Product Range</w:t>
      </w:r>
    </w:p>
    <w:p w14:paraId="459B54DC"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Insights from the BCG Matrix support this direction. Cash Cows such as not</w:t>
      </w:r>
      <w:r w:rsidRPr="00626D43">
        <w:rPr>
          <w:rFonts w:ascii="Arial" w:hAnsi="Arial" w:cs="Arial"/>
          <w:color w:val="000000" w:themeColor="text1"/>
        </w:rPr>
        <w:noBreakHyphen/>
        <w:t>from</w:t>
      </w:r>
      <w:r w:rsidRPr="00626D43">
        <w:rPr>
          <w:rFonts w:ascii="Arial" w:hAnsi="Arial" w:cs="Arial"/>
          <w:color w:val="000000" w:themeColor="text1"/>
        </w:rPr>
        <w:noBreakHyphen/>
        <w:t>concentrate juices can provide the financial resources needed to fund innovation, while Question Mark categories like plant</w:t>
      </w:r>
      <w:r w:rsidRPr="00626D43">
        <w:rPr>
          <w:rFonts w:ascii="Arial" w:hAnsi="Arial" w:cs="Arial"/>
          <w:color w:val="000000" w:themeColor="text1"/>
        </w:rPr>
        <w:noBreakHyphen/>
        <w:t>based milks and functional drinks indicate areas where targeted investment could drive future growth. A product development strategy builds on Innocent’s existing strengths and allows the company to move into high</w:t>
      </w:r>
      <w:r w:rsidRPr="00626D43">
        <w:rPr>
          <w:rFonts w:ascii="Arial" w:hAnsi="Arial" w:cs="Arial"/>
          <w:color w:val="000000" w:themeColor="text1"/>
        </w:rPr>
        <w:noBreakHyphen/>
        <w:t>potential categories identified through this analysis.</w:t>
      </w:r>
    </w:p>
    <w:p w14:paraId="73134A72" w14:textId="4D29FA81"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5.3.5 </w:t>
      </w:r>
      <w:r w:rsidR="00417D51" w:rsidRPr="005C4FCB">
        <w:rPr>
          <w:rFonts w:ascii="Arial" w:hAnsi="Arial" w:cs="Arial"/>
          <w:sz w:val="24"/>
          <w:szCs w:val="24"/>
        </w:rPr>
        <w:t>Role of powdered smoothie innovation</w:t>
      </w:r>
    </w:p>
    <w:p w14:paraId="461BDF0A"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A powdered smoothie line represents a strategically aligned innovation. It differentiates Innocent by combining health, convenience and sustainability, three attributes that resonate strongly with its target market. Powdered formats reduce food waste, lower transport emissions and require less refrigeration, which supports Innocent’s environmental </w:t>
      </w:r>
      <w:r w:rsidRPr="00626D43">
        <w:rPr>
          <w:rFonts w:ascii="Arial" w:hAnsi="Arial" w:cs="Arial"/>
          <w:color w:val="000000" w:themeColor="text1"/>
        </w:rPr>
        <w:lastRenderedPageBreak/>
        <w:t>commitments. They also create opportunities for social impact in regions with limited access to fresh produce, strengthening Innocent’s ethical brand identity.</w:t>
      </w:r>
    </w:p>
    <w:p w14:paraId="36486491" w14:textId="77777777" w:rsidR="00417D51" w:rsidRPr="00626D43" w:rsidRDefault="00417D51" w:rsidP="00417D51">
      <w:pPr>
        <w:rPr>
          <w:rFonts w:ascii="Arial" w:hAnsi="Arial" w:cs="Arial"/>
          <w:color w:val="000000" w:themeColor="text1"/>
        </w:rPr>
      </w:pPr>
    </w:p>
    <w:p w14:paraId="1246D1AA" w14:textId="4E11195F"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5.3.6 </w:t>
      </w:r>
      <w:r w:rsidR="00417D51" w:rsidRPr="005C4FCB">
        <w:rPr>
          <w:rFonts w:ascii="Arial" w:hAnsi="Arial" w:cs="Arial"/>
          <w:sz w:val="24"/>
          <w:szCs w:val="24"/>
        </w:rPr>
        <w:t>Expected strategic outcome</w:t>
      </w:r>
    </w:p>
    <w:p w14:paraId="41E62912"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A product development strategy also strengthens Innocent’s long</w:t>
      </w:r>
      <w:r w:rsidRPr="00626D43">
        <w:rPr>
          <w:rFonts w:ascii="Arial" w:hAnsi="Arial" w:cs="Arial"/>
          <w:color w:val="000000" w:themeColor="text1"/>
        </w:rPr>
        <w:noBreakHyphen/>
        <w:t>term competitiveness by allowing the company to respond quickly to shifts in consumer behaviour. Demand for healthier, more sustainable and more convenient options continues to rise across European markets, and firms that innovate early are better positioned to shape category expectations. By expanding into formats that reduce environmental impact and improve accessibility, Innocent can reinforce its reputation as a responsible brand while opening new revenue streams. This approach supports steady growth and helps the company maintain a clear point of difference in an increasingly crowded beverage landscape.</w:t>
      </w:r>
    </w:p>
    <w:p w14:paraId="35C267DD" w14:textId="2A16CC85"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5.3.6 </w:t>
      </w:r>
      <w:r w:rsidR="00417D51" w:rsidRPr="005C4FCB">
        <w:rPr>
          <w:rFonts w:ascii="Arial" w:hAnsi="Arial" w:cs="Arial"/>
          <w:sz w:val="24"/>
          <w:szCs w:val="24"/>
        </w:rPr>
        <w:t>Market development through geographic expansion</w:t>
      </w:r>
    </w:p>
    <w:p w14:paraId="7E175855"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 Market development through geographic expansion enables Innocent to reach new consumer groups outside its core European markets. Expanding into international regions  also reduces dependence on mature segments and supports growth in areas with rising demand for healthier beverage options.</w:t>
      </w:r>
    </w:p>
    <w:p w14:paraId="60A4A6EB" w14:textId="342319D3" w:rsidR="00417D51" w:rsidRPr="005C4FCB" w:rsidRDefault="005C4FCB" w:rsidP="005C4FCB">
      <w:pPr>
        <w:pStyle w:val="Heading5"/>
        <w:rPr>
          <w:rFonts w:ascii="Arial" w:hAnsi="Arial" w:cs="Arial"/>
          <w:b/>
          <w:bCs/>
          <w:sz w:val="24"/>
          <w:szCs w:val="24"/>
        </w:rPr>
      </w:pPr>
      <w:r w:rsidRPr="005C4FCB">
        <w:rPr>
          <w:rFonts w:ascii="Arial" w:hAnsi="Arial" w:cs="Arial"/>
          <w:sz w:val="24"/>
          <w:szCs w:val="24"/>
        </w:rPr>
        <w:t xml:space="preserve">5.3.6.1 </w:t>
      </w:r>
      <w:r w:rsidR="00417D51" w:rsidRPr="005C4FCB">
        <w:rPr>
          <w:rFonts w:ascii="Arial" w:hAnsi="Arial" w:cs="Arial"/>
          <w:sz w:val="24"/>
          <w:szCs w:val="24"/>
        </w:rPr>
        <w:t>Cold Climate Markets</w:t>
      </w:r>
    </w:p>
    <w:p w14:paraId="27A470E5"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Market development offers a complementary growth option by extending Innocent’s existing products into new regions. In Europe, strong cold chain infrastructure and similar consumer preferences make it feasible to expand the current fresh juice and smoothie portfolio into markets such as Germany, the Netherlands and the Nordic countries. This maintains product integrity and fits Innocent’s established brand positioning. </w:t>
      </w:r>
    </w:p>
    <w:p w14:paraId="6A8BCDC4" w14:textId="03D9E5E9" w:rsidR="00417D51" w:rsidRPr="005C4FCB" w:rsidRDefault="005C4FCB" w:rsidP="005C4FCB">
      <w:pPr>
        <w:pStyle w:val="Heading5"/>
        <w:rPr>
          <w:rFonts w:ascii="Arial" w:hAnsi="Arial" w:cs="Arial"/>
          <w:sz w:val="24"/>
          <w:szCs w:val="24"/>
        </w:rPr>
      </w:pPr>
      <w:r w:rsidRPr="005C4FCB">
        <w:rPr>
          <w:rFonts w:ascii="Arial" w:hAnsi="Arial" w:cs="Arial"/>
          <w:sz w:val="24"/>
          <w:szCs w:val="24"/>
        </w:rPr>
        <w:t xml:space="preserve">5.3.6.2 </w:t>
      </w:r>
      <w:r w:rsidR="00417D51" w:rsidRPr="005C4FCB">
        <w:rPr>
          <w:rFonts w:ascii="Arial" w:hAnsi="Arial" w:cs="Arial"/>
          <w:sz w:val="24"/>
          <w:szCs w:val="24"/>
        </w:rPr>
        <w:t xml:space="preserve">Hot Climate Markets </w:t>
      </w:r>
    </w:p>
    <w:p w14:paraId="1061CA79" w14:textId="77777777" w:rsidR="00417D51" w:rsidRPr="00626D43" w:rsidRDefault="00417D51" w:rsidP="00417D51">
      <w:pPr>
        <w:spacing w:line="360" w:lineRule="auto"/>
        <w:rPr>
          <w:rFonts w:ascii="Arial" w:hAnsi="Arial" w:cs="Arial"/>
          <w:color w:val="000000" w:themeColor="text1"/>
        </w:rPr>
      </w:pPr>
      <w:r w:rsidRPr="00626D43">
        <w:rPr>
          <w:rFonts w:ascii="Arial" w:hAnsi="Arial" w:cs="Arial"/>
          <w:color w:val="000000" w:themeColor="text1"/>
        </w:rPr>
        <w:t xml:space="preserve">For hot climate markets, where refrigeration and transport conditions are more challenging, Innocent can introduce the powdered smoothie format as a sustainable alternative. Freeze dried fruit products reduce emissions, minimise waste and provide accessible nutrition in regions with limited access to fresh produce. This dual market approach allows Innocent to tailor its offering to local conditions while maintaining brand coherence. </w:t>
      </w:r>
    </w:p>
    <w:p w14:paraId="4742DC4C" w14:textId="67796518" w:rsidR="008007E1" w:rsidRPr="002E1302" w:rsidRDefault="005C4FCB" w:rsidP="005C4FCB">
      <w:pPr>
        <w:pStyle w:val="Heading1"/>
        <w:rPr>
          <w:rFonts w:ascii="Arial" w:hAnsi="Arial" w:cs="Arial"/>
          <w:sz w:val="32"/>
          <w:szCs w:val="32"/>
        </w:rPr>
      </w:pPr>
      <w:bookmarkStart w:id="27" w:name="_Toc224551785"/>
      <w:r w:rsidRPr="002E1302">
        <w:rPr>
          <w:rFonts w:ascii="Arial" w:hAnsi="Arial" w:cs="Arial"/>
          <w:sz w:val="32"/>
          <w:szCs w:val="32"/>
        </w:rPr>
        <w:t>6. SFA to evaluate the proposed strategy</w:t>
      </w:r>
      <w:bookmarkEnd w:id="27"/>
    </w:p>
    <w:p w14:paraId="22B56E48"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 xml:space="preserve">Suitability–Feasibility–Acceptability (SFA) is a strategy evaluation framework used to assess and compare strategic options. It is defined in the academic literature as a tool for judging whether a proposed strategy fits the external environment (suitability), can be implemented with available resources (feasibility), and meets stakeholder expectations (acceptability). </w:t>
      </w:r>
      <w:r w:rsidRPr="00626D43">
        <w:rPr>
          <w:rFonts w:ascii="Arial" w:hAnsi="Arial" w:cs="Arial"/>
          <w:color w:val="000000" w:themeColor="text1"/>
        </w:rPr>
        <w:lastRenderedPageBreak/>
        <w:t>Peer</w:t>
      </w:r>
      <w:r w:rsidRPr="00626D43">
        <w:rPr>
          <w:rFonts w:ascii="Arial" w:hAnsi="Arial" w:cs="Arial"/>
          <w:color w:val="000000" w:themeColor="text1"/>
        </w:rPr>
        <w:noBreakHyphen/>
        <w:t>reviewed research identifies SFA as a “fundamental tool for the development and selection of strategy” that supports structured decision</w:t>
      </w:r>
      <w:r w:rsidRPr="00626D43">
        <w:rPr>
          <w:rFonts w:ascii="Arial" w:hAnsi="Arial" w:cs="Arial"/>
          <w:color w:val="000000" w:themeColor="text1"/>
        </w:rPr>
        <w:noBreakHyphen/>
        <w:t xml:space="preserve">making across different contexts (Hashemkhani Zolfani et al., 2021). It is used to compare strategic options systematically, highlight strengths and weaknesses in each option, and guide managers toward the most robust and implementable choice. </w:t>
      </w:r>
    </w:p>
    <w:p w14:paraId="2554847E" w14:textId="3A42E83E" w:rsidR="002E1302" w:rsidRPr="00910153" w:rsidRDefault="00910153" w:rsidP="00910153">
      <w:pPr>
        <w:pStyle w:val="Heading2"/>
        <w:rPr>
          <w:rFonts w:ascii="Arial" w:hAnsi="Arial" w:cs="Arial"/>
          <w:sz w:val="28"/>
          <w:szCs w:val="28"/>
        </w:rPr>
      </w:pPr>
      <w:bookmarkStart w:id="28" w:name="_Toc224551786"/>
      <w:r w:rsidRPr="00910153">
        <w:rPr>
          <w:rFonts w:ascii="Arial" w:hAnsi="Arial" w:cs="Arial"/>
          <w:sz w:val="28"/>
          <w:szCs w:val="28"/>
        </w:rPr>
        <w:t>6</w:t>
      </w:r>
      <w:r w:rsidR="002E1302" w:rsidRPr="00910153">
        <w:rPr>
          <w:rFonts w:ascii="Arial" w:hAnsi="Arial" w:cs="Arial"/>
          <w:sz w:val="28"/>
          <w:szCs w:val="28"/>
        </w:rPr>
        <w:t>.1 Evaluation of strategic options</w:t>
      </w:r>
      <w:bookmarkEnd w:id="28"/>
    </w:p>
    <w:p w14:paraId="366BA26D" w14:textId="19AFC9EC"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 xml:space="preserve">Evaluating Innocent’s strategic options requires assessing their Suitability, Feasibility and Acceptability using the SFA framework (Johnson, Scholes and Whittington, 2008).          </w:t>
      </w:r>
      <w:r w:rsidR="00910153" w:rsidRPr="00910153">
        <w:rPr>
          <w:rStyle w:val="Heading2Char"/>
          <w:rFonts w:ascii="Arial" w:hAnsi="Arial" w:cs="Arial"/>
          <w:sz w:val="24"/>
          <w:szCs w:val="24"/>
        </w:rPr>
        <w:t xml:space="preserve">6.1.1 </w:t>
      </w:r>
      <w:r w:rsidRPr="00910153">
        <w:rPr>
          <w:rStyle w:val="Heading2Char"/>
          <w:rFonts w:ascii="Arial" w:hAnsi="Arial" w:cs="Arial"/>
          <w:sz w:val="24"/>
          <w:szCs w:val="24"/>
        </w:rPr>
        <w:t xml:space="preserve">Suitability                                                                                                                       </w:t>
      </w:r>
      <w:r w:rsidRPr="00626D43">
        <w:rPr>
          <w:rFonts w:ascii="Arial" w:hAnsi="Arial" w:cs="Arial"/>
          <w:color w:val="000000" w:themeColor="text1"/>
        </w:rPr>
        <w:t xml:space="preserve">Differentiation through product development is highly suitable as it aligns with Innocent’s focus on natural ingredients, sustainability and health, and reflects Ansoff’s view that firms can grow by introducing new products to existing markets (Ansoff, 1957). Rising demand for functional and plant based beverages strengthens this alignment and supports Porter’s differentiation logic, which emphasises competing through unique value (Porter, 1985).  Market development is also suitable, particularly in Europe where consumer preferences and cold chain infrastructure mirror the UK, although expansion into hot climate regions requires adaptation due to refrigeration constraints.                                                             </w:t>
      </w:r>
      <w:r w:rsidR="00910153">
        <w:rPr>
          <w:rFonts w:ascii="Arial" w:hAnsi="Arial" w:cs="Arial"/>
          <w:color w:val="000000" w:themeColor="text1"/>
        </w:rPr>
        <w:t xml:space="preserve">          </w:t>
      </w:r>
      <w:r w:rsidRPr="00626D43">
        <w:rPr>
          <w:rFonts w:ascii="Arial" w:hAnsi="Arial" w:cs="Arial"/>
          <w:color w:val="000000" w:themeColor="text1"/>
        </w:rPr>
        <w:t xml:space="preserve">   </w:t>
      </w:r>
      <w:r w:rsidR="00910153" w:rsidRPr="00910153">
        <w:rPr>
          <w:rStyle w:val="Heading2Char"/>
          <w:rFonts w:ascii="Arial" w:hAnsi="Arial" w:cs="Arial"/>
          <w:sz w:val="24"/>
          <w:szCs w:val="24"/>
        </w:rPr>
        <w:t xml:space="preserve">6.1.2 </w:t>
      </w:r>
      <w:r w:rsidRPr="00910153">
        <w:rPr>
          <w:rStyle w:val="Heading2Char"/>
          <w:rFonts w:ascii="Arial" w:hAnsi="Arial" w:cs="Arial"/>
          <w:sz w:val="24"/>
          <w:szCs w:val="24"/>
        </w:rPr>
        <w:t xml:space="preserve">Feasibility:                                                                                                                       </w:t>
      </w:r>
      <w:r w:rsidRPr="00626D43">
        <w:rPr>
          <w:rFonts w:ascii="Arial" w:hAnsi="Arial" w:cs="Arial"/>
          <w:color w:val="000000" w:themeColor="text1"/>
        </w:rPr>
        <w:t xml:space="preserve">Product development is feasible given Innocent’s R&amp;D capability, supplier relationships and access to Coca Cola’s financial and operational resources, while market development is feasible in Europe and feasible in warmer regions only when using powdered formats that reduce transport emissions and storage requirements.                                                                       </w:t>
      </w:r>
      <w:r w:rsidR="00910153" w:rsidRPr="00910153">
        <w:rPr>
          <w:rStyle w:val="Heading2Char"/>
          <w:rFonts w:ascii="Arial" w:hAnsi="Arial" w:cs="Arial"/>
          <w:sz w:val="24"/>
          <w:szCs w:val="24"/>
        </w:rPr>
        <w:t xml:space="preserve">6.1.3 </w:t>
      </w:r>
      <w:r w:rsidRPr="00910153">
        <w:rPr>
          <w:rStyle w:val="Heading2Char"/>
          <w:rFonts w:ascii="Arial" w:hAnsi="Arial" w:cs="Arial"/>
          <w:sz w:val="24"/>
          <w:szCs w:val="24"/>
        </w:rPr>
        <w:t xml:space="preserve">Acceptability:                                                                                                                         </w:t>
      </w:r>
      <w:r w:rsidRPr="00626D43">
        <w:rPr>
          <w:rFonts w:ascii="Arial" w:hAnsi="Arial" w:cs="Arial"/>
          <w:color w:val="000000" w:themeColor="text1"/>
        </w:rPr>
        <w:t>Both strategies are acceptable to stakeholders, though product development offers stronger brand reinforcement and lower operational risk.                                                                     Overall, product development emerges as the most suitable, feasible and acceptable option, with region specific market development acting as a complementary pathway.</w:t>
      </w:r>
    </w:p>
    <w:p w14:paraId="5A430278" w14:textId="16730C7B" w:rsidR="002E1302" w:rsidRPr="00910153" w:rsidRDefault="00910153" w:rsidP="00910153">
      <w:pPr>
        <w:pStyle w:val="Heading1"/>
        <w:rPr>
          <w:rFonts w:ascii="Arial" w:hAnsi="Arial" w:cs="Arial"/>
          <w:sz w:val="32"/>
          <w:szCs w:val="32"/>
        </w:rPr>
      </w:pPr>
      <w:bookmarkStart w:id="29" w:name="_Toc224551787"/>
      <w:r w:rsidRPr="00910153">
        <w:rPr>
          <w:rFonts w:ascii="Arial" w:hAnsi="Arial" w:cs="Arial"/>
          <w:sz w:val="32"/>
          <w:szCs w:val="32"/>
        </w:rPr>
        <w:t>7</w:t>
      </w:r>
      <w:r w:rsidR="002E1302" w:rsidRPr="00910153">
        <w:rPr>
          <w:rFonts w:ascii="Arial" w:hAnsi="Arial" w:cs="Arial"/>
          <w:sz w:val="32"/>
          <w:szCs w:val="32"/>
        </w:rPr>
        <w:t>. Stakeholder Analysis</w:t>
      </w:r>
      <w:bookmarkEnd w:id="29"/>
    </w:p>
    <w:p w14:paraId="57C28B63"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Innocent’s proposed strategy of product development, supported by selective market development, affects several stakeholder groups whose interests and influence must be managed effectively. Stakeholder Theory emphasises that firms must create value for a broad set of stakeholders rather than prioritising shareholders alone (Freeman et al., 2021). Mendelow’s Matrix provides a practical tool for classifying stakeholders by their power and interest, helping managers determine appropriate engagement approaches (Ackermann and Eden, 2011).</w:t>
      </w:r>
    </w:p>
    <w:p w14:paraId="5D6A2DFA"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lastRenderedPageBreak/>
        <w:t>Consumers hold high interest and moderate power, as their preferences shape demand for functional, plant based and sustainable beverages. The strategy benefits them by offering healthier options and improved accessibility in warmer regions through powdered formats. Employees also hold high interest and moderate power, as product development may require new skills in R&amp;D, supply chain management and quality assurance. Research highlights that employee engagement improves innovation outcomes, making communication and training essential (Kang and Sung, 2020). Suppliers hold moderate power due to their role in sourcing natural ingredients. Strengthening long term partnerships and ensuring fair pricing help maintain supply stability.</w:t>
      </w:r>
    </w:p>
    <w:p w14:paraId="4D72C7EE"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Coca Cola, as Innocent’s parent company, sits in the high power and high interest quadrant of Mendelow’s Matrix. Its distribution infrastructure and financial resources are essential for both product development and international expansion. Retailers hold moderate to high power, as they influence shelf space and product visibility. Engaging them early with evidence of consumer demand and sustainability benefits supports adoption of new products. Regulators in international markets hold high power but lower interest. Compliance with food safety, labelling and environmental standards is essential to avoid operational disruption.</w:t>
      </w:r>
    </w:p>
    <w:p w14:paraId="476CD5D2"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 xml:space="preserve">A stakeholder engagement plan should prioritise close management of high power stakeholders such as Coca Cola and regulators, regular consultation with employees and suppliers, and continuous communication with consumers and retailers to support responsible implementation. </w:t>
      </w:r>
    </w:p>
    <w:p w14:paraId="3553A365" w14:textId="067390AF" w:rsidR="002E1302" w:rsidRPr="0054281A" w:rsidRDefault="00910153" w:rsidP="0054281A">
      <w:pPr>
        <w:pStyle w:val="Heading2"/>
      </w:pPr>
      <w:bookmarkStart w:id="30" w:name="_Toc224551788"/>
      <w:r w:rsidRPr="0054281A">
        <w:t>7</w:t>
      </w:r>
      <w:r w:rsidR="002E1302" w:rsidRPr="0054281A">
        <w:t>.1 Mendelow’s Matrix for Innocent’s Strategic Stakeholders</w:t>
      </w:r>
      <w:bookmarkEnd w:id="30"/>
    </w:p>
    <w:p w14:paraId="64B025D1" w14:textId="77777777" w:rsidR="002E1302" w:rsidRDefault="002E1302" w:rsidP="002E1302">
      <w:pPr>
        <w:spacing w:line="360" w:lineRule="auto"/>
        <w:rPr>
          <w:rFonts w:ascii="Arial" w:hAnsi="Arial" w:cs="Arial"/>
          <w:color w:val="000000" w:themeColor="text1"/>
        </w:rPr>
      </w:pPr>
      <w:r w:rsidRPr="00626D43">
        <w:rPr>
          <w:rFonts w:ascii="Arial" w:hAnsi="Arial" w:cs="Arial"/>
          <w:color w:val="000000" w:themeColor="text1"/>
        </w:rPr>
        <w:t>Mendelow’s Matrix helps classify stakeholders according to their power and interest, enabling managers to prioritise engagement and allocate resources effectively. Recent research highlights that mapping stakeholders in this way improves strategic alignment and reduces implementation risk (Ackermann and Eden, 2011; Bridoux and Stoelhorst, 2022).</w:t>
      </w:r>
    </w:p>
    <w:p w14:paraId="70F02433" w14:textId="72897B75" w:rsidR="002E1302" w:rsidRPr="0054281A" w:rsidRDefault="0054281A" w:rsidP="0054281A">
      <w:pPr>
        <w:pStyle w:val="Heading3"/>
        <w:rPr>
          <w:rFonts w:ascii="Arial" w:hAnsi="Arial" w:cs="Arial"/>
          <w:sz w:val="24"/>
          <w:szCs w:val="24"/>
        </w:rPr>
      </w:pPr>
      <w:bookmarkStart w:id="31" w:name="_Toc224551789"/>
      <w:r w:rsidRPr="0054281A">
        <w:rPr>
          <w:rFonts w:ascii="Arial" w:hAnsi="Arial" w:cs="Arial"/>
          <w:sz w:val="24"/>
          <w:szCs w:val="24"/>
        </w:rPr>
        <w:t>7</w:t>
      </w:r>
      <w:r w:rsidR="002E1302" w:rsidRPr="0054281A">
        <w:rPr>
          <w:rFonts w:ascii="Arial" w:hAnsi="Arial" w:cs="Arial"/>
          <w:sz w:val="24"/>
          <w:szCs w:val="24"/>
        </w:rPr>
        <w:t>.1</w:t>
      </w:r>
      <w:r w:rsidRPr="0054281A">
        <w:rPr>
          <w:rFonts w:ascii="Arial" w:hAnsi="Arial" w:cs="Arial"/>
          <w:sz w:val="24"/>
          <w:szCs w:val="24"/>
        </w:rPr>
        <w:t>.1</w:t>
      </w:r>
      <w:r w:rsidR="002E1302" w:rsidRPr="0054281A">
        <w:rPr>
          <w:rFonts w:ascii="Arial" w:hAnsi="Arial" w:cs="Arial"/>
          <w:sz w:val="24"/>
          <w:szCs w:val="24"/>
        </w:rPr>
        <w:t xml:space="preserve"> Mendelow Matrix table</w:t>
      </w:r>
      <w:bookmarkEnd w:id="31"/>
    </w:p>
    <w:tbl>
      <w:tblPr>
        <w:tblStyle w:val="TableGrid"/>
        <w:tblW w:w="0" w:type="auto"/>
        <w:tblLook w:val="04A0" w:firstRow="1" w:lastRow="0" w:firstColumn="1" w:lastColumn="0" w:noHBand="0" w:noVBand="1"/>
      </w:tblPr>
      <w:tblGrid>
        <w:gridCol w:w="3005"/>
        <w:gridCol w:w="3005"/>
        <w:gridCol w:w="3006"/>
      </w:tblGrid>
      <w:tr w:rsidR="002E1302" w:rsidRPr="00626D43" w14:paraId="527C11D8" w14:textId="77777777" w:rsidTr="00F75FA6">
        <w:tc>
          <w:tcPr>
            <w:tcW w:w="3005" w:type="dxa"/>
            <w:shd w:val="clear" w:color="auto" w:fill="A5C9EB" w:themeFill="text2" w:themeFillTint="40"/>
          </w:tcPr>
          <w:p w14:paraId="47A9B608"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Power/interest</w:t>
            </w:r>
          </w:p>
        </w:tc>
        <w:tc>
          <w:tcPr>
            <w:tcW w:w="3005" w:type="dxa"/>
            <w:shd w:val="clear" w:color="auto" w:fill="A5C9EB" w:themeFill="text2" w:themeFillTint="40"/>
          </w:tcPr>
          <w:p w14:paraId="54B93456"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 xml:space="preserve">          High interest</w:t>
            </w:r>
          </w:p>
        </w:tc>
        <w:tc>
          <w:tcPr>
            <w:tcW w:w="3006" w:type="dxa"/>
            <w:shd w:val="clear" w:color="auto" w:fill="A5C9EB" w:themeFill="text2" w:themeFillTint="40"/>
          </w:tcPr>
          <w:p w14:paraId="6019A281"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 xml:space="preserve">          Low Interest</w:t>
            </w:r>
          </w:p>
        </w:tc>
      </w:tr>
      <w:tr w:rsidR="002E1302" w:rsidRPr="00626D43" w14:paraId="21B604DF" w14:textId="77777777" w:rsidTr="00F75FA6">
        <w:tc>
          <w:tcPr>
            <w:tcW w:w="3005" w:type="dxa"/>
            <w:shd w:val="clear" w:color="auto" w:fill="A5C9EB" w:themeFill="text2" w:themeFillTint="40"/>
          </w:tcPr>
          <w:p w14:paraId="7CC56348"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High Power</w:t>
            </w:r>
          </w:p>
        </w:tc>
        <w:tc>
          <w:tcPr>
            <w:tcW w:w="3005" w:type="dxa"/>
            <w:shd w:val="clear" w:color="auto" w:fill="C1E4F5" w:themeFill="accent1" w:themeFillTint="33"/>
          </w:tcPr>
          <w:p w14:paraId="3B7EBCDD"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Coca-Cola</w:t>
            </w:r>
          </w:p>
          <w:p w14:paraId="08203FEF"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Major retailers (Tesco, Sainsbury’s, Asda</w:t>
            </w:r>
          </w:p>
        </w:tc>
        <w:tc>
          <w:tcPr>
            <w:tcW w:w="3006" w:type="dxa"/>
            <w:shd w:val="clear" w:color="auto" w:fill="C1E4F5" w:themeFill="accent1" w:themeFillTint="33"/>
          </w:tcPr>
          <w:p w14:paraId="5841588A" w14:textId="77777777" w:rsidR="002E1302" w:rsidRPr="00626D43" w:rsidRDefault="002E1302" w:rsidP="00F75FA6">
            <w:pPr>
              <w:rPr>
                <w:rFonts w:ascii="Arial" w:hAnsi="Arial" w:cs="Arial"/>
                <w:color w:val="000000" w:themeColor="text1"/>
              </w:rPr>
            </w:pPr>
            <w:r w:rsidRPr="00626D43">
              <w:rPr>
                <w:rFonts w:ascii="Arial" w:hAnsi="Arial" w:cs="Arial"/>
                <w:color w:val="000000" w:themeColor="text1"/>
              </w:rPr>
              <w:t>Key suppliers</w:t>
            </w:r>
            <w:r w:rsidRPr="00626D43">
              <w:rPr>
                <w:rFonts w:ascii="Arial" w:hAnsi="Arial" w:cs="Arial"/>
                <w:color w:val="000000" w:themeColor="text1"/>
              </w:rPr>
              <w:br/>
              <w:t>Logistics and distribution partners</w:t>
            </w:r>
          </w:p>
          <w:p w14:paraId="5DEE801F"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Regulators</w:t>
            </w:r>
          </w:p>
        </w:tc>
      </w:tr>
      <w:tr w:rsidR="002E1302" w:rsidRPr="00626D43" w14:paraId="1B9DDDAE" w14:textId="77777777" w:rsidTr="00F75FA6">
        <w:tc>
          <w:tcPr>
            <w:tcW w:w="3005" w:type="dxa"/>
            <w:shd w:val="clear" w:color="auto" w:fill="A5C9EB" w:themeFill="text2" w:themeFillTint="40"/>
          </w:tcPr>
          <w:p w14:paraId="5EE5B028" w14:textId="77777777" w:rsidR="002E1302" w:rsidRPr="00626D43" w:rsidRDefault="002E1302" w:rsidP="00F75FA6">
            <w:pPr>
              <w:spacing w:line="360" w:lineRule="auto"/>
              <w:rPr>
                <w:rFonts w:ascii="Arial" w:hAnsi="Arial" w:cs="Arial"/>
                <w:color w:val="000000" w:themeColor="text1"/>
              </w:rPr>
            </w:pPr>
            <w:r w:rsidRPr="00626D43">
              <w:rPr>
                <w:rFonts w:ascii="Arial" w:hAnsi="Arial" w:cs="Arial"/>
                <w:color w:val="000000" w:themeColor="text1"/>
              </w:rPr>
              <w:t>Low Power</w:t>
            </w:r>
          </w:p>
        </w:tc>
        <w:tc>
          <w:tcPr>
            <w:tcW w:w="3005" w:type="dxa"/>
            <w:shd w:val="clear" w:color="auto" w:fill="C1E4F5" w:themeFill="accent1" w:themeFillTint="33"/>
          </w:tcPr>
          <w:p w14:paraId="2CA3E3DF" w14:textId="77777777" w:rsidR="002E1302" w:rsidRPr="00626D43" w:rsidRDefault="002E1302" w:rsidP="00F75FA6">
            <w:pPr>
              <w:rPr>
                <w:rFonts w:ascii="Arial" w:hAnsi="Arial" w:cs="Arial"/>
                <w:color w:val="000000" w:themeColor="text1"/>
              </w:rPr>
            </w:pPr>
            <w:r w:rsidRPr="00626D43">
              <w:rPr>
                <w:rFonts w:ascii="Arial" w:hAnsi="Arial" w:cs="Arial"/>
                <w:color w:val="000000" w:themeColor="text1"/>
              </w:rPr>
              <w:t>Consumers</w:t>
            </w:r>
            <w:r w:rsidRPr="00626D43">
              <w:rPr>
                <w:rFonts w:ascii="Arial" w:hAnsi="Arial" w:cs="Arial"/>
                <w:color w:val="000000" w:themeColor="text1"/>
              </w:rPr>
              <w:br/>
              <w:t>Employees</w:t>
            </w:r>
          </w:p>
          <w:p w14:paraId="2669A6B9" w14:textId="77777777" w:rsidR="002E1302" w:rsidRPr="00626D43" w:rsidRDefault="002E1302" w:rsidP="00F75FA6">
            <w:pPr>
              <w:spacing w:line="360" w:lineRule="auto"/>
              <w:rPr>
                <w:rFonts w:ascii="Arial" w:hAnsi="Arial" w:cs="Arial"/>
                <w:color w:val="000000" w:themeColor="text1"/>
              </w:rPr>
            </w:pPr>
          </w:p>
        </w:tc>
        <w:tc>
          <w:tcPr>
            <w:tcW w:w="3006" w:type="dxa"/>
            <w:shd w:val="clear" w:color="auto" w:fill="C1E4F5" w:themeFill="accent1" w:themeFillTint="33"/>
          </w:tcPr>
          <w:p w14:paraId="3E2DD056" w14:textId="77777777" w:rsidR="002E1302" w:rsidRPr="00626D43" w:rsidRDefault="002E1302" w:rsidP="00F75FA6">
            <w:pPr>
              <w:rPr>
                <w:rFonts w:ascii="Arial" w:hAnsi="Arial" w:cs="Arial"/>
                <w:color w:val="000000" w:themeColor="text1"/>
              </w:rPr>
            </w:pPr>
            <w:r w:rsidRPr="00626D43">
              <w:rPr>
                <w:rFonts w:ascii="Arial" w:hAnsi="Arial" w:cs="Arial"/>
                <w:color w:val="000000" w:themeColor="text1"/>
              </w:rPr>
              <w:t>NGOs</w:t>
            </w:r>
            <w:r w:rsidRPr="00626D43">
              <w:rPr>
                <w:rFonts w:ascii="Arial" w:hAnsi="Arial" w:cs="Arial"/>
                <w:color w:val="000000" w:themeColor="text1"/>
              </w:rPr>
              <w:br/>
              <w:t>Local communities</w:t>
            </w:r>
          </w:p>
          <w:p w14:paraId="7E9E57DE" w14:textId="77777777" w:rsidR="002E1302" w:rsidRPr="00626D43" w:rsidRDefault="002E1302" w:rsidP="00F75FA6">
            <w:pPr>
              <w:spacing w:line="360" w:lineRule="auto"/>
              <w:rPr>
                <w:rFonts w:ascii="Arial" w:hAnsi="Arial" w:cs="Arial"/>
                <w:color w:val="000000" w:themeColor="text1"/>
              </w:rPr>
            </w:pPr>
          </w:p>
        </w:tc>
      </w:tr>
    </w:tbl>
    <w:p w14:paraId="124E23C5"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Figure 5</w:t>
      </w:r>
    </w:p>
    <w:p w14:paraId="5ABF01F3" w14:textId="2D1DFBE7" w:rsidR="002E1302" w:rsidRPr="0054281A" w:rsidRDefault="0054281A" w:rsidP="0054281A">
      <w:pPr>
        <w:pStyle w:val="Heading3"/>
        <w:rPr>
          <w:rFonts w:ascii="Arial" w:hAnsi="Arial" w:cs="Arial"/>
          <w:sz w:val="24"/>
          <w:szCs w:val="24"/>
        </w:rPr>
      </w:pPr>
      <w:bookmarkStart w:id="32" w:name="_Toc224551790"/>
      <w:r w:rsidRPr="0054281A">
        <w:rPr>
          <w:rFonts w:ascii="Arial" w:hAnsi="Arial" w:cs="Arial"/>
          <w:sz w:val="24"/>
          <w:szCs w:val="24"/>
        </w:rPr>
        <w:lastRenderedPageBreak/>
        <w:t>7</w:t>
      </w:r>
      <w:r w:rsidR="002E1302" w:rsidRPr="0054281A">
        <w:rPr>
          <w:rFonts w:ascii="Arial" w:hAnsi="Arial" w:cs="Arial"/>
          <w:sz w:val="24"/>
          <w:szCs w:val="24"/>
        </w:rPr>
        <w:t>.1.2 Explanation of figure</w:t>
      </w:r>
      <w:bookmarkEnd w:id="32"/>
    </w:p>
    <w:p w14:paraId="6CBAA8C2" w14:textId="1B604845" w:rsidR="002E1302" w:rsidRPr="00626D43" w:rsidRDefault="0054281A" w:rsidP="002E1302">
      <w:pPr>
        <w:spacing w:line="360" w:lineRule="auto"/>
        <w:rPr>
          <w:rFonts w:ascii="Arial" w:hAnsi="Arial" w:cs="Arial"/>
          <w:color w:val="000000" w:themeColor="text1"/>
        </w:rPr>
      </w:pPr>
      <w:r w:rsidRPr="0054281A">
        <w:rPr>
          <w:rStyle w:val="Heading4Char"/>
          <w:rFonts w:ascii="Arial" w:hAnsi="Arial" w:cs="Arial"/>
        </w:rPr>
        <w:t>7</w:t>
      </w:r>
      <w:r w:rsidR="002E1302" w:rsidRPr="0054281A">
        <w:rPr>
          <w:rStyle w:val="Heading4Char"/>
          <w:rFonts w:ascii="Arial" w:hAnsi="Arial" w:cs="Arial"/>
        </w:rPr>
        <w:t xml:space="preserve">.1.2.1 Segment high power/ high interest                                                                                     </w:t>
      </w:r>
      <w:r w:rsidR="002E1302" w:rsidRPr="00626D43">
        <w:rPr>
          <w:rFonts w:ascii="Arial" w:hAnsi="Arial" w:cs="Arial"/>
          <w:color w:val="000000" w:themeColor="text1"/>
        </w:rPr>
        <w:t>Coca Cola and major retailers hold significant influence over Innocent’s strategic direction and market access. Their high interest is driven by commercial performance, sustainability commitments and brand reputation. They should be managed closely through structured partnership meetings, shared performance targets, transparent reporting on product development progress and coordinated sustainability initiatives. Regular joint planning sessions and early involvement in new product launches help maintain alignment and reduce operational risk.</w:t>
      </w:r>
    </w:p>
    <w:p w14:paraId="4FE90061" w14:textId="6D663476" w:rsidR="002E1302" w:rsidRPr="00626D43" w:rsidRDefault="00B34D99" w:rsidP="002E1302">
      <w:pPr>
        <w:spacing w:line="360" w:lineRule="auto"/>
        <w:rPr>
          <w:rFonts w:ascii="Arial" w:hAnsi="Arial" w:cs="Arial"/>
          <w:color w:val="000000" w:themeColor="text1"/>
        </w:rPr>
      </w:pPr>
      <w:r w:rsidRPr="00B34D99">
        <w:rPr>
          <w:rStyle w:val="Heading4Char"/>
        </w:rPr>
        <w:t>7</w:t>
      </w:r>
      <w:r w:rsidR="002E1302" w:rsidRPr="00B34D99">
        <w:rPr>
          <w:rStyle w:val="Heading4Char"/>
        </w:rPr>
        <w:t xml:space="preserve">.1.2.2 Segment High power / low interest                                                                </w:t>
      </w:r>
      <w:r w:rsidR="00B9675F">
        <w:rPr>
          <w:rStyle w:val="Heading4Char"/>
        </w:rPr>
        <w:t xml:space="preserve">                         </w:t>
      </w:r>
      <w:r w:rsidR="002E1302" w:rsidRPr="00B34D99">
        <w:rPr>
          <w:rStyle w:val="Heading4Char"/>
        </w:rPr>
        <w:t xml:space="preserve">  </w:t>
      </w:r>
      <w:r w:rsidR="002E1302" w:rsidRPr="00626D43">
        <w:rPr>
          <w:rFonts w:ascii="Arial" w:hAnsi="Arial" w:cs="Arial"/>
          <w:color w:val="000000" w:themeColor="text1"/>
        </w:rPr>
        <w:t xml:space="preserve">Regulators hold high power through their ability to enforce food safety, labelling and environmental standards, but their interest in Innocent’s daily operations is relatively low. They should be kept satisfied through full compliance, timely documentation, early checks on new product requirements and regular monitoring of regulatory updates. This reduces the risk of delays, penalties or market entry barriers. In this group are also Key suppliers and logistics partners hold operational power through supply continuity and distribution efficiency. Their interest is lower but maintaining long term contracts, shared sustainability standards and stable demand keeps them satisfied and reduces operational risk. </w:t>
      </w:r>
    </w:p>
    <w:p w14:paraId="38C06447" w14:textId="6CC1C37F" w:rsidR="002E1302" w:rsidRPr="00626D43" w:rsidRDefault="00B34D99" w:rsidP="002E1302">
      <w:pPr>
        <w:spacing w:line="360" w:lineRule="auto"/>
        <w:rPr>
          <w:rFonts w:ascii="Arial" w:hAnsi="Arial" w:cs="Arial"/>
          <w:color w:val="000000" w:themeColor="text1"/>
        </w:rPr>
      </w:pPr>
      <w:r w:rsidRPr="00B34D99">
        <w:rPr>
          <w:rStyle w:val="Heading4Char"/>
        </w:rPr>
        <w:t>7</w:t>
      </w:r>
      <w:r w:rsidR="002E1302" w:rsidRPr="00B34D99">
        <w:rPr>
          <w:rStyle w:val="Heading4Char"/>
        </w:rPr>
        <w:t xml:space="preserve">.1.2.3 Segment low power / high interest                                                              </w:t>
      </w:r>
      <w:r w:rsidR="00B9675F">
        <w:rPr>
          <w:rStyle w:val="Heading4Char"/>
        </w:rPr>
        <w:t xml:space="preserve">                                     </w:t>
      </w:r>
      <w:r w:rsidR="002E1302" w:rsidRPr="00B34D99">
        <w:rPr>
          <w:rStyle w:val="Heading4Char"/>
        </w:rPr>
        <w:t xml:space="preserve">   </w:t>
      </w:r>
      <w:r w:rsidR="002E1302" w:rsidRPr="00626D43">
        <w:rPr>
          <w:rFonts w:ascii="Arial" w:hAnsi="Arial" w:cs="Arial"/>
          <w:color w:val="000000" w:themeColor="text1"/>
        </w:rPr>
        <w:t>Consumers and employees care strongly about product quality, sustainability and organisational values but have limited direct influence. To keep them informed through clear communication, training, feedback mechanisms and transparent sustainability messaging support alignment and trust.</w:t>
      </w:r>
    </w:p>
    <w:p w14:paraId="619627C3" w14:textId="77777777" w:rsidR="00B9675F" w:rsidRDefault="00B34D99" w:rsidP="00B9675F">
      <w:pPr>
        <w:spacing w:line="360" w:lineRule="auto"/>
        <w:rPr>
          <w:rFonts w:ascii="Arial" w:hAnsi="Arial" w:cs="Arial"/>
          <w:color w:val="000000" w:themeColor="text1"/>
        </w:rPr>
      </w:pPr>
      <w:r w:rsidRPr="00B34D99">
        <w:rPr>
          <w:rStyle w:val="Heading4Char"/>
        </w:rPr>
        <w:t>7</w:t>
      </w:r>
      <w:r w:rsidR="002E1302" w:rsidRPr="00B34D99">
        <w:rPr>
          <w:rStyle w:val="Heading4Char"/>
        </w:rPr>
        <w:t xml:space="preserve">.1.2.4 Segment low power / low interest                                                                                </w:t>
      </w:r>
      <w:r w:rsidR="00B9675F">
        <w:rPr>
          <w:rStyle w:val="Heading4Char"/>
        </w:rPr>
        <w:t xml:space="preserve">                   </w:t>
      </w:r>
      <w:r w:rsidR="002E1302" w:rsidRPr="00B34D99">
        <w:rPr>
          <w:rStyle w:val="Heading4Char"/>
        </w:rPr>
        <w:t xml:space="preserve">    </w:t>
      </w:r>
      <w:r w:rsidR="002E1302" w:rsidRPr="00626D43">
        <w:rPr>
          <w:rFonts w:ascii="Arial" w:hAnsi="Arial" w:cs="Arial"/>
          <w:color w:val="000000" w:themeColor="text1"/>
        </w:rPr>
        <w:t>NGOs and local communities have limited influence and limited involvement but shape Innocent’s social legitimacy. Monitoring expectations and engaging selectively through sustainability reporting and community initiatives reinforces ethical commitments.</w:t>
      </w:r>
      <w:bookmarkStart w:id="33" w:name="_Toc224551791"/>
    </w:p>
    <w:p w14:paraId="225AB9D4" w14:textId="13C4023A" w:rsidR="002E1302" w:rsidRPr="00B9675F" w:rsidRDefault="00B34D99" w:rsidP="00B9675F">
      <w:pPr>
        <w:pStyle w:val="Heading1"/>
        <w:rPr>
          <w:rFonts w:ascii="Arial" w:hAnsi="Arial" w:cs="Arial"/>
          <w:color w:val="000000" w:themeColor="text1"/>
          <w:sz w:val="32"/>
          <w:szCs w:val="32"/>
        </w:rPr>
      </w:pPr>
      <w:r w:rsidRPr="00B9675F">
        <w:rPr>
          <w:rFonts w:ascii="Arial" w:hAnsi="Arial" w:cs="Arial"/>
          <w:sz w:val="32"/>
          <w:szCs w:val="32"/>
        </w:rPr>
        <w:t>8</w:t>
      </w:r>
      <w:r w:rsidR="002E1302" w:rsidRPr="00B9675F">
        <w:rPr>
          <w:rFonts w:ascii="Arial" w:hAnsi="Arial" w:cs="Arial"/>
          <w:sz w:val="32"/>
          <w:szCs w:val="32"/>
        </w:rPr>
        <w:t>. Implementation and Monitoring</w:t>
      </w:r>
      <w:bookmarkEnd w:id="33"/>
    </w:p>
    <w:p w14:paraId="0D97CE3D"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The implementation of Innocent’s product development strategy requires clear objectives, coordinated actions and systematic monitoring. Effective strategy execution depends on aligning organisational processes with strategic priorities and ensuring that performance is measured through integrated systems such as the Balanced Scorecard (Kaplan and Norton, 1996; Olson and Wu, 2023).</w:t>
      </w:r>
    </w:p>
    <w:p w14:paraId="13CFB3EF" w14:textId="49DD3EB0" w:rsidR="002E1302" w:rsidRPr="00B34D99" w:rsidRDefault="00B34D99" w:rsidP="00B34D99">
      <w:pPr>
        <w:pStyle w:val="Heading2"/>
        <w:rPr>
          <w:rFonts w:ascii="Arial" w:hAnsi="Arial" w:cs="Arial"/>
          <w:sz w:val="24"/>
          <w:szCs w:val="24"/>
        </w:rPr>
      </w:pPr>
      <w:bookmarkStart w:id="34" w:name="_Toc224551792"/>
      <w:r w:rsidRPr="00B34D99">
        <w:rPr>
          <w:rFonts w:ascii="Arial" w:hAnsi="Arial" w:cs="Arial"/>
          <w:sz w:val="24"/>
          <w:szCs w:val="24"/>
        </w:rPr>
        <w:lastRenderedPageBreak/>
        <w:t xml:space="preserve">8.1 </w:t>
      </w:r>
      <w:r w:rsidR="002E1302" w:rsidRPr="00B34D99">
        <w:rPr>
          <w:rFonts w:ascii="Arial" w:hAnsi="Arial" w:cs="Arial"/>
          <w:sz w:val="24"/>
          <w:szCs w:val="24"/>
        </w:rPr>
        <w:t>Objectives and Key Actions</w:t>
      </w:r>
      <w:bookmarkEnd w:id="34"/>
    </w:p>
    <w:p w14:paraId="22368D07"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The main objectives are to introduce new functional and plant</w:t>
      </w:r>
      <w:r w:rsidRPr="00626D43">
        <w:rPr>
          <w:rFonts w:ascii="Arial" w:hAnsi="Arial" w:cs="Arial"/>
          <w:color w:val="000000" w:themeColor="text1"/>
        </w:rPr>
        <w:noBreakHyphen/>
        <w:t>based products, strengthen supply chain resilience and expand selectively into suitable international markets. Key actions include investment in R&amp;D capability, collaboration with suppliers on sustainable ingredients, pilot testing powdered formats in hot</w:t>
      </w:r>
      <w:r w:rsidRPr="00626D43">
        <w:rPr>
          <w:rFonts w:ascii="Arial" w:hAnsi="Arial" w:cs="Arial"/>
          <w:color w:val="000000" w:themeColor="text1"/>
        </w:rPr>
        <w:noBreakHyphen/>
        <w:t>climate regions and coordinated marketing campaigns. Research shows that successful implementation requires consistent alignment between resources, processes and strategic goals (Meier et al., 2024). Strengthening supplier partnerships and improving forecasting accuracy will support product availability and reduce operational risk.</w:t>
      </w:r>
    </w:p>
    <w:p w14:paraId="21CCF7AC" w14:textId="66236972" w:rsidR="002E1302" w:rsidRPr="00B34D99" w:rsidRDefault="00B34D99" w:rsidP="00B34D99">
      <w:pPr>
        <w:pStyle w:val="Heading2"/>
        <w:rPr>
          <w:rFonts w:ascii="Arial" w:hAnsi="Arial" w:cs="Arial"/>
          <w:sz w:val="24"/>
          <w:szCs w:val="24"/>
        </w:rPr>
      </w:pPr>
      <w:bookmarkStart w:id="35" w:name="_Toc224551793"/>
      <w:r w:rsidRPr="00B34D99">
        <w:rPr>
          <w:rFonts w:ascii="Arial" w:hAnsi="Arial" w:cs="Arial"/>
          <w:sz w:val="24"/>
          <w:szCs w:val="24"/>
        </w:rPr>
        <w:t xml:space="preserve">8.2 </w:t>
      </w:r>
      <w:r w:rsidR="002E1302" w:rsidRPr="00B34D99">
        <w:rPr>
          <w:rFonts w:ascii="Arial" w:hAnsi="Arial" w:cs="Arial"/>
          <w:sz w:val="24"/>
          <w:szCs w:val="24"/>
        </w:rPr>
        <w:t>KPIs and Balanced Scorecard</w:t>
      </w:r>
      <w:bookmarkEnd w:id="35"/>
    </w:p>
    <w:p w14:paraId="4F4648D1"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Performance will be monitored using KPIs across the four Balanced Scorecard perspectives.</w:t>
      </w:r>
    </w:p>
    <w:p w14:paraId="566450C4" w14:textId="77777777" w:rsidR="002E1302" w:rsidRP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Financial: revenue growth from new products, gross margin improvement and cost efficiency.</w:t>
      </w:r>
    </w:p>
    <w:p w14:paraId="617B5D0C" w14:textId="77777777" w:rsidR="002E1302" w:rsidRP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Customer: customer satisfaction scores, repeat purchase rates and market penetration.</w:t>
      </w:r>
    </w:p>
    <w:p w14:paraId="54AD7A23" w14:textId="77777777" w:rsidR="002E1302" w:rsidRP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Internal processes</w:t>
      </w:r>
      <w:r w:rsidRPr="0012119F">
        <w:rPr>
          <w:rFonts w:ascii="Arial" w:hAnsi="Arial" w:cs="Arial"/>
          <w:b/>
          <w:bCs/>
          <w:color w:val="000000" w:themeColor="text1"/>
        </w:rPr>
        <w:t>:</w:t>
      </w:r>
      <w:r w:rsidRPr="0012119F">
        <w:rPr>
          <w:rFonts w:ascii="Arial" w:hAnsi="Arial" w:cs="Arial"/>
          <w:color w:val="000000" w:themeColor="text1"/>
        </w:rPr>
        <w:t xml:space="preserve"> product development cycle time, supply chain reliability and waste reduction.</w:t>
      </w:r>
    </w:p>
    <w:p w14:paraId="15D87C47" w14:textId="77777777" w:rsidR="0012119F" w:rsidRDefault="002E1302" w:rsidP="0012119F">
      <w:pPr>
        <w:pStyle w:val="ListParagraph"/>
        <w:numPr>
          <w:ilvl w:val="0"/>
          <w:numId w:val="6"/>
        </w:numPr>
        <w:spacing w:line="360" w:lineRule="auto"/>
        <w:rPr>
          <w:rFonts w:ascii="Arial" w:hAnsi="Arial" w:cs="Arial"/>
          <w:color w:val="000000" w:themeColor="text1"/>
        </w:rPr>
      </w:pPr>
      <w:r w:rsidRPr="0012119F">
        <w:rPr>
          <w:rFonts w:ascii="Arial" w:hAnsi="Arial" w:cs="Arial"/>
          <w:color w:val="000000" w:themeColor="text1"/>
        </w:rPr>
        <w:t>Learning and growth</w:t>
      </w:r>
      <w:r w:rsidRPr="0012119F">
        <w:rPr>
          <w:rFonts w:ascii="Arial" w:hAnsi="Arial" w:cs="Arial"/>
          <w:b/>
          <w:bCs/>
          <w:color w:val="000000" w:themeColor="text1"/>
        </w:rPr>
        <w:t>:</w:t>
      </w:r>
      <w:r w:rsidRPr="0012119F">
        <w:rPr>
          <w:rFonts w:ascii="Arial" w:hAnsi="Arial" w:cs="Arial"/>
          <w:color w:val="000000" w:themeColor="text1"/>
        </w:rPr>
        <w:t xml:space="preserve"> employee training hours, innovation capability and staff engagement.</w:t>
      </w:r>
    </w:p>
    <w:p w14:paraId="1E337652" w14:textId="0BF6CB0E" w:rsidR="002E1302" w:rsidRPr="0012119F" w:rsidRDefault="002E1302" w:rsidP="0012119F">
      <w:pPr>
        <w:pStyle w:val="ListParagraph"/>
        <w:spacing w:line="360" w:lineRule="auto"/>
        <w:ind w:left="1092"/>
        <w:rPr>
          <w:rFonts w:ascii="Arial" w:hAnsi="Arial" w:cs="Arial"/>
          <w:color w:val="000000" w:themeColor="text1"/>
        </w:rPr>
      </w:pPr>
      <w:r w:rsidRPr="0012119F">
        <w:rPr>
          <w:rFonts w:ascii="Arial" w:hAnsi="Arial" w:cs="Arial"/>
          <w:color w:val="000000" w:themeColor="text1"/>
        </w:rPr>
        <w:t>Balanced Scorecard systems support multi</w:t>
      </w:r>
      <w:r w:rsidRPr="0012119F">
        <w:rPr>
          <w:rFonts w:ascii="Arial" w:hAnsi="Arial" w:cs="Arial"/>
          <w:color w:val="000000" w:themeColor="text1"/>
        </w:rPr>
        <w:noBreakHyphen/>
        <w:t>dimensional monitoring and help organisations track both performance and risk exposure (Olson and Wu, 2023).</w:t>
      </w:r>
    </w:p>
    <w:p w14:paraId="374EE6F4" w14:textId="3AA32B3D" w:rsidR="002E1302" w:rsidRPr="004502AA" w:rsidRDefault="00B34D99" w:rsidP="004502AA">
      <w:pPr>
        <w:pStyle w:val="Heading1"/>
        <w:rPr>
          <w:rFonts w:ascii="Arial" w:hAnsi="Arial" w:cs="Arial"/>
          <w:sz w:val="32"/>
          <w:szCs w:val="32"/>
        </w:rPr>
      </w:pPr>
      <w:bookmarkStart w:id="36" w:name="_Toc224551794"/>
      <w:r>
        <w:rPr>
          <w:rFonts w:ascii="Arial" w:hAnsi="Arial" w:cs="Arial"/>
          <w:sz w:val="32"/>
          <w:szCs w:val="32"/>
        </w:rPr>
        <w:t xml:space="preserve">9. </w:t>
      </w:r>
      <w:r w:rsidR="002E1302" w:rsidRPr="004502AA">
        <w:rPr>
          <w:rFonts w:ascii="Arial" w:hAnsi="Arial" w:cs="Arial"/>
          <w:sz w:val="32"/>
          <w:szCs w:val="32"/>
        </w:rPr>
        <w:t>Risk Assessment</w:t>
      </w:r>
      <w:bookmarkEnd w:id="36"/>
    </w:p>
    <w:p w14:paraId="68FEFD33"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Key risks include supply chain disruption, regulatory delays, product acceptance uncertainty and operational challenges in new markets. Food and beverage firms face heightened exposure to environmental, safety and compliance risks, requiring proactive mitigation strategies (UK Food Standards Agency, 2024). Risk controls include diversifying suppliers, conducting regulatory checks before market entry, piloting new products before full rollout and maintaining contingency plans for logistics. Integrating risk management within the Balanced Scorecard framework strengthens organisational resilience and supports strategic stability (McDonald, 2020).</w:t>
      </w:r>
    </w:p>
    <w:p w14:paraId="106307F3" w14:textId="77777777" w:rsidR="00671DAE" w:rsidRDefault="002E1302" w:rsidP="00671DAE">
      <w:pPr>
        <w:spacing w:line="360" w:lineRule="auto"/>
        <w:rPr>
          <w:rFonts w:ascii="Arial" w:hAnsi="Arial" w:cs="Arial"/>
          <w:color w:val="000000" w:themeColor="text1"/>
        </w:rPr>
      </w:pPr>
      <w:r w:rsidRPr="00626D43">
        <w:rPr>
          <w:rFonts w:ascii="Arial" w:hAnsi="Arial" w:cs="Arial"/>
          <w:color w:val="000000" w:themeColor="text1"/>
        </w:rPr>
        <w:t>Monitoring will involve quarterly performance reviews, cross</w:t>
      </w:r>
      <w:r w:rsidRPr="00626D43">
        <w:rPr>
          <w:rFonts w:ascii="Arial" w:hAnsi="Arial" w:cs="Arial"/>
          <w:color w:val="000000" w:themeColor="text1"/>
        </w:rPr>
        <w:noBreakHyphen/>
        <w:t>functional coordination and continuous adjustment of KPIs to reflect market conditions. This approach ensures that Innocent can track progress, respond to emerging risks and maintain alignment between strategic intent and operational performance.</w:t>
      </w:r>
      <w:r>
        <w:rPr>
          <w:rFonts w:ascii="Arial" w:hAnsi="Arial" w:cs="Arial"/>
          <w:color w:val="000000" w:themeColor="text1"/>
        </w:rPr>
        <w:t xml:space="preserve"> </w:t>
      </w:r>
      <w:bookmarkStart w:id="37" w:name="_Toc224551795"/>
    </w:p>
    <w:p w14:paraId="7670EAC6" w14:textId="682FE4A2" w:rsidR="002E1302" w:rsidRPr="00671DAE" w:rsidRDefault="00B34D99" w:rsidP="00671DAE">
      <w:pPr>
        <w:pStyle w:val="Heading1"/>
        <w:rPr>
          <w:color w:val="000000" w:themeColor="text1"/>
          <w:sz w:val="22"/>
          <w:szCs w:val="22"/>
        </w:rPr>
      </w:pPr>
      <w:r>
        <w:lastRenderedPageBreak/>
        <w:t>10.</w:t>
      </w:r>
      <w:r w:rsidR="002E1302" w:rsidRPr="002B4307">
        <w:t xml:space="preserve"> Conclusion</w:t>
      </w:r>
      <w:bookmarkEnd w:id="37"/>
    </w:p>
    <w:p w14:paraId="64EBA86F" w14:textId="77777777" w:rsidR="002E1302" w:rsidRPr="00626D43" w:rsidRDefault="002E1302" w:rsidP="002E1302">
      <w:pPr>
        <w:spacing w:line="360" w:lineRule="auto"/>
        <w:rPr>
          <w:rFonts w:ascii="Arial" w:hAnsi="Arial" w:cs="Arial"/>
          <w:color w:val="000000" w:themeColor="text1"/>
        </w:rPr>
      </w:pPr>
      <w:r w:rsidRPr="00626D43">
        <w:rPr>
          <w:rFonts w:ascii="Arial" w:hAnsi="Arial" w:cs="Arial"/>
          <w:color w:val="000000" w:themeColor="text1"/>
        </w:rPr>
        <w:t>The report shows that Innocent is well positioned to pursue growth through product development and selective expansion into suitable international markets. The assessment of the current market environment highlights rising demand for healthier and more sustainable beverages, which aligns with Innocent’s brand strengths and innovation capability. The evaluation of strategic options indicates that product development offers a balanced route for growth while allowing the business to build on its existing resources. The stakeholder analysis reinforces the need to maintain strong relationships with Coca Cola, retailers, regulators and supply chain partners to support successful implementation. The implementation and monitoring plan provides clear objectives, measurable indicators and risk controls that strengthen operational readiness. Taken together, the analysis demonstrates that the proposed strategy offers a realistic and responsible pathway for growth, provided that Innocent continues to monitor risks, adapt to market conditions and maintain alignment with stakeholder expectations.</w:t>
      </w:r>
    </w:p>
    <w:p w14:paraId="3FA9A9ED" w14:textId="77777777" w:rsidR="002E1302" w:rsidRPr="00626D43" w:rsidRDefault="002E1302" w:rsidP="002E1302">
      <w:pPr>
        <w:spacing w:line="360" w:lineRule="auto"/>
        <w:rPr>
          <w:rFonts w:ascii="Arial" w:hAnsi="Arial" w:cs="Arial"/>
          <w:color w:val="000000" w:themeColor="text1"/>
        </w:rPr>
      </w:pPr>
    </w:p>
    <w:p w14:paraId="7D610F6A" w14:textId="1A7253D8" w:rsidR="008007E1" w:rsidRPr="002E1302" w:rsidRDefault="002E1302" w:rsidP="00247C84">
      <w:pPr>
        <w:rPr>
          <w:rFonts w:ascii="Arial" w:hAnsi="Arial" w:cs="Arial"/>
          <w:sz w:val="32"/>
          <w:szCs w:val="32"/>
        </w:rPr>
      </w:pPr>
      <w:r>
        <w:rPr>
          <w:rFonts w:ascii="Arial" w:hAnsi="Arial" w:cs="Arial"/>
          <w:sz w:val="32"/>
          <w:szCs w:val="32"/>
        </w:rPr>
        <w:t xml:space="preserve"> </w:t>
      </w:r>
    </w:p>
    <w:p w14:paraId="08CA753F" w14:textId="77777777" w:rsidR="008007E1" w:rsidRDefault="008007E1" w:rsidP="00247C84"/>
    <w:p w14:paraId="66C347B9" w14:textId="77777777" w:rsidR="008007E1" w:rsidRDefault="008007E1" w:rsidP="00247C84"/>
    <w:p w14:paraId="52C61F3F" w14:textId="77777777" w:rsidR="008007E1" w:rsidRDefault="008007E1" w:rsidP="00247C84"/>
    <w:p w14:paraId="0C265B33" w14:textId="120DB8A4" w:rsidR="00284B67" w:rsidRPr="00284B67" w:rsidRDefault="00F23511" w:rsidP="00284B67">
      <w:pPr>
        <w:pStyle w:val="Heading1"/>
        <w:rPr>
          <w:rFonts w:ascii="Arial" w:hAnsi="Arial" w:cs="Arial"/>
          <w:sz w:val="32"/>
          <w:szCs w:val="32"/>
        </w:rPr>
      </w:pPr>
      <w:bookmarkStart w:id="38" w:name="_Toc224551796"/>
      <w:r w:rsidRPr="00DB5335">
        <w:rPr>
          <w:rFonts w:ascii="Arial" w:hAnsi="Arial" w:cs="Arial"/>
          <w:sz w:val="32"/>
          <w:szCs w:val="32"/>
        </w:rPr>
        <w:t>References</w:t>
      </w:r>
      <w:bookmarkEnd w:id="38"/>
    </w:p>
    <w:p w14:paraId="36856AFA" w14:textId="77777777" w:rsidR="00284B67" w:rsidRPr="00284B67" w:rsidRDefault="00284B67" w:rsidP="00284B67">
      <w:pPr>
        <w:rPr>
          <w:rFonts w:ascii="Arial" w:hAnsi="Arial" w:cs="Arial"/>
        </w:rPr>
      </w:pPr>
      <w:r w:rsidRPr="00284B67">
        <w:rPr>
          <w:rFonts w:ascii="Arial" w:hAnsi="Arial" w:cs="Arial"/>
        </w:rPr>
        <w:t>Ansoff,  H  Igor.  1957.  ‘Strategies  for  Diversification’.  Harvard  Business,  1957.</w:t>
      </w:r>
      <w:r>
        <w:rPr>
          <w:rFonts w:ascii="Arial" w:hAnsi="Arial" w:cs="Arial"/>
        </w:rPr>
        <w:t xml:space="preserve"> </w:t>
      </w:r>
      <w:r w:rsidRPr="00284B67">
        <w:rPr>
          <w:rFonts w:ascii="Arial" w:hAnsi="Arial" w:cs="Arial"/>
        </w:rPr>
        <w:t>https://archive.org/details/strategiesfordiversificationansoff1957hbr.</w:t>
      </w:r>
    </w:p>
    <w:p w14:paraId="3765BC2F" w14:textId="77777777" w:rsidR="00284B67" w:rsidRDefault="00284B67" w:rsidP="00F41B96">
      <w:pPr>
        <w:rPr>
          <w:rFonts w:ascii="Arial" w:hAnsi="Arial" w:cs="Arial"/>
        </w:rPr>
      </w:pPr>
      <w:r w:rsidRPr="00F41B96">
        <w:rPr>
          <w:rFonts w:ascii="Arial" w:hAnsi="Arial" w:cs="Arial"/>
        </w:rPr>
        <w:t xml:space="preserve">Apostolidis, C. and McLeay, F. (2016) ‘Should we stop </w:t>
      </w:r>
      <w:proofErr w:type="spellStart"/>
      <w:r w:rsidRPr="00F41B96">
        <w:rPr>
          <w:rFonts w:ascii="Arial" w:hAnsi="Arial" w:cs="Arial"/>
        </w:rPr>
        <w:t>meating</w:t>
      </w:r>
      <w:proofErr w:type="spellEnd"/>
      <w:r w:rsidRPr="00F41B96">
        <w:rPr>
          <w:rFonts w:ascii="Arial" w:hAnsi="Arial" w:cs="Arial"/>
        </w:rPr>
        <w:t xml:space="preserve"> like this? Reducing meat consumption through substitution’, </w:t>
      </w:r>
      <w:r w:rsidRPr="00F41B96">
        <w:rPr>
          <w:rFonts w:ascii="Arial" w:hAnsi="Arial" w:cs="Arial"/>
          <w:i/>
          <w:iCs/>
        </w:rPr>
        <w:t>Food Policy</w:t>
      </w:r>
      <w:r w:rsidRPr="00F41B96">
        <w:rPr>
          <w:rFonts w:ascii="Arial" w:hAnsi="Arial" w:cs="Arial"/>
        </w:rPr>
        <w:t>, 65, pp. 74–89.</w:t>
      </w:r>
    </w:p>
    <w:p w14:paraId="54F115DD" w14:textId="77777777" w:rsidR="00284B67" w:rsidRPr="00284B67" w:rsidRDefault="00284B67" w:rsidP="00284B67">
      <w:pPr>
        <w:rPr>
          <w:rFonts w:ascii="Arial" w:hAnsi="Arial" w:cs="Arial"/>
        </w:rPr>
      </w:pPr>
      <w:r w:rsidRPr="00284B67">
        <w:rPr>
          <w:rFonts w:ascii="Arial" w:hAnsi="Arial" w:cs="Arial"/>
        </w:rPr>
        <w:t>Bhupendra, K. V., and Sangle, S. (2017) What Drives Successful Implementation of Product Stewardship Strategy? The Role of Absorptive Capability. Corp. Soc. Responsib. Environ. Mgmt., 24: 186–198. doi: 10.1002/csr.1394.</w:t>
      </w:r>
    </w:p>
    <w:p w14:paraId="3FE0A15E" w14:textId="77777777" w:rsidR="00284B67" w:rsidRDefault="00284B67" w:rsidP="002671FC">
      <w:pPr>
        <w:rPr>
          <w:rFonts w:ascii="Arial" w:hAnsi="Arial" w:cs="Arial"/>
        </w:rPr>
      </w:pPr>
      <w:r w:rsidRPr="002671FC">
        <w:rPr>
          <w:rFonts w:ascii="Arial" w:hAnsi="Arial" w:cs="Arial"/>
        </w:rPr>
        <w:t xml:space="preserve">Burt, S. and Sparks, L. (2003) ‘Power and competition in the UK retail grocery market’, </w:t>
      </w:r>
      <w:r w:rsidRPr="002671FC">
        <w:rPr>
          <w:rFonts w:ascii="Arial" w:hAnsi="Arial" w:cs="Arial"/>
          <w:i/>
          <w:iCs/>
        </w:rPr>
        <w:t>British Journal of Management</w:t>
      </w:r>
      <w:r w:rsidRPr="002671FC">
        <w:rPr>
          <w:rFonts w:ascii="Arial" w:hAnsi="Arial" w:cs="Arial"/>
        </w:rPr>
        <w:t>, 14(3), pp. 237–254.</w:t>
      </w:r>
    </w:p>
    <w:p w14:paraId="279B6413" w14:textId="77777777" w:rsidR="00284B67" w:rsidRDefault="00284B67" w:rsidP="00AF5AC8">
      <w:pPr>
        <w:rPr>
          <w:rFonts w:ascii="Arial" w:hAnsi="Arial" w:cs="Arial"/>
        </w:rPr>
      </w:pPr>
      <w:r w:rsidRPr="00AF5AC8">
        <w:rPr>
          <w:rFonts w:ascii="Arial" w:hAnsi="Arial" w:cs="Arial"/>
        </w:rPr>
        <w:t xml:space="preserve">Competition and Markets Authority (2023) </w:t>
      </w:r>
      <w:r w:rsidRPr="00AF5AC8">
        <w:rPr>
          <w:rFonts w:ascii="Arial" w:hAnsi="Arial" w:cs="Arial"/>
          <w:i/>
          <w:iCs/>
        </w:rPr>
        <w:t>Grocery sector: unit pricing and competition review</w:t>
      </w:r>
      <w:r w:rsidRPr="00AF5AC8">
        <w:rPr>
          <w:rFonts w:ascii="Arial" w:hAnsi="Arial" w:cs="Arial"/>
        </w:rPr>
        <w:t>. London: CMA.</w:t>
      </w:r>
    </w:p>
    <w:p w14:paraId="0F5AE6FA" w14:textId="77777777" w:rsidR="00284B67" w:rsidRPr="00AF5AC8" w:rsidRDefault="00284B67" w:rsidP="00AF5AC8">
      <w:pPr>
        <w:rPr>
          <w:rFonts w:ascii="Arial" w:hAnsi="Arial" w:cs="Arial"/>
        </w:rPr>
      </w:pPr>
      <w:r w:rsidRPr="00C36ABE">
        <w:rPr>
          <w:rFonts w:ascii="Arial" w:hAnsi="Arial" w:cs="Arial"/>
        </w:rPr>
        <w:t xml:space="preserve">Dobson, P.W. (2003) ‘Exploiting buyer power: Lessons from the British grocery trade’, </w:t>
      </w:r>
      <w:r w:rsidRPr="00C36ABE">
        <w:rPr>
          <w:rFonts w:ascii="Arial" w:hAnsi="Arial" w:cs="Arial"/>
          <w:i/>
          <w:iCs/>
        </w:rPr>
        <w:t>International Journal of Retail &amp; Distribution Management</w:t>
      </w:r>
      <w:r w:rsidRPr="00C36ABE">
        <w:rPr>
          <w:rFonts w:ascii="Arial" w:hAnsi="Arial" w:cs="Arial"/>
        </w:rPr>
        <w:t>, 31(2), pp. 89–97</w:t>
      </w:r>
    </w:p>
    <w:p w14:paraId="2D5BAF88" w14:textId="77777777" w:rsidR="00284B67" w:rsidRPr="00284B67" w:rsidRDefault="00284B67" w:rsidP="00284B67">
      <w:pPr>
        <w:rPr>
          <w:rFonts w:ascii="Arial" w:hAnsi="Arial" w:cs="Arial"/>
        </w:rPr>
      </w:pPr>
      <w:r w:rsidRPr="00284B67">
        <w:rPr>
          <w:rFonts w:ascii="Arial" w:hAnsi="Arial" w:cs="Arial"/>
        </w:rPr>
        <w:lastRenderedPageBreak/>
        <w:t xml:space="preserve">Ferreira, A.P.P.F.S. and De Sá Moscoso, M.M.B.P. (2024) 'The importance of the Ansoff matrix for the study of the information services market,' </w:t>
      </w:r>
      <w:r w:rsidRPr="00284B67">
        <w:rPr>
          <w:rFonts w:ascii="Arial" w:hAnsi="Arial" w:cs="Arial"/>
          <w:i/>
          <w:iCs/>
        </w:rPr>
        <w:t>Canadian Journal of Information and Library Science</w:t>
      </w:r>
      <w:r w:rsidRPr="00284B67">
        <w:rPr>
          <w:rFonts w:ascii="Arial" w:hAnsi="Arial" w:cs="Arial"/>
        </w:rPr>
        <w:t>, 47(2), pp. 78–84. https://doi.org/10.5206/cjils-rcsib.v47i2.17432.</w:t>
      </w:r>
    </w:p>
    <w:p w14:paraId="3169BC6A" w14:textId="77777777" w:rsidR="00284B67" w:rsidRDefault="00284B67" w:rsidP="002B520C">
      <w:pPr>
        <w:rPr>
          <w:rFonts w:ascii="Arial" w:hAnsi="Arial" w:cs="Arial"/>
        </w:rPr>
      </w:pPr>
      <w:r w:rsidRPr="002B520C">
        <w:rPr>
          <w:rFonts w:ascii="Arial" w:hAnsi="Arial" w:cs="Arial"/>
          <w:lang w:val="it-IT"/>
        </w:rPr>
        <w:t xml:space="preserve">Gazzola, P., Pavione, E., Amelio, S. and Mauri, M., 2024. </w:t>
      </w:r>
      <w:r w:rsidRPr="002B520C">
        <w:rPr>
          <w:rFonts w:ascii="Arial" w:hAnsi="Arial" w:cs="Arial"/>
        </w:rPr>
        <w:t>Sustainable strategies and value creation in the food and beverage sector: The case of large listed European companies. </w:t>
      </w:r>
      <w:r w:rsidRPr="002B520C">
        <w:rPr>
          <w:rFonts w:ascii="Arial" w:hAnsi="Arial" w:cs="Arial"/>
          <w:i/>
          <w:iCs/>
        </w:rPr>
        <w:t>Sustainability</w:t>
      </w:r>
      <w:r w:rsidRPr="002B520C">
        <w:rPr>
          <w:rFonts w:ascii="Arial" w:hAnsi="Arial" w:cs="Arial"/>
        </w:rPr>
        <w:t>, </w:t>
      </w:r>
      <w:r w:rsidRPr="002B520C">
        <w:rPr>
          <w:rFonts w:ascii="Arial" w:hAnsi="Arial" w:cs="Arial"/>
          <w:i/>
          <w:iCs/>
        </w:rPr>
        <w:t>16</w:t>
      </w:r>
      <w:r w:rsidRPr="002B520C">
        <w:rPr>
          <w:rFonts w:ascii="Arial" w:hAnsi="Arial" w:cs="Arial"/>
        </w:rPr>
        <w:t>(22), p.9798.</w:t>
      </w:r>
    </w:p>
    <w:p w14:paraId="406DF757" w14:textId="77777777" w:rsidR="00284B67" w:rsidRPr="00284B67" w:rsidRDefault="00284B67" w:rsidP="00284B67">
      <w:pPr>
        <w:rPr>
          <w:rFonts w:ascii="Arial" w:hAnsi="Arial" w:cs="Arial"/>
        </w:rPr>
      </w:pPr>
      <w:r w:rsidRPr="00284B67">
        <w:rPr>
          <w:rFonts w:ascii="Arial" w:hAnsi="Arial" w:cs="Arial"/>
        </w:rPr>
        <w:t xml:space="preserve">Hossain, H. and Kader, Md.A. (2020) 'An analysis on BCG Growth Sharing Matrix,' </w:t>
      </w:r>
      <w:r w:rsidRPr="00284B67">
        <w:rPr>
          <w:rFonts w:ascii="Arial" w:hAnsi="Arial" w:cs="Arial"/>
          <w:i/>
          <w:iCs/>
        </w:rPr>
        <w:t>International Journal of Contemporary Research and Review</w:t>
      </w:r>
      <w:r w:rsidRPr="00284B67">
        <w:rPr>
          <w:rFonts w:ascii="Arial" w:hAnsi="Arial" w:cs="Arial"/>
        </w:rPr>
        <w:t>, 11(10). https://doi.org/10.15520/ijcrr.v11i10.848.</w:t>
      </w:r>
    </w:p>
    <w:p w14:paraId="55B68D5C" w14:textId="77777777" w:rsidR="00284B67" w:rsidRPr="00284B67" w:rsidRDefault="00284B67" w:rsidP="00284B67">
      <w:pPr>
        <w:rPr>
          <w:rFonts w:ascii="Arial" w:hAnsi="Arial" w:cs="Arial"/>
        </w:rPr>
      </w:pPr>
      <w:r w:rsidRPr="00284B67">
        <w:rPr>
          <w:rFonts w:ascii="Arial" w:hAnsi="Arial" w:cs="Arial"/>
        </w:rPr>
        <w:t xml:space="preserve">Iglesias, O. </w:t>
      </w:r>
      <w:r w:rsidRPr="00284B67">
        <w:rPr>
          <w:rFonts w:ascii="Arial" w:hAnsi="Arial" w:cs="Arial"/>
          <w:i/>
          <w:iCs/>
        </w:rPr>
        <w:t>et al.</w:t>
      </w:r>
      <w:r w:rsidRPr="00284B67">
        <w:rPr>
          <w:rFonts w:ascii="Arial" w:hAnsi="Arial" w:cs="Arial"/>
        </w:rPr>
        <w:t xml:space="preserve"> (2018) 'Co-creation: a key link between corporate social responsibility, customer trust, and customer loyalty,' </w:t>
      </w:r>
      <w:r w:rsidRPr="00284B67">
        <w:rPr>
          <w:rFonts w:ascii="Arial" w:hAnsi="Arial" w:cs="Arial"/>
          <w:i/>
          <w:iCs/>
        </w:rPr>
        <w:t>Journal of Business Ethics</w:t>
      </w:r>
      <w:r w:rsidRPr="00284B67">
        <w:rPr>
          <w:rFonts w:ascii="Arial" w:hAnsi="Arial" w:cs="Arial"/>
        </w:rPr>
        <w:t>, 163(1), pp. 151–166. https://doi.org/10.1007/s10551-018-4015-y.</w:t>
      </w:r>
    </w:p>
    <w:p w14:paraId="5759EA92" w14:textId="77777777" w:rsidR="00284B67" w:rsidRDefault="00284B67" w:rsidP="000345DB">
      <w:pPr>
        <w:rPr>
          <w:rFonts w:ascii="Arial" w:hAnsi="Arial" w:cs="Arial"/>
        </w:rPr>
      </w:pPr>
      <w:r w:rsidRPr="0046251B">
        <w:rPr>
          <w:rFonts w:ascii="Arial" w:hAnsi="Arial" w:cs="Arial"/>
        </w:rPr>
        <w:t xml:space="preserve">Innocent Drinks - Certified B Corporation. B Lab Global. </w:t>
      </w:r>
      <w:hyperlink r:id="rId10" w:history="1">
        <w:r w:rsidRPr="008155F9">
          <w:rPr>
            <w:rStyle w:val="Hyperlink"/>
            <w:rFonts w:ascii="Arial" w:hAnsi="Arial" w:cs="Arial"/>
          </w:rPr>
          <w:t>https://www.bcorporation.net//find-a-b-corp/company/innocent-drinks</w:t>
        </w:r>
      </w:hyperlink>
    </w:p>
    <w:p w14:paraId="2F88CF50" w14:textId="77777777" w:rsidR="00284B67" w:rsidRDefault="00284B67" w:rsidP="00F23511">
      <w:pPr>
        <w:rPr>
          <w:rFonts w:ascii="Arial" w:hAnsi="Arial" w:cs="Arial"/>
        </w:rPr>
      </w:pPr>
      <w:r>
        <w:rPr>
          <w:rFonts w:ascii="Arial" w:hAnsi="Arial" w:cs="Arial"/>
        </w:rPr>
        <w:t xml:space="preserve"> Innocent Drinks(2024) </w:t>
      </w:r>
      <w:r w:rsidRPr="00626C6E">
        <w:rPr>
          <w:rFonts w:ascii="Arial" w:hAnsi="Arial" w:cs="Arial"/>
          <w:i/>
          <w:iCs/>
        </w:rPr>
        <w:t>B Corp</w:t>
      </w:r>
      <w:r>
        <w:rPr>
          <w:rFonts w:ascii="Arial" w:hAnsi="Arial" w:cs="Arial"/>
          <w:i/>
          <w:iCs/>
        </w:rPr>
        <w:t>.</w:t>
      </w:r>
      <w:r>
        <w:rPr>
          <w:rFonts w:ascii="Arial" w:hAnsi="Arial" w:cs="Arial"/>
        </w:rPr>
        <w:t xml:space="preserve"> A</w:t>
      </w:r>
      <w:r w:rsidRPr="00626C6E">
        <w:rPr>
          <w:rFonts w:ascii="Arial" w:hAnsi="Arial" w:cs="Arial"/>
        </w:rPr>
        <w:t>vailable</w:t>
      </w:r>
      <w:r>
        <w:rPr>
          <w:rFonts w:ascii="Arial" w:hAnsi="Arial" w:cs="Arial"/>
        </w:rPr>
        <w:t xml:space="preserve"> at: </w:t>
      </w:r>
      <w:hyperlink r:id="rId11" w:history="1">
        <w:r w:rsidRPr="008155F9">
          <w:rPr>
            <w:rStyle w:val="Hyperlink"/>
            <w:rFonts w:ascii="Arial" w:hAnsi="Arial" w:cs="Arial"/>
          </w:rPr>
          <w:t>https://www.innocentdrinks.co.uk</w:t>
        </w:r>
      </w:hyperlink>
      <w:r>
        <w:rPr>
          <w:rFonts w:ascii="Arial" w:hAnsi="Arial" w:cs="Arial"/>
        </w:rPr>
        <w:t xml:space="preserve"> (Accessed: [28/02/2026]). </w:t>
      </w:r>
    </w:p>
    <w:p w14:paraId="2E85F599" w14:textId="77777777" w:rsidR="00284B67" w:rsidRDefault="00284B67" w:rsidP="000345DB">
      <w:pPr>
        <w:rPr>
          <w:rFonts w:ascii="Arial" w:hAnsi="Arial" w:cs="Arial"/>
        </w:rPr>
      </w:pPr>
      <w:r w:rsidRPr="000345DB">
        <w:rPr>
          <w:rFonts w:ascii="Arial" w:hAnsi="Arial" w:cs="Arial"/>
        </w:rPr>
        <w:t>innocent-GAR-2021.pdf</w:t>
      </w:r>
      <w:r>
        <w:rPr>
          <w:rFonts w:ascii="Arial" w:hAnsi="Arial" w:cs="Arial"/>
        </w:rPr>
        <w:t xml:space="preserve">. Healthier planet at: </w:t>
      </w:r>
      <w:hyperlink r:id="rId12" w:history="1">
        <w:r w:rsidRPr="00D35152">
          <w:rPr>
            <w:rStyle w:val="Hyperlink"/>
            <w:rFonts w:ascii="Arial" w:hAnsi="Arial" w:cs="Arial"/>
          </w:rPr>
          <w:t>https://www.innocentdrinks.co.uk/content/dam/innocent/gb/en/files/innocent-GAR-2021.pdf</w:t>
        </w:r>
      </w:hyperlink>
      <w:r>
        <w:rPr>
          <w:rFonts w:ascii="Arial" w:hAnsi="Arial" w:cs="Arial"/>
        </w:rPr>
        <w:t xml:space="preserve"> </w:t>
      </w:r>
    </w:p>
    <w:p w14:paraId="642BB7A3" w14:textId="77777777" w:rsidR="00284B67" w:rsidRPr="003D330D" w:rsidRDefault="00284B67" w:rsidP="009F1F1E">
      <w:pPr>
        <w:rPr>
          <w:rFonts w:ascii="Arial" w:hAnsi="Arial" w:cs="Arial"/>
        </w:rPr>
      </w:pPr>
      <w:r w:rsidRPr="009F1F1E">
        <w:rPr>
          <w:rFonts w:ascii="Arial" w:hAnsi="Arial" w:cs="Arial"/>
        </w:rPr>
        <w:t>Medici, E., Craig, W.J. and Rowland, I., 2023. A comprehensive analysis of the nutritional composition of plant-based drinks and yogurt alternatives in Europe. </w:t>
      </w:r>
      <w:r w:rsidRPr="003D330D">
        <w:rPr>
          <w:rFonts w:ascii="Arial" w:hAnsi="Arial" w:cs="Arial"/>
          <w:i/>
          <w:iCs/>
        </w:rPr>
        <w:t>Nutrients</w:t>
      </w:r>
      <w:r w:rsidRPr="003D330D">
        <w:rPr>
          <w:rFonts w:ascii="Arial" w:hAnsi="Arial" w:cs="Arial"/>
        </w:rPr>
        <w:t>, </w:t>
      </w:r>
      <w:r w:rsidRPr="003D330D">
        <w:rPr>
          <w:rFonts w:ascii="Arial" w:hAnsi="Arial" w:cs="Arial"/>
          <w:i/>
          <w:iCs/>
        </w:rPr>
        <w:t>15</w:t>
      </w:r>
      <w:r w:rsidRPr="003D330D">
        <w:rPr>
          <w:rFonts w:ascii="Arial" w:hAnsi="Arial" w:cs="Arial"/>
        </w:rPr>
        <w:t>(15), p.3415.</w:t>
      </w:r>
    </w:p>
    <w:p w14:paraId="7C30C5DF" w14:textId="77777777" w:rsidR="00284B67" w:rsidRDefault="00284B67" w:rsidP="001636B9">
      <w:pPr>
        <w:rPr>
          <w:rFonts w:ascii="Arial" w:hAnsi="Arial" w:cs="Arial"/>
        </w:rPr>
      </w:pPr>
      <w:r w:rsidRPr="001636B9">
        <w:rPr>
          <w:rFonts w:ascii="Arial" w:hAnsi="Arial" w:cs="Arial"/>
        </w:rPr>
        <w:t xml:space="preserve">Parliament (2024) GRWR0033: Written evidence submitted by Innocent Drinks. Available at: </w:t>
      </w:r>
      <w:hyperlink r:id="rId13" w:history="1">
        <w:r w:rsidRPr="008155F9">
          <w:rPr>
            <w:rStyle w:val="Hyperlink"/>
            <w:rFonts w:ascii="Arial" w:hAnsi="Arial" w:cs="Arial"/>
          </w:rPr>
          <w:t>https://committees.parliament.uk/publications/44237/documents/216377/default/</w:t>
        </w:r>
      </w:hyperlink>
      <w:r>
        <w:rPr>
          <w:rFonts w:ascii="Arial" w:hAnsi="Arial" w:cs="Arial"/>
        </w:rPr>
        <w:t xml:space="preserve"> </w:t>
      </w:r>
      <w:r w:rsidRPr="001636B9">
        <w:rPr>
          <w:rFonts w:ascii="Arial" w:hAnsi="Arial" w:cs="Arial"/>
        </w:rPr>
        <w:t xml:space="preserve"> (committees.parliament.uk in Bing) (Accessed: [</w:t>
      </w:r>
      <w:r>
        <w:rPr>
          <w:rFonts w:ascii="Arial" w:hAnsi="Arial" w:cs="Arial"/>
        </w:rPr>
        <w:t>12/02/2026</w:t>
      </w:r>
      <w:r w:rsidRPr="001636B9">
        <w:rPr>
          <w:rFonts w:ascii="Arial" w:hAnsi="Arial" w:cs="Arial"/>
        </w:rPr>
        <w:t>]).</w:t>
      </w:r>
      <w:r>
        <w:rPr>
          <w:rFonts w:ascii="Arial" w:hAnsi="Arial" w:cs="Arial"/>
        </w:rPr>
        <w:t xml:space="preserve"> </w:t>
      </w:r>
    </w:p>
    <w:p w14:paraId="7623FE29" w14:textId="77777777" w:rsidR="00284B67" w:rsidRDefault="00284B67" w:rsidP="00DC3C85">
      <w:pPr>
        <w:rPr>
          <w:rFonts w:ascii="Arial" w:hAnsi="Arial" w:cs="Arial"/>
        </w:rPr>
      </w:pPr>
      <w:r w:rsidRPr="00DC3C85">
        <w:rPr>
          <w:rFonts w:ascii="Arial" w:hAnsi="Arial" w:cs="Arial"/>
        </w:rPr>
        <w:t>Pizzi, G. and Scarpi, D., 2020. Privacy threats with retail technologies: A consumer perspective. </w:t>
      </w:r>
      <w:r w:rsidRPr="00DC3C85">
        <w:rPr>
          <w:rFonts w:ascii="Arial" w:hAnsi="Arial" w:cs="Arial"/>
          <w:i/>
          <w:iCs/>
        </w:rPr>
        <w:t>Journal of Retailing and Consumer Services</w:t>
      </w:r>
      <w:r w:rsidRPr="00DC3C85">
        <w:rPr>
          <w:rFonts w:ascii="Arial" w:hAnsi="Arial" w:cs="Arial"/>
        </w:rPr>
        <w:t>, </w:t>
      </w:r>
      <w:r w:rsidRPr="00DC3C85">
        <w:rPr>
          <w:rFonts w:ascii="Arial" w:hAnsi="Arial" w:cs="Arial"/>
          <w:i/>
          <w:iCs/>
        </w:rPr>
        <w:t>56</w:t>
      </w:r>
      <w:r w:rsidRPr="00DC3C85">
        <w:rPr>
          <w:rFonts w:ascii="Arial" w:hAnsi="Arial" w:cs="Arial"/>
        </w:rPr>
        <w:t>, p.102160.</w:t>
      </w:r>
      <w:r>
        <w:rPr>
          <w:rFonts w:ascii="Arial" w:hAnsi="Arial" w:cs="Arial"/>
        </w:rPr>
        <w:t xml:space="preserve"> </w:t>
      </w:r>
    </w:p>
    <w:p w14:paraId="5DDA585D" w14:textId="77777777" w:rsidR="00284B67" w:rsidRDefault="00284B67" w:rsidP="009E2DC0">
      <w:pPr>
        <w:rPr>
          <w:rFonts w:ascii="Arial" w:hAnsi="Arial" w:cs="Arial"/>
        </w:rPr>
      </w:pPr>
      <w:r w:rsidRPr="009E2DC0">
        <w:rPr>
          <w:rFonts w:ascii="Arial" w:hAnsi="Arial" w:cs="Arial"/>
        </w:rPr>
        <w:t>Pizzi, G. and Scarpi, D., 2020. Privacy threats with retail technologies: A consumer perspective. </w:t>
      </w:r>
      <w:r w:rsidRPr="009E2DC0">
        <w:rPr>
          <w:rFonts w:ascii="Arial" w:hAnsi="Arial" w:cs="Arial"/>
          <w:i/>
          <w:iCs/>
        </w:rPr>
        <w:t>Journal of Retailing and Consumer Services</w:t>
      </w:r>
      <w:r w:rsidRPr="009E2DC0">
        <w:rPr>
          <w:rFonts w:ascii="Arial" w:hAnsi="Arial" w:cs="Arial"/>
        </w:rPr>
        <w:t>, </w:t>
      </w:r>
      <w:r w:rsidRPr="009E2DC0">
        <w:rPr>
          <w:rFonts w:ascii="Arial" w:hAnsi="Arial" w:cs="Arial"/>
          <w:i/>
          <w:iCs/>
        </w:rPr>
        <w:t>56</w:t>
      </w:r>
      <w:r w:rsidRPr="009E2DC0">
        <w:rPr>
          <w:rFonts w:ascii="Arial" w:hAnsi="Arial" w:cs="Arial"/>
        </w:rPr>
        <w:t>, p.102160.</w:t>
      </w:r>
      <w:r>
        <w:rPr>
          <w:rFonts w:ascii="Arial" w:hAnsi="Arial" w:cs="Arial"/>
        </w:rPr>
        <w:t xml:space="preserve"> At: </w:t>
      </w:r>
      <w:hyperlink r:id="rId14" w:history="1">
        <w:r w:rsidRPr="00D35152">
          <w:rPr>
            <w:rStyle w:val="Hyperlink"/>
            <w:rFonts w:ascii="Arial" w:hAnsi="Arial" w:cs="Arial"/>
          </w:rPr>
          <w:t>https://www.sciencedirect.com/science/article/pii/S0969698919314614?via%3Dihub</w:t>
        </w:r>
      </w:hyperlink>
      <w:r>
        <w:rPr>
          <w:rFonts w:ascii="Arial" w:hAnsi="Arial" w:cs="Arial"/>
        </w:rPr>
        <w:t xml:space="preserve"> </w:t>
      </w:r>
    </w:p>
    <w:p w14:paraId="1C7CD02A" w14:textId="77777777" w:rsidR="00284B67" w:rsidRPr="00F7170A" w:rsidRDefault="00284B67" w:rsidP="00A278B3">
      <w:pPr>
        <w:spacing w:line="276" w:lineRule="auto"/>
      </w:pPr>
      <w:r w:rsidRPr="00A278B3">
        <w:rPr>
          <w:rFonts w:ascii="Arial" w:hAnsi="Arial" w:cs="Arial"/>
        </w:rPr>
        <w:t xml:space="preserve">Porter, M.E. (2008) ‘The five competitive forces that shape strategy’, </w:t>
      </w:r>
      <w:r w:rsidRPr="00A278B3">
        <w:rPr>
          <w:rFonts w:ascii="Arial" w:hAnsi="Arial" w:cs="Arial"/>
          <w:i/>
          <w:iCs/>
        </w:rPr>
        <w:t>Harvard Business Review</w:t>
      </w:r>
      <w:r w:rsidRPr="00A278B3">
        <w:rPr>
          <w:rFonts w:ascii="Arial" w:hAnsi="Arial" w:cs="Arial"/>
        </w:rPr>
        <w:t>, 86(1), pp. 78–93</w:t>
      </w:r>
      <w:r w:rsidRPr="00F7170A">
        <w:t>.</w:t>
      </w:r>
    </w:p>
    <w:p w14:paraId="7B4A8FB4" w14:textId="77777777" w:rsidR="00284B67" w:rsidRPr="00284B67" w:rsidRDefault="00284B67" w:rsidP="00284B67">
      <w:pPr>
        <w:rPr>
          <w:rFonts w:ascii="Arial" w:hAnsi="Arial" w:cs="Arial"/>
        </w:rPr>
      </w:pPr>
      <w:r w:rsidRPr="00284B67">
        <w:rPr>
          <w:rFonts w:ascii="Arial" w:hAnsi="Arial" w:cs="Arial"/>
        </w:rPr>
        <w:t xml:space="preserve">Sarkar, S. and Costa, A. (2008) 'Dynamics of open innovation in the food industry,' </w:t>
      </w:r>
      <w:r w:rsidRPr="00284B67">
        <w:rPr>
          <w:rFonts w:ascii="Arial" w:hAnsi="Arial" w:cs="Arial"/>
          <w:i/>
          <w:iCs/>
        </w:rPr>
        <w:t>Trends in Food Science &amp; Technology</w:t>
      </w:r>
      <w:r w:rsidRPr="00284B67">
        <w:rPr>
          <w:rFonts w:ascii="Arial" w:hAnsi="Arial" w:cs="Arial"/>
        </w:rPr>
        <w:t>, 19(11), pp. 574–580. https://doi.org/10.1016/j.tifs.2008.09.006.</w:t>
      </w:r>
    </w:p>
    <w:p w14:paraId="7677F249" w14:textId="77777777" w:rsidR="00284B67" w:rsidRDefault="00284B67" w:rsidP="004519CF">
      <w:pPr>
        <w:spacing w:line="276" w:lineRule="auto"/>
        <w:rPr>
          <w:rFonts w:ascii="Arial" w:hAnsi="Arial" w:cs="Arial"/>
        </w:rPr>
      </w:pPr>
      <w:r w:rsidRPr="004519CF">
        <w:rPr>
          <w:rFonts w:ascii="Arial" w:hAnsi="Arial" w:cs="Arial"/>
        </w:rPr>
        <w:t>Sarkar, S. and Costa, A.I., 2008. Dynamics of open innovation in the food industry. </w:t>
      </w:r>
      <w:r w:rsidRPr="004519CF">
        <w:rPr>
          <w:rFonts w:ascii="Arial" w:hAnsi="Arial" w:cs="Arial"/>
          <w:i/>
          <w:iCs/>
        </w:rPr>
        <w:t>Trends in Food Science &amp; Technology</w:t>
      </w:r>
      <w:r w:rsidRPr="004519CF">
        <w:rPr>
          <w:rFonts w:ascii="Arial" w:hAnsi="Arial" w:cs="Arial"/>
        </w:rPr>
        <w:t>, </w:t>
      </w:r>
      <w:r w:rsidRPr="004519CF">
        <w:rPr>
          <w:rFonts w:ascii="Arial" w:hAnsi="Arial" w:cs="Arial"/>
          <w:i/>
          <w:iCs/>
        </w:rPr>
        <w:t>19</w:t>
      </w:r>
      <w:r w:rsidRPr="004519CF">
        <w:rPr>
          <w:rFonts w:ascii="Arial" w:hAnsi="Arial" w:cs="Arial"/>
        </w:rPr>
        <w:t>(11), pp.574-580.</w:t>
      </w:r>
    </w:p>
    <w:p w14:paraId="7296CB22" w14:textId="77777777" w:rsidR="00284B67" w:rsidRPr="00655D4B" w:rsidRDefault="00284B67" w:rsidP="008756E5">
      <w:pPr>
        <w:spacing w:line="276" w:lineRule="auto"/>
        <w:rPr>
          <w:rStyle w:val="Hyperlink"/>
          <w:rFonts w:ascii="Arial" w:hAnsi="Arial" w:cs="Arial"/>
          <w:color w:val="auto"/>
          <w:u w:val="none"/>
        </w:rPr>
      </w:pPr>
      <w:r w:rsidRPr="008756E5">
        <w:rPr>
          <w:rFonts w:ascii="Arial" w:hAnsi="Arial" w:cs="Arial"/>
        </w:rPr>
        <w:t>Sharma, M., Shah, J.K. and Joshi, S., 2023. Modeling enablers of supply chain decarbonisation to achieve zero carbon emissions: an environment, social and governance (ESG) perspective. </w:t>
      </w:r>
      <w:r w:rsidRPr="008756E5">
        <w:rPr>
          <w:rFonts w:ascii="Arial" w:hAnsi="Arial" w:cs="Arial"/>
          <w:i/>
          <w:iCs/>
        </w:rPr>
        <w:t>Environmental Science and Pollution Research</w:t>
      </w:r>
      <w:r w:rsidRPr="008756E5">
        <w:rPr>
          <w:rFonts w:ascii="Arial" w:hAnsi="Arial" w:cs="Arial"/>
        </w:rPr>
        <w:t>, </w:t>
      </w:r>
      <w:r w:rsidRPr="008756E5">
        <w:rPr>
          <w:rFonts w:ascii="Arial" w:hAnsi="Arial" w:cs="Arial"/>
          <w:i/>
          <w:iCs/>
        </w:rPr>
        <w:t>30</w:t>
      </w:r>
      <w:r w:rsidRPr="008756E5">
        <w:rPr>
          <w:rFonts w:ascii="Arial" w:hAnsi="Arial" w:cs="Arial"/>
        </w:rPr>
        <w:t>(31), pp.76718-76734.</w:t>
      </w:r>
      <w:r>
        <w:rPr>
          <w:rFonts w:ascii="Arial" w:hAnsi="Arial" w:cs="Arial"/>
        </w:rPr>
        <w:t xml:space="preserve"> </w:t>
      </w:r>
    </w:p>
    <w:p w14:paraId="1DFBD7DB" w14:textId="77777777" w:rsidR="00284B67" w:rsidRPr="0046251B" w:rsidRDefault="00284B67" w:rsidP="00F23511">
      <w:pPr>
        <w:spacing w:line="360" w:lineRule="auto"/>
        <w:rPr>
          <w:rFonts w:ascii="Arial" w:hAnsi="Arial" w:cs="Arial"/>
        </w:rPr>
      </w:pPr>
      <w:r w:rsidRPr="0046251B">
        <w:rPr>
          <w:rFonts w:ascii="Arial" w:hAnsi="Arial" w:cs="Arial"/>
        </w:rPr>
        <w:lastRenderedPageBreak/>
        <w:t xml:space="preserve">Thakadu, A. (December 10, 2025). Innocent Drinks returned to profit in 2024. Grocery Gazette. </w:t>
      </w:r>
      <w:hyperlink r:id="rId15" w:history="1">
        <w:r w:rsidRPr="008155F9">
          <w:rPr>
            <w:rStyle w:val="Hyperlink"/>
            <w:rFonts w:ascii="Arial" w:hAnsi="Arial" w:cs="Arial"/>
          </w:rPr>
          <w:t>https://www.grocerygazette.co.uk/2025/12/10/innocent-drinks-returned-to-profit-in-2024/</w:t>
        </w:r>
      </w:hyperlink>
      <w:r>
        <w:rPr>
          <w:rFonts w:ascii="Arial" w:hAnsi="Arial" w:cs="Arial"/>
        </w:rPr>
        <w:t xml:space="preserve"> </w:t>
      </w:r>
    </w:p>
    <w:p w14:paraId="6194B3D0" w14:textId="77777777" w:rsidR="00284B67" w:rsidRPr="00655D4B" w:rsidRDefault="00284B67" w:rsidP="00655D4B">
      <w:r w:rsidRPr="005D6D34">
        <w:t>The Sustainable Development Goals and Leading European Retailer</w:t>
      </w:r>
      <w:r>
        <w:t xml:space="preserve"> </w:t>
      </w:r>
      <w:hyperlink r:id="rId16" w:history="1">
        <w:r w:rsidRPr="006A66B7">
          <w:rPr>
            <w:rStyle w:val="Hyperlink"/>
            <w:rFonts w:ascii="Arial" w:hAnsi="Arial" w:cs="Arial"/>
          </w:rPr>
          <w:t>https://eprints.glos.ac.uk/9197/1/9197-Jones-%282021%29-The-sustainable-development-goals.pdf</w:t>
        </w:r>
      </w:hyperlink>
      <w:r>
        <w:rPr>
          <w:rFonts w:ascii="Arial" w:hAnsi="Arial" w:cs="Arial"/>
        </w:rPr>
        <w:t xml:space="preserve"> </w:t>
      </w:r>
    </w:p>
    <w:p w14:paraId="20C328CD" w14:textId="77777777" w:rsidR="00284B67" w:rsidRPr="00284B67" w:rsidRDefault="00284B67" w:rsidP="00284B67">
      <w:pPr>
        <w:rPr>
          <w:rFonts w:ascii="Arial" w:hAnsi="Arial" w:cs="Arial"/>
        </w:rPr>
      </w:pPr>
      <w:r w:rsidRPr="00284B67">
        <w:rPr>
          <w:rFonts w:ascii="Arial" w:hAnsi="Arial" w:cs="Arial"/>
        </w:rPr>
        <w:t xml:space="preserve">Umema, F.F. and Japee, G.P. (2024) 'International Markets’ Segmentation, Marketing and Performance: A BCG Matrix approach,' </w:t>
      </w:r>
      <w:r w:rsidRPr="00284B67">
        <w:rPr>
          <w:rFonts w:ascii="Arial" w:hAnsi="Arial" w:cs="Arial"/>
          <w:i/>
          <w:iCs/>
        </w:rPr>
        <w:t>Asian Journal of Economics Business and Accounting</w:t>
      </w:r>
      <w:r w:rsidRPr="00284B67">
        <w:rPr>
          <w:rFonts w:ascii="Arial" w:hAnsi="Arial" w:cs="Arial"/>
        </w:rPr>
        <w:t>, 24(5), pp. 496–509. https://doi.org/10.9734/ajeba/2024/v24i51325.</w:t>
      </w:r>
    </w:p>
    <w:p w14:paraId="7A010C12" w14:textId="77777777" w:rsidR="00284B67" w:rsidRDefault="00284B67" w:rsidP="001310EC">
      <w:pPr>
        <w:rPr>
          <w:rFonts w:ascii="Arial" w:hAnsi="Arial" w:cs="Arial"/>
        </w:rPr>
      </w:pPr>
      <w:r w:rsidRPr="00912AC4">
        <w:rPr>
          <w:rFonts w:ascii="Arial" w:hAnsi="Arial" w:cs="Arial"/>
        </w:rPr>
        <w:t xml:space="preserve">Wall, P.G. and Chen, J. (2018) ‘Moving from risk communication to food information communication and consumer engagement’, </w:t>
      </w:r>
      <w:r w:rsidRPr="00912AC4">
        <w:rPr>
          <w:rFonts w:ascii="Arial" w:hAnsi="Arial" w:cs="Arial"/>
          <w:i/>
          <w:iCs/>
        </w:rPr>
        <w:t>NPJ Science of Food</w:t>
      </w:r>
      <w:r w:rsidRPr="00912AC4">
        <w:rPr>
          <w:rFonts w:ascii="Arial" w:hAnsi="Arial" w:cs="Arial"/>
        </w:rPr>
        <w:t>, 2(21).</w:t>
      </w:r>
      <w:r>
        <w:rPr>
          <w:rFonts w:ascii="Arial" w:hAnsi="Arial" w:cs="Arial"/>
        </w:rPr>
        <w:t xml:space="preserve"> At: </w:t>
      </w:r>
      <w:hyperlink r:id="rId17" w:history="1">
        <w:r w:rsidRPr="006A66B7">
          <w:rPr>
            <w:rStyle w:val="Hyperlink"/>
            <w:rFonts w:ascii="Arial" w:hAnsi="Arial" w:cs="Arial"/>
          </w:rPr>
          <w:t>https://www.nature.com/articles/s41538-018-0031-7.pdf</w:t>
        </w:r>
      </w:hyperlink>
      <w:r>
        <w:rPr>
          <w:rFonts w:ascii="Arial" w:hAnsi="Arial" w:cs="Arial"/>
        </w:rPr>
        <w:t xml:space="preserve"> </w:t>
      </w:r>
    </w:p>
    <w:p w14:paraId="696A9489" w14:textId="77777777" w:rsidR="00284B67" w:rsidRDefault="00284B67" w:rsidP="001310EC">
      <w:pPr>
        <w:rPr>
          <w:rFonts w:ascii="Arial" w:hAnsi="Arial" w:cs="Arial"/>
        </w:rPr>
      </w:pPr>
    </w:p>
    <w:sectPr w:rsidR="00284B6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B8FD1" w14:textId="77777777" w:rsidR="00A336E7" w:rsidRDefault="00A336E7" w:rsidP="00F41B96">
      <w:pPr>
        <w:spacing w:after="0" w:line="240" w:lineRule="auto"/>
      </w:pPr>
      <w:r>
        <w:separator/>
      </w:r>
    </w:p>
  </w:endnote>
  <w:endnote w:type="continuationSeparator" w:id="0">
    <w:p w14:paraId="34E8EE78" w14:textId="77777777" w:rsidR="00A336E7" w:rsidRDefault="00A336E7" w:rsidP="00F41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28731"/>
      <w:docPartObj>
        <w:docPartGallery w:val="Page Numbers (Bottom of Page)"/>
        <w:docPartUnique/>
      </w:docPartObj>
    </w:sdtPr>
    <w:sdtContent>
      <w:p w14:paraId="75F327B5" w14:textId="31FAE105" w:rsidR="001310EC" w:rsidRDefault="001310EC">
        <w:pPr>
          <w:pStyle w:val="Footer"/>
          <w:jc w:val="right"/>
        </w:pPr>
        <w:r>
          <w:fldChar w:fldCharType="begin"/>
        </w:r>
        <w:r>
          <w:instrText>PAGE   \* MERGEFORMAT</w:instrText>
        </w:r>
        <w:r>
          <w:fldChar w:fldCharType="separate"/>
        </w:r>
        <w:r>
          <w:t>2</w:t>
        </w:r>
        <w:r>
          <w:fldChar w:fldCharType="end"/>
        </w:r>
      </w:p>
    </w:sdtContent>
  </w:sdt>
  <w:p w14:paraId="7C926333" w14:textId="77777777" w:rsidR="001310EC" w:rsidRDefault="00131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2B184" w14:textId="77777777" w:rsidR="00A336E7" w:rsidRDefault="00A336E7" w:rsidP="00F41B96">
      <w:pPr>
        <w:spacing w:after="0" w:line="240" w:lineRule="auto"/>
      </w:pPr>
      <w:r>
        <w:separator/>
      </w:r>
    </w:p>
  </w:footnote>
  <w:footnote w:type="continuationSeparator" w:id="0">
    <w:p w14:paraId="49AE2185" w14:textId="77777777" w:rsidR="00A336E7" w:rsidRDefault="00A336E7" w:rsidP="00F41B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44DFE"/>
    <w:multiLevelType w:val="multilevel"/>
    <w:tmpl w:val="A3C08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A748C"/>
    <w:multiLevelType w:val="hybridMultilevel"/>
    <w:tmpl w:val="F5DEE25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52591"/>
    <w:multiLevelType w:val="hybridMultilevel"/>
    <w:tmpl w:val="6E869434"/>
    <w:lvl w:ilvl="0" w:tplc="6C58C2D2">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E5B0B"/>
    <w:multiLevelType w:val="hybridMultilevel"/>
    <w:tmpl w:val="E33030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E4A9B"/>
    <w:multiLevelType w:val="hybridMultilevel"/>
    <w:tmpl w:val="CFE88B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D42680"/>
    <w:multiLevelType w:val="hybridMultilevel"/>
    <w:tmpl w:val="A6209CAC"/>
    <w:lvl w:ilvl="0" w:tplc="08090009">
      <w:start w:val="1"/>
      <w:numFmt w:val="bullet"/>
      <w:lvlText w:val=""/>
      <w:lvlJc w:val="left"/>
      <w:pPr>
        <w:ind w:left="1092" w:hanging="360"/>
      </w:pPr>
      <w:rPr>
        <w:rFonts w:ascii="Wingdings" w:hAnsi="Wingdings"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6" w15:restartNumberingAfterBreak="0">
    <w:nsid w:val="79B73A0B"/>
    <w:multiLevelType w:val="hybridMultilevel"/>
    <w:tmpl w:val="D430D1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89425">
    <w:abstractNumId w:val="6"/>
  </w:num>
  <w:num w:numId="2" w16cid:durableId="1971202282">
    <w:abstractNumId w:val="3"/>
  </w:num>
  <w:num w:numId="3" w16cid:durableId="1499033931">
    <w:abstractNumId w:val="1"/>
  </w:num>
  <w:num w:numId="4" w16cid:durableId="58795078">
    <w:abstractNumId w:val="4"/>
  </w:num>
  <w:num w:numId="5" w16cid:durableId="864829531">
    <w:abstractNumId w:val="2"/>
  </w:num>
  <w:num w:numId="6" w16cid:durableId="842746963">
    <w:abstractNumId w:val="5"/>
  </w:num>
  <w:num w:numId="7" w16cid:durableId="1619406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1C5"/>
    <w:rsid w:val="000007AC"/>
    <w:rsid w:val="00006901"/>
    <w:rsid w:val="00011722"/>
    <w:rsid w:val="00013282"/>
    <w:rsid w:val="00026194"/>
    <w:rsid w:val="000345DB"/>
    <w:rsid w:val="00043AA2"/>
    <w:rsid w:val="00054F8E"/>
    <w:rsid w:val="000A7E6B"/>
    <w:rsid w:val="000D7AA2"/>
    <w:rsid w:val="000E6A28"/>
    <w:rsid w:val="00100023"/>
    <w:rsid w:val="001116EE"/>
    <w:rsid w:val="00120E15"/>
    <w:rsid w:val="0012119F"/>
    <w:rsid w:val="00123300"/>
    <w:rsid w:val="001310EC"/>
    <w:rsid w:val="001636B9"/>
    <w:rsid w:val="00164E8E"/>
    <w:rsid w:val="00167099"/>
    <w:rsid w:val="00175A8A"/>
    <w:rsid w:val="0019538B"/>
    <w:rsid w:val="001958D7"/>
    <w:rsid w:val="001A4CD7"/>
    <w:rsid w:val="001A713E"/>
    <w:rsid w:val="001A7A41"/>
    <w:rsid w:val="001B6FFE"/>
    <w:rsid w:val="001C2C7B"/>
    <w:rsid w:val="002350F6"/>
    <w:rsid w:val="00242A44"/>
    <w:rsid w:val="00247C84"/>
    <w:rsid w:val="002671FC"/>
    <w:rsid w:val="00276988"/>
    <w:rsid w:val="00284B67"/>
    <w:rsid w:val="00286C5F"/>
    <w:rsid w:val="0029077B"/>
    <w:rsid w:val="002A1844"/>
    <w:rsid w:val="002B378E"/>
    <w:rsid w:val="002B4307"/>
    <w:rsid w:val="002B520C"/>
    <w:rsid w:val="002E1302"/>
    <w:rsid w:val="002F30EB"/>
    <w:rsid w:val="00325024"/>
    <w:rsid w:val="00325033"/>
    <w:rsid w:val="00325723"/>
    <w:rsid w:val="003307D2"/>
    <w:rsid w:val="003312B6"/>
    <w:rsid w:val="00342038"/>
    <w:rsid w:val="0035071E"/>
    <w:rsid w:val="003649D1"/>
    <w:rsid w:val="00365CB6"/>
    <w:rsid w:val="003816B7"/>
    <w:rsid w:val="00386B7B"/>
    <w:rsid w:val="003A056B"/>
    <w:rsid w:val="003B23CA"/>
    <w:rsid w:val="003B6DFC"/>
    <w:rsid w:val="003B7DF5"/>
    <w:rsid w:val="003C1997"/>
    <w:rsid w:val="003D330D"/>
    <w:rsid w:val="003D57E4"/>
    <w:rsid w:val="003E5098"/>
    <w:rsid w:val="003E6EE7"/>
    <w:rsid w:val="00417D51"/>
    <w:rsid w:val="00443CE9"/>
    <w:rsid w:val="004469D4"/>
    <w:rsid w:val="004502AA"/>
    <w:rsid w:val="004519CF"/>
    <w:rsid w:val="00460BAE"/>
    <w:rsid w:val="004726DD"/>
    <w:rsid w:val="00491D00"/>
    <w:rsid w:val="004A0CA7"/>
    <w:rsid w:val="004C56FE"/>
    <w:rsid w:val="004D216E"/>
    <w:rsid w:val="004F5B75"/>
    <w:rsid w:val="004F7A2A"/>
    <w:rsid w:val="00534360"/>
    <w:rsid w:val="005353BF"/>
    <w:rsid w:val="00535581"/>
    <w:rsid w:val="0054281A"/>
    <w:rsid w:val="00544132"/>
    <w:rsid w:val="005855CA"/>
    <w:rsid w:val="005A61ED"/>
    <w:rsid w:val="005A6FBC"/>
    <w:rsid w:val="005B5477"/>
    <w:rsid w:val="005B6003"/>
    <w:rsid w:val="005C2E65"/>
    <w:rsid w:val="005C4FCB"/>
    <w:rsid w:val="005D2455"/>
    <w:rsid w:val="005D2FD3"/>
    <w:rsid w:val="005D6D34"/>
    <w:rsid w:val="005E7E85"/>
    <w:rsid w:val="005F17A0"/>
    <w:rsid w:val="00603F62"/>
    <w:rsid w:val="006116CB"/>
    <w:rsid w:val="006161F9"/>
    <w:rsid w:val="00626C6E"/>
    <w:rsid w:val="006369F5"/>
    <w:rsid w:val="0064520A"/>
    <w:rsid w:val="00655448"/>
    <w:rsid w:val="00655D4B"/>
    <w:rsid w:val="00671DAE"/>
    <w:rsid w:val="00685CDF"/>
    <w:rsid w:val="006F4302"/>
    <w:rsid w:val="00724D58"/>
    <w:rsid w:val="00726D3C"/>
    <w:rsid w:val="00755F83"/>
    <w:rsid w:val="00756364"/>
    <w:rsid w:val="0075716E"/>
    <w:rsid w:val="00757C11"/>
    <w:rsid w:val="00782004"/>
    <w:rsid w:val="00793B91"/>
    <w:rsid w:val="007A0780"/>
    <w:rsid w:val="007B08A2"/>
    <w:rsid w:val="007B51EE"/>
    <w:rsid w:val="007C1305"/>
    <w:rsid w:val="007C1CDB"/>
    <w:rsid w:val="008007E1"/>
    <w:rsid w:val="008037D5"/>
    <w:rsid w:val="00810010"/>
    <w:rsid w:val="00830ED9"/>
    <w:rsid w:val="00836217"/>
    <w:rsid w:val="00863918"/>
    <w:rsid w:val="00874508"/>
    <w:rsid w:val="008748D6"/>
    <w:rsid w:val="008756E5"/>
    <w:rsid w:val="00876D66"/>
    <w:rsid w:val="008B082C"/>
    <w:rsid w:val="008D0E59"/>
    <w:rsid w:val="008D4DCE"/>
    <w:rsid w:val="008E59A5"/>
    <w:rsid w:val="008F156C"/>
    <w:rsid w:val="00904FF6"/>
    <w:rsid w:val="00910153"/>
    <w:rsid w:val="00912AC4"/>
    <w:rsid w:val="00913E99"/>
    <w:rsid w:val="0092683F"/>
    <w:rsid w:val="00967788"/>
    <w:rsid w:val="009873A0"/>
    <w:rsid w:val="009943F4"/>
    <w:rsid w:val="009B0D7B"/>
    <w:rsid w:val="009E2BC6"/>
    <w:rsid w:val="009E2DC0"/>
    <w:rsid w:val="009E5A94"/>
    <w:rsid w:val="009F1F1E"/>
    <w:rsid w:val="00A05B38"/>
    <w:rsid w:val="00A14BB6"/>
    <w:rsid w:val="00A278B3"/>
    <w:rsid w:val="00A326FE"/>
    <w:rsid w:val="00A336E7"/>
    <w:rsid w:val="00A36631"/>
    <w:rsid w:val="00A37B17"/>
    <w:rsid w:val="00A63DD6"/>
    <w:rsid w:val="00A73398"/>
    <w:rsid w:val="00AD7A25"/>
    <w:rsid w:val="00AF1064"/>
    <w:rsid w:val="00AF1289"/>
    <w:rsid w:val="00AF5AC8"/>
    <w:rsid w:val="00B14499"/>
    <w:rsid w:val="00B17997"/>
    <w:rsid w:val="00B315F9"/>
    <w:rsid w:val="00B34D99"/>
    <w:rsid w:val="00B46D72"/>
    <w:rsid w:val="00B57DA4"/>
    <w:rsid w:val="00B607F0"/>
    <w:rsid w:val="00B751C5"/>
    <w:rsid w:val="00B766E8"/>
    <w:rsid w:val="00B80E4F"/>
    <w:rsid w:val="00B8402D"/>
    <w:rsid w:val="00B90F60"/>
    <w:rsid w:val="00B9675F"/>
    <w:rsid w:val="00BD210E"/>
    <w:rsid w:val="00C16206"/>
    <w:rsid w:val="00C6554C"/>
    <w:rsid w:val="00C663FE"/>
    <w:rsid w:val="00CB2882"/>
    <w:rsid w:val="00CC3C04"/>
    <w:rsid w:val="00D012F6"/>
    <w:rsid w:val="00D06C1E"/>
    <w:rsid w:val="00D37266"/>
    <w:rsid w:val="00D41CD9"/>
    <w:rsid w:val="00D43E66"/>
    <w:rsid w:val="00D72DE3"/>
    <w:rsid w:val="00D824A4"/>
    <w:rsid w:val="00DA1EC9"/>
    <w:rsid w:val="00DA752C"/>
    <w:rsid w:val="00DB5335"/>
    <w:rsid w:val="00DB59DC"/>
    <w:rsid w:val="00DC3067"/>
    <w:rsid w:val="00DC3C85"/>
    <w:rsid w:val="00DC5984"/>
    <w:rsid w:val="00E23441"/>
    <w:rsid w:val="00E32607"/>
    <w:rsid w:val="00E549E2"/>
    <w:rsid w:val="00E627DF"/>
    <w:rsid w:val="00E906BC"/>
    <w:rsid w:val="00E9513B"/>
    <w:rsid w:val="00EA0828"/>
    <w:rsid w:val="00EA62AC"/>
    <w:rsid w:val="00EB615E"/>
    <w:rsid w:val="00EC7003"/>
    <w:rsid w:val="00F13E12"/>
    <w:rsid w:val="00F23511"/>
    <w:rsid w:val="00F35AF6"/>
    <w:rsid w:val="00F3733C"/>
    <w:rsid w:val="00F41B96"/>
    <w:rsid w:val="00F43273"/>
    <w:rsid w:val="00F61943"/>
    <w:rsid w:val="00F77A3A"/>
    <w:rsid w:val="00F900AA"/>
    <w:rsid w:val="00FA5BF9"/>
    <w:rsid w:val="00FB4ED9"/>
    <w:rsid w:val="00FB7E9F"/>
    <w:rsid w:val="00FD6DBC"/>
    <w:rsid w:val="00FE0990"/>
    <w:rsid w:val="00FE4A26"/>
    <w:rsid w:val="00FF2DE6"/>
    <w:rsid w:val="00FF46B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D158"/>
  <w15:chartTrackingRefBased/>
  <w15:docId w15:val="{2757350F-09FA-4C4D-A7A8-676B33487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5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5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75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75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75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5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5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75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75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75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1C5"/>
    <w:rPr>
      <w:rFonts w:eastAsiaTheme="majorEastAsia" w:cstheme="majorBidi"/>
      <w:color w:val="272727" w:themeColor="text1" w:themeTint="D8"/>
    </w:rPr>
  </w:style>
  <w:style w:type="paragraph" w:styleId="Title">
    <w:name w:val="Title"/>
    <w:basedOn w:val="Normal"/>
    <w:next w:val="Normal"/>
    <w:link w:val="TitleChar"/>
    <w:uiPriority w:val="10"/>
    <w:qFormat/>
    <w:rsid w:val="00B75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1C5"/>
    <w:pPr>
      <w:spacing w:before="160"/>
      <w:jc w:val="center"/>
    </w:pPr>
    <w:rPr>
      <w:i/>
      <w:iCs/>
      <w:color w:val="404040" w:themeColor="text1" w:themeTint="BF"/>
    </w:rPr>
  </w:style>
  <w:style w:type="character" w:customStyle="1" w:styleId="QuoteChar">
    <w:name w:val="Quote Char"/>
    <w:basedOn w:val="DefaultParagraphFont"/>
    <w:link w:val="Quote"/>
    <w:uiPriority w:val="29"/>
    <w:rsid w:val="00B751C5"/>
    <w:rPr>
      <w:i/>
      <w:iCs/>
      <w:color w:val="404040" w:themeColor="text1" w:themeTint="BF"/>
    </w:rPr>
  </w:style>
  <w:style w:type="paragraph" w:styleId="ListParagraph">
    <w:name w:val="List Paragraph"/>
    <w:basedOn w:val="Normal"/>
    <w:uiPriority w:val="34"/>
    <w:qFormat/>
    <w:rsid w:val="00B751C5"/>
    <w:pPr>
      <w:ind w:left="720"/>
      <w:contextualSpacing/>
    </w:pPr>
  </w:style>
  <w:style w:type="character" w:styleId="IntenseEmphasis">
    <w:name w:val="Intense Emphasis"/>
    <w:basedOn w:val="DefaultParagraphFont"/>
    <w:uiPriority w:val="21"/>
    <w:qFormat/>
    <w:rsid w:val="00B751C5"/>
    <w:rPr>
      <w:i/>
      <w:iCs/>
      <w:color w:val="0F4761" w:themeColor="accent1" w:themeShade="BF"/>
    </w:rPr>
  </w:style>
  <w:style w:type="paragraph" w:styleId="IntenseQuote">
    <w:name w:val="Intense Quote"/>
    <w:basedOn w:val="Normal"/>
    <w:next w:val="Normal"/>
    <w:link w:val="IntenseQuoteChar"/>
    <w:uiPriority w:val="30"/>
    <w:qFormat/>
    <w:rsid w:val="00B75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1C5"/>
    <w:rPr>
      <w:i/>
      <w:iCs/>
      <w:color w:val="0F4761" w:themeColor="accent1" w:themeShade="BF"/>
    </w:rPr>
  </w:style>
  <w:style w:type="character" w:styleId="IntenseReference">
    <w:name w:val="Intense Reference"/>
    <w:basedOn w:val="DefaultParagraphFont"/>
    <w:uiPriority w:val="32"/>
    <w:qFormat/>
    <w:rsid w:val="00B751C5"/>
    <w:rPr>
      <w:b/>
      <w:bCs/>
      <w:smallCaps/>
      <w:color w:val="0F4761" w:themeColor="accent1" w:themeShade="BF"/>
      <w:spacing w:val="5"/>
    </w:rPr>
  </w:style>
  <w:style w:type="character" w:styleId="Hyperlink">
    <w:name w:val="Hyperlink"/>
    <w:basedOn w:val="DefaultParagraphFont"/>
    <w:uiPriority w:val="99"/>
    <w:unhideWhenUsed/>
    <w:rsid w:val="00F23511"/>
    <w:rPr>
      <w:color w:val="467886" w:themeColor="hyperlink"/>
      <w:u w:val="single"/>
    </w:rPr>
  </w:style>
  <w:style w:type="character" w:styleId="UnresolvedMention">
    <w:name w:val="Unresolved Mention"/>
    <w:basedOn w:val="DefaultParagraphFont"/>
    <w:uiPriority w:val="99"/>
    <w:semiHidden/>
    <w:unhideWhenUsed/>
    <w:rsid w:val="00626C6E"/>
    <w:rPr>
      <w:color w:val="605E5C"/>
      <w:shd w:val="clear" w:color="auto" w:fill="E1DFDD"/>
    </w:rPr>
  </w:style>
  <w:style w:type="character" w:styleId="FollowedHyperlink">
    <w:name w:val="FollowedHyperlink"/>
    <w:basedOn w:val="DefaultParagraphFont"/>
    <w:uiPriority w:val="99"/>
    <w:semiHidden/>
    <w:unhideWhenUsed/>
    <w:rsid w:val="00626C6E"/>
    <w:rPr>
      <w:color w:val="96607D" w:themeColor="followedHyperlink"/>
      <w:u w:val="single"/>
    </w:rPr>
  </w:style>
  <w:style w:type="paragraph" w:styleId="Header">
    <w:name w:val="header"/>
    <w:basedOn w:val="Normal"/>
    <w:link w:val="HeaderChar"/>
    <w:uiPriority w:val="99"/>
    <w:unhideWhenUsed/>
    <w:rsid w:val="00F41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B96"/>
  </w:style>
  <w:style w:type="paragraph" w:styleId="Footer">
    <w:name w:val="footer"/>
    <w:basedOn w:val="Normal"/>
    <w:link w:val="FooterChar"/>
    <w:uiPriority w:val="99"/>
    <w:unhideWhenUsed/>
    <w:rsid w:val="00F41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B96"/>
  </w:style>
  <w:style w:type="paragraph" w:styleId="TOCHeading">
    <w:name w:val="TOC Heading"/>
    <w:basedOn w:val="Heading1"/>
    <w:next w:val="Normal"/>
    <w:uiPriority w:val="39"/>
    <w:unhideWhenUsed/>
    <w:qFormat/>
    <w:rsid w:val="00876D6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76D66"/>
    <w:pPr>
      <w:spacing w:after="100"/>
    </w:pPr>
  </w:style>
  <w:style w:type="paragraph" w:styleId="TOC2">
    <w:name w:val="toc 2"/>
    <w:basedOn w:val="Normal"/>
    <w:next w:val="Normal"/>
    <w:autoRedefine/>
    <w:uiPriority w:val="39"/>
    <w:unhideWhenUsed/>
    <w:rsid w:val="00876D66"/>
    <w:pPr>
      <w:spacing w:after="100"/>
      <w:ind w:left="220"/>
    </w:pPr>
  </w:style>
  <w:style w:type="paragraph" w:styleId="TOC3">
    <w:name w:val="toc 3"/>
    <w:basedOn w:val="Normal"/>
    <w:next w:val="Normal"/>
    <w:autoRedefine/>
    <w:uiPriority w:val="39"/>
    <w:unhideWhenUsed/>
    <w:rsid w:val="00876D66"/>
    <w:pPr>
      <w:spacing w:after="100"/>
      <w:ind w:left="440"/>
    </w:pPr>
    <w:rPr>
      <w:rFonts w:eastAsiaTheme="minorEastAsia" w:cs="Times New Roman"/>
      <w:kern w:val="0"/>
      <w:lang w:eastAsia="en-GB"/>
      <w14:ligatures w14:val="none"/>
    </w:rPr>
  </w:style>
  <w:style w:type="table" w:styleId="TableGrid">
    <w:name w:val="Table Grid"/>
    <w:basedOn w:val="TableNormal"/>
    <w:uiPriority w:val="39"/>
    <w:rsid w:val="00E326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ittees.parliament.uk/publications/44237/documents/216377/defaul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nocentdrinks.co.uk/content/dam/innocent/gb/en/files/innocent-GAR-2021.pdf" TargetMode="External"/><Relationship Id="rId17" Type="http://schemas.openxmlformats.org/officeDocument/2006/relationships/hyperlink" Target="https://www.nature.com/articles/s41538-018-0031-7.pdf" TargetMode="External"/><Relationship Id="rId2" Type="http://schemas.openxmlformats.org/officeDocument/2006/relationships/numbering" Target="numbering.xml"/><Relationship Id="rId16" Type="http://schemas.openxmlformats.org/officeDocument/2006/relationships/hyperlink" Target="https://eprints.glos.ac.uk/9197/1/9197-Jones-%282021%29-The-sustainable-development-goal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nocentdrinks.co.uk" TargetMode="External"/><Relationship Id="rId5" Type="http://schemas.openxmlformats.org/officeDocument/2006/relationships/webSettings" Target="webSettings.xml"/><Relationship Id="rId15" Type="http://schemas.openxmlformats.org/officeDocument/2006/relationships/hyperlink" Target="https://www.grocerygazette.co.uk/2025/12/10/innocent-drinks-returned-to-profit-in-2024/" TargetMode="External"/><Relationship Id="rId10" Type="http://schemas.openxmlformats.org/officeDocument/2006/relationships/hyperlink" Target="https://www.bcorporation.net//find-a-b-corp/company/innocent-drink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ciencedirect.com/science/article/pii/S0969698919314614?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34A80-A577-4BB5-B050-F0395B759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8172</Words>
  <Characters>46585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Zougui (2321811)</dc:creator>
  <cp:keywords/>
  <dc:description/>
  <cp:lastModifiedBy>Leila Zougui (2321811)</cp:lastModifiedBy>
  <cp:revision>166</cp:revision>
  <dcterms:created xsi:type="dcterms:W3CDTF">2026-03-14T19:59:00Z</dcterms:created>
  <dcterms:modified xsi:type="dcterms:W3CDTF">2026-03-16T11:29:00Z</dcterms:modified>
</cp:coreProperties>
</file>