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7E78B" w14:textId="48D83215" w:rsidR="006E52E6" w:rsidRPr="003951EA" w:rsidRDefault="003951EA" w:rsidP="003951EA">
      <w:pPr>
        <w:jc w:val="center"/>
        <w:rPr>
          <w:rFonts w:ascii="Georgia" w:hAnsi="Georgia"/>
          <w:sz w:val="32"/>
          <w:szCs w:val="32"/>
        </w:rPr>
      </w:pPr>
      <w:r w:rsidRPr="003951EA">
        <w:rPr>
          <w:rFonts w:ascii="Georgia" w:hAnsi="Georgia"/>
          <w:sz w:val="32"/>
          <w:szCs w:val="32"/>
        </w:rPr>
        <w:t>TT99</w:t>
      </w:r>
    </w:p>
    <w:p w14:paraId="434CDB3C" w14:textId="77777777" w:rsidR="003951EA" w:rsidRPr="003951EA" w:rsidRDefault="003951EA" w:rsidP="003951EA">
      <w:pPr>
        <w:rPr>
          <w:rFonts w:ascii="Georgia" w:hAnsi="Georgia"/>
        </w:rPr>
      </w:pPr>
      <w:r w:rsidRPr="003951EA">
        <w:rPr>
          <w:rFonts w:ascii="Georgia" w:hAnsi="Georgia"/>
        </w:rPr>
        <w:t>This essay will analyse Tomb 99’s architecture and materiality in order to showcase the position of the owner in ancient Egyptian society. </w:t>
      </w:r>
    </w:p>
    <w:p w14:paraId="7683589F" w14:textId="77777777" w:rsidR="003951EA" w:rsidRPr="003951EA" w:rsidRDefault="003951EA" w:rsidP="003951EA">
      <w:pPr>
        <w:rPr>
          <w:rFonts w:ascii="Georgia" w:hAnsi="Georgia"/>
        </w:rPr>
      </w:pPr>
    </w:p>
    <w:p w14:paraId="27EBC513" w14:textId="77777777" w:rsidR="003951EA" w:rsidRPr="003951EA" w:rsidRDefault="003951EA" w:rsidP="003951EA">
      <w:pPr>
        <w:rPr>
          <w:rFonts w:ascii="Georgia" w:hAnsi="Georgia"/>
        </w:rPr>
      </w:pPr>
      <w:r w:rsidRPr="003951EA">
        <w:rPr>
          <w:rFonts w:ascii="Georgia" w:hAnsi="Georgia"/>
        </w:rPr>
        <w:t xml:space="preserve">The tomb this essay will be focusing on is that of </w:t>
      </w:r>
      <w:proofErr w:type="spellStart"/>
      <w:r w:rsidRPr="003951EA">
        <w:rPr>
          <w:rFonts w:ascii="Georgia" w:hAnsi="Georgia"/>
        </w:rPr>
        <w:t>Senneferi</w:t>
      </w:r>
      <w:proofErr w:type="spellEnd"/>
      <w:r w:rsidRPr="003951EA">
        <w:rPr>
          <w:rFonts w:ascii="Georgia" w:hAnsi="Georgia"/>
        </w:rPr>
        <w:t xml:space="preserve">, the Chancellor of Thutmose III during the 18th dynasty which is located on the West Bank of Luxor in the Upper Enclosure of Sheikh Abdel Qurna (Strudwick, 2016, p.1). Having been estimated to have spanned from 1552 to 1295 (Lloyd, 2010, </w:t>
      </w:r>
      <w:proofErr w:type="spellStart"/>
      <w:r w:rsidRPr="003951EA">
        <w:rPr>
          <w:rFonts w:ascii="Georgia" w:hAnsi="Georgia"/>
        </w:rPr>
        <w:t>p.xxxvi</w:t>
      </w:r>
      <w:proofErr w:type="spellEnd"/>
      <w:r w:rsidRPr="003951EA">
        <w:rPr>
          <w:rFonts w:ascii="Georgia" w:hAnsi="Georgia"/>
        </w:rPr>
        <w:t xml:space="preserve">), the dynasties’ rule marked the beginning of the New Kingdom after Ahmose’s triumph over the Hyksos (Baines and </w:t>
      </w:r>
      <w:proofErr w:type="spellStart"/>
      <w:r w:rsidRPr="003951EA">
        <w:rPr>
          <w:rFonts w:ascii="Georgia" w:hAnsi="Georgia"/>
        </w:rPr>
        <w:t>Jaromír</w:t>
      </w:r>
      <w:proofErr w:type="spellEnd"/>
      <w:r w:rsidRPr="003951EA">
        <w:rPr>
          <w:rFonts w:ascii="Georgia" w:hAnsi="Georgia"/>
        </w:rPr>
        <w:t xml:space="preserve"> Málek, 1996, pp.43). Despite </w:t>
      </w:r>
      <w:proofErr w:type="spellStart"/>
      <w:r w:rsidRPr="003951EA">
        <w:rPr>
          <w:rFonts w:ascii="Georgia" w:hAnsi="Georgia"/>
        </w:rPr>
        <w:t>Thuthmose</w:t>
      </w:r>
      <w:proofErr w:type="spellEnd"/>
      <w:r w:rsidRPr="003951EA">
        <w:rPr>
          <w:rFonts w:ascii="Georgia" w:hAnsi="Georgia"/>
        </w:rPr>
        <w:t xml:space="preserve"> III reigning for 54 years he was not senior leader for the first half as that was claimed by Hatshepsut, it was only in his term as sole King that he began to utilise the military training he’d gained throughout her leadership (Baines and </w:t>
      </w:r>
      <w:proofErr w:type="spellStart"/>
      <w:r w:rsidRPr="003951EA">
        <w:rPr>
          <w:rFonts w:ascii="Georgia" w:hAnsi="Georgia"/>
        </w:rPr>
        <w:t>Jaromír</w:t>
      </w:r>
      <w:proofErr w:type="spellEnd"/>
      <w:r w:rsidRPr="003951EA">
        <w:rPr>
          <w:rFonts w:ascii="Georgia" w:hAnsi="Georgia"/>
        </w:rPr>
        <w:t xml:space="preserve"> Málek, 1996, pp.43). Egypt flourished economically under his rule with the campaigns into Nubia bringing large amounts of gold into the country and therefore putting money towards multiple sectors of society (Baines and </w:t>
      </w:r>
      <w:proofErr w:type="spellStart"/>
      <w:r w:rsidRPr="003951EA">
        <w:rPr>
          <w:rFonts w:ascii="Georgia" w:hAnsi="Georgia"/>
        </w:rPr>
        <w:t>Jaromír</w:t>
      </w:r>
      <w:proofErr w:type="spellEnd"/>
      <w:r w:rsidRPr="003951EA">
        <w:rPr>
          <w:rFonts w:ascii="Georgia" w:hAnsi="Georgia"/>
        </w:rPr>
        <w:t xml:space="preserve"> Málek, 1996, pp.44). In this, </w:t>
      </w:r>
      <w:proofErr w:type="spellStart"/>
      <w:r w:rsidRPr="003951EA">
        <w:rPr>
          <w:rFonts w:ascii="Georgia" w:hAnsi="Georgia"/>
        </w:rPr>
        <w:t>Senneferi’s</w:t>
      </w:r>
      <w:proofErr w:type="spellEnd"/>
      <w:r w:rsidRPr="003951EA">
        <w:rPr>
          <w:rFonts w:ascii="Georgia" w:hAnsi="Georgia"/>
        </w:rPr>
        <w:t xml:space="preserve"> role as Chancellor and treasurer become more important as he is at the forefront of decision making in these areas. </w:t>
      </w:r>
    </w:p>
    <w:p w14:paraId="1AF42061" w14:textId="77777777" w:rsidR="003951EA" w:rsidRPr="003951EA" w:rsidRDefault="003951EA" w:rsidP="003951EA">
      <w:pPr>
        <w:rPr>
          <w:rFonts w:ascii="Georgia" w:hAnsi="Georgia"/>
        </w:rPr>
      </w:pPr>
    </w:p>
    <w:p w14:paraId="228ADEBD" w14:textId="77777777" w:rsidR="003951EA" w:rsidRPr="003951EA" w:rsidRDefault="003951EA" w:rsidP="003951EA">
      <w:pPr>
        <w:rPr>
          <w:rFonts w:ascii="Georgia" w:hAnsi="Georgia"/>
        </w:rPr>
      </w:pPr>
      <w:r w:rsidRPr="003951EA">
        <w:rPr>
          <w:rFonts w:ascii="Georgia" w:hAnsi="Georgia"/>
        </w:rPr>
        <w:t xml:space="preserve">Discoveries of his tomb began in 1895 with the correlations made by Percy Newberry between the tomb, the British Museum EA 48 statue and the Silsila shrine of </w:t>
      </w:r>
      <w:proofErr w:type="spellStart"/>
      <w:r w:rsidRPr="003951EA">
        <w:rPr>
          <w:rFonts w:ascii="Georgia" w:hAnsi="Georgia"/>
        </w:rPr>
        <w:t>Sennerferi</w:t>
      </w:r>
      <w:proofErr w:type="spellEnd"/>
      <w:r w:rsidRPr="003951EA">
        <w:rPr>
          <w:rFonts w:ascii="Georgia" w:hAnsi="Georgia"/>
        </w:rPr>
        <w:t xml:space="preserve"> (Strudwick, 2016, p.2). The BM EA 48 has the appearance of a person with their knees to their chest, measuring at 89.9cm in height and 37 cm wide (Strudwick, 2016, p.22). Inscribed in this statue are the names of </w:t>
      </w:r>
      <w:proofErr w:type="spellStart"/>
      <w:r w:rsidRPr="003951EA">
        <w:rPr>
          <w:rFonts w:ascii="Georgia" w:hAnsi="Georgia"/>
        </w:rPr>
        <w:t>Senneferi’s</w:t>
      </w:r>
      <w:proofErr w:type="spellEnd"/>
      <w:r w:rsidRPr="003951EA">
        <w:rPr>
          <w:rFonts w:ascii="Georgia" w:hAnsi="Georgia"/>
        </w:rPr>
        <w:t xml:space="preserve"> mother and father whose names are often seen together elsewhere in his tomb (Strudwick, 2016, p.18). The Silsila shrine is a rectangular chamber that would have originally been adorned with statues. Writings on this have been recut from Hatshepsut to Thutmose III (Strudwick, 2016, p.32), indicating his connection to the monarchy. These consistencies indicated to Newberry that the </w:t>
      </w:r>
      <w:proofErr w:type="spellStart"/>
      <w:r w:rsidRPr="003951EA">
        <w:rPr>
          <w:rFonts w:ascii="Georgia" w:hAnsi="Georgia"/>
        </w:rPr>
        <w:t>Senneferi</w:t>
      </w:r>
      <w:proofErr w:type="spellEnd"/>
      <w:r w:rsidRPr="003951EA">
        <w:rPr>
          <w:rFonts w:ascii="Georgia" w:hAnsi="Georgia"/>
        </w:rPr>
        <w:t xml:space="preserve"> mentioned in the tomb was the same as the one connected with these discoveries. Excavations of the tomb began in 1903 by Robert Mond, who wrote the first reports on the findings inside the tomb and attached chapel (Strudwick, 2016, p.2). Further information on the site was gathered by Emile </w:t>
      </w:r>
      <w:proofErr w:type="spellStart"/>
      <w:r w:rsidRPr="003951EA">
        <w:rPr>
          <w:rFonts w:ascii="Georgia" w:hAnsi="Georgia"/>
        </w:rPr>
        <w:t>Bavaize</w:t>
      </w:r>
      <w:proofErr w:type="spellEnd"/>
      <w:r w:rsidRPr="003951EA">
        <w:rPr>
          <w:rFonts w:ascii="Georgia" w:hAnsi="Georgia"/>
        </w:rPr>
        <w:t xml:space="preserve"> who was the first to indicate the presence of a shaft in the courtyard (Strudwick, 2016, p.2). These discoveries would continue with the research of Arthur </w:t>
      </w:r>
      <w:proofErr w:type="spellStart"/>
      <w:r w:rsidRPr="003951EA">
        <w:rPr>
          <w:rFonts w:ascii="Georgia" w:hAnsi="Georgia"/>
        </w:rPr>
        <w:t>Weigall</w:t>
      </w:r>
      <w:proofErr w:type="spellEnd"/>
      <w:r w:rsidRPr="003951EA">
        <w:rPr>
          <w:rFonts w:ascii="Georgia" w:hAnsi="Georgia"/>
        </w:rPr>
        <w:t xml:space="preserve"> and Alan Gardiner who catalogued the private tombs (Strudwick, 2016, p.2). </w:t>
      </w:r>
    </w:p>
    <w:p w14:paraId="448FC6A9" w14:textId="77777777" w:rsidR="003951EA" w:rsidRPr="003951EA" w:rsidRDefault="003951EA" w:rsidP="003951EA">
      <w:pPr>
        <w:rPr>
          <w:rFonts w:ascii="Georgia" w:hAnsi="Georgia"/>
        </w:rPr>
      </w:pPr>
    </w:p>
    <w:p w14:paraId="5AC51E9B" w14:textId="77777777" w:rsidR="003951EA" w:rsidRPr="003951EA" w:rsidRDefault="003951EA" w:rsidP="003951EA">
      <w:pPr>
        <w:rPr>
          <w:rFonts w:ascii="Georgia" w:hAnsi="Georgia"/>
        </w:rPr>
      </w:pPr>
      <w:r w:rsidRPr="003951EA">
        <w:rPr>
          <w:rFonts w:ascii="Georgia" w:hAnsi="Georgia"/>
        </w:rPr>
        <w:t>The tomb itself consists of a superstructure or facade with a niche, a chapel, courtyard and three brutal chambers accessed through shafts; six located in the chapel and three in the courtyard (Strudwick, 2016, p.6).</w:t>
      </w:r>
    </w:p>
    <w:p w14:paraId="5733F8A6" w14:textId="77777777" w:rsidR="003951EA" w:rsidRPr="003951EA" w:rsidRDefault="003951EA" w:rsidP="003951EA">
      <w:pPr>
        <w:rPr>
          <w:rFonts w:ascii="Georgia" w:hAnsi="Georgia"/>
        </w:rPr>
      </w:pPr>
    </w:p>
    <w:p w14:paraId="7FD6D80F" w14:textId="77777777" w:rsidR="003951EA" w:rsidRPr="003951EA" w:rsidRDefault="003951EA" w:rsidP="003951EA">
      <w:pPr>
        <w:rPr>
          <w:rFonts w:ascii="Georgia" w:hAnsi="Georgia"/>
        </w:rPr>
      </w:pPr>
      <w:r w:rsidRPr="003951EA">
        <w:rPr>
          <w:rFonts w:ascii="Georgia" w:hAnsi="Georgia"/>
        </w:rPr>
        <w:t xml:space="preserve">Theban tombs architecture often consists of a superstructure atop of the tomb on the solar level (Strudwick, 2016, p.6), TT99 however does not have any foundational evidence of a freestanding superstructure (Strudwick, 2016, p.45). It substitutes this by absorbing the solar level into the facade with a focus on a small niche that sits in line with the central axis of the tomb (Strudwick, 2016, p.6). The niche itself is irregularly shaped and lined with thinner pieces of limestone, implying an almost unfinished look (Strudwick, 2016, p.45). Architecturally, fitting a niche into the building with this precision indicates that there has been fore-planning towards the tomb by a skilled craftsman with an engineering acumen. </w:t>
      </w:r>
      <w:r w:rsidRPr="003951EA">
        <w:rPr>
          <w:rFonts w:ascii="Georgia" w:hAnsi="Georgia"/>
        </w:rPr>
        <w:lastRenderedPageBreak/>
        <w:t>Therefore, in relation to the position this person would hold in society, the indication of a team and fore-thought means they had the means to do so while also being important enough for the tomb’s axis to be taken into account. Furthermore, the upper layer of the facade is built of compacted white limestone chips which show evidence of water damage, mainly from rain (Strudwick, 2016, p.45). 7 cm deep into the limestone researchers discovered a layer of bedrock that reaches 33cm in depth as it tapers around the edge of the facade (Strudwick, 2016, p.45). The emergence of the bedrock solidified the theory that there was no freestanding structure atop of the tomb as there is no flat area or foundations for which it could have sat on (Strudwick, 2016, p.45). </w:t>
      </w:r>
    </w:p>
    <w:p w14:paraId="702BBCE5" w14:textId="77777777" w:rsidR="003951EA" w:rsidRPr="003951EA" w:rsidRDefault="003951EA" w:rsidP="003951EA">
      <w:pPr>
        <w:rPr>
          <w:rFonts w:ascii="Georgia" w:hAnsi="Georgia"/>
        </w:rPr>
      </w:pPr>
    </w:p>
    <w:p w14:paraId="58FA8A5C" w14:textId="77777777" w:rsidR="003951EA" w:rsidRPr="003951EA" w:rsidRDefault="003951EA" w:rsidP="003951EA">
      <w:pPr>
        <w:rPr>
          <w:rFonts w:ascii="Georgia" w:hAnsi="Georgia"/>
        </w:rPr>
      </w:pPr>
      <w:r w:rsidRPr="003951EA">
        <w:rPr>
          <w:rFonts w:ascii="Georgia" w:hAnsi="Georgia"/>
        </w:rPr>
        <w:t xml:space="preserve">Continuing on to the facade of the chapel, it continues with the rudimentary 18th dynasty style of multiple layers of plaster with different purposes (Strudwick, 2016, p.45; Madden and Hugues Tavier, 2018,p.125). On the TT99 facade there is evidence of two types of plaster; one that is mud based with a brown appearance being found between the stones as a glue and the other a whiter plaster that is placed on top of the stones nearing the bottom of the structure (Strudwick, 2016, p.45). The strip of plaster runs from the facade and into the northern and southern walls of the courtyard, an indication of how this was intended to be the final presentation layer (Strudwick, 2016, p.46). This multilayering was often used in the tombs of the elite as, similar to the positioning of the niche on the axis, showed pre-planning that would take time and money to perfect (Madden and Hugues Tavier, 2018,p.125).  This therefore would suggest that </w:t>
      </w:r>
      <w:proofErr w:type="spellStart"/>
      <w:r w:rsidRPr="003951EA">
        <w:rPr>
          <w:rFonts w:ascii="Georgia" w:hAnsi="Georgia"/>
        </w:rPr>
        <w:t>Senneferi</w:t>
      </w:r>
      <w:proofErr w:type="spellEnd"/>
      <w:r w:rsidRPr="003951EA">
        <w:rPr>
          <w:rFonts w:ascii="Georgia" w:hAnsi="Georgia"/>
        </w:rPr>
        <w:t>, without the knowledge of his career position, would still have the means to afford such accommodations in death. Certain areas of the facade contain larger more regularly shaped limestone rocks (Strudwick, 2016, p.46), culminating below and above the aforementioned niche, nearing the ledge of the Chapel facade (Strudwick, 2016, p.46). </w:t>
      </w:r>
    </w:p>
    <w:p w14:paraId="1E9ADE4A" w14:textId="77777777" w:rsidR="003951EA" w:rsidRPr="003951EA" w:rsidRDefault="003951EA" w:rsidP="003951EA">
      <w:pPr>
        <w:rPr>
          <w:rFonts w:ascii="Georgia" w:hAnsi="Georgia"/>
        </w:rPr>
      </w:pPr>
    </w:p>
    <w:p w14:paraId="364E81D1" w14:textId="77777777" w:rsidR="003951EA" w:rsidRPr="003951EA" w:rsidRDefault="003951EA" w:rsidP="003951EA">
      <w:pPr>
        <w:rPr>
          <w:rFonts w:ascii="Georgia" w:hAnsi="Georgia"/>
        </w:rPr>
      </w:pPr>
      <w:r w:rsidRPr="003951EA">
        <w:rPr>
          <w:rFonts w:ascii="Georgia" w:hAnsi="Georgia"/>
        </w:rPr>
        <w:t xml:space="preserve">Following the line of plaster to the courtyard, it is displayed in an irregularly shaped rectangle (Strudwick, 2016, p.46) that is met by the sloping of the northern and southern sides of the facade (Strudwick, 2016, p.6). Within the courtyard the floor appears to be plastered with indentations in areas that would reveal where vegetation has been planted (Strudwick, 2016, p.6), unlike the other aspects that have been discussed this is not common in the 18th dynasty and is more regular in the 19th, this therefore means that this is one of the earliest examples (Strudwick, 2016, p.55). More prominently in the courtyard, underneath the plastered floor, are three identified shafts labelled G, H and I (Strudwick, 2016, p.7). Shaft G is incomplete and located on the southern side of the tomb whereas shaft H has a depth of 8m and has two associated chambers (Strudwick, 2016, p.7). Shaft I holds the burial of </w:t>
      </w:r>
      <w:proofErr w:type="spellStart"/>
      <w:r w:rsidRPr="003951EA">
        <w:rPr>
          <w:rFonts w:ascii="Georgia" w:hAnsi="Georgia"/>
        </w:rPr>
        <w:t>Senneferi</w:t>
      </w:r>
      <w:proofErr w:type="spellEnd"/>
      <w:r w:rsidRPr="003951EA">
        <w:rPr>
          <w:rFonts w:ascii="Georgia" w:hAnsi="Georgia"/>
        </w:rPr>
        <w:t xml:space="preserve"> and his family, or what is assumed to be, measuring 14.25m deep and connected to a further three chambers (Strudwick, 2016, p.7). </w:t>
      </w:r>
    </w:p>
    <w:p w14:paraId="7CD70CF5" w14:textId="77777777" w:rsidR="003951EA" w:rsidRPr="003951EA" w:rsidRDefault="003951EA" w:rsidP="003951EA">
      <w:pPr>
        <w:rPr>
          <w:rFonts w:ascii="Georgia" w:hAnsi="Georgia"/>
        </w:rPr>
      </w:pPr>
    </w:p>
    <w:p w14:paraId="611911A2" w14:textId="77777777" w:rsidR="003951EA" w:rsidRPr="003951EA" w:rsidRDefault="003951EA" w:rsidP="003951EA">
      <w:pPr>
        <w:rPr>
          <w:rFonts w:ascii="Georgia" w:hAnsi="Georgia"/>
        </w:rPr>
      </w:pPr>
      <w:r w:rsidRPr="003951EA">
        <w:rPr>
          <w:rFonts w:ascii="Georgia" w:hAnsi="Georgia"/>
        </w:rPr>
        <w:t xml:space="preserve">Inside shaft I there are many findings that would present the position of </w:t>
      </w:r>
      <w:proofErr w:type="spellStart"/>
      <w:r w:rsidRPr="003951EA">
        <w:rPr>
          <w:rFonts w:ascii="Georgia" w:hAnsi="Georgia"/>
        </w:rPr>
        <w:t>Senneferi</w:t>
      </w:r>
      <w:proofErr w:type="spellEnd"/>
      <w:r w:rsidRPr="003951EA">
        <w:rPr>
          <w:rFonts w:ascii="Georgia" w:hAnsi="Georgia"/>
        </w:rPr>
        <w:t xml:space="preserve">, some consist of the fragments of elephant ivory that took the shape of an adze (Strudwick, 2016, p.262). Elephant ivory came from a longstanding sport of elephant hunting in Egypt, however it was also a show of wealth as the ivory was highly desired by even the Pharaoh Thutmose III (Lobban and de </w:t>
      </w:r>
      <w:proofErr w:type="spellStart"/>
      <w:r w:rsidRPr="003951EA">
        <w:rPr>
          <w:rFonts w:ascii="Georgia" w:hAnsi="Georgia"/>
        </w:rPr>
        <w:t>Liedekerke</w:t>
      </w:r>
      <w:proofErr w:type="spellEnd"/>
      <w:r w:rsidRPr="003951EA">
        <w:rPr>
          <w:rFonts w:ascii="Georgia" w:hAnsi="Georgia"/>
        </w:rPr>
        <w:t xml:space="preserve">, 2000,p234). This discovery therefore shows that </w:t>
      </w:r>
      <w:proofErr w:type="spellStart"/>
      <w:r w:rsidRPr="003951EA">
        <w:rPr>
          <w:rFonts w:ascii="Georgia" w:hAnsi="Georgia"/>
        </w:rPr>
        <w:t>Senneferi</w:t>
      </w:r>
      <w:proofErr w:type="spellEnd"/>
      <w:r w:rsidRPr="003951EA">
        <w:rPr>
          <w:rFonts w:ascii="Georgia" w:hAnsi="Georgia"/>
        </w:rPr>
        <w:t xml:space="preserve"> is a man of high position being able to not only afford the ivory but for it to have been designed and engraved with hieroglyphs (Strudwick, 2016, p.262). </w:t>
      </w:r>
    </w:p>
    <w:p w14:paraId="19C64CCB" w14:textId="77777777" w:rsidR="003951EA" w:rsidRPr="003951EA" w:rsidRDefault="003951EA" w:rsidP="003951EA">
      <w:pPr>
        <w:rPr>
          <w:rFonts w:ascii="Georgia" w:hAnsi="Georgia"/>
        </w:rPr>
      </w:pPr>
    </w:p>
    <w:p w14:paraId="677CD286" w14:textId="77777777" w:rsidR="003951EA" w:rsidRPr="003951EA" w:rsidRDefault="003951EA" w:rsidP="003951EA">
      <w:pPr>
        <w:rPr>
          <w:rFonts w:ascii="Georgia" w:hAnsi="Georgia"/>
        </w:rPr>
      </w:pPr>
      <w:r w:rsidRPr="003951EA">
        <w:rPr>
          <w:rFonts w:ascii="Georgia" w:hAnsi="Georgia"/>
        </w:rPr>
        <w:lastRenderedPageBreak/>
        <w:t xml:space="preserve">Inside the burial chamber of Shaft I lies the coffin of </w:t>
      </w:r>
      <w:proofErr w:type="spellStart"/>
      <w:r w:rsidRPr="003951EA">
        <w:rPr>
          <w:rFonts w:ascii="Georgia" w:hAnsi="Georgia"/>
        </w:rPr>
        <w:t>Senneferi</w:t>
      </w:r>
      <w:proofErr w:type="spellEnd"/>
      <w:r w:rsidRPr="003951EA">
        <w:rPr>
          <w:rFonts w:ascii="Georgia" w:hAnsi="Georgia"/>
        </w:rPr>
        <w:t xml:space="preserve">, despite it being destroyed possibly during the 19th century, the coffin is described as being that of a black varnished coffin with reddish-coloured wood (Strudwick, 2016, p.184). Coffins such as these are carved out of a large number of pieces through the use of a skillful hand in order to reduce the amount of waste, therefore being more economically efficient (Strudwick, 2016, p.184). These types of coffins were made for those of higher status presenting evidence that </w:t>
      </w:r>
      <w:proofErr w:type="spellStart"/>
      <w:r w:rsidRPr="003951EA">
        <w:rPr>
          <w:rFonts w:ascii="Georgia" w:hAnsi="Georgia"/>
        </w:rPr>
        <w:t>Senneferi</w:t>
      </w:r>
      <w:proofErr w:type="spellEnd"/>
      <w:r w:rsidRPr="003951EA">
        <w:rPr>
          <w:rFonts w:ascii="Georgia" w:hAnsi="Georgia"/>
        </w:rPr>
        <w:t xml:space="preserve"> was high in the social ladder of ancient Egypt enough to warrant such a burial (Strudwick, 2016, p.183). </w:t>
      </w:r>
    </w:p>
    <w:p w14:paraId="3AA54329" w14:textId="77777777" w:rsidR="003951EA" w:rsidRPr="003951EA" w:rsidRDefault="003951EA" w:rsidP="003951EA">
      <w:pPr>
        <w:rPr>
          <w:rFonts w:ascii="Georgia" w:hAnsi="Georgia"/>
        </w:rPr>
      </w:pPr>
    </w:p>
    <w:p w14:paraId="710E459F" w14:textId="41E141D3" w:rsidR="003951EA" w:rsidRPr="003951EA" w:rsidRDefault="003951EA" w:rsidP="003951EA">
      <w:pPr>
        <w:rPr>
          <w:rFonts w:ascii="Georgia" w:hAnsi="Georgia"/>
        </w:rPr>
      </w:pPr>
      <w:r w:rsidRPr="003951EA">
        <w:rPr>
          <w:rFonts w:ascii="Georgia" w:hAnsi="Georgia"/>
        </w:rPr>
        <w:t xml:space="preserve">Other findings in shaft I is the </w:t>
      </w:r>
      <w:r w:rsidRPr="003951EA">
        <w:rPr>
          <w:rFonts w:ascii="Georgia" w:hAnsi="Georgia"/>
        </w:rPr>
        <w:t>fragmentary</w:t>
      </w:r>
      <w:r w:rsidRPr="003951EA">
        <w:rPr>
          <w:rFonts w:ascii="Georgia" w:hAnsi="Georgia"/>
        </w:rPr>
        <w:t xml:space="preserve"> evidence of a canopic box or chest made of a reddish wood and is inscribed with well carved hieroglyphs that are highlighted with a ‘mixture of Egyptian blue and a white substance’ (Strudwick, 2016, p.282). This is highly important to the position of the person in Egyptian society as the act of presence of the canopic box with an addition of the jars themselves (Strudwick, 2016, p.195), means that the person in the tomb underwent the process of organ removal (The Editors of </w:t>
      </w:r>
      <w:proofErr w:type="spellStart"/>
      <w:r w:rsidRPr="003951EA">
        <w:rPr>
          <w:rFonts w:ascii="Georgia" w:hAnsi="Georgia"/>
        </w:rPr>
        <w:t>Encyclopedia</w:t>
      </w:r>
      <w:proofErr w:type="spellEnd"/>
      <w:r w:rsidRPr="003951EA">
        <w:rPr>
          <w:rFonts w:ascii="Georgia" w:hAnsi="Georgia"/>
        </w:rPr>
        <w:t xml:space="preserve"> Britannica, 2018), even if they did not get fully mummified. This process was highly expensive and therefore was only for the elite in ancient Egyptian society (UCL, 2001). Especially during the 18th dynasty where the economy was flourishing and therefore it was more likely for those of higher status to have not only the canopic jars but also funeral papyri which is also evident in TT99 (Strudwick, 2016, p.169). This funerary papyri comes from the book of the dead, a book containing many spells that are used to aid in the deceased travels into the afterlife (Britannica, 2019). These books, or scrolls of papyri, are found in the tombs of the elite as obtaining them involves hours of labour, skill and the accessibility to the materials needed to make it (Britannica, 2019). Meaning that the person in the tomb must have been high enough in status and wealth to afford it. </w:t>
      </w:r>
    </w:p>
    <w:p w14:paraId="4B91DAC6" w14:textId="77777777" w:rsidR="003951EA" w:rsidRPr="003951EA" w:rsidRDefault="003951EA" w:rsidP="003951EA">
      <w:pPr>
        <w:rPr>
          <w:rFonts w:ascii="Georgia" w:hAnsi="Georgia"/>
        </w:rPr>
      </w:pPr>
    </w:p>
    <w:p w14:paraId="3582BB11" w14:textId="77777777" w:rsidR="003951EA" w:rsidRPr="003951EA" w:rsidRDefault="003951EA" w:rsidP="003951EA">
      <w:pPr>
        <w:rPr>
          <w:rFonts w:ascii="Georgia" w:hAnsi="Georgia"/>
        </w:rPr>
      </w:pPr>
      <w:r w:rsidRPr="003951EA">
        <w:rPr>
          <w:rFonts w:ascii="Georgia" w:hAnsi="Georgia"/>
        </w:rPr>
        <w:t xml:space="preserve">Furthermore, the shafts also contain remnants of animal remains, that being of many different types of birds (some that may be intrusive remains), cattle and fish, presented as food that the buried would need in order to eat in his new life (Strudwick, 2016, p.333). However, there are additional animal bones found within the tomb itself in the form of offerings (Strudwick, 2016, p.332), this again presents </w:t>
      </w:r>
      <w:proofErr w:type="spellStart"/>
      <w:r w:rsidRPr="003951EA">
        <w:rPr>
          <w:rFonts w:ascii="Georgia" w:hAnsi="Georgia"/>
        </w:rPr>
        <w:t>Senneferi</w:t>
      </w:r>
      <w:proofErr w:type="spellEnd"/>
      <w:r w:rsidRPr="003951EA">
        <w:rPr>
          <w:rFonts w:ascii="Georgia" w:hAnsi="Georgia"/>
        </w:rPr>
        <w:t xml:space="preserve"> as a man of status as it is unlikely that those who were part of the lower classes would waste food by placing it in a tomb when they themselves have little to spare. </w:t>
      </w:r>
    </w:p>
    <w:p w14:paraId="734F4C8C" w14:textId="77777777" w:rsidR="003951EA" w:rsidRPr="003951EA" w:rsidRDefault="003951EA" w:rsidP="003951EA">
      <w:pPr>
        <w:rPr>
          <w:rFonts w:ascii="Georgia" w:hAnsi="Georgia"/>
        </w:rPr>
      </w:pPr>
    </w:p>
    <w:p w14:paraId="44387ABD" w14:textId="77777777" w:rsidR="003951EA" w:rsidRPr="003951EA" w:rsidRDefault="003951EA" w:rsidP="003951EA">
      <w:pPr>
        <w:rPr>
          <w:rFonts w:ascii="Georgia" w:hAnsi="Georgia"/>
        </w:rPr>
      </w:pPr>
      <w:r w:rsidRPr="003951EA">
        <w:rPr>
          <w:rFonts w:ascii="Georgia" w:hAnsi="Georgia"/>
        </w:rPr>
        <w:t>The chapel that is attached to the tomb is formed into the common ‘T’- shape that is often found in 18th dynasty tombs (Strudwick, 2016, p.7). It contains a large front room that then leads to a long corridor towards the Rear room which is where the shrine is held (Strudwick, 2016, p.7), framed by two pillars that are inscribed with hieroglyphs yet very dilapidated(Strudwick, 2016, p.59). There are 6 aforementioned shafts underneath the Chapel, labelled from A through F, however there is evidence to state that these shafts were cut in the Third Intermediate Period (Strudwick, 2016, p.7), that being at least 200 years after the creation of the tomb. The chapel itself is littered with artistic depictions expected from a New Kingdom tomb, these decorations and texts span the whole room and shrine (Strudwick, 2016, p.84). The wall that holds the writings of his career is presented here on the east wall, south of the entrance, detailing in three stages his rise to the status of the King's Chancellor (Strudwick, 2016, p.125). This is conclusive evidence of his status written near the depictions of himself worshiping Osiris and Anubis (Strudwick, 2016, p.85). </w:t>
      </w:r>
    </w:p>
    <w:p w14:paraId="45C98372" w14:textId="77777777" w:rsidR="003951EA" w:rsidRPr="003951EA" w:rsidRDefault="003951EA" w:rsidP="003951EA">
      <w:pPr>
        <w:rPr>
          <w:rFonts w:ascii="Georgia" w:hAnsi="Georgia"/>
        </w:rPr>
      </w:pPr>
    </w:p>
    <w:p w14:paraId="5EC47DA3" w14:textId="77777777" w:rsidR="003951EA" w:rsidRPr="003951EA" w:rsidRDefault="003951EA" w:rsidP="003951EA">
      <w:pPr>
        <w:rPr>
          <w:rFonts w:ascii="Georgia" w:hAnsi="Georgia"/>
        </w:rPr>
      </w:pPr>
      <w:r w:rsidRPr="003951EA">
        <w:rPr>
          <w:rFonts w:ascii="Georgia" w:hAnsi="Georgia"/>
        </w:rPr>
        <w:t xml:space="preserve">Overall, the architecture of the tomb indicated </w:t>
      </w:r>
      <w:proofErr w:type="spellStart"/>
      <w:r w:rsidRPr="003951EA">
        <w:rPr>
          <w:rFonts w:ascii="Georgia" w:hAnsi="Georgia"/>
        </w:rPr>
        <w:t>Senneferi’s</w:t>
      </w:r>
      <w:proofErr w:type="spellEnd"/>
      <w:r w:rsidRPr="003951EA">
        <w:rPr>
          <w:rFonts w:ascii="Georgia" w:hAnsi="Georgia"/>
        </w:rPr>
        <w:t xml:space="preserve"> social position in ancient Egypt as a man of wealth and high importance as the structural integrity of the tomb reflects elite models of the 18th dynasty. The objects found in the structures further the presentation of his position as it relates to his high status with material that was highly desired in ancient Egypt. This is similar to the materials that were used to create such a tomb and the complexity of it that encapsulates the ideals of a tomb for those of the elite class in Ancient Egypt. Furthermore, aspects of the Chapel around him, filled with paintings and detailed descriptions of his career present a broad view of his power as the Pharaoh's Chancellor, or as put the overseer, and therefore indicate that his position was one of great status. In conclusion the material culture and architecture of a tomb present the position of someone in ancient Egyptian society as its complexity and material selection reflect the materials used by certain classes of society, in combination with the items found inside the tomb implying that they are wealthy enough to spare such necessities such as food. </w:t>
      </w:r>
    </w:p>
    <w:p w14:paraId="04A5C55B" w14:textId="77777777" w:rsidR="003951EA" w:rsidRDefault="003951EA" w:rsidP="003951EA">
      <w:pPr>
        <w:rPr>
          <w:rFonts w:ascii="Georgia" w:hAnsi="Georgia"/>
        </w:rPr>
      </w:pPr>
    </w:p>
    <w:p w14:paraId="17529295" w14:textId="77777777" w:rsidR="003951EA" w:rsidRDefault="003951EA" w:rsidP="003951EA">
      <w:pPr>
        <w:rPr>
          <w:rFonts w:ascii="Georgia" w:hAnsi="Georgia"/>
        </w:rPr>
      </w:pPr>
    </w:p>
    <w:p w14:paraId="5DA2F7B0" w14:textId="77777777" w:rsidR="003951EA" w:rsidRDefault="003951EA" w:rsidP="003951EA">
      <w:pPr>
        <w:rPr>
          <w:rFonts w:ascii="Georgia" w:hAnsi="Georgia"/>
        </w:rPr>
      </w:pPr>
    </w:p>
    <w:p w14:paraId="68B0CDA7" w14:textId="77777777" w:rsidR="003951EA" w:rsidRDefault="003951EA" w:rsidP="003951EA">
      <w:pPr>
        <w:rPr>
          <w:rFonts w:ascii="Georgia" w:hAnsi="Georgia"/>
        </w:rPr>
      </w:pPr>
    </w:p>
    <w:p w14:paraId="4868B291" w14:textId="77777777" w:rsidR="003951EA" w:rsidRDefault="003951EA" w:rsidP="003951EA">
      <w:pPr>
        <w:rPr>
          <w:rFonts w:ascii="Georgia" w:hAnsi="Georgia"/>
        </w:rPr>
      </w:pPr>
    </w:p>
    <w:p w14:paraId="0A63355B" w14:textId="77777777" w:rsidR="003951EA" w:rsidRDefault="003951EA" w:rsidP="003951EA">
      <w:pPr>
        <w:rPr>
          <w:rFonts w:ascii="Georgia" w:hAnsi="Georgia"/>
        </w:rPr>
      </w:pPr>
    </w:p>
    <w:p w14:paraId="4DB5B1DB" w14:textId="77777777" w:rsidR="003951EA" w:rsidRDefault="003951EA" w:rsidP="003951EA">
      <w:pPr>
        <w:rPr>
          <w:rFonts w:ascii="Georgia" w:hAnsi="Georgia"/>
        </w:rPr>
      </w:pPr>
    </w:p>
    <w:p w14:paraId="777E7D54" w14:textId="77777777" w:rsidR="003951EA" w:rsidRDefault="003951EA" w:rsidP="003951EA">
      <w:pPr>
        <w:rPr>
          <w:rFonts w:ascii="Georgia" w:hAnsi="Georgia"/>
        </w:rPr>
      </w:pPr>
    </w:p>
    <w:p w14:paraId="3626150B" w14:textId="77777777" w:rsidR="003951EA" w:rsidRDefault="003951EA" w:rsidP="003951EA">
      <w:pPr>
        <w:rPr>
          <w:rFonts w:ascii="Georgia" w:hAnsi="Georgia"/>
        </w:rPr>
      </w:pPr>
    </w:p>
    <w:p w14:paraId="5EE9CEFF" w14:textId="77777777" w:rsidR="003951EA" w:rsidRDefault="003951EA" w:rsidP="003951EA">
      <w:pPr>
        <w:rPr>
          <w:rFonts w:ascii="Georgia" w:hAnsi="Georgia"/>
        </w:rPr>
      </w:pPr>
    </w:p>
    <w:p w14:paraId="66CE5B51" w14:textId="77777777" w:rsidR="003951EA" w:rsidRDefault="003951EA" w:rsidP="003951EA">
      <w:pPr>
        <w:rPr>
          <w:rFonts w:ascii="Georgia" w:hAnsi="Georgia"/>
        </w:rPr>
      </w:pPr>
    </w:p>
    <w:p w14:paraId="2193BFDB" w14:textId="77777777" w:rsidR="003951EA" w:rsidRDefault="003951EA" w:rsidP="003951EA">
      <w:pPr>
        <w:rPr>
          <w:rFonts w:ascii="Georgia" w:hAnsi="Georgia"/>
        </w:rPr>
      </w:pPr>
    </w:p>
    <w:p w14:paraId="320288C8" w14:textId="77777777" w:rsidR="003951EA" w:rsidRDefault="003951EA" w:rsidP="003951EA">
      <w:pPr>
        <w:rPr>
          <w:rFonts w:ascii="Georgia" w:hAnsi="Georgia"/>
        </w:rPr>
      </w:pPr>
    </w:p>
    <w:p w14:paraId="6F10EDE0" w14:textId="77777777" w:rsidR="003951EA" w:rsidRDefault="003951EA" w:rsidP="003951EA">
      <w:pPr>
        <w:rPr>
          <w:rFonts w:ascii="Georgia" w:hAnsi="Georgia"/>
        </w:rPr>
      </w:pPr>
    </w:p>
    <w:p w14:paraId="692794E9" w14:textId="77777777" w:rsidR="003951EA" w:rsidRDefault="003951EA" w:rsidP="003951EA">
      <w:pPr>
        <w:rPr>
          <w:rFonts w:ascii="Georgia" w:hAnsi="Georgia"/>
        </w:rPr>
      </w:pPr>
    </w:p>
    <w:p w14:paraId="488C7BD6" w14:textId="77777777" w:rsidR="003951EA" w:rsidRDefault="003951EA" w:rsidP="003951EA">
      <w:pPr>
        <w:rPr>
          <w:rFonts w:ascii="Georgia" w:hAnsi="Georgia"/>
        </w:rPr>
      </w:pPr>
    </w:p>
    <w:p w14:paraId="193283A1" w14:textId="77777777" w:rsidR="003951EA" w:rsidRDefault="003951EA" w:rsidP="003951EA">
      <w:pPr>
        <w:rPr>
          <w:rFonts w:ascii="Georgia" w:hAnsi="Georgia"/>
        </w:rPr>
      </w:pPr>
    </w:p>
    <w:p w14:paraId="40978824" w14:textId="77777777" w:rsidR="003951EA" w:rsidRDefault="003951EA" w:rsidP="003951EA">
      <w:pPr>
        <w:rPr>
          <w:rFonts w:ascii="Georgia" w:hAnsi="Georgia"/>
        </w:rPr>
      </w:pPr>
    </w:p>
    <w:p w14:paraId="3632425A" w14:textId="77777777" w:rsidR="003951EA" w:rsidRDefault="003951EA" w:rsidP="003951EA">
      <w:pPr>
        <w:rPr>
          <w:rFonts w:ascii="Georgia" w:hAnsi="Georgia"/>
        </w:rPr>
      </w:pPr>
    </w:p>
    <w:p w14:paraId="418136A2" w14:textId="77777777" w:rsidR="003951EA" w:rsidRDefault="003951EA" w:rsidP="003951EA">
      <w:pPr>
        <w:rPr>
          <w:rFonts w:ascii="Georgia" w:hAnsi="Georgia"/>
        </w:rPr>
      </w:pPr>
    </w:p>
    <w:p w14:paraId="1764E199" w14:textId="77777777" w:rsidR="003951EA" w:rsidRDefault="003951EA" w:rsidP="003951EA">
      <w:pPr>
        <w:rPr>
          <w:rFonts w:ascii="Georgia" w:hAnsi="Georgia"/>
        </w:rPr>
      </w:pPr>
    </w:p>
    <w:p w14:paraId="78327760" w14:textId="77777777" w:rsidR="003951EA" w:rsidRDefault="003951EA" w:rsidP="003951EA">
      <w:pPr>
        <w:rPr>
          <w:rFonts w:ascii="Georgia" w:hAnsi="Georgia"/>
        </w:rPr>
      </w:pPr>
    </w:p>
    <w:p w14:paraId="705A298F" w14:textId="77777777" w:rsidR="003951EA" w:rsidRDefault="003951EA" w:rsidP="003951EA">
      <w:pPr>
        <w:rPr>
          <w:rFonts w:ascii="Georgia" w:hAnsi="Georgia"/>
        </w:rPr>
      </w:pPr>
    </w:p>
    <w:p w14:paraId="70F4F11E" w14:textId="6B0CDF95" w:rsidR="003951EA" w:rsidRDefault="003951EA" w:rsidP="003951EA">
      <w:pPr>
        <w:rPr>
          <w:rFonts w:ascii="Georgia" w:hAnsi="Georgia"/>
          <w:b/>
          <w:bCs/>
        </w:rPr>
      </w:pPr>
      <w:r>
        <w:rPr>
          <w:rFonts w:ascii="Georgia" w:hAnsi="Georgia"/>
          <w:b/>
          <w:bCs/>
        </w:rPr>
        <w:lastRenderedPageBreak/>
        <w:t xml:space="preserve">Bibliography: </w:t>
      </w:r>
    </w:p>
    <w:p w14:paraId="7BB0ACCA" w14:textId="77777777" w:rsidR="003951EA" w:rsidRPr="003951EA" w:rsidRDefault="003951EA" w:rsidP="003951EA">
      <w:pPr>
        <w:rPr>
          <w:rFonts w:ascii="Georgia" w:hAnsi="Georgia"/>
        </w:rPr>
      </w:pPr>
      <w:r w:rsidRPr="003951EA">
        <w:rPr>
          <w:rFonts w:ascii="Georgia" w:hAnsi="Georgia"/>
        </w:rPr>
        <w:t xml:space="preserve">Baines, J. and </w:t>
      </w:r>
      <w:proofErr w:type="spellStart"/>
      <w:r w:rsidRPr="003951EA">
        <w:rPr>
          <w:rFonts w:ascii="Georgia" w:hAnsi="Georgia"/>
        </w:rPr>
        <w:t>Jaromír</w:t>
      </w:r>
      <w:proofErr w:type="spellEnd"/>
      <w:r w:rsidRPr="003951EA">
        <w:rPr>
          <w:rFonts w:ascii="Georgia" w:hAnsi="Georgia"/>
        </w:rPr>
        <w:t xml:space="preserve"> </w:t>
      </w:r>
      <w:proofErr w:type="spellStart"/>
      <w:r w:rsidRPr="003951EA">
        <w:rPr>
          <w:rFonts w:ascii="Georgia" w:hAnsi="Georgia"/>
        </w:rPr>
        <w:t>Málek</w:t>
      </w:r>
      <w:proofErr w:type="spellEnd"/>
      <w:r w:rsidRPr="003951EA">
        <w:rPr>
          <w:rFonts w:ascii="Georgia" w:hAnsi="Georgia"/>
        </w:rPr>
        <w:t xml:space="preserve"> (1996). </w:t>
      </w:r>
      <w:r w:rsidRPr="003951EA">
        <w:rPr>
          <w:rFonts w:ascii="Georgia" w:hAnsi="Georgia"/>
          <w:i/>
          <w:iCs/>
        </w:rPr>
        <w:t>Atlas of ancient Egypt</w:t>
      </w:r>
      <w:r w:rsidRPr="003951EA">
        <w:rPr>
          <w:rFonts w:ascii="Georgia" w:hAnsi="Georgia"/>
        </w:rPr>
        <w:t>. New York, N.Y.: Facts On File Publications, pp.36–44.</w:t>
      </w:r>
    </w:p>
    <w:p w14:paraId="43E1CBED" w14:textId="77777777" w:rsidR="003951EA" w:rsidRPr="003951EA" w:rsidRDefault="003951EA" w:rsidP="003951EA">
      <w:pPr>
        <w:rPr>
          <w:rFonts w:ascii="Georgia" w:hAnsi="Georgia"/>
        </w:rPr>
      </w:pPr>
      <w:r w:rsidRPr="003951EA">
        <w:rPr>
          <w:rFonts w:ascii="Georgia" w:hAnsi="Georgia"/>
        </w:rPr>
        <w:t xml:space="preserve">Britannica (2019). Book of the Dead | ancient Egyptian text. In: </w:t>
      </w:r>
      <w:proofErr w:type="spellStart"/>
      <w:r w:rsidRPr="003951EA">
        <w:rPr>
          <w:rFonts w:ascii="Georgia" w:hAnsi="Georgia"/>
          <w:i/>
          <w:iCs/>
        </w:rPr>
        <w:t>Encyclopædia</w:t>
      </w:r>
      <w:proofErr w:type="spellEnd"/>
      <w:r w:rsidRPr="003951EA">
        <w:rPr>
          <w:rFonts w:ascii="Georgia" w:hAnsi="Georgia"/>
          <w:i/>
          <w:iCs/>
        </w:rPr>
        <w:t xml:space="preserve"> Britannica</w:t>
      </w:r>
      <w:r w:rsidRPr="003951EA">
        <w:rPr>
          <w:rFonts w:ascii="Georgia" w:hAnsi="Georgia"/>
        </w:rPr>
        <w:t>. [online] Available at: https://www.britannica.com/topic/Book-of-the-Dead-ancient-Egyptian-text.</w:t>
      </w:r>
    </w:p>
    <w:p w14:paraId="48591764" w14:textId="77777777" w:rsidR="003951EA" w:rsidRPr="003951EA" w:rsidRDefault="003951EA" w:rsidP="003951EA">
      <w:pPr>
        <w:rPr>
          <w:rFonts w:ascii="Georgia" w:hAnsi="Georgia"/>
        </w:rPr>
      </w:pPr>
      <w:r w:rsidRPr="003951EA">
        <w:rPr>
          <w:rFonts w:ascii="Georgia" w:hAnsi="Georgia"/>
        </w:rPr>
        <w:t xml:space="preserve">Lloyd, A.B. (2010). </w:t>
      </w:r>
      <w:r w:rsidRPr="003951EA">
        <w:rPr>
          <w:rFonts w:ascii="Georgia" w:hAnsi="Georgia"/>
          <w:i/>
          <w:iCs/>
        </w:rPr>
        <w:t>A companion to ancient Egypt. / Volume I</w:t>
      </w:r>
      <w:r w:rsidRPr="003951EA">
        <w:rPr>
          <w:rFonts w:ascii="Georgia" w:hAnsi="Georgia"/>
        </w:rPr>
        <w:t xml:space="preserve">. Chichester: Wiley-Blackwell, </w:t>
      </w:r>
      <w:proofErr w:type="spellStart"/>
      <w:r w:rsidRPr="003951EA">
        <w:rPr>
          <w:rFonts w:ascii="Georgia" w:hAnsi="Georgia"/>
        </w:rPr>
        <w:t>p.xxxvi</w:t>
      </w:r>
      <w:proofErr w:type="spellEnd"/>
      <w:r w:rsidRPr="003951EA">
        <w:rPr>
          <w:rFonts w:ascii="Georgia" w:hAnsi="Georgia"/>
        </w:rPr>
        <w:t>.</w:t>
      </w:r>
    </w:p>
    <w:p w14:paraId="1CE33E6F" w14:textId="77777777" w:rsidR="003951EA" w:rsidRPr="003951EA" w:rsidRDefault="003951EA" w:rsidP="003951EA">
      <w:pPr>
        <w:rPr>
          <w:rFonts w:ascii="Georgia" w:hAnsi="Georgia"/>
        </w:rPr>
      </w:pPr>
      <w:r w:rsidRPr="003951EA">
        <w:rPr>
          <w:rFonts w:ascii="Georgia" w:hAnsi="Georgia"/>
          <w:lang w:val="nl-NL"/>
        </w:rPr>
        <w:t xml:space="preserve">Lobban, R.A. and de Liedekerke, V. (2000). </w:t>
      </w:r>
      <w:r w:rsidRPr="003951EA">
        <w:rPr>
          <w:rFonts w:ascii="Georgia" w:hAnsi="Georgia"/>
        </w:rPr>
        <w:t xml:space="preserve">Elephants in Ancient Egypt and Nubia. </w:t>
      </w:r>
      <w:proofErr w:type="spellStart"/>
      <w:r w:rsidRPr="003951EA">
        <w:rPr>
          <w:rFonts w:ascii="Georgia" w:hAnsi="Georgia"/>
          <w:i/>
          <w:iCs/>
        </w:rPr>
        <w:t>Anthrozoös</w:t>
      </w:r>
      <w:proofErr w:type="spellEnd"/>
      <w:r w:rsidRPr="003951EA">
        <w:rPr>
          <w:rFonts w:ascii="Georgia" w:hAnsi="Georgia"/>
        </w:rPr>
        <w:t xml:space="preserve">, 13(4), pp.232–244. </w:t>
      </w:r>
      <w:proofErr w:type="spellStart"/>
      <w:r w:rsidRPr="003951EA">
        <w:rPr>
          <w:rFonts w:ascii="Georgia" w:hAnsi="Georgia"/>
        </w:rPr>
        <w:t>doi:https</w:t>
      </w:r>
      <w:proofErr w:type="spellEnd"/>
      <w:r w:rsidRPr="003951EA">
        <w:rPr>
          <w:rFonts w:ascii="Georgia" w:hAnsi="Georgia"/>
        </w:rPr>
        <w:t>://doi.org/10.2752/089279300786999707.</w:t>
      </w:r>
    </w:p>
    <w:p w14:paraId="54DED967" w14:textId="77777777" w:rsidR="003951EA" w:rsidRPr="003951EA" w:rsidRDefault="003951EA" w:rsidP="003951EA">
      <w:pPr>
        <w:rPr>
          <w:rFonts w:ascii="Georgia" w:hAnsi="Georgia"/>
        </w:rPr>
      </w:pPr>
      <w:r w:rsidRPr="003951EA">
        <w:rPr>
          <w:rFonts w:ascii="Georgia" w:hAnsi="Georgia"/>
        </w:rPr>
        <w:t xml:space="preserve">Madden, B. and Hugues Tavier (2018). </w:t>
      </w:r>
      <w:r w:rsidRPr="003951EA">
        <w:rPr>
          <w:rFonts w:ascii="Georgia" w:hAnsi="Georgia"/>
          <w:i/>
          <w:iCs/>
        </w:rPr>
        <w:t>Original Painting Techniques. Methods and Materials in 18th Dynasty Tombs, in the Valley of the Nobles, Egypt</w:t>
      </w:r>
      <w:r w:rsidRPr="003951EA">
        <w:rPr>
          <w:rFonts w:ascii="Georgia" w:hAnsi="Georgia"/>
        </w:rPr>
        <w:t xml:space="preserve">. [online] Tracing Technoscapes: The Production of Bronze Age Wall Paintings in the Eastern Mediterranean. </w:t>
      </w:r>
      <w:proofErr w:type="spellStart"/>
      <w:r w:rsidRPr="003951EA">
        <w:rPr>
          <w:rFonts w:ascii="Georgia" w:hAnsi="Georgia"/>
        </w:rPr>
        <w:t>Sidestone</w:t>
      </w:r>
      <w:proofErr w:type="spellEnd"/>
      <w:r w:rsidRPr="003951EA">
        <w:rPr>
          <w:rFonts w:ascii="Georgia" w:hAnsi="Georgia"/>
        </w:rPr>
        <w:t xml:space="preserve"> Press. Available at: https://www.academia.edu/75981375/Original_Painting_Techniques_Methods_and_Materials_in_18th_Dynasty_Tombs_in_the_Valley_of_the_Nobles_Egypt? [Accessed 13 Mar. 2026].</w:t>
      </w:r>
    </w:p>
    <w:p w14:paraId="04471D49" w14:textId="77777777" w:rsidR="003951EA" w:rsidRPr="003951EA" w:rsidRDefault="003951EA" w:rsidP="003951EA">
      <w:pPr>
        <w:rPr>
          <w:rFonts w:ascii="Georgia" w:hAnsi="Georgia"/>
        </w:rPr>
      </w:pPr>
      <w:r w:rsidRPr="003951EA">
        <w:rPr>
          <w:rFonts w:ascii="Georgia" w:hAnsi="Georgia"/>
        </w:rPr>
        <w:t xml:space="preserve">Strudwick, N. (2016). </w:t>
      </w:r>
      <w:r w:rsidRPr="003951EA">
        <w:rPr>
          <w:rFonts w:ascii="Georgia" w:hAnsi="Georgia"/>
          <w:i/>
          <w:iCs/>
        </w:rPr>
        <w:t xml:space="preserve">The tomb of Pharaoh’s Chancellor </w:t>
      </w:r>
      <w:proofErr w:type="spellStart"/>
      <w:r w:rsidRPr="003951EA">
        <w:rPr>
          <w:rFonts w:ascii="Georgia" w:hAnsi="Georgia"/>
          <w:i/>
          <w:iCs/>
        </w:rPr>
        <w:t>Senneferi</w:t>
      </w:r>
      <w:proofErr w:type="spellEnd"/>
      <w:r w:rsidRPr="003951EA">
        <w:rPr>
          <w:rFonts w:ascii="Georgia" w:hAnsi="Georgia"/>
          <w:i/>
          <w:iCs/>
        </w:rPr>
        <w:t xml:space="preserve"> at Thebes (TT99) Volume I : the New Kingdom</w:t>
      </w:r>
      <w:r w:rsidRPr="003951EA">
        <w:rPr>
          <w:rFonts w:ascii="Georgia" w:hAnsi="Georgia"/>
        </w:rPr>
        <w:t>. Oxford ; Havertown, Pa: Oxbow Books, p.1.</w:t>
      </w:r>
    </w:p>
    <w:p w14:paraId="373B3D55" w14:textId="77777777" w:rsidR="003951EA" w:rsidRPr="003951EA" w:rsidRDefault="003951EA" w:rsidP="003951EA">
      <w:pPr>
        <w:rPr>
          <w:rFonts w:ascii="Georgia" w:hAnsi="Georgia"/>
        </w:rPr>
      </w:pPr>
      <w:r w:rsidRPr="003951EA">
        <w:rPr>
          <w:rFonts w:ascii="Georgia" w:hAnsi="Georgia"/>
        </w:rPr>
        <w:t xml:space="preserve">The Editors of </w:t>
      </w:r>
      <w:proofErr w:type="spellStart"/>
      <w:r w:rsidRPr="003951EA">
        <w:rPr>
          <w:rFonts w:ascii="Georgia" w:hAnsi="Georgia"/>
        </w:rPr>
        <w:t>Encyclopedia</w:t>
      </w:r>
      <w:proofErr w:type="spellEnd"/>
      <w:r w:rsidRPr="003951EA">
        <w:rPr>
          <w:rFonts w:ascii="Georgia" w:hAnsi="Georgia"/>
        </w:rPr>
        <w:t xml:space="preserve"> Britannica (2018). Canopic jar | Egyptian funerary vessel. In: </w:t>
      </w:r>
      <w:proofErr w:type="spellStart"/>
      <w:r w:rsidRPr="003951EA">
        <w:rPr>
          <w:rFonts w:ascii="Georgia" w:hAnsi="Georgia"/>
          <w:i/>
          <w:iCs/>
        </w:rPr>
        <w:t>Encyclopædia</w:t>
      </w:r>
      <w:proofErr w:type="spellEnd"/>
      <w:r w:rsidRPr="003951EA">
        <w:rPr>
          <w:rFonts w:ascii="Georgia" w:hAnsi="Georgia"/>
          <w:i/>
          <w:iCs/>
        </w:rPr>
        <w:t xml:space="preserve"> Britannica</w:t>
      </w:r>
      <w:r w:rsidRPr="003951EA">
        <w:rPr>
          <w:rFonts w:ascii="Georgia" w:hAnsi="Georgia"/>
        </w:rPr>
        <w:t>. [online] Available at: https://www.britannica.com/topic/canopic-jar.</w:t>
      </w:r>
    </w:p>
    <w:p w14:paraId="76ACA81D" w14:textId="77777777" w:rsidR="003951EA" w:rsidRPr="003951EA" w:rsidRDefault="003951EA" w:rsidP="003951EA">
      <w:pPr>
        <w:rPr>
          <w:rFonts w:ascii="Georgia" w:hAnsi="Georgia"/>
        </w:rPr>
      </w:pPr>
      <w:r w:rsidRPr="003951EA">
        <w:rPr>
          <w:rFonts w:ascii="Georgia" w:hAnsi="Georgia"/>
        </w:rPr>
        <w:t xml:space="preserve">UCL (2001). </w:t>
      </w:r>
      <w:r w:rsidRPr="003951EA">
        <w:rPr>
          <w:rFonts w:ascii="Georgia" w:hAnsi="Georgia"/>
          <w:i/>
          <w:iCs/>
        </w:rPr>
        <w:t>Burial customs of the New Kingdom</w:t>
      </w:r>
      <w:r w:rsidRPr="003951EA">
        <w:rPr>
          <w:rFonts w:ascii="Georgia" w:hAnsi="Georgia"/>
        </w:rPr>
        <w:t>. [online] Ucl.ac.uk. Available at: https://www.ucl.ac.uk/museums-static//digitalegypt/burialcustoms/nk.html? [Accessed 13 Mar. 2026].</w:t>
      </w:r>
    </w:p>
    <w:p w14:paraId="66F0E81B" w14:textId="77777777" w:rsidR="003951EA" w:rsidRPr="003951EA" w:rsidRDefault="003951EA" w:rsidP="003951EA">
      <w:pPr>
        <w:rPr>
          <w:rFonts w:ascii="Georgia" w:hAnsi="Georgia"/>
          <w:b/>
          <w:bCs/>
        </w:rPr>
      </w:pPr>
    </w:p>
    <w:sectPr w:rsidR="003951EA" w:rsidRPr="00395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1EA"/>
    <w:rsid w:val="001D1819"/>
    <w:rsid w:val="003951EA"/>
    <w:rsid w:val="006E52E6"/>
    <w:rsid w:val="00893028"/>
    <w:rsid w:val="00B31D74"/>
    <w:rsid w:val="00E30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65E0E"/>
  <w15:chartTrackingRefBased/>
  <w15:docId w15:val="{49766D08-BC21-4DA8-B634-08C425133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1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1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1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1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1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1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1EA"/>
    <w:rPr>
      <w:rFonts w:eastAsiaTheme="majorEastAsia" w:cstheme="majorBidi"/>
      <w:color w:val="272727" w:themeColor="text1" w:themeTint="D8"/>
    </w:rPr>
  </w:style>
  <w:style w:type="paragraph" w:styleId="Title">
    <w:name w:val="Title"/>
    <w:basedOn w:val="Normal"/>
    <w:next w:val="Normal"/>
    <w:link w:val="TitleChar"/>
    <w:uiPriority w:val="10"/>
    <w:qFormat/>
    <w:rsid w:val="00395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1EA"/>
    <w:pPr>
      <w:spacing w:before="160"/>
      <w:jc w:val="center"/>
    </w:pPr>
    <w:rPr>
      <w:i/>
      <w:iCs/>
      <w:color w:val="404040" w:themeColor="text1" w:themeTint="BF"/>
    </w:rPr>
  </w:style>
  <w:style w:type="character" w:customStyle="1" w:styleId="QuoteChar">
    <w:name w:val="Quote Char"/>
    <w:basedOn w:val="DefaultParagraphFont"/>
    <w:link w:val="Quote"/>
    <w:uiPriority w:val="29"/>
    <w:rsid w:val="003951EA"/>
    <w:rPr>
      <w:i/>
      <w:iCs/>
      <w:color w:val="404040" w:themeColor="text1" w:themeTint="BF"/>
    </w:rPr>
  </w:style>
  <w:style w:type="paragraph" w:styleId="ListParagraph">
    <w:name w:val="List Paragraph"/>
    <w:basedOn w:val="Normal"/>
    <w:uiPriority w:val="34"/>
    <w:qFormat/>
    <w:rsid w:val="003951EA"/>
    <w:pPr>
      <w:ind w:left="720"/>
      <w:contextualSpacing/>
    </w:pPr>
  </w:style>
  <w:style w:type="character" w:styleId="IntenseEmphasis">
    <w:name w:val="Intense Emphasis"/>
    <w:basedOn w:val="DefaultParagraphFont"/>
    <w:uiPriority w:val="21"/>
    <w:qFormat/>
    <w:rsid w:val="003951EA"/>
    <w:rPr>
      <w:i/>
      <w:iCs/>
      <w:color w:val="0F4761" w:themeColor="accent1" w:themeShade="BF"/>
    </w:rPr>
  </w:style>
  <w:style w:type="paragraph" w:styleId="IntenseQuote">
    <w:name w:val="Intense Quote"/>
    <w:basedOn w:val="Normal"/>
    <w:next w:val="Normal"/>
    <w:link w:val="IntenseQuoteChar"/>
    <w:uiPriority w:val="30"/>
    <w:qFormat/>
    <w:rsid w:val="00395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1EA"/>
    <w:rPr>
      <w:i/>
      <w:iCs/>
      <w:color w:val="0F4761" w:themeColor="accent1" w:themeShade="BF"/>
    </w:rPr>
  </w:style>
  <w:style w:type="character" w:styleId="IntenseReference">
    <w:name w:val="Intense Reference"/>
    <w:basedOn w:val="DefaultParagraphFont"/>
    <w:uiPriority w:val="32"/>
    <w:qFormat/>
    <w:rsid w:val="003951E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2066</Words>
  <Characters>11780</Characters>
  <Application>Microsoft Office Word</Application>
  <DocSecurity>0</DocSecurity>
  <Lines>98</Lines>
  <Paragraphs>27</Paragraphs>
  <ScaleCrop>false</ScaleCrop>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1</cp:revision>
  <dcterms:created xsi:type="dcterms:W3CDTF">2026-03-13T18:02:00Z</dcterms:created>
  <dcterms:modified xsi:type="dcterms:W3CDTF">2026-03-13T18:04:00Z</dcterms:modified>
</cp:coreProperties>
</file>