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B3F632" w14:textId="77777777" w:rsidR="00993450" w:rsidRDefault="00993450"/>
    <w:p w14:paraId="0598E876" w14:textId="71F832A7" w:rsidR="00993450" w:rsidRDefault="00993450" w:rsidP="001F6A36">
      <w:pPr>
        <w:pStyle w:val="ListParagraph"/>
        <w:numPr>
          <w:ilvl w:val="0"/>
          <w:numId w:val="2"/>
        </w:numPr>
      </w:pPr>
    </w:p>
    <w:p w14:paraId="3BE22B7A" w14:textId="4A1C1197" w:rsidR="00A507B6" w:rsidRDefault="002E37CF" w:rsidP="00993450">
      <w:pPr>
        <w:rPr>
          <w:color w:val="EE0000"/>
        </w:rPr>
      </w:pPr>
      <w:r>
        <w:t xml:space="preserve">Employee involvement and participation </w:t>
      </w:r>
      <w:r w:rsidRPr="00A507B6">
        <w:rPr>
          <w:strike/>
        </w:rPr>
        <w:t xml:space="preserve">are </w:t>
      </w:r>
      <w:r w:rsidR="00993450" w:rsidRPr="00A507B6">
        <w:rPr>
          <w:strike/>
        </w:rPr>
        <w:t>linked</w:t>
      </w:r>
      <w:r w:rsidRPr="00A507B6">
        <w:rPr>
          <w:strike/>
        </w:rPr>
        <w:t xml:space="preserve"> to each other; however, they do differ in the way employees engage with organisational processes</w:t>
      </w:r>
      <w:r w:rsidR="00A507B6">
        <w:t xml:space="preserve"> </w:t>
      </w:r>
      <w:r w:rsidR="00A507B6">
        <w:rPr>
          <w:color w:val="EE0000"/>
        </w:rPr>
        <w:t>are related but there are different concepts that describe levels of employment engagement within an organisation.</w:t>
      </w:r>
      <w:r w:rsidR="001F6A36">
        <w:rPr>
          <w:color w:val="EE0000"/>
        </w:rPr>
        <w:t xml:space="preserve"> </w:t>
      </w:r>
    </w:p>
    <w:p w14:paraId="32FBE76A" w14:textId="55D3A5C5" w:rsidR="00321320" w:rsidRPr="00A507B6" w:rsidRDefault="002E37CF" w:rsidP="00993450">
      <w:pPr>
        <w:rPr>
          <w:strike/>
          <w:color w:val="EE0000"/>
        </w:rPr>
      </w:pPr>
      <w:r>
        <w:t xml:space="preserve"> Employee participation refers to the formal ways that employees </w:t>
      </w:r>
      <w:r w:rsidRPr="00A507B6">
        <w:rPr>
          <w:strike/>
        </w:rPr>
        <w:t>can be actively involved in decision making within the organisation. This includes practices such as team-based decision making, feedback sessions, and suggestion schemes</w:t>
      </w:r>
      <w:r>
        <w:t xml:space="preserve"> </w:t>
      </w:r>
      <w:r w:rsidR="00A507B6">
        <w:rPr>
          <w:color w:val="EE0000"/>
        </w:rPr>
        <w:t xml:space="preserve">actively influence </w:t>
      </w:r>
      <w:r w:rsidR="00EF208C">
        <w:rPr>
          <w:color w:val="EE0000"/>
        </w:rPr>
        <w:t>decision-making</w:t>
      </w:r>
      <w:r w:rsidR="00A507B6">
        <w:rPr>
          <w:color w:val="EE0000"/>
        </w:rPr>
        <w:t xml:space="preserve"> processes. Examples include team-based decision making, suggestion schemes, and structrured feedback sessions </w:t>
      </w:r>
      <w:r>
        <w:t xml:space="preserve">(Indeed, 2023). It empowers employees to </w:t>
      </w:r>
      <w:r w:rsidRPr="00A507B6">
        <w:rPr>
          <w:strike/>
        </w:rPr>
        <w:t>take part</w:t>
      </w:r>
      <w:r>
        <w:t xml:space="preserve"> </w:t>
      </w:r>
      <w:r w:rsidRPr="00A507B6">
        <w:rPr>
          <w:strike/>
        </w:rPr>
        <w:t>in shaping outcomes that affect their work and the environment they work in</w:t>
      </w:r>
      <w:r w:rsidR="00A507B6">
        <w:rPr>
          <w:strike/>
        </w:rPr>
        <w:t xml:space="preserve"> </w:t>
      </w:r>
      <w:r w:rsidR="00A507B6" w:rsidRPr="00A507B6">
        <w:rPr>
          <w:color w:val="EE0000"/>
        </w:rPr>
        <w:t xml:space="preserve">contribute </w:t>
      </w:r>
      <w:r w:rsidR="00A507B6">
        <w:rPr>
          <w:color w:val="EE0000"/>
        </w:rPr>
        <w:t>directly to decisions that affect their roles and work environments, promoting shared accountability and a sense of ownership. Brewster et al (20</w:t>
      </w:r>
      <w:r w:rsidR="00EF208C">
        <w:rPr>
          <w:color w:val="EE0000"/>
        </w:rPr>
        <w:t>15</w:t>
      </w:r>
      <w:r w:rsidR="00A507B6">
        <w:rPr>
          <w:color w:val="EE0000"/>
        </w:rPr>
        <w:t xml:space="preserve">) </w:t>
      </w:r>
      <w:r w:rsidR="00EF208C">
        <w:rPr>
          <w:color w:val="EE0000"/>
        </w:rPr>
        <w:t>highlights ‘The need to take a wider approach for long term needs of all relevant stakeholders’ this approach</w:t>
      </w:r>
      <w:r w:rsidR="00A507B6">
        <w:rPr>
          <w:color w:val="EE0000"/>
        </w:rPr>
        <w:t xml:space="preserve"> </w:t>
      </w:r>
      <w:r w:rsidR="00EF208C">
        <w:rPr>
          <w:color w:val="EE0000"/>
        </w:rPr>
        <w:t>involves</w:t>
      </w:r>
      <w:r w:rsidR="00A507B6">
        <w:rPr>
          <w:color w:val="EE0000"/>
        </w:rPr>
        <w:t xml:space="preserve"> employees having a defined and genuine role in shaping organisational outcomes, even if their influence is limited. (Armstrong &amp; Taylor, 2023, p</w:t>
      </w:r>
      <w:r w:rsidR="00EF208C">
        <w:rPr>
          <w:color w:val="EE0000"/>
        </w:rPr>
        <w:t>. 11</w:t>
      </w:r>
      <w:r w:rsidR="00A507B6">
        <w:rPr>
          <w:color w:val="EE0000"/>
        </w:rPr>
        <w:t>)</w:t>
      </w:r>
      <w:r w:rsidR="00EF208C">
        <w:rPr>
          <w:color w:val="EE0000"/>
        </w:rPr>
        <w:t xml:space="preserve"> </w:t>
      </w:r>
    </w:p>
    <w:p w14:paraId="3CD5956C" w14:textId="47B2CC11" w:rsidR="00154DB2" w:rsidRPr="00154DB2" w:rsidRDefault="002E37CF">
      <w:pPr>
        <w:rPr>
          <w:color w:val="EE0000"/>
        </w:rPr>
      </w:pPr>
      <w:r>
        <w:t xml:space="preserve">In contrast, </w:t>
      </w:r>
      <w:r w:rsidR="00A507B6">
        <w:t>E</w:t>
      </w:r>
      <w:r>
        <w:t xml:space="preserve">mployee involvement is more </w:t>
      </w:r>
      <w:r w:rsidRPr="00A507B6">
        <w:rPr>
          <w:strike/>
        </w:rPr>
        <w:t xml:space="preserve">about the level of commitment and emotional investment employees have in their work. It often involves more informal engagement, such as being consulted on decisions or given autonomy in tasks but does not always </w:t>
      </w:r>
      <w:r w:rsidR="00993450" w:rsidRPr="00A507B6">
        <w:rPr>
          <w:strike/>
        </w:rPr>
        <w:t>include</w:t>
      </w:r>
      <w:r w:rsidRPr="00A507B6">
        <w:rPr>
          <w:strike/>
        </w:rPr>
        <w:t xml:space="preserve"> the power to influence outcomes directly</w:t>
      </w:r>
      <w:r>
        <w:t xml:space="preserve"> </w:t>
      </w:r>
      <w:r w:rsidR="00A507B6">
        <w:rPr>
          <w:color w:val="EE0000"/>
        </w:rPr>
        <w:t>informal and focuses on employees being consulted of informed about changes without having decision making power. It included practices such as informal discussions, being asked for input, or being given autonomy in daily tasks</w:t>
      </w:r>
      <w:r w:rsidR="00EF208C">
        <w:rPr>
          <w:color w:val="EE0000"/>
        </w:rPr>
        <w:t>. John Rawls (1973: 183</w:t>
      </w:r>
      <w:r w:rsidR="00A507B6">
        <w:rPr>
          <w:color w:val="EE0000"/>
        </w:rPr>
        <w:t>) describe</w:t>
      </w:r>
      <w:r w:rsidR="00EF208C">
        <w:rPr>
          <w:color w:val="EE0000"/>
        </w:rPr>
        <w:t>s employee involvement by stating ‘We must treat people as ends and not in any way means and Schneider described organisations as ‘the people who are they organisation’ and their work life experience should be thought as ‘bottom up.’ Rather than ‘top down (Schneider, 1987: 450) (</w:t>
      </w:r>
      <w:r w:rsidR="00154DB2">
        <w:rPr>
          <w:color w:val="EE0000"/>
        </w:rPr>
        <w:t xml:space="preserve">Armstrong &amp; Taylor, 2023 p. </w:t>
      </w:r>
      <w:r w:rsidR="00EF208C">
        <w:rPr>
          <w:color w:val="EE0000"/>
        </w:rPr>
        <w:t>11) It</w:t>
      </w:r>
      <w:r w:rsidR="00154DB2">
        <w:rPr>
          <w:color w:val="EE0000"/>
        </w:rPr>
        <w:t xml:space="preserve"> is more about emotional commitment and engagement than formal representation.</w:t>
      </w:r>
    </w:p>
    <w:p w14:paraId="72616046" w14:textId="763F5A46" w:rsidR="002E37CF" w:rsidRPr="00154DB2" w:rsidRDefault="002E37CF">
      <w:pPr>
        <w:rPr>
          <w:strike/>
        </w:rPr>
      </w:pPr>
      <w:r w:rsidRPr="00154DB2">
        <w:rPr>
          <w:strike/>
        </w:rPr>
        <w:t xml:space="preserve">This is also the view of </w:t>
      </w:r>
      <w:r w:rsidR="00E93A83" w:rsidRPr="00154DB2">
        <w:rPr>
          <w:strike/>
        </w:rPr>
        <w:t xml:space="preserve">Brewster et al. (2007). They distinguish between involvement and participation by suggesting that involvement typically involves management consulting employees or asking their points of view, which may not always influence outcomes. They note that participation is where employees have a more defined and genuine role in decision making processes, contributing to how the organisation is run, even if the influence is limited (Brewster et al., 2007 in Armstrong &amp; Taylor, 2023) </w:t>
      </w:r>
    </w:p>
    <w:p w14:paraId="59A9A040" w14:textId="368B9EDD" w:rsidR="00154DB2" w:rsidRPr="001F6A36" w:rsidRDefault="00E93A83">
      <w:r>
        <w:t xml:space="preserve">Both methods contribute to building trust, transparency, and organisational commitment </w:t>
      </w:r>
      <w:r w:rsidR="00154DB2">
        <w:rPr>
          <w:color w:val="EE0000"/>
        </w:rPr>
        <w:t>and relationships. Invlovlemt promotes trust an</w:t>
      </w:r>
      <w:r w:rsidR="009360CB">
        <w:rPr>
          <w:color w:val="EE0000"/>
        </w:rPr>
        <w:t>d</w:t>
      </w:r>
      <w:r w:rsidR="00154DB2">
        <w:rPr>
          <w:color w:val="EE0000"/>
        </w:rPr>
        <w:t xml:space="preserve"> </w:t>
      </w:r>
      <w:r w:rsidR="009360CB">
        <w:rPr>
          <w:color w:val="EE0000"/>
        </w:rPr>
        <w:t>psychological</w:t>
      </w:r>
      <w:r w:rsidR="00154DB2">
        <w:rPr>
          <w:color w:val="EE0000"/>
        </w:rPr>
        <w:t xml:space="preserve"> safety by making employees feel heard and respected, even when their input </w:t>
      </w:r>
      <w:r w:rsidR="009360CB">
        <w:rPr>
          <w:color w:val="EE0000"/>
        </w:rPr>
        <w:t xml:space="preserve">does not alter outcomes. Participation strengthens relationships though formal inclusion and shared decision-making, encouraging collaboration and mutual respect. Used together, they support stronger organisational commitment and reduce conflict, especially through times of change. </w:t>
      </w:r>
      <w:r w:rsidRPr="00154DB2">
        <w:rPr>
          <w:strike/>
        </w:rPr>
        <w:t xml:space="preserve">whether directly or indirectly. Joint consultation is a method that managers </w:t>
      </w:r>
      <w:r w:rsidR="00993450" w:rsidRPr="00154DB2">
        <w:rPr>
          <w:strike/>
        </w:rPr>
        <w:t xml:space="preserve">can </w:t>
      </w:r>
      <w:r w:rsidRPr="00154DB2">
        <w:rPr>
          <w:strike/>
        </w:rPr>
        <w:t xml:space="preserve">use to meet with employee representatives to </w:t>
      </w:r>
      <w:r w:rsidRPr="00154DB2">
        <w:rPr>
          <w:strike/>
        </w:rPr>
        <w:lastRenderedPageBreak/>
        <w:t>discuss common interests. This helps to with decision making as well as giving employees a meaningful way to contribute</w:t>
      </w:r>
      <w:r w:rsidR="00EF208C" w:rsidRPr="00154DB2">
        <w:rPr>
          <w:strike/>
        </w:rPr>
        <w:t xml:space="preserve">. </w:t>
      </w:r>
    </w:p>
    <w:p w14:paraId="301266B4" w14:textId="13338D55" w:rsidR="00E93A83" w:rsidRPr="009360CB" w:rsidRDefault="00E93A83">
      <w:pPr>
        <w:rPr>
          <w:color w:val="EE0000"/>
        </w:rPr>
      </w:pPr>
      <w:r>
        <w:t>For example, the case involving Cougar Automation shows a real-world example where employees were heavily involved in major decisions such as voting on redundancy plans during tough financial times in the organisation.</w:t>
      </w:r>
      <w:r w:rsidR="001F6A36">
        <w:t xml:space="preserve"> </w:t>
      </w:r>
      <w:r w:rsidR="009360CB">
        <w:rPr>
          <w:color w:val="EE0000"/>
        </w:rPr>
        <w:t xml:space="preserve">This participative approach improved transparency and strengthened employee voice </w:t>
      </w:r>
      <w:r>
        <w:t xml:space="preserve"> </w:t>
      </w:r>
      <w:r w:rsidR="009360CB">
        <w:t xml:space="preserve">(CIPD, 2015)  </w:t>
      </w:r>
      <w:r w:rsidRPr="009360CB">
        <w:rPr>
          <w:strike/>
        </w:rPr>
        <w:t>Transparency and employee voice became key principles for making good decisions (Armstrong &amp; Taylor, 2023).</w:t>
      </w:r>
      <w:r w:rsidR="009360CB">
        <w:rPr>
          <w:color w:val="EE0000"/>
        </w:rPr>
        <w:t>Simila</w:t>
      </w:r>
      <w:r w:rsidR="001F6A36">
        <w:rPr>
          <w:color w:val="EE0000"/>
        </w:rPr>
        <w:t xml:space="preserve">rly, CIPD (2019) surveys highlight that many employees, particularly in the public sector, feel they lack opportunities to express opinions, emphasisng the importance of both formal and informal channels, including one-to-one meetings with managers. </w:t>
      </w:r>
    </w:p>
    <w:p w14:paraId="1873BBB4" w14:textId="3C62326A" w:rsidR="00E93A83" w:rsidRPr="001F6A36" w:rsidRDefault="00E93A83">
      <w:pPr>
        <w:rPr>
          <w:strike/>
        </w:rPr>
      </w:pPr>
      <w:r w:rsidRPr="001F6A36">
        <w:rPr>
          <w:strike/>
        </w:rPr>
        <w:t xml:space="preserve">Surveys </w:t>
      </w:r>
      <w:r w:rsidR="00993450" w:rsidRPr="001F6A36">
        <w:rPr>
          <w:strike/>
        </w:rPr>
        <w:t>conducted</w:t>
      </w:r>
      <w:r w:rsidRPr="001F6A36">
        <w:rPr>
          <w:strike/>
        </w:rPr>
        <w:t xml:space="preserve"> by CIPD in 2019 show that </w:t>
      </w:r>
      <w:r w:rsidR="00993450" w:rsidRPr="001F6A36">
        <w:rPr>
          <w:strike/>
        </w:rPr>
        <w:t>e</w:t>
      </w:r>
      <w:r w:rsidRPr="001F6A36">
        <w:rPr>
          <w:strike/>
        </w:rPr>
        <w:t xml:space="preserve">mployees </w:t>
      </w:r>
      <w:r w:rsidR="00993450" w:rsidRPr="001F6A36">
        <w:rPr>
          <w:strike/>
        </w:rPr>
        <w:t xml:space="preserve">may </w:t>
      </w:r>
      <w:r w:rsidRPr="001F6A36">
        <w:rPr>
          <w:strike/>
        </w:rPr>
        <w:t>feel they have limited opportunities to express their opinions, especially in the public sector. Informal mechanisms such as one-to-one talks with managers are crucial for encouraging employee voice</w:t>
      </w:r>
      <w:r w:rsidR="009A2A8A" w:rsidRPr="001F6A36">
        <w:rPr>
          <w:strike/>
        </w:rPr>
        <w:t xml:space="preserve"> and it also helps with overall job satisfaction.</w:t>
      </w:r>
    </w:p>
    <w:p w14:paraId="340AC532" w14:textId="0EF84054" w:rsidR="009A2A8A" w:rsidRPr="001F6A36" w:rsidRDefault="009A2A8A">
      <w:pPr>
        <w:rPr>
          <w:color w:val="EE0000"/>
        </w:rPr>
      </w:pPr>
      <w:r>
        <w:t xml:space="preserve">In conclusion, while employee involvement </w:t>
      </w:r>
      <w:r w:rsidRPr="001F6A36">
        <w:rPr>
          <w:strike/>
        </w:rPr>
        <w:t>promotes a sense of belonging</w:t>
      </w:r>
      <w:r>
        <w:t xml:space="preserve"> </w:t>
      </w:r>
      <w:r w:rsidR="001F6A36">
        <w:rPr>
          <w:color w:val="EE0000"/>
        </w:rPr>
        <w:t xml:space="preserve">builds relationships </w:t>
      </w:r>
      <w:r>
        <w:t>through informal feedback and engagement, participation empowers staff through structured representation in decision making. When used together, especially during organisational changes, these strategies create a more inclusive culture, reduce resistance to change, and contribute to more effective employment relationship management (CIPD, 2023</w:t>
      </w:r>
      <w:r w:rsidR="00EF208C">
        <w:rPr>
          <w:color w:val="EE0000"/>
        </w:rPr>
        <w:t>c</w:t>
      </w:r>
      <w:r>
        <w:t>).</w:t>
      </w:r>
      <w:r w:rsidR="001F6A36">
        <w:t xml:space="preserve"> </w:t>
      </w:r>
    </w:p>
    <w:p w14:paraId="696AAFF8" w14:textId="21F3E09F" w:rsidR="00EF208C" w:rsidRDefault="00EF208C" w:rsidP="00EF208C">
      <w:r>
        <w:t>2)</w:t>
      </w:r>
    </w:p>
    <w:p w14:paraId="0B4171E3" w14:textId="582C7798" w:rsidR="009A2A8A" w:rsidRDefault="009A2A8A">
      <w:r>
        <w:t xml:space="preserve">Union and non-union employee representation are both important for employees to express their opinions through employee voice in the workplace. While their structures and implications differ, each plays </w:t>
      </w:r>
      <w:r w:rsidR="00993450">
        <w:t>a key role</w:t>
      </w:r>
      <w:r>
        <w:t xml:space="preserve"> in supporting employee relations and workplace harmony, particularly within the complexities of the other public sector organisations like those involved in mergers.</w:t>
      </w:r>
    </w:p>
    <w:p w14:paraId="14392264" w14:textId="1CE52175" w:rsidR="009A2A8A" w:rsidRDefault="009A2A8A">
      <w:r>
        <w:t xml:space="preserve">Trade Unions are formal </w:t>
      </w:r>
      <w:r w:rsidR="00993450">
        <w:t>organisations</w:t>
      </w:r>
      <w:r>
        <w:t xml:space="preserve"> recognised by employers and are protected by statutory rights (CIP</w:t>
      </w:r>
      <w:r w:rsidR="00EF208C">
        <w:t>D</w:t>
      </w:r>
      <w:r>
        <w:t>, 2025</w:t>
      </w:r>
      <w:r w:rsidR="00EF208C" w:rsidRPr="00EF208C">
        <w:rPr>
          <w:color w:val="EE0000"/>
        </w:rPr>
        <w:t>b</w:t>
      </w:r>
      <w:r>
        <w:t xml:space="preserve">). In the UK, unions such as UNISON and GMB support employees in the public sector, </w:t>
      </w:r>
      <w:r w:rsidR="00993450">
        <w:t>advocating</w:t>
      </w:r>
      <w:r>
        <w:t xml:space="preserve"> for fair pay, safer working conditions, and job security</w:t>
      </w:r>
      <w:r w:rsidR="003400E5">
        <w:t xml:space="preserve">. Trade unions also provide individuals representation in grievances and management disciplinary hearings. This support gives employees a platform to challenge management </w:t>
      </w:r>
      <w:r w:rsidR="00993450">
        <w:t>decisions</w:t>
      </w:r>
      <w:r w:rsidR="003400E5">
        <w:t xml:space="preserve"> effectively and promotes equitable outcomes (Daniels, Chapter 22, 2022). Union representation often ensures structured dialogue between employers and employees, encouraging stability and trust. However, it may also introduce formalities that can slow down decision making or lead to hostile dynamics if not managed constructively (Armstrong &amp; Taylor, p456. 2023).</w:t>
      </w:r>
    </w:p>
    <w:p w14:paraId="56469E88" w14:textId="39E2BF0E" w:rsidR="003400E5" w:rsidRDefault="003400E5">
      <w:r>
        <w:t xml:space="preserve">Non-union forms of representation, include employee forums, staff councils and individual representatives appointed by </w:t>
      </w:r>
      <w:r w:rsidR="00993450">
        <w:t>colleagues</w:t>
      </w:r>
      <w:r>
        <w:t xml:space="preserve">. These mechanisms may not have legal bargaining </w:t>
      </w:r>
      <w:r w:rsidR="00993450">
        <w:t>power,</w:t>
      </w:r>
      <w:r>
        <w:t xml:space="preserve"> but they provide direct access to management and promote collaboration. Non-union systems are often viewed as often viewed as more flexible and aligned with organisational goals, especially in workplaces where unions are not formally recognised (Taylor &amp; Woodhams, chapter 1, 2025). </w:t>
      </w:r>
    </w:p>
    <w:p w14:paraId="25878EC9" w14:textId="19B0CE9C" w:rsidR="003400E5" w:rsidRDefault="003400E5">
      <w:r>
        <w:lastRenderedPageBreak/>
        <w:t xml:space="preserve">In merged organisations, where old structures from different </w:t>
      </w:r>
      <w:r w:rsidR="0029549D">
        <w:t>companies still exist, using both union and non-union representation can help to provide more fair support for all employees (CIPD, 2025</w:t>
      </w:r>
      <w:r w:rsidR="00EF208C" w:rsidRPr="00EF208C">
        <w:rPr>
          <w:color w:val="EE0000"/>
        </w:rPr>
        <w:t>b</w:t>
      </w:r>
      <w:r w:rsidR="0029549D">
        <w:t xml:space="preserve">) combining both union and non-union representation may offer a more </w:t>
      </w:r>
      <w:r w:rsidR="00EF208C">
        <w:t>balanced</w:t>
      </w:r>
      <w:r w:rsidR="0029549D">
        <w:t xml:space="preserve"> overview. For example, Unions could address strategic employment issues, while non-union representation may be able to support day-to-day issues that can be solved more quickly.</w:t>
      </w:r>
    </w:p>
    <w:p w14:paraId="4E26D489" w14:textId="77777777" w:rsidR="0029549D" w:rsidRDefault="0029549D"/>
    <w:p w14:paraId="1BF5F701" w14:textId="2610760A" w:rsidR="0029549D" w:rsidRDefault="0029549D">
      <w:r>
        <w:t>Both union and non-union forms of representation can exist together to promote transparency and effective communication According to CIPD (2023</w:t>
      </w:r>
      <w:r w:rsidR="00EF208C" w:rsidRPr="00EF208C">
        <w:rPr>
          <w:color w:val="EE0000"/>
        </w:rPr>
        <w:t>a</w:t>
      </w:r>
      <w:r>
        <w:t xml:space="preserve">), enabling multiple channels of communication helps organisations to remain responsive, reduce conflict and sustain morale. Leadership must ensure all representatives are trained, </w:t>
      </w:r>
      <w:r w:rsidR="00993450">
        <w:t>supported,</w:t>
      </w:r>
      <w:r>
        <w:t xml:space="preserve"> and listened to, to be able to deliver meaningful employee engagement.</w:t>
      </w:r>
    </w:p>
    <w:p w14:paraId="4AFD675A" w14:textId="77777777" w:rsidR="0029549D" w:rsidRDefault="0029549D"/>
    <w:p w14:paraId="48B99AD7" w14:textId="1892E548" w:rsidR="001F6A36" w:rsidRDefault="0029549D">
      <w:r>
        <w:t xml:space="preserve">3) </w:t>
      </w:r>
    </w:p>
    <w:p w14:paraId="2E03F916" w14:textId="32141D6D" w:rsidR="0029549D" w:rsidRDefault="0029549D">
      <w:r>
        <w:t>Employee voice refers to the framework and opportunities through which employees can express their opinions, concerns, and suggestions within an organisation (Wilkenson et al, 2022:1, in Armstrong</w:t>
      </w:r>
      <w:r w:rsidR="001A79F8">
        <w:t xml:space="preserve">, p.479, 2023 This concept encompasses both formal channels, such as trade unions and employee forums, and informal avenues like team meetings and suggestion schemes (Taylor &amp; Woodhams, p.15, 2022). The presence and effectiveness of employee voice structures have been increasingly linked to various aspects of organisational performance, including trust, understanding risk issues and opportunities, employee engagement and innovation, </w:t>
      </w:r>
      <w:r w:rsidR="00993450">
        <w:t>retention,</w:t>
      </w:r>
      <w:r w:rsidR="001A79F8">
        <w:t xml:space="preserve"> and overall workplace culture. (Taylor &amp; Woodhams, p17, 202).</w:t>
      </w:r>
    </w:p>
    <w:p w14:paraId="7AB63AC4" w14:textId="135BBC1E" w:rsidR="001A79F8" w:rsidRDefault="001A79F8">
      <w:r>
        <w:t>Moreover, the CIPD</w:t>
      </w:r>
      <w:r w:rsidR="00EF208C">
        <w:t xml:space="preserve"> </w:t>
      </w:r>
      <w:r w:rsidR="00EF208C" w:rsidRPr="00EF208C">
        <w:rPr>
          <w:color w:val="EE0000"/>
        </w:rPr>
        <w:t xml:space="preserve">(2025a) </w:t>
      </w:r>
      <w:r w:rsidR="00EF208C" w:rsidRPr="00EF208C">
        <w:rPr>
          <w:color w:val="000000" w:themeColor="text1"/>
        </w:rPr>
        <w:t>highlights</w:t>
      </w:r>
      <w:r>
        <w:t xml:space="preserve"> that effective employee’s voice contributes to a more positive workplace, promoting trust and mutual respect between employers and employees. This environment encourages employees to share ideas and concerns without fear or backlash, leading to job satisfaction and commitment.</w:t>
      </w:r>
    </w:p>
    <w:p w14:paraId="490EBA44" w14:textId="71BA878F" w:rsidR="001A79F8" w:rsidRDefault="001A79F8">
      <w:r>
        <w:t xml:space="preserve">In the context of hybrid and remote working models, the importance of employee voice has become even more important. Woodfield </w:t>
      </w:r>
      <w:r w:rsidR="00246710">
        <w:t xml:space="preserve">emphasises that in such settings, enabling employee voice is crucial for developing sustainable working patterns and maintaining engagement (Woodfield, </w:t>
      </w:r>
      <w:r w:rsidR="00993450">
        <w:t>2022; one</w:t>
      </w:r>
      <w:r w:rsidR="00246710">
        <w:t>, in Armstrong &amp; Taylor, p479, 2023). Without physical interactions and communication, there is a fear that employees may feel undervalued and unheard which can affect organisational performance.</w:t>
      </w:r>
    </w:p>
    <w:p w14:paraId="744BEBEA" w14:textId="3E31AD2D" w:rsidR="009A2A8A" w:rsidRDefault="00246710">
      <w:r>
        <w:t>However, the relationship between employee</w:t>
      </w:r>
      <w:r w:rsidR="00CE1198">
        <w:t xml:space="preserve"> voice and organisational performance is not without challenges. The effectiveness of promoting employee voice depends on organisational culture and communication from management, If employees feel that their input is disregarded or leads to negative consequences, it can result in mistrust and decreased moral, ultimately reducing performance .Therefore,  it increases the importance for organisations to not only establish channels for employee voice but also to act on feedback received, demonstrating a genuine commitment to employee involvement. </w:t>
      </w:r>
    </w:p>
    <w:p w14:paraId="6B517494" w14:textId="4EAB77B5" w:rsidR="00CE1198" w:rsidRDefault="00CE1198">
      <w:r>
        <w:t xml:space="preserve">Employee voice plays a vital role in enhancing organisational performance. By promoting open communication, trust and employee engagement, organisations can influence insights and </w:t>
      </w:r>
      <w:r>
        <w:lastRenderedPageBreak/>
        <w:t xml:space="preserve">contributions from the workplace to drive innovation and efficiency. Nevertheless, the success of these initiatives’ rests on the authenticity of the structures in place and the organisational commitment to valuing an acting upon employee input. </w:t>
      </w:r>
    </w:p>
    <w:p w14:paraId="2B14B8A6" w14:textId="52FB6393" w:rsidR="001F6A36" w:rsidRDefault="00CE1198">
      <w:r>
        <w:t>4)</w:t>
      </w:r>
      <w:r w:rsidR="001F6A36">
        <w:t xml:space="preserve"> 400</w:t>
      </w:r>
    </w:p>
    <w:p w14:paraId="458D3887" w14:textId="44FCA362" w:rsidR="00CE1198" w:rsidRDefault="00CE1198">
      <w:r>
        <w:t xml:space="preserve"> </w:t>
      </w:r>
      <w:r w:rsidR="00CC6D3A">
        <w:t>The concept of better working lives re</w:t>
      </w:r>
      <w:r w:rsidR="00D454A7">
        <w:t xml:space="preserve">fers to the creation of work environments that are fulfilling, inclusive and sustainable, contributing to the holistic well-being of employees. This includes physical, emotional, social, and career well-being, alongside fair reward, job security, and work life balance. The June 2024 CIPD survey report emphasises </w:t>
      </w:r>
      <w:r w:rsidR="005E12BA">
        <w:t>that</w:t>
      </w:r>
      <w:r w:rsidR="00D454A7">
        <w:t xml:space="preserve"> improving working lives is central to responsible people management and is linked to productivity, engagement, and retention. </w:t>
      </w:r>
    </w:p>
    <w:p w14:paraId="0EA9886D" w14:textId="4C7FD88C" w:rsidR="00D454A7" w:rsidRDefault="00D454A7">
      <w:r>
        <w:t xml:space="preserve">Better working lives are based on </w:t>
      </w:r>
      <w:r w:rsidR="00993450">
        <w:t xml:space="preserve">these </w:t>
      </w:r>
      <w:r>
        <w:t>core principles</w:t>
      </w:r>
      <w:r w:rsidR="00EF208C">
        <w:t>,</w:t>
      </w:r>
      <w:r>
        <w:t xml:space="preserve"> Meaningful work, autonomy, development opportunities, supportive leadership, and healthy work life balance. Armstrong and Tayor note that achieving these outcomes requires an integrated HR strategy that focuses on both the physical and psychological aspects of the work environment. I</w:t>
      </w:r>
      <w:r w:rsidR="00CA4344">
        <w:t>n a post-merger context, where change can create uncertainty or stress, designing better working lives becomes even more critical to support staff through the transition.</w:t>
      </w:r>
    </w:p>
    <w:p w14:paraId="58B1E23D" w14:textId="57882F9E" w:rsidR="00CA4344" w:rsidRDefault="00CA4344">
      <w:r>
        <w:t>Job design plays a role in this process. Roles should be clearly defined, manageable, and provide a sense of purpose and contribution</w:t>
      </w:r>
      <w:r w:rsidR="00993450">
        <w:t xml:space="preserve">. </w:t>
      </w:r>
      <w:r>
        <w:t>Wilkinson</w:t>
      </w:r>
      <w:r w:rsidR="005E12BA">
        <w:t xml:space="preserve"> and Taylor both agree</w:t>
      </w:r>
      <w:r>
        <w:t xml:space="preserve"> that developing an accurate job description and person specification is essential for staff to understand their roles and how their work contributes to the wider organisation are more likely </w:t>
      </w:r>
      <w:r w:rsidR="005E12BA">
        <w:t>to report</w:t>
      </w:r>
      <w:r>
        <w:t xml:space="preserve"> satisfaction </w:t>
      </w:r>
      <w:r w:rsidR="005E12BA">
        <w:t>and lower levels of stress. (Taylor &amp; Wilkinson, chapter 2, 2022). Incorporating employee feedback into job design can improve ownership and engagement.</w:t>
      </w:r>
    </w:p>
    <w:p w14:paraId="0D0F38AE" w14:textId="7547CA8C" w:rsidR="005E12BA" w:rsidRDefault="005E12BA">
      <w:r>
        <w:t xml:space="preserve">Flexibility is another key element. With more organisations choosing hybrid working, expectations have changed, with employees seeking roles that accommodate their personal circumstances. Taylor and Woodhams explain that flexible working arrangements, such as job shares, remote </w:t>
      </w:r>
      <w:r w:rsidR="00993450">
        <w:t>working,</w:t>
      </w:r>
      <w:r>
        <w:t xml:space="preserve"> and compressed hours, can promote inclusion and accessibility, particularly for carers, disabled </w:t>
      </w:r>
      <w:r w:rsidR="00993450">
        <w:t>employees,</w:t>
      </w:r>
      <w:r>
        <w:t xml:space="preserve"> and others with specific needs.</w:t>
      </w:r>
    </w:p>
    <w:p w14:paraId="32C42451" w14:textId="481FA2CE" w:rsidR="005E12BA" w:rsidRDefault="005E12BA">
      <w:r>
        <w:t xml:space="preserve">Health and wellbeing initiatives must also be embedded into organisational practices. These could include check ins, and supportive absence management procedures (Armstrong, 2023, p.491-93) Leadership can also play a crucial role in modelling healthy behaviours and maintain open lines of communication. A culture of psychological safety, where employees feel secure in expressing concerns or ideas, can contribute to quality of work. </w:t>
      </w:r>
    </w:p>
    <w:p w14:paraId="529793B2" w14:textId="417ECCBE" w:rsidR="005E12BA" w:rsidRDefault="005E12BA">
      <w:r>
        <w:t>The pursuit of better working lives should involve open communication, staff contribution opportunities and supportive management. Employee surveys and feedback platforms can identify issues and how to improve progress.</w:t>
      </w:r>
    </w:p>
    <w:p w14:paraId="585EA7C4" w14:textId="6C11D23A" w:rsidR="005E12BA" w:rsidRDefault="005E12BA">
      <w:r>
        <w:t xml:space="preserve">Better working lives must be strategically designed through inclusive practices, responsive </w:t>
      </w:r>
      <w:r w:rsidR="00993450">
        <w:t>leadership,</w:t>
      </w:r>
      <w:r>
        <w:t xml:space="preserve"> and sustainable working practices. When done effectively, this can contribute not only to individual well-being but also to organisational resilience </w:t>
      </w:r>
      <w:r w:rsidR="001A1B8A">
        <w:t>and performance.</w:t>
      </w:r>
    </w:p>
    <w:p w14:paraId="73C60819" w14:textId="77777777" w:rsidR="001A1B8A" w:rsidRDefault="001A1B8A"/>
    <w:p w14:paraId="437F7317" w14:textId="417429C7" w:rsidR="001F6A36" w:rsidRDefault="001A1B8A">
      <w:r>
        <w:lastRenderedPageBreak/>
        <w:t xml:space="preserve">5) </w:t>
      </w:r>
      <w:r w:rsidR="001F6A36">
        <w:t>340</w:t>
      </w:r>
    </w:p>
    <w:p w14:paraId="7DF9F820" w14:textId="1127EB6D" w:rsidR="001A1B8A" w:rsidRDefault="001A1B8A">
      <w:r>
        <w:t xml:space="preserve">Organisational conflict refers to disagreements and clashes that arise between individuals or groups with a workplace, often resulting from differing values, goals, </w:t>
      </w:r>
      <w:r w:rsidR="00993450">
        <w:t>interests,</w:t>
      </w:r>
      <w:r>
        <w:t xml:space="preserve"> or perceptions. Misbehaviour, on the other hand, refers to deliberate actions that go against organisation policies or expectations, such as absenteeism, failure to follow rules or work sabotage. While conflict can sometimes be constructive and lead to innovation or better decision making, misbehaviour is </w:t>
      </w:r>
      <w:r w:rsidR="00993450">
        <w:t>viewed</w:t>
      </w:r>
      <w:r>
        <w:t xml:space="preserve"> as detrimental to organisational effectiveness and morale. </w:t>
      </w:r>
    </w:p>
    <w:p w14:paraId="7DEE2EA1" w14:textId="7903A8BC" w:rsidR="00453021" w:rsidRDefault="001A1B8A">
      <w:r>
        <w:t xml:space="preserve">According to Armstrong and Taylor, </w:t>
      </w:r>
      <w:r w:rsidR="00453021">
        <w:t>conflict</w:t>
      </w:r>
      <w:r>
        <w:t xml:space="preserve"> in organisations may </w:t>
      </w:r>
      <w:r w:rsidR="00453021">
        <w:t>occur</w:t>
      </w:r>
      <w:r>
        <w:t xml:space="preserve"> due to structural factors such as poor communication, unclear job roles, or competing interest between departments. It may be functional when managed correctly</w:t>
      </w:r>
      <w:r w:rsidR="00453021">
        <w:t xml:space="preserve">, as it can generate dialogue, promote </w:t>
      </w:r>
      <w:r w:rsidR="00993450">
        <w:t>creativity,</w:t>
      </w:r>
      <w:r w:rsidR="00453021">
        <w:t xml:space="preserve"> and bring hidden issues to the surface. Inc contract, misbehaviour is often an individual or collective response to perceived injustice of satisfaction and can manifest in ways such as reduced effort (also known as ‘working to rule’) (Daniels, p 58, 2022). Taylor and Woodhams highlight that recognising the distinction between conflict and misbehaviour is essential for developing appropriate responses. For example, an employee raising concerns about workload is engaging in a form of conflict that could be resolved through an informal chat or policy review, whereas an employee who deliberately violates safety protocols despite warnings is demonstrating misbehaviour which may require formal disciplinary action. </w:t>
      </w:r>
    </w:p>
    <w:p w14:paraId="691FB5D7" w14:textId="5FA33E03" w:rsidR="00453021" w:rsidRDefault="00453021">
      <w:r>
        <w:t xml:space="preserve">CIPD </w:t>
      </w:r>
      <w:r w:rsidRPr="00EF208C">
        <w:rPr>
          <w:color w:val="EE0000"/>
        </w:rPr>
        <w:t>(2023</w:t>
      </w:r>
      <w:r w:rsidR="00EF208C" w:rsidRPr="00EF208C">
        <w:rPr>
          <w:color w:val="EE0000"/>
        </w:rPr>
        <w:t>a</w:t>
      </w:r>
      <w:r w:rsidRPr="00EF208C">
        <w:rPr>
          <w:color w:val="EE0000"/>
        </w:rPr>
        <w:t xml:space="preserve">) </w:t>
      </w:r>
      <w:r>
        <w:t>recommends that organisations adopt a resolution-focused approach that seeks to understand the root cause of conflict and promote open communication. Post-merger environments, like the scenario described, are prone to both conflict and misbehaviour due to uncertainty, changes in management and new culture dynamics. Leadership must be ready to respond fairly and proportionately making sure to differentiate between issues that need mediation versus those needing disciplinary action.</w:t>
      </w:r>
    </w:p>
    <w:p w14:paraId="24DAFFAD" w14:textId="563EA3E1" w:rsidR="00453021" w:rsidRDefault="00993450">
      <w:r>
        <w:t>Effective</w:t>
      </w:r>
      <w:r w:rsidR="00453021">
        <w:t xml:space="preserve"> management of both organisational conflict and misbehaviour is crucial for maintaining a positive working environment. Identifying early signs and encouraging employees to voice concerns safely can prevent escalation. Investing in training for managers in conflict resolution and behaviour management is </w:t>
      </w:r>
      <w:r w:rsidR="00EF208C">
        <w:t>a</w:t>
      </w:r>
      <w:r>
        <w:t xml:space="preserve"> </w:t>
      </w:r>
      <w:r w:rsidR="00EF208C">
        <w:t>proactive</w:t>
      </w:r>
      <w:r w:rsidR="00453021">
        <w:t xml:space="preserve"> strategy that aligns with the principles of better working lives. </w:t>
      </w:r>
    </w:p>
    <w:p w14:paraId="0D5FADD8" w14:textId="60BBFC09" w:rsidR="001F6A36" w:rsidRDefault="00453021">
      <w:r>
        <w:t xml:space="preserve">6) </w:t>
      </w:r>
    </w:p>
    <w:p w14:paraId="34FA3C3B" w14:textId="20739674" w:rsidR="00453021" w:rsidRDefault="00453021">
      <w:r>
        <w:t xml:space="preserve">In </w:t>
      </w:r>
      <w:r w:rsidR="00B60DD5">
        <w:t>today’s</w:t>
      </w:r>
      <w:r>
        <w:t xml:space="preserve"> evolving </w:t>
      </w:r>
      <w:r w:rsidR="00B60DD5">
        <w:t>workplace</w:t>
      </w:r>
      <w:r>
        <w:t xml:space="preserve">, </w:t>
      </w:r>
      <w:r w:rsidR="00993450">
        <w:t xml:space="preserve">there are </w:t>
      </w:r>
      <w:r>
        <w:t xml:space="preserve">emerging trends are shaping workplace culture, particularly around conflict and the types of industrial sanctions </w:t>
      </w:r>
      <w:r w:rsidR="00B60DD5">
        <w:t>used in response. These include the rise of hybrid and remote working, generational diversity, digital communication, and growing workplace activism.</w:t>
      </w:r>
    </w:p>
    <w:p w14:paraId="36067506" w14:textId="4DEF4FEC" w:rsidR="00B60DD5" w:rsidRDefault="00B60DD5">
      <w:r>
        <w:t xml:space="preserve">One significant trend is the increase in conflicts liked to hybrid and remote work. Disputes around expectations, performance monitoring, and fairness between remote and on-site workers are becoming more common. Both Armstrong and Taylor not that unclear boundaries and digital miscommunications often make these tensions worse, particularly when workplace policies have not kept up with changing work practices (Armstrong &amp; Taylor, chapter 33, 2023). </w:t>
      </w:r>
    </w:p>
    <w:p w14:paraId="29DDBB27" w14:textId="6AD46FC2" w:rsidR="00BF2509" w:rsidRDefault="00B60DD5">
      <w:r>
        <w:lastRenderedPageBreak/>
        <w:t>Generational differences are also a topic of conflict. Younger employees tend to prioritise flexibility, inclusion, and social values, while older workers may prefer stability and traditional structures (Fuchs</w:t>
      </w:r>
      <w:r w:rsidR="00BF2509">
        <w:t>, Fuchs</w:t>
      </w:r>
      <w:r>
        <w:t xml:space="preserve"> &amp; Lorenz, 2024, </w:t>
      </w:r>
      <w:r w:rsidR="00BF2509">
        <w:t>Purdue Global, 2023). These differing priorities can create workplace tension if not managed effectively through inclusive strategies and intergenerational dialogue (Taylor &amp; Woodhams, 2022).</w:t>
      </w:r>
    </w:p>
    <w:p w14:paraId="3C5E7E0D" w14:textId="61A209D1" w:rsidR="00BF2509" w:rsidRDefault="00BF2509">
      <w:r>
        <w:t>According to ACAS (2024) the landscape of workplace tension and industrial action in the UK is shifting. There has been a decline in formal disputes like strikes, with fewer working days lost to industrial action. In contrast, there is a noticeable rise in more complex individual issues such as whistleblowing and discrimination, which now account for a growing share of ACASs earlier cases.</w:t>
      </w:r>
    </w:p>
    <w:p w14:paraId="70F3EB79" w14:textId="616A5ECD" w:rsidR="00BF2509" w:rsidRDefault="00BF2509">
      <w:r>
        <w:t xml:space="preserve">Interestingly, employers are now more likely than trade unions to contact ACAS for support, reflecting a more </w:t>
      </w:r>
      <w:r w:rsidR="00EF208C">
        <w:t>proactive</w:t>
      </w:r>
      <w:r>
        <w:t xml:space="preserve">, employer led approach to conflict resolution. Meanwhile, ACAS reports record-high levels of disciplinary, grievance and dismissal related queries, pointing to rise in </w:t>
      </w:r>
      <w:r w:rsidR="002A4900">
        <w:t>day-to-day</w:t>
      </w:r>
      <w:r>
        <w:t xml:space="preserve"> tensions at work.</w:t>
      </w:r>
    </w:p>
    <w:p w14:paraId="36BE9D7C" w14:textId="096745B1" w:rsidR="00BF2509" w:rsidRDefault="00BF2509">
      <w:r>
        <w:t xml:space="preserve">In terms of industrial sanctions, there has been a move away from prolonged strikes toward shorter, more targeted forms of protest, often coordinated via digital platforms. </w:t>
      </w:r>
      <w:r w:rsidR="00993450">
        <w:t>E</w:t>
      </w:r>
      <w:r>
        <w:t>mployers have</w:t>
      </w:r>
      <w:r w:rsidR="00993450">
        <w:t xml:space="preserve"> been known to</w:t>
      </w:r>
      <w:r>
        <w:t xml:space="preserve"> respond</w:t>
      </w:r>
      <w:r w:rsidR="00993450">
        <w:t xml:space="preserve"> </w:t>
      </w:r>
      <w:r>
        <w:t xml:space="preserve">with legal action to limit or prevent industrial action altogether. ACAS also highlight increasing polarisation in collective disputes, where both sides are more </w:t>
      </w:r>
      <w:r w:rsidR="002A4900">
        <w:t xml:space="preserve">entrenched, making resolution more difficult. </w:t>
      </w:r>
    </w:p>
    <w:p w14:paraId="5EE0016F" w14:textId="22312C2A" w:rsidR="002A4900" w:rsidRDefault="002A4900">
      <w:r>
        <w:t xml:space="preserve">Overall, workplace conflict is becoming more personal and multifaceted. This underlines the need for stronger communication more flexible dispute resolution strategies and up to date policies that reflect modern working realities. </w:t>
      </w:r>
    </w:p>
    <w:p w14:paraId="3DEEC970" w14:textId="77777777" w:rsidR="002A4900" w:rsidRDefault="002A4900"/>
    <w:p w14:paraId="553CA9EF" w14:textId="53407C43" w:rsidR="00DB2DAE" w:rsidRDefault="002A4900">
      <w:r>
        <w:t xml:space="preserve">7) </w:t>
      </w:r>
    </w:p>
    <w:p w14:paraId="3DFF8A23" w14:textId="357B4617" w:rsidR="002A4900" w:rsidRDefault="002A4900">
      <w:r>
        <w:t xml:space="preserve">Third-party conflict resolution methods, conciliation, </w:t>
      </w:r>
      <w:r w:rsidR="00993450">
        <w:t>mediation,</w:t>
      </w:r>
      <w:r>
        <w:t xml:space="preserve"> and arbitration are used to resolve workplace disputes fairly and professionally. Each method is different in terms of how it works, how formal it is, and who makes the final decision, but they all aim to stop problems from getting worse and avoid legal action. </w:t>
      </w:r>
    </w:p>
    <w:p w14:paraId="3B0CCB81" w14:textId="63E96EBB" w:rsidR="002A4900" w:rsidRDefault="002A4900">
      <w:r>
        <w:t xml:space="preserve">Conciliation is an informal and voluntary process where a neutral third party, called a conciliator, helps the people in conflict talk to each other. The conciliator may suggest </w:t>
      </w:r>
      <w:r w:rsidR="00993450">
        <w:t>practical solutions</w:t>
      </w:r>
      <w:r>
        <w:t xml:space="preserve"> </w:t>
      </w:r>
      <w:r w:rsidR="00B741B2">
        <w:t xml:space="preserve">but </w:t>
      </w:r>
      <w:r w:rsidR="00993450">
        <w:t>does not</w:t>
      </w:r>
      <w:r w:rsidR="00B741B2">
        <w:t xml:space="preserve"> make any decisions. This method is often used in employment disputes, such as when an employee and employer disagree about treatment at work. Conciliation encourages compromise and better communication to reach a mutual agreement (ACAS, 202</w:t>
      </w:r>
      <w:r w:rsidR="00EF208C">
        <w:t>2</w:t>
      </w:r>
      <w:r w:rsidR="00B741B2">
        <w:t>)</w:t>
      </w:r>
    </w:p>
    <w:p w14:paraId="080A9834" w14:textId="184E2C55" w:rsidR="00B741B2" w:rsidRDefault="00B741B2">
      <w:r>
        <w:t xml:space="preserve">Mediation is like conciliation but slightly more structured. A mediator </w:t>
      </w:r>
      <w:r w:rsidR="00993450">
        <w:t>helps</w:t>
      </w:r>
      <w:r>
        <w:t xml:space="preserve"> both sides understand </w:t>
      </w:r>
      <w:r w:rsidR="00993450">
        <w:t>each other’s</w:t>
      </w:r>
      <w:r>
        <w:t xml:space="preserve"> point of view </w:t>
      </w:r>
      <w:r w:rsidRPr="00B741B2">
        <w:t xml:space="preserve">and work together to find a solution. The mediator does not take sides or decide but supports the parties in reaching their own agreement. Mediation is useful when the working relationship is breaking down or those but </w:t>
      </w:r>
      <w:r w:rsidR="00993450" w:rsidRPr="00B741B2">
        <w:t>there has</w:t>
      </w:r>
      <w:r w:rsidRPr="00B741B2">
        <w:t xml:space="preserve"> been a personal </w:t>
      </w:r>
      <w:r w:rsidR="00993450" w:rsidRPr="00B741B2">
        <w:t>disagreement (</w:t>
      </w:r>
      <w:r>
        <w:t>Young, 2022).</w:t>
      </w:r>
    </w:p>
    <w:p w14:paraId="243ADDE7" w14:textId="4EA70C9C" w:rsidR="00B741B2" w:rsidRDefault="00B741B2">
      <w:r w:rsidRPr="00B741B2">
        <w:lastRenderedPageBreak/>
        <w:t>Arbitration on the other hand is a more formal process an arbitrator listens to both sides and then makes a legally binding decision that both parties must accept this method is often used in more serious or collective disputes such as disagreements between trade unions and employers about pay or working conditions arbitration provides a final outcome especially when negotiation and mediation have failed</w:t>
      </w:r>
      <w:r>
        <w:t xml:space="preserve"> (ACAS, 202</w:t>
      </w:r>
      <w:r w:rsidR="00EF208C">
        <w:t>2</w:t>
      </w:r>
      <w:r>
        <w:t>).</w:t>
      </w:r>
    </w:p>
    <w:p w14:paraId="79DCCF6D" w14:textId="68849E5D" w:rsidR="00B741B2" w:rsidRDefault="00993450">
      <w:r w:rsidRPr="00B741B2">
        <w:t>It is</w:t>
      </w:r>
      <w:r w:rsidR="00B741B2" w:rsidRPr="00B741B2">
        <w:t xml:space="preserve"> important to </w:t>
      </w:r>
      <w:r w:rsidRPr="00B741B2">
        <w:t>manage</w:t>
      </w:r>
      <w:r w:rsidR="00B741B2" w:rsidRPr="00B741B2">
        <w:t xml:space="preserve"> conflict ethically and treat everyone fairly maintaining confidentiality and using neutral third parties ethical conflict resolution helps protect workplace relationships and avoids an unnecessary legal action</w:t>
      </w:r>
      <w:r w:rsidR="00B741B2">
        <w:t>.</w:t>
      </w:r>
    </w:p>
    <w:p w14:paraId="0181A658" w14:textId="5B6A789B" w:rsidR="00B741B2" w:rsidRDefault="00B741B2">
      <w:r w:rsidRPr="00B741B2">
        <w:t xml:space="preserve">For </w:t>
      </w:r>
      <w:r w:rsidR="00993450" w:rsidRPr="00B741B2">
        <w:t>example,</w:t>
      </w:r>
      <w:r w:rsidRPr="00B741B2">
        <w:t xml:space="preserve"> a people practitioner might use conciliation to settle a harassment complaint between an employee and their manager in a pay dispute between a company and the union arbitration may be the best option when talks breakdown</w:t>
      </w:r>
      <w:r>
        <w:t>.</w:t>
      </w:r>
    </w:p>
    <w:p w14:paraId="13F98880" w14:textId="2803D428" w:rsidR="00B741B2" w:rsidRDefault="00B741B2">
      <w:r w:rsidRPr="00B741B2">
        <w:t>In summary conciliation mediation support mutual agreement through discussion while arbitration involves a binding decision made by a third party</w:t>
      </w:r>
      <w:r>
        <w:t>.</w:t>
      </w:r>
    </w:p>
    <w:p w14:paraId="409E56BF" w14:textId="363A99A5" w:rsidR="00DB2DAE" w:rsidRDefault="00B741B2">
      <w:r>
        <w:t xml:space="preserve">8) </w:t>
      </w:r>
    </w:p>
    <w:p w14:paraId="299EC2D5" w14:textId="5CF47A78" w:rsidR="00866F84" w:rsidRDefault="00B741B2">
      <w:pPr>
        <w:rPr>
          <w:color w:val="EE0000"/>
        </w:rPr>
      </w:pPr>
      <w:r w:rsidRPr="00B741B2">
        <w:t xml:space="preserve">UK </w:t>
      </w:r>
      <w:r w:rsidR="00866F84">
        <w:t xml:space="preserve">employment </w:t>
      </w:r>
      <w:r w:rsidRPr="00B741B2">
        <w:t xml:space="preserve">law protects employees from unfair dismissal </w:t>
      </w:r>
      <w:r w:rsidR="00866F84">
        <w:t>through</w:t>
      </w:r>
      <w:r w:rsidRPr="00B741B2">
        <w:t xml:space="preserve"> the </w:t>
      </w:r>
      <w:r w:rsidR="00993450">
        <w:t>E</w:t>
      </w:r>
      <w:r w:rsidRPr="00B741B2">
        <w:t xml:space="preserve">mployment </w:t>
      </w:r>
      <w:r w:rsidR="00993450">
        <w:t>R</w:t>
      </w:r>
      <w:r w:rsidRPr="00B741B2">
        <w:t xml:space="preserve">ights </w:t>
      </w:r>
      <w:r w:rsidR="00993450">
        <w:t>A</w:t>
      </w:r>
      <w:r w:rsidRPr="00B741B2">
        <w:t>ct in 1996</w:t>
      </w:r>
      <w:r w:rsidR="00993450">
        <w:t>.</w:t>
      </w:r>
      <w:r w:rsidRPr="00B741B2">
        <w:t xml:space="preserve"> </w:t>
      </w:r>
      <w:r w:rsidR="00866F84">
        <w:rPr>
          <w:color w:val="EE0000"/>
        </w:rPr>
        <w:t xml:space="preserve">Section 94 provides the right not to be </w:t>
      </w:r>
      <w:r w:rsidR="00EF208C">
        <w:rPr>
          <w:color w:val="EE0000"/>
        </w:rPr>
        <w:t>‘</w:t>
      </w:r>
      <w:r w:rsidR="00866F84">
        <w:rPr>
          <w:color w:val="EE0000"/>
        </w:rPr>
        <w:t>unfairly dismissed</w:t>
      </w:r>
      <w:r w:rsidR="00EF208C">
        <w:rPr>
          <w:color w:val="EE0000"/>
        </w:rPr>
        <w:t>’</w:t>
      </w:r>
      <w:r w:rsidR="00866F84">
        <w:rPr>
          <w:color w:val="EE0000"/>
        </w:rPr>
        <w:t>, and section 98 identifies fair reasons for dismissal, including capability and conduct (</w:t>
      </w:r>
      <w:r w:rsidR="00EF208C">
        <w:rPr>
          <w:color w:val="EE0000"/>
        </w:rPr>
        <w:t>Misconduct) (</w:t>
      </w:r>
      <w:r w:rsidR="00866F84">
        <w:rPr>
          <w:color w:val="EE0000"/>
        </w:rPr>
        <w:t>Daniels, 2022</w:t>
      </w:r>
      <w:r w:rsidR="00EF208C">
        <w:rPr>
          <w:color w:val="EE0000"/>
        </w:rPr>
        <w:t>, 169</w:t>
      </w:r>
      <w:r w:rsidR="00866F84">
        <w:rPr>
          <w:color w:val="EE0000"/>
        </w:rPr>
        <w:t xml:space="preserve">) </w:t>
      </w:r>
    </w:p>
    <w:p w14:paraId="24869CD8" w14:textId="1AF6032D" w:rsidR="00B741B2" w:rsidRPr="00866F84" w:rsidRDefault="00993450">
      <w:pPr>
        <w:rPr>
          <w:strike/>
        </w:rPr>
      </w:pPr>
      <w:r>
        <w:t>A</w:t>
      </w:r>
      <w:r w:rsidR="00B741B2" w:rsidRPr="00B741B2">
        <w:t xml:space="preserve"> dismissal </w:t>
      </w:r>
      <w:r w:rsidR="00EF208C" w:rsidRPr="00B741B2">
        <w:t>is</w:t>
      </w:r>
      <w:r w:rsidR="00B741B2" w:rsidRPr="00B741B2">
        <w:t xml:space="preserve"> unfair if the employer lacks a valid reason or does not follow a fair process</w:t>
      </w:r>
      <w:r>
        <w:t>.</w:t>
      </w:r>
      <w:r w:rsidR="00B741B2" w:rsidRPr="00B741B2">
        <w:t xml:space="preserve"> </w:t>
      </w:r>
      <w:r w:rsidRPr="00866F84">
        <w:rPr>
          <w:strike/>
        </w:rPr>
        <w:t>Two</w:t>
      </w:r>
      <w:r w:rsidR="00B741B2" w:rsidRPr="00866F84">
        <w:rPr>
          <w:strike/>
        </w:rPr>
        <w:t xml:space="preserve"> common lawful reasons for dismissal are capability</w:t>
      </w:r>
      <w:r w:rsidRPr="00866F84">
        <w:rPr>
          <w:strike/>
        </w:rPr>
        <w:t>,</w:t>
      </w:r>
      <w:r w:rsidR="00B741B2" w:rsidRPr="00866F84">
        <w:rPr>
          <w:strike/>
        </w:rPr>
        <w:t xml:space="preserve"> </w:t>
      </w:r>
      <w:r w:rsidRPr="00866F84">
        <w:rPr>
          <w:strike/>
        </w:rPr>
        <w:t>(</w:t>
      </w:r>
      <w:r w:rsidR="00B741B2" w:rsidRPr="00866F84">
        <w:rPr>
          <w:strike/>
        </w:rPr>
        <w:t xml:space="preserve">such as </w:t>
      </w:r>
      <w:r w:rsidRPr="00866F84">
        <w:rPr>
          <w:strike/>
        </w:rPr>
        <w:t>deficient performance</w:t>
      </w:r>
      <w:r w:rsidR="00B741B2" w:rsidRPr="00866F84">
        <w:rPr>
          <w:strike/>
        </w:rPr>
        <w:t xml:space="preserve"> or ill health</w:t>
      </w:r>
      <w:r w:rsidRPr="00866F84">
        <w:rPr>
          <w:strike/>
        </w:rPr>
        <w:t>)</w:t>
      </w:r>
      <w:r w:rsidR="00B741B2" w:rsidRPr="00866F84">
        <w:rPr>
          <w:strike/>
        </w:rPr>
        <w:t xml:space="preserve"> and misconduct (inappropriate behaviour or rule breaking).</w:t>
      </w:r>
    </w:p>
    <w:p w14:paraId="522FFF02" w14:textId="68943E61" w:rsidR="00B741B2" w:rsidRPr="00866F84" w:rsidRDefault="00B741B2">
      <w:pPr>
        <w:rPr>
          <w:strike/>
        </w:rPr>
      </w:pPr>
      <w:r w:rsidRPr="00B741B2">
        <w:t xml:space="preserve">Capability refers to an </w:t>
      </w:r>
      <w:r w:rsidR="00993450" w:rsidRPr="00B741B2">
        <w:t>employe</w:t>
      </w:r>
      <w:r w:rsidR="00993450">
        <w:t>e’s</w:t>
      </w:r>
      <w:r w:rsidRPr="00B741B2">
        <w:t xml:space="preserve"> </w:t>
      </w:r>
      <w:r w:rsidRPr="00866F84">
        <w:rPr>
          <w:strike/>
        </w:rPr>
        <w:t>ability to perform their job effectively someone who consistently fails to meet expectations despite support and guidance dismissal may be considered fair employers are expected to give clear feedback</w:t>
      </w:r>
      <w:r w:rsidR="00993450" w:rsidRPr="00866F84">
        <w:rPr>
          <w:strike/>
        </w:rPr>
        <w:t>,</w:t>
      </w:r>
      <w:r w:rsidRPr="00866F84">
        <w:rPr>
          <w:strike/>
        </w:rPr>
        <w:t xml:space="preserve"> provide </w:t>
      </w:r>
      <w:r w:rsidR="00993450" w:rsidRPr="00866F84">
        <w:rPr>
          <w:strike/>
        </w:rPr>
        <w:t xml:space="preserve">adequate </w:t>
      </w:r>
      <w:r w:rsidRPr="00866F84">
        <w:rPr>
          <w:strike/>
        </w:rPr>
        <w:t>training or support</w:t>
      </w:r>
      <w:r w:rsidR="00993450" w:rsidRPr="00866F84">
        <w:rPr>
          <w:strike/>
        </w:rPr>
        <w:t>,</w:t>
      </w:r>
      <w:r w:rsidRPr="00866F84">
        <w:rPr>
          <w:strike/>
        </w:rPr>
        <w:t xml:space="preserve"> issue warnings and allow time for improvement</w:t>
      </w:r>
      <w:r w:rsidR="00866F84">
        <w:t xml:space="preserve"> </w:t>
      </w:r>
      <w:r w:rsidR="00866F84">
        <w:rPr>
          <w:color w:val="EE0000"/>
        </w:rPr>
        <w:t>performance or health and their ability to meet role requirements. Employers must act reasonably by offering training, support, adjustments, and improvement plans (CIPD, 2023</w:t>
      </w:r>
      <w:r w:rsidR="00EF208C">
        <w:rPr>
          <w:color w:val="EE0000"/>
        </w:rPr>
        <w:t>b</w:t>
      </w:r>
      <w:r w:rsidR="00866F84">
        <w:rPr>
          <w:color w:val="EE0000"/>
        </w:rPr>
        <w:t>) For example, a public-sector employee who continues to breach care protocols despite support co</w:t>
      </w:r>
      <w:r w:rsidR="00EF208C">
        <w:rPr>
          <w:color w:val="EE0000"/>
        </w:rPr>
        <w:t>u</w:t>
      </w:r>
      <w:r w:rsidR="00866F84">
        <w:rPr>
          <w:color w:val="EE0000"/>
        </w:rPr>
        <w:t xml:space="preserve">ld be dismissed to safeguard service users. The case of BS V </w:t>
      </w:r>
      <w:r w:rsidR="00EF208C">
        <w:rPr>
          <w:color w:val="EE0000"/>
        </w:rPr>
        <w:t>Dundee City</w:t>
      </w:r>
      <w:r w:rsidR="00866F84">
        <w:rPr>
          <w:color w:val="EE0000"/>
        </w:rPr>
        <w:t xml:space="preserve"> </w:t>
      </w:r>
      <w:r w:rsidR="00EF208C">
        <w:rPr>
          <w:color w:val="EE0000"/>
        </w:rPr>
        <w:t xml:space="preserve">Council </w:t>
      </w:r>
      <w:r w:rsidR="00EF208C">
        <w:t>(</w:t>
      </w:r>
      <w:r w:rsidR="00866F84">
        <w:rPr>
          <w:color w:val="EE0000"/>
        </w:rPr>
        <w:t>2013)</w:t>
      </w:r>
      <w:r w:rsidR="00EF208C">
        <w:rPr>
          <w:color w:val="EE0000"/>
        </w:rPr>
        <w:t xml:space="preserve"> (Daniels, 2022, p170) emphasised</w:t>
      </w:r>
      <w:r w:rsidR="00866F84">
        <w:rPr>
          <w:color w:val="EE0000"/>
        </w:rPr>
        <w:t xml:space="preserve"> consulting occupational health and considering prognosis and alternatives before dismissal for ill health. Empl</w:t>
      </w:r>
      <w:r w:rsidR="00EF208C">
        <w:rPr>
          <w:color w:val="EE0000"/>
        </w:rPr>
        <w:t>o</w:t>
      </w:r>
      <w:r w:rsidR="00866F84">
        <w:rPr>
          <w:color w:val="EE0000"/>
        </w:rPr>
        <w:t>yers must also ensure that any reasonable adjustments under the Equality Act 2010 are explored, particularly where long-term health</w:t>
      </w:r>
      <w:r w:rsidR="00EF208C">
        <w:rPr>
          <w:color w:val="EE0000"/>
        </w:rPr>
        <w:t xml:space="preserve"> issues amount to a disability. (UK Government, Equality Act, 2010). </w:t>
      </w:r>
      <w:r w:rsidRPr="00866F84">
        <w:rPr>
          <w:strike/>
        </w:rPr>
        <w:t xml:space="preserve">For </w:t>
      </w:r>
      <w:r w:rsidR="00993450" w:rsidRPr="00866F84">
        <w:rPr>
          <w:strike/>
        </w:rPr>
        <w:t>instance,</w:t>
      </w:r>
      <w:r w:rsidRPr="00866F84">
        <w:rPr>
          <w:strike/>
        </w:rPr>
        <w:t xml:space="preserve"> a care worker repeatedly missing medication administration duties despite retraining could clearly be dismissed.</w:t>
      </w:r>
    </w:p>
    <w:p w14:paraId="09BCD2E0" w14:textId="76418C04" w:rsidR="00B741B2" w:rsidRDefault="00B741B2">
      <w:pPr>
        <w:rPr>
          <w:strike/>
        </w:rPr>
      </w:pPr>
      <w:r w:rsidRPr="00B741B2">
        <w:t xml:space="preserve">Misconduct involves </w:t>
      </w:r>
      <w:r w:rsidR="00EF208C" w:rsidRPr="00EF208C">
        <w:rPr>
          <w:u w:val="single"/>
        </w:rPr>
        <w:t>a</w:t>
      </w:r>
      <w:r w:rsidRPr="00B741B2">
        <w:t xml:space="preserve"> </w:t>
      </w:r>
      <w:r w:rsidR="00EF208C" w:rsidRPr="00B741B2">
        <w:t>breach</w:t>
      </w:r>
      <w:r w:rsidR="00EF208C">
        <w:t xml:space="preserve"> of workplace rules;</w:t>
      </w:r>
      <w:r w:rsidRPr="00B741B2">
        <w:t xml:space="preserve"> </w:t>
      </w:r>
      <w:r w:rsidRPr="00EF208C">
        <w:rPr>
          <w:strike/>
        </w:rPr>
        <w:t>this can range from ordinary misconduct like repeated lateness to gross misconduct such as theft or bullying</w:t>
      </w:r>
      <w:r w:rsidR="00993450" w:rsidRPr="00EF208C">
        <w:rPr>
          <w:strike/>
        </w:rPr>
        <w:t>. G</w:t>
      </w:r>
      <w:r w:rsidRPr="00EF208C">
        <w:rPr>
          <w:strike/>
        </w:rPr>
        <w:t>ross misconduct can justify dismissal without notice</w:t>
      </w:r>
      <w:r w:rsidR="00993450" w:rsidRPr="00EF208C">
        <w:rPr>
          <w:strike/>
        </w:rPr>
        <w:t>,</w:t>
      </w:r>
      <w:r w:rsidRPr="00EF208C">
        <w:rPr>
          <w:strike/>
        </w:rPr>
        <w:t xml:space="preserve"> but only if </w:t>
      </w:r>
      <w:r w:rsidR="00993450" w:rsidRPr="00EF208C">
        <w:rPr>
          <w:strike/>
        </w:rPr>
        <w:t>it is</w:t>
      </w:r>
      <w:r w:rsidRPr="00EF208C">
        <w:rPr>
          <w:strike/>
        </w:rPr>
        <w:t xml:space="preserve"> fair and thorough disciplinary process is followed</w:t>
      </w:r>
      <w:r>
        <w:t xml:space="preserve"> </w:t>
      </w:r>
      <w:r w:rsidR="00EF208C">
        <w:rPr>
          <w:color w:val="EE0000"/>
        </w:rPr>
        <w:t xml:space="preserve">from minor (e.g., lateness) to gross misconduct (e.g., fraud or violence). Summary dismissal for gross misconduct may be lawful if a fair procedure is adhered to, including investigation, hearing, representation, and appeal, in line with the ACAS Code of Practice (ACAS, 2020) Suff highlights that employers must clearly define expected standards and apply rules consistently. </w:t>
      </w:r>
      <w:r w:rsidR="00EF208C">
        <w:rPr>
          <w:color w:val="EE0000"/>
        </w:rPr>
        <w:lastRenderedPageBreak/>
        <w:t xml:space="preserve">Transparency in communication, regular check-ins, and early intervention can help prevent disciplinary issues from escalating. </w:t>
      </w:r>
      <w:r>
        <w:t xml:space="preserve">(Suff, 2022). </w:t>
      </w:r>
      <w:r w:rsidRPr="00EF208C">
        <w:rPr>
          <w:strike/>
        </w:rPr>
        <w:t>A real example includes an employee dismissed after harassing A colleague following a formal investigation and hearing.</w:t>
      </w:r>
    </w:p>
    <w:p w14:paraId="47D4680C" w14:textId="187540FC" w:rsidR="00EF208C" w:rsidRDefault="00EF208C">
      <w:pPr>
        <w:rPr>
          <w:color w:val="EE0000"/>
        </w:rPr>
      </w:pPr>
      <w:r>
        <w:rPr>
          <w:color w:val="EE0000"/>
        </w:rPr>
        <w:t>The fairness of any dismissal depends on the reasons and the processes followed. The Burchell test requires the employer to have a genuine belief in the employee’s misconduct or underperformance, supported by reasonable grounds and a proper investigation (BHS v Burchell, in Daniels, 2002, p. 172)</w:t>
      </w:r>
    </w:p>
    <w:p w14:paraId="3612D4E4" w14:textId="6BF15CAD" w:rsidR="00B741B2" w:rsidRPr="00EF208C" w:rsidRDefault="00EF208C">
      <w:pPr>
        <w:rPr>
          <w:color w:val="EE0000"/>
        </w:rPr>
      </w:pPr>
      <w:r>
        <w:rPr>
          <w:color w:val="EE0000"/>
        </w:rPr>
        <w:t xml:space="preserve"> Employment tribunals which were introduce in 1964 with the Industrial Training Act, will assess whether the employer acted fairly.(Daniels, 2022, p.17) </w:t>
      </w:r>
      <w:r w:rsidR="00B741B2" w:rsidRPr="00B741B2">
        <w:t>To ensure a dismissal is fair employers must act reasonably and follow</w:t>
      </w:r>
      <w:r w:rsidR="00993450">
        <w:t xml:space="preserve"> a</w:t>
      </w:r>
      <w:r w:rsidR="00B741B2" w:rsidRPr="00B741B2">
        <w:t xml:space="preserve"> structured procedure this includes carrying out a full investigation to gather facts</w:t>
      </w:r>
      <w:r w:rsidR="00993450">
        <w:t>,</w:t>
      </w:r>
      <w:r w:rsidR="00B741B2" w:rsidRPr="00B741B2">
        <w:t xml:space="preserve"> </w:t>
      </w:r>
      <w:r w:rsidR="00993450">
        <w:t xml:space="preserve">and </w:t>
      </w:r>
      <w:r w:rsidR="00B741B2" w:rsidRPr="00B741B2">
        <w:t>holding a formal disciplinary hearing where the employer employee can respond to allegations and allow the employee to it be accompanied by a colleague or trade union representative for capability issues written warning should be issued to allow time for improvement unless the case involves gross misconduct where immediate dismissal may be justified throughout the process it is essential to maintain accurate written records as this helps demonstrate that a fair and lawful process was allowed and provides evidence in case of tribunal the key difference between a fair and unfair dismissa</w:t>
      </w:r>
      <w:r w:rsidR="00B741B2">
        <w:t xml:space="preserve">l </w:t>
      </w:r>
      <w:r w:rsidR="00B741B2" w:rsidRPr="00B741B2">
        <w:t>lies in both the reason for dismissal and the way the process is handled even with the valid reason not following proper procedure can make the dismissal unfair</w:t>
      </w:r>
      <w:r w:rsidR="00B741B2">
        <w:t>.</w:t>
      </w:r>
    </w:p>
    <w:p w14:paraId="180C2D19" w14:textId="46A9F29E" w:rsidR="00B741B2" w:rsidRDefault="00B741B2">
      <w:pPr>
        <w:rPr>
          <w:strike/>
        </w:rPr>
      </w:pPr>
      <w:r w:rsidRPr="00EF208C">
        <w:rPr>
          <w:strike/>
        </w:rPr>
        <w:t xml:space="preserve">Line managers play a crucial role in identifying problems early managing underperformance and addressing behavioural issues they must be trained to </w:t>
      </w:r>
      <w:r w:rsidR="00993450" w:rsidRPr="00EF208C">
        <w:rPr>
          <w:strike/>
        </w:rPr>
        <w:t>manage</w:t>
      </w:r>
      <w:r w:rsidRPr="00EF208C">
        <w:rPr>
          <w:strike/>
        </w:rPr>
        <w:t xml:space="preserve"> these situations fairly, </w:t>
      </w:r>
      <w:r w:rsidR="00993450" w:rsidRPr="00EF208C">
        <w:rPr>
          <w:strike/>
        </w:rPr>
        <w:t>ethically,</w:t>
      </w:r>
      <w:r w:rsidRPr="00EF208C">
        <w:rPr>
          <w:strike/>
        </w:rPr>
        <w:t xml:space="preserve"> and lawfully to </w:t>
      </w:r>
      <w:r w:rsidR="00993450" w:rsidRPr="00EF208C">
        <w:rPr>
          <w:strike/>
        </w:rPr>
        <w:t>protect employee</w:t>
      </w:r>
      <w:r w:rsidRPr="00EF208C">
        <w:rPr>
          <w:strike/>
        </w:rPr>
        <w:t xml:space="preserve"> rights and organisational reputation.</w:t>
      </w:r>
    </w:p>
    <w:p w14:paraId="555DD301" w14:textId="73F6068E" w:rsidR="00EF208C" w:rsidRDefault="00EF208C">
      <w:pPr>
        <w:rPr>
          <w:color w:val="EE0000"/>
        </w:rPr>
      </w:pPr>
      <w:r>
        <w:rPr>
          <w:color w:val="EE0000"/>
        </w:rPr>
        <w:t xml:space="preserve">In a post-merger public sector organisation, new managers from the private sector may lack knowledge of public sector disciplinary expectations and values, such as fairness, accountability, and equality. People professionals play a vital role in ensuring these managers are trained in legal obligations, public service values, and fair dismissal processes (Armstrong &amp; Taylor, 2023, p. 521 – 527). This includes communicating the importance of fair procedures, documentation, and consistency to reduce legal risk and keep employee trust. </w:t>
      </w:r>
    </w:p>
    <w:p w14:paraId="28E9F3CB" w14:textId="12411E4F" w:rsidR="00EF208C" w:rsidRPr="00EF208C" w:rsidRDefault="00EF208C">
      <w:pPr>
        <w:rPr>
          <w:color w:val="EE0000"/>
        </w:rPr>
      </w:pPr>
      <w:r>
        <w:rPr>
          <w:color w:val="EE0000"/>
        </w:rPr>
        <w:t xml:space="preserve">Even if there is a valid reason for dismissal, failing to follow correct protocol can make it unfair. A lawful approach to managing capability and misconduct builds a more accountable, legally compliant, and respectful working environment. These practices also support morale, and organisational culture during changes within the organisation. (Daniels, 2022 pp. 17 – 37). </w:t>
      </w:r>
    </w:p>
    <w:p w14:paraId="63DCA7B4" w14:textId="019AFA4D" w:rsidR="00EF208C" w:rsidRDefault="00B741B2">
      <w:r>
        <w:t xml:space="preserve">9) </w:t>
      </w:r>
    </w:p>
    <w:p w14:paraId="321383DC" w14:textId="132A0F22" w:rsidR="00B741B2" w:rsidRPr="00EF208C" w:rsidRDefault="00B741B2">
      <w:pPr>
        <w:rPr>
          <w:color w:val="EE0000"/>
        </w:rPr>
      </w:pPr>
      <w:r w:rsidRPr="00B741B2">
        <w:t>a grievance in the workplace is defined as a formal complaint made by an employee concerning their treatment work and conditions or the way organisational policies have been applied it reflects dissatisfaction which if unresolved can lead to decreased morale</w:t>
      </w:r>
      <w:r w:rsidR="00993450">
        <w:t>,</w:t>
      </w:r>
      <w:r w:rsidRPr="00B741B2">
        <w:t xml:space="preserve"> reduced productivity and high turnover</w:t>
      </w:r>
      <w:r>
        <w:t xml:space="preserve"> (CIPD, 202</w:t>
      </w:r>
      <w:r w:rsidR="00EF208C" w:rsidRPr="00EF208C">
        <w:rPr>
          <w:color w:val="EE0000"/>
        </w:rPr>
        <w:t>a</w:t>
      </w:r>
      <w:r>
        <w:t>).</w:t>
      </w:r>
      <w:r w:rsidR="00EF208C">
        <w:rPr>
          <w:color w:val="EE0000"/>
        </w:rPr>
        <w:t xml:space="preserve"> If unresolved, grievances can damage morale, reduce productivity, and increase turnover. Grievances may be individual and raised by one employee or even as a collective which is often brough forward through trade union or staff representatives. (Taylor &amp; Woodhams, 2022, pp.21-22).</w:t>
      </w:r>
    </w:p>
    <w:p w14:paraId="072D1EA3" w14:textId="782660AA" w:rsidR="00B741B2" w:rsidRPr="00EF208C" w:rsidRDefault="00B741B2">
      <w:pPr>
        <w:rPr>
          <w:strike/>
        </w:rPr>
      </w:pPr>
      <w:r w:rsidRPr="00EF208C">
        <w:rPr>
          <w:strike/>
        </w:rPr>
        <w:lastRenderedPageBreak/>
        <w:t>Grievances can be either individual or collective individual grievances are raised by a single employee and may involve concerns such as feeling undervalued being subjected to bullying or harassment or disputes regarding pay workload or working hours for example an employee who consistently receives a disproportionate workload compared to A to colleagues may feel unfairly treated and raise a formal complaint in contrast collective grievances are submitted by a group of employees often through a trade union or staff representative these grievances usually relate to broader work place issues such as disputes over pay health and safety concerns or changes to contractor terms that affect the team or department a typical example of might involve a group of employees raising concerns about unequal pay across the organisation for individuals performing similar roles.</w:t>
      </w:r>
    </w:p>
    <w:p w14:paraId="782EAF2E" w14:textId="5D4BDA72" w:rsidR="00B741B2" w:rsidRDefault="00B741B2">
      <w:pPr>
        <w:rPr>
          <w:strike/>
        </w:rPr>
      </w:pPr>
      <w:r w:rsidRPr="00EF208C">
        <w:rPr>
          <w:strike/>
        </w:rPr>
        <w:t>One of the primary causes of both individual and collective grievances is poor management practise this can manifest through lack of transparency inconsistent decision making or unapproachable management style ineffective communication also plays a significant role particularly when changes are made without adequate consultation or explanation</w:t>
      </w:r>
      <w:r w:rsidR="00993450" w:rsidRPr="00EF208C">
        <w:rPr>
          <w:strike/>
        </w:rPr>
        <w:t xml:space="preserve"> employees may feel distant apparently can create toxic workplace environments that result in serious grievances.</w:t>
      </w:r>
    </w:p>
    <w:p w14:paraId="7BC532B0" w14:textId="4CA45A03" w:rsidR="00EF208C" w:rsidRPr="00EF208C" w:rsidRDefault="00EF208C">
      <w:pPr>
        <w:rPr>
          <w:color w:val="EE0000"/>
        </w:rPr>
      </w:pPr>
      <w:r>
        <w:rPr>
          <w:color w:val="EE0000"/>
        </w:rPr>
        <w:t>Studies show that on average, there are approximately 374,760 formal grievance cases each year within the workplace, costing the UK economy around £8.5 Billion per year. (Taylor &amp; Woodhams, 2022, p 21).</w:t>
      </w:r>
    </w:p>
    <w:p w14:paraId="1EE0B1CC" w14:textId="53BBBA23" w:rsidR="00EF208C" w:rsidRDefault="00EF208C" w:rsidP="00EF208C">
      <w:pPr>
        <w:pStyle w:val="ListParagraph"/>
        <w:numPr>
          <w:ilvl w:val="0"/>
          <w:numId w:val="3"/>
        </w:numPr>
        <w:rPr>
          <w:color w:val="EE0000"/>
        </w:rPr>
      </w:pPr>
      <w:r>
        <w:rPr>
          <w:color w:val="EE0000"/>
        </w:rPr>
        <w:t>Poor Management practices is a leading cause of workplace grievances. This includes lack of consistency, favouritism, or failure to follow procedures fairly. In a post-merger organisation like the one described in the case study, where managers have joined from different sectors, each bringing different policies from previous organisations, may create a perception of unfair treatment. For example, applying different absence policies across different teams can lead to confusion and resentment. According to Armstrong and Taylor, Clear leadership conveys trust and a vision that everyone in the team can buy to ensure they achieve their goals. (Armstrong &amp; Taylor, 2023, p.668)</w:t>
      </w:r>
    </w:p>
    <w:p w14:paraId="03DB70C8" w14:textId="79B6A6A7" w:rsidR="00EF208C" w:rsidRDefault="00EF208C" w:rsidP="00EF208C">
      <w:pPr>
        <w:rPr>
          <w:color w:val="EE0000"/>
        </w:rPr>
      </w:pPr>
    </w:p>
    <w:p w14:paraId="0ABBC321" w14:textId="660EB074" w:rsidR="00EF208C" w:rsidRDefault="00EF208C" w:rsidP="00EF208C">
      <w:pPr>
        <w:pStyle w:val="ListParagraph"/>
        <w:numPr>
          <w:ilvl w:val="0"/>
          <w:numId w:val="3"/>
        </w:numPr>
        <w:rPr>
          <w:color w:val="EE0000"/>
        </w:rPr>
      </w:pPr>
      <w:r>
        <w:rPr>
          <w:color w:val="EE0000"/>
        </w:rPr>
        <w:t>Ineffective communication is another major cause. If changes in roles, procedures, or conditions are introduced without full consultation, employees may feel ignored or devalued. It is important to generate trust. (Armstrong &amp; Taylor, 2023, p.486). This is important in organisations who are restructuring due to uncertainty. Stokes &amp; Woodhams note that overtime, poor communication can become embedded in the organisation and cause insecurity. (Taylor &amp; Woodhams, 2022, P.216). Feelings such as these can prompt grievances. For instance, if changes in work patterns are announced without staff input, employees may escalate concerns formally, especially when it impacts work-life balance.</w:t>
      </w:r>
    </w:p>
    <w:p w14:paraId="548EC6EE" w14:textId="77777777" w:rsidR="00EF208C" w:rsidRPr="00EF208C" w:rsidRDefault="00EF208C" w:rsidP="00EF208C">
      <w:pPr>
        <w:pStyle w:val="ListParagraph"/>
        <w:rPr>
          <w:color w:val="EE0000"/>
        </w:rPr>
      </w:pPr>
    </w:p>
    <w:p w14:paraId="56CE865B" w14:textId="2B444DEF" w:rsidR="00EF208C" w:rsidRPr="00EF208C" w:rsidRDefault="00EF208C" w:rsidP="00EF208C">
      <w:pPr>
        <w:pStyle w:val="ListParagraph"/>
        <w:numPr>
          <w:ilvl w:val="0"/>
          <w:numId w:val="3"/>
        </w:numPr>
      </w:pPr>
      <w:r w:rsidRPr="00EF208C">
        <w:rPr>
          <w:color w:val="EE0000"/>
        </w:rPr>
        <w:t>Excessive workloads or role inequality can also result in grievances. Employees who consistently take on more responsibilities than the rest of the team without recognition or support, they may feel undervalued, leading to stress, burnout, and resentment, particularly if roles are not reviewed post-merger</w:t>
      </w:r>
      <w:r>
        <w:rPr>
          <w:color w:val="EE0000"/>
        </w:rPr>
        <w:t xml:space="preserve">. This is highlighted in </w:t>
      </w:r>
      <w:r w:rsidRPr="00EF208C">
        <w:rPr>
          <w:color w:val="EE0000"/>
        </w:rPr>
        <w:t>(CIPD,202</w:t>
      </w:r>
      <w:r>
        <w:rPr>
          <w:color w:val="EE0000"/>
        </w:rPr>
        <w:t xml:space="preserve">4) </w:t>
      </w:r>
    </w:p>
    <w:p w14:paraId="4C054619" w14:textId="77777777" w:rsidR="00EF208C" w:rsidRDefault="00EF208C" w:rsidP="00EF208C">
      <w:pPr>
        <w:pStyle w:val="ListParagraph"/>
      </w:pPr>
    </w:p>
    <w:p w14:paraId="68A7BD62" w14:textId="055159B9" w:rsidR="00993450" w:rsidRDefault="00EF208C" w:rsidP="00EF208C">
      <w:r>
        <w:t>To mi</w:t>
      </w:r>
      <w:r w:rsidR="00993450" w:rsidRPr="00993450">
        <w:t>nimise grievance</w:t>
      </w:r>
      <w:r w:rsidR="00993450">
        <w:t xml:space="preserve">s, </w:t>
      </w:r>
      <w:r w:rsidR="00993450" w:rsidRPr="00993450">
        <w:t>organisations must equip line managers with the skills to respond appropriately including training in conflict resolution active listening and fair application of procedures</w:t>
      </w:r>
      <w:r w:rsidR="00993450">
        <w:t xml:space="preserve">. </w:t>
      </w:r>
      <w:r w:rsidR="00993450" w:rsidRPr="00993450">
        <w:t>Promoting open communication consistency and fairness is key to preventing grievances and maintaining a positive workplace culture</w:t>
      </w:r>
      <w:r>
        <w:t xml:space="preserve"> </w:t>
      </w:r>
      <w:r w:rsidRPr="00EF208C">
        <w:rPr>
          <w:color w:val="EE0000"/>
        </w:rPr>
        <w:t>and encourages psychological safety</w:t>
      </w:r>
      <w:r>
        <w:rPr>
          <w:color w:val="EE0000"/>
        </w:rPr>
        <w:t xml:space="preserve">. A resolution-focused culture can prevent escalation and maintain a positive working environment during periods of change. </w:t>
      </w:r>
      <w:r w:rsidR="00993450">
        <w:t>(Suff, 2023; ACAS,2023).</w:t>
      </w:r>
    </w:p>
    <w:p w14:paraId="1ED1C9AE" w14:textId="77777777" w:rsidR="00EF208C" w:rsidRDefault="00EF208C" w:rsidP="00EF208C"/>
    <w:p w14:paraId="6EF77413" w14:textId="7EA066EB" w:rsidR="00EF208C" w:rsidRDefault="00993450">
      <w:r>
        <w:t xml:space="preserve">10) </w:t>
      </w:r>
      <w:r w:rsidR="00EF208C">
        <w:t xml:space="preserve"> </w:t>
      </w:r>
    </w:p>
    <w:p w14:paraId="6153B266" w14:textId="4F93438C" w:rsidR="00993450" w:rsidRDefault="00993450">
      <w:r w:rsidRPr="00993450">
        <w:t>effectively handling employee grievances essential for promoting a fair respectful a legally compliant workplace a grievance represents a formal expression of dissatisfaction from an employee concerning their work working conditions or treatment by others and how organisations address such concerns can have significant consequences on both individuals on the wider organisation</w:t>
      </w:r>
      <w:r>
        <w:t xml:space="preserve"> (CIPD, 2023</w:t>
      </w:r>
      <w:r w:rsidR="00EF208C" w:rsidRPr="00EF208C">
        <w:rPr>
          <w:color w:val="EE0000"/>
        </w:rPr>
        <w:t>a</w:t>
      </w:r>
      <w:r>
        <w:t>).</w:t>
      </w:r>
    </w:p>
    <w:p w14:paraId="6794082E" w14:textId="73CA1A29" w:rsidR="00993450" w:rsidRDefault="00993450">
      <w:r w:rsidRPr="00993450">
        <w:t>One key reason for handling grievances effectively is to avoid legal claims poor grievance management may lead to claims of unfair treatment discrimination or constructive dismissal all of which can escalate into employment tribunals resulting in financial penalties and reputational harm</w:t>
      </w:r>
      <w:r>
        <w:t xml:space="preserve"> (ACAS, 2023). </w:t>
      </w:r>
      <w:r w:rsidRPr="00993450">
        <w:t>A</w:t>
      </w:r>
      <w:r w:rsidR="00EF208C">
        <w:t>dhering</w:t>
      </w:r>
      <w:r w:rsidRPr="00993450">
        <w:t xml:space="preserve"> to fair procedures such as those outlined in </w:t>
      </w:r>
      <w:r>
        <w:t>the A</w:t>
      </w:r>
      <w:r w:rsidRPr="00993450">
        <w:t xml:space="preserve">CAS code of practise not only supports compliance with employment law but also </w:t>
      </w:r>
      <w:r w:rsidR="00EF208C" w:rsidRPr="00993450">
        <w:t>shows</w:t>
      </w:r>
      <w:r w:rsidRPr="00993450">
        <w:t xml:space="preserve"> the organisation takes complaints seriously and acts transparently</w:t>
      </w:r>
      <w:r>
        <w:t>.</w:t>
      </w:r>
    </w:p>
    <w:p w14:paraId="7689009E" w14:textId="0CF22A61" w:rsidR="00993450" w:rsidRDefault="00993450">
      <w:r w:rsidRPr="00993450">
        <w:t>In addition, safeguarding the organisations reputation is critical poorly managed grievances can damage an organisation public image and internal culture indicating to both current and potential employees that fairness and employee well-being are not priorities</w:t>
      </w:r>
      <w:r>
        <w:t xml:space="preserve"> (Armstrong, Chapter 59,2023). </w:t>
      </w:r>
      <w:r w:rsidRPr="00993450">
        <w:t>At the same time transparent and ethical handling of grievances can build employee trust and strengt</w:t>
      </w:r>
      <w:r w:rsidR="00EF208C">
        <w:t>h</w:t>
      </w:r>
      <w:r w:rsidRPr="00993450">
        <w:t xml:space="preserve"> employee branding contributed positively to organisational performance and staff engagement</w:t>
      </w:r>
      <w:r>
        <w:t xml:space="preserve"> (Armstrong, chapter 59, 2023). </w:t>
      </w:r>
    </w:p>
    <w:p w14:paraId="07554EAF" w14:textId="4833CD9D" w:rsidR="00993450" w:rsidRDefault="00993450">
      <w:r w:rsidRPr="00993450">
        <w:t>Grievances also impact teams and individuals significantly on a personal level unresolved issues can lead to stress anxiety or burnout negatively affecting mental health and productivity employees who feel unheard may disengage withdrawal goodwill or leave the organisation altogether</w:t>
      </w:r>
      <w:r>
        <w:t xml:space="preserve"> (Suff, 2023). </w:t>
      </w:r>
      <w:r w:rsidRPr="00993450">
        <w:t>At the team level unresolved grievances can damage morale create division and undermine team cohesion and collaboration</w:t>
      </w:r>
      <w:r>
        <w:t>.</w:t>
      </w:r>
    </w:p>
    <w:p w14:paraId="3F70D1A3" w14:textId="3FA45A49" w:rsidR="00993450" w:rsidRDefault="00993450">
      <w:r w:rsidRPr="00993450">
        <w:t>A real-world example of this can be seen in instances where fair and prompt grievance resolution helped retain staff</w:t>
      </w:r>
      <w:r>
        <w:t xml:space="preserve"> and</w:t>
      </w:r>
      <w:r w:rsidRPr="00993450">
        <w:t xml:space="preserve"> prevent costly recruitment conversely in organisations where complaints were ignored or mishandled such as in tribunal cases</w:t>
      </w:r>
      <w:r>
        <w:t xml:space="preserve"> where </w:t>
      </w:r>
      <w:r w:rsidRPr="00993450">
        <w:t>there were increase</w:t>
      </w:r>
      <w:r>
        <w:t>s</w:t>
      </w:r>
      <w:r w:rsidRPr="00993450">
        <w:t xml:space="preserve"> in turnover absenteeism and reputational damage</w:t>
      </w:r>
      <w:r>
        <w:t>.</w:t>
      </w:r>
    </w:p>
    <w:p w14:paraId="39214E4F" w14:textId="1CD6E21B" w:rsidR="00993450" w:rsidRDefault="00993450">
      <w:r w:rsidRPr="00993450">
        <w:t>In conclusion handling grievances affectively is a vital component of good people management it reduces legal risk protects the organisations reputation supports team performance and upholds the psychological well-being of employee’s people professionals play a critical role in ensuring process is of followed consistently and compassionately</w:t>
      </w:r>
      <w:r>
        <w:t>.</w:t>
      </w:r>
    </w:p>
    <w:p w14:paraId="53F2B187" w14:textId="77777777" w:rsidR="00B741B2" w:rsidRDefault="00B741B2"/>
    <w:p w14:paraId="64643AEC" w14:textId="77777777" w:rsidR="00B741B2" w:rsidRDefault="00B741B2"/>
    <w:p w14:paraId="3F6CC571" w14:textId="77777777" w:rsidR="00993450" w:rsidRPr="00FE6C2F" w:rsidRDefault="00993450" w:rsidP="00993450">
      <w:pPr>
        <w:rPr>
          <w:sz w:val="24"/>
          <w:szCs w:val="24"/>
        </w:rPr>
      </w:pPr>
      <w:r>
        <w:rPr>
          <w:sz w:val="24"/>
          <w:szCs w:val="24"/>
        </w:rPr>
        <w:t xml:space="preserve">Bibliography </w:t>
      </w:r>
    </w:p>
    <w:p w14:paraId="25443B30" w14:textId="33CF45AA" w:rsidR="00EF208C" w:rsidRPr="00EF208C" w:rsidRDefault="00993450" w:rsidP="00EF208C">
      <w:r w:rsidRPr="00FE6C2F">
        <w:rPr>
          <w:sz w:val="24"/>
          <w:szCs w:val="24"/>
        </w:rPr>
        <w:br/>
      </w:r>
      <w:r w:rsidR="00EF208C" w:rsidRPr="00EF208C">
        <w:t xml:space="preserve">ACAS (2020) </w:t>
      </w:r>
      <w:r w:rsidR="00EF208C" w:rsidRPr="00EF208C">
        <w:rPr>
          <w:i/>
          <w:iCs/>
        </w:rPr>
        <w:t>Discipline and grievances at work: The Acas guide</w:t>
      </w:r>
      <w:r w:rsidR="00EF208C" w:rsidRPr="00EF208C">
        <w:t xml:space="preserve">. Available at: </w:t>
      </w:r>
      <w:hyperlink r:id="rId8" w:tgtFrame="_new" w:history="1">
        <w:r w:rsidR="00EF208C" w:rsidRPr="00EF208C">
          <w:rPr>
            <w:rStyle w:val="Hyperlink"/>
          </w:rPr>
          <w:t>https://www.acas.org.uk/sites/default/files/2022-04/discipline-and-grievances-at-work-the-acas-guide.pdf</w:t>
        </w:r>
      </w:hyperlink>
      <w:r w:rsidR="00EF208C" w:rsidRPr="00EF208C">
        <w:t xml:space="preserve"> (Accessed: 16 May 2025).</w:t>
      </w:r>
    </w:p>
    <w:p w14:paraId="459F66FA" w14:textId="54A8EEEE" w:rsidR="00EF208C" w:rsidRPr="00EF208C" w:rsidRDefault="00EF208C" w:rsidP="00EF208C">
      <w:pPr>
        <w:rPr>
          <w:sz w:val="24"/>
          <w:szCs w:val="24"/>
        </w:rPr>
      </w:pPr>
      <w:r w:rsidRPr="00EF208C">
        <w:rPr>
          <w:sz w:val="24"/>
          <w:szCs w:val="24"/>
        </w:rPr>
        <w:t xml:space="preserve"> ACAS (2022) </w:t>
      </w:r>
      <w:r w:rsidRPr="00EF208C">
        <w:rPr>
          <w:i/>
          <w:iCs/>
          <w:sz w:val="24"/>
          <w:szCs w:val="24"/>
        </w:rPr>
        <w:t>Arbitration</w:t>
      </w:r>
      <w:r w:rsidRPr="00EF208C">
        <w:rPr>
          <w:sz w:val="24"/>
          <w:szCs w:val="24"/>
        </w:rPr>
        <w:t xml:space="preserve">. Available at: </w:t>
      </w:r>
      <w:hyperlink r:id="rId9" w:tgtFrame="_new" w:history="1">
        <w:r w:rsidRPr="00EF208C">
          <w:rPr>
            <w:rStyle w:val="Hyperlink"/>
            <w:sz w:val="24"/>
            <w:szCs w:val="24"/>
          </w:rPr>
          <w:t>https://www.acas.org.uk/arbitration</w:t>
        </w:r>
      </w:hyperlink>
    </w:p>
    <w:p w14:paraId="35F206DB" w14:textId="77777777" w:rsidR="00EF208C" w:rsidRDefault="00EF208C" w:rsidP="00EF208C">
      <w:pPr>
        <w:rPr>
          <w:sz w:val="24"/>
          <w:szCs w:val="24"/>
        </w:rPr>
      </w:pPr>
      <w:r w:rsidRPr="00EF208C">
        <w:rPr>
          <w:sz w:val="24"/>
          <w:szCs w:val="24"/>
        </w:rPr>
        <w:t xml:space="preserve">ACAS (2024) </w:t>
      </w:r>
      <w:r w:rsidRPr="00EF208C">
        <w:rPr>
          <w:i/>
          <w:iCs/>
          <w:sz w:val="24"/>
          <w:szCs w:val="24"/>
        </w:rPr>
        <w:t>Dispute in the workplace: a story of change and complexity</w:t>
      </w:r>
      <w:r w:rsidRPr="00EF208C">
        <w:rPr>
          <w:sz w:val="24"/>
          <w:szCs w:val="24"/>
        </w:rPr>
        <w:t xml:space="preserve">. [online] Acas. Available at: </w:t>
      </w:r>
      <w:hyperlink r:id="rId10" w:tgtFrame="_new" w:history="1">
        <w:r w:rsidRPr="00EF208C">
          <w:rPr>
            <w:rStyle w:val="Hyperlink"/>
            <w:sz w:val="24"/>
            <w:szCs w:val="24"/>
          </w:rPr>
          <w:t>https://www.acas.org.uk/dispute-in-the-workplace-a-story-of-change-and-complexity</w:t>
        </w:r>
      </w:hyperlink>
      <w:r w:rsidRPr="00EF208C">
        <w:rPr>
          <w:sz w:val="24"/>
          <w:szCs w:val="24"/>
        </w:rPr>
        <w:t xml:space="preserve"> (Accessed: 16 May 2025).</w:t>
      </w:r>
    </w:p>
    <w:p w14:paraId="68928637" w14:textId="5FB821B5" w:rsidR="00EF208C" w:rsidRPr="00EF208C" w:rsidRDefault="00EF208C" w:rsidP="00EF208C">
      <w:pPr>
        <w:rPr>
          <w:sz w:val="24"/>
          <w:szCs w:val="24"/>
        </w:rPr>
      </w:pPr>
      <w:r w:rsidRPr="00EF208C">
        <w:rPr>
          <w:sz w:val="24"/>
          <w:szCs w:val="24"/>
        </w:rPr>
        <w:t xml:space="preserve">  Armstrong, M. &amp; Taylor, S. (2023) </w:t>
      </w:r>
      <w:r w:rsidRPr="00EF208C">
        <w:rPr>
          <w:i/>
          <w:iCs/>
          <w:sz w:val="24"/>
          <w:szCs w:val="24"/>
        </w:rPr>
        <w:t>Armstrong’s Handbook of Human Resource Management Practice</w:t>
      </w:r>
      <w:r w:rsidRPr="00EF208C">
        <w:rPr>
          <w:sz w:val="24"/>
          <w:szCs w:val="24"/>
        </w:rPr>
        <w:t>. 16th edn. London: Kogan Page.</w:t>
      </w:r>
    </w:p>
    <w:p w14:paraId="5833E1D7" w14:textId="6638726D" w:rsidR="00EF208C" w:rsidRPr="00EF208C" w:rsidRDefault="00EF208C" w:rsidP="00EF208C">
      <w:pPr>
        <w:rPr>
          <w:sz w:val="24"/>
          <w:szCs w:val="24"/>
        </w:rPr>
      </w:pPr>
      <w:r w:rsidRPr="00EF208C">
        <w:rPr>
          <w:sz w:val="24"/>
          <w:szCs w:val="24"/>
        </w:rPr>
        <w:t xml:space="preserve"> Brewster, C., Gollan, P.J. and Wright, P.M. (2007) </w:t>
      </w:r>
      <w:r w:rsidRPr="00EF208C">
        <w:rPr>
          <w:i/>
          <w:iCs/>
          <w:sz w:val="24"/>
          <w:szCs w:val="24"/>
        </w:rPr>
        <w:t>Human resource management: Contemporary issues, challenges, and opportunities</w:t>
      </w:r>
      <w:r w:rsidRPr="00EF208C">
        <w:rPr>
          <w:sz w:val="24"/>
          <w:szCs w:val="24"/>
        </w:rPr>
        <w:t>. Oxford: Oxford University Press.</w:t>
      </w:r>
    </w:p>
    <w:p w14:paraId="596BEA98" w14:textId="07944DF5" w:rsidR="00EF208C" w:rsidRPr="00EF208C" w:rsidRDefault="00EF208C" w:rsidP="00EF208C">
      <w:pPr>
        <w:rPr>
          <w:sz w:val="24"/>
          <w:szCs w:val="24"/>
        </w:rPr>
      </w:pPr>
      <w:r w:rsidRPr="00EF208C">
        <w:rPr>
          <w:sz w:val="24"/>
          <w:szCs w:val="24"/>
        </w:rPr>
        <w:t xml:space="preserve">CIPD (2015) </w:t>
      </w:r>
      <w:r w:rsidRPr="00EF208C">
        <w:rPr>
          <w:i/>
          <w:iCs/>
          <w:sz w:val="24"/>
          <w:szCs w:val="24"/>
        </w:rPr>
        <w:t>Best to Good Practice HR: Developing the principles</w:t>
      </w:r>
      <w:r w:rsidRPr="00EF208C">
        <w:rPr>
          <w:sz w:val="24"/>
          <w:szCs w:val="24"/>
        </w:rPr>
        <w:t xml:space="preserve">. Available at: </w:t>
      </w:r>
      <w:hyperlink r:id="rId11" w:tgtFrame="_new" w:history="1">
        <w:r w:rsidRPr="00EF208C">
          <w:rPr>
            <w:rStyle w:val="Hyperlink"/>
            <w:sz w:val="24"/>
            <w:szCs w:val="24"/>
          </w:rPr>
          <w:t>http://www.cipd.co.uk/hr-resouces/research/best-good-practice-hr-developing-principle-profession.aspx</w:t>
        </w:r>
      </w:hyperlink>
      <w:r w:rsidRPr="00EF208C">
        <w:rPr>
          <w:sz w:val="24"/>
          <w:szCs w:val="24"/>
        </w:rPr>
        <w:t xml:space="preserve"> (archived at </w:t>
      </w:r>
      <w:hyperlink r:id="rId12" w:tgtFrame="_new" w:history="1">
        <w:r w:rsidRPr="00EF208C">
          <w:rPr>
            <w:rStyle w:val="Hyperlink"/>
            <w:sz w:val="24"/>
            <w:szCs w:val="24"/>
          </w:rPr>
          <w:t>https://perma.cc/QW3F-UVJV</w:t>
        </w:r>
      </w:hyperlink>
      <w:r w:rsidRPr="00EF208C">
        <w:rPr>
          <w:sz w:val="24"/>
          <w:szCs w:val="24"/>
        </w:rPr>
        <w:t>) (Accessed: 01 May 2025).</w:t>
      </w:r>
    </w:p>
    <w:p w14:paraId="2ED9FDF5" w14:textId="77777777" w:rsidR="00EF208C" w:rsidRDefault="00EF208C" w:rsidP="00EF208C">
      <w:pPr>
        <w:rPr>
          <w:sz w:val="24"/>
          <w:szCs w:val="24"/>
        </w:rPr>
      </w:pPr>
      <w:r w:rsidRPr="00EF208C">
        <w:rPr>
          <w:sz w:val="24"/>
          <w:szCs w:val="24"/>
        </w:rPr>
        <w:t xml:space="preserve">CIPD (2019) </w:t>
      </w:r>
      <w:r w:rsidRPr="00EF208C">
        <w:rPr>
          <w:i/>
          <w:iCs/>
          <w:sz w:val="24"/>
          <w:szCs w:val="24"/>
        </w:rPr>
        <w:t>Talking about voice: An employee perspective</w:t>
      </w:r>
      <w:r w:rsidRPr="00EF208C">
        <w:rPr>
          <w:sz w:val="24"/>
          <w:szCs w:val="24"/>
        </w:rPr>
        <w:t xml:space="preserve">. Available at: </w:t>
      </w:r>
      <w:hyperlink r:id="rId13" w:tgtFrame="_new" w:history="1">
        <w:r w:rsidRPr="00EF208C">
          <w:rPr>
            <w:rStyle w:val="Hyperlink"/>
            <w:sz w:val="24"/>
            <w:szCs w:val="24"/>
          </w:rPr>
          <w:t>www.cipd.co.uk/knowledge/work/future-voice/employee-experiences</w:t>
        </w:r>
      </w:hyperlink>
      <w:r w:rsidRPr="00EF208C">
        <w:rPr>
          <w:sz w:val="24"/>
          <w:szCs w:val="24"/>
        </w:rPr>
        <w:t xml:space="preserve"> (archived at </w:t>
      </w:r>
      <w:hyperlink r:id="rId14" w:tgtFrame="_new" w:history="1">
        <w:r w:rsidRPr="00EF208C">
          <w:rPr>
            <w:rStyle w:val="Hyperlink"/>
            <w:sz w:val="24"/>
            <w:szCs w:val="24"/>
          </w:rPr>
          <w:t>https://perma.cc/WAL5-ZM2Z</w:t>
        </w:r>
      </w:hyperlink>
      <w:r w:rsidRPr="00EF208C">
        <w:rPr>
          <w:sz w:val="24"/>
          <w:szCs w:val="24"/>
        </w:rPr>
        <w:t>) (Accessed: 01 May 2025).</w:t>
      </w:r>
    </w:p>
    <w:p w14:paraId="374F548A" w14:textId="476C4101" w:rsidR="00EF208C" w:rsidRPr="00EF208C" w:rsidRDefault="00EF208C" w:rsidP="00EF208C">
      <w:pPr>
        <w:rPr>
          <w:sz w:val="24"/>
          <w:szCs w:val="24"/>
        </w:rPr>
      </w:pPr>
      <w:r w:rsidRPr="00EF208C">
        <w:rPr>
          <w:sz w:val="24"/>
          <w:szCs w:val="24"/>
        </w:rPr>
        <w:t xml:space="preserve"> CIPD (2023</w:t>
      </w:r>
      <w:r w:rsidRPr="00EF208C">
        <w:rPr>
          <w:color w:val="EE0000"/>
          <w:sz w:val="24"/>
          <w:szCs w:val="24"/>
        </w:rPr>
        <w:t>a</w:t>
      </w:r>
      <w:r w:rsidRPr="00EF208C">
        <w:rPr>
          <w:sz w:val="24"/>
          <w:szCs w:val="24"/>
        </w:rPr>
        <w:t xml:space="preserve">) </w:t>
      </w:r>
      <w:r w:rsidRPr="00EF208C">
        <w:rPr>
          <w:i/>
          <w:iCs/>
          <w:sz w:val="24"/>
          <w:szCs w:val="24"/>
        </w:rPr>
        <w:t>Discipline and grievances at work</w:t>
      </w:r>
      <w:r w:rsidRPr="00EF208C">
        <w:rPr>
          <w:sz w:val="24"/>
          <w:szCs w:val="24"/>
        </w:rPr>
        <w:t xml:space="preserve">. Available at: </w:t>
      </w:r>
      <w:hyperlink r:id="rId15" w:tgtFrame="_new" w:history="1">
        <w:r w:rsidRPr="00EF208C">
          <w:rPr>
            <w:rStyle w:val="Hyperlink"/>
            <w:sz w:val="24"/>
            <w:szCs w:val="24"/>
          </w:rPr>
          <w:t>https://www.cipd.org/uk/knowledge/factsheets/discipline-factsheet/</w:t>
        </w:r>
      </w:hyperlink>
      <w:r w:rsidRPr="00EF208C">
        <w:rPr>
          <w:sz w:val="24"/>
          <w:szCs w:val="24"/>
        </w:rPr>
        <w:t xml:space="preserve"> (Accessed: 16 May 2025).</w:t>
      </w:r>
    </w:p>
    <w:p w14:paraId="16B20F6E" w14:textId="06643655" w:rsidR="00EF208C" w:rsidRPr="00EF208C" w:rsidRDefault="00EF208C" w:rsidP="00EF208C">
      <w:pPr>
        <w:rPr>
          <w:sz w:val="24"/>
          <w:szCs w:val="24"/>
        </w:rPr>
      </w:pPr>
      <w:r w:rsidRPr="00EF208C">
        <w:rPr>
          <w:sz w:val="24"/>
          <w:szCs w:val="24"/>
        </w:rPr>
        <w:t>CIPD (2023</w:t>
      </w:r>
      <w:r w:rsidRPr="00EF208C">
        <w:rPr>
          <w:color w:val="EE0000"/>
          <w:sz w:val="24"/>
          <w:szCs w:val="24"/>
        </w:rPr>
        <w:t>b</w:t>
      </w:r>
      <w:r w:rsidRPr="00EF208C">
        <w:rPr>
          <w:sz w:val="24"/>
          <w:szCs w:val="24"/>
        </w:rPr>
        <w:t xml:space="preserve">) </w:t>
      </w:r>
      <w:r w:rsidRPr="00EF208C">
        <w:rPr>
          <w:i/>
          <w:iCs/>
          <w:sz w:val="24"/>
          <w:szCs w:val="24"/>
        </w:rPr>
        <w:t>Employment law factsheet</w:t>
      </w:r>
      <w:r w:rsidRPr="00EF208C">
        <w:rPr>
          <w:sz w:val="24"/>
          <w:szCs w:val="24"/>
        </w:rPr>
        <w:t xml:space="preserve">. Available at: </w:t>
      </w:r>
      <w:hyperlink r:id="rId16" w:tgtFrame="_new" w:history="1">
        <w:r w:rsidRPr="00EF208C">
          <w:rPr>
            <w:rStyle w:val="Hyperlink"/>
            <w:sz w:val="24"/>
            <w:szCs w:val="24"/>
          </w:rPr>
          <w:t>https://www.cipd.org/uk/knowledge/employment-law/</w:t>
        </w:r>
      </w:hyperlink>
      <w:r w:rsidRPr="00EF208C">
        <w:rPr>
          <w:sz w:val="24"/>
          <w:szCs w:val="24"/>
        </w:rPr>
        <w:t xml:space="preserve"> (Accessed: 16 May 2025).</w:t>
      </w:r>
    </w:p>
    <w:p w14:paraId="4806B385" w14:textId="645046F4" w:rsidR="00EF208C" w:rsidRPr="005201E7" w:rsidRDefault="00EF208C" w:rsidP="00EF208C">
      <w:pPr>
        <w:rPr>
          <w:color w:val="EE0000"/>
          <w:sz w:val="24"/>
          <w:szCs w:val="24"/>
        </w:rPr>
      </w:pPr>
      <w:r w:rsidRPr="005201E7">
        <w:rPr>
          <w:color w:val="EE0000"/>
          <w:sz w:val="24"/>
          <w:szCs w:val="24"/>
        </w:rPr>
        <w:t xml:space="preserve">CIPD (2023c) </w:t>
      </w:r>
      <w:r w:rsidRPr="005201E7">
        <w:rPr>
          <w:i/>
          <w:iCs/>
          <w:color w:val="EE0000"/>
          <w:sz w:val="24"/>
          <w:szCs w:val="24"/>
        </w:rPr>
        <w:t>The Profession Map: Employee Relations</w:t>
      </w:r>
      <w:r w:rsidRPr="005201E7">
        <w:rPr>
          <w:color w:val="EE0000"/>
          <w:sz w:val="24"/>
          <w:szCs w:val="24"/>
        </w:rPr>
        <w:t xml:space="preserve">. Available at: </w:t>
      </w:r>
      <w:r w:rsidRPr="005201E7">
        <w:rPr>
          <w:color w:val="EE0000"/>
        </w:rPr>
        <w:t xml:space="preserve"> </w:t>
      </w:r>
      <w:hyperlink r:id="rId17" w:history="1">
        <w:r w:rsidRPr="005201E7">
          <w:rPr>
            <w:rStyle w:val="Hyperlink"/>
            <w:color w:val="EE0000"/>
            <w:sz w:val="24"/>
            <w:szCs w:val="24"/>
          </w:rPr>
          <w:t>The Profession Map | CIPD</w:t>
        </w:r>
      </w:hyperlink>
      <w:r w:rsidRPr="005201E7">
        <w:rPr>
          <w:color w:val="EE0000"/>
          <w:sz w:val="24"/>
          <w:szCs w:val="24"/>
        </w:rPr>
        <w:t xml:space="preserve"> (Accessed: 01 May 2025).</w:t>
      </w:r>
    </w:p>
    <w:p w14:paraId="4421D6E0" w14:textId="40EBA803" w:rsidR="00EF208C" w:rsidRPr="005201E7" w:rsidRDefault="00EF208C" w:rsidP="00EF208C">
      <w:pPr>
        <w:rPr>
          <w:color w:val="EE0000"/>
          <w:sz w:val="24"/>
          <w:szCs w:val="24"/>
        </w:rPr>
      </w:pPr>
      <w:r w:rsidRPr="005201E7">
        <w:rPr>
          <w:color w:val="EE0000"/>
          <w:sz w:val="24"/>
          <w:szCs w:val="24"/>
        </w:rPr>
        <w:t xml:space="preserve">CIPD (2024) </w:t>
      </w:r>
      <w:r w:rsidRPr="005201E7">
        <w:rPr>
          <w:i/>
          <w:iCs/>
          <w:color w:val="EE0000"/>
          <w:sz w:val="24"/>
          <w:szCs w:val="24"/>
        </w:rPr>
        <w:t>Stress in the workplace factsheet</w:t>
      </w:r>
      <w:r w:rsidRPr="005201E7">
        <w:rPr>
          <w:color w:val="EE0000"/>
          <w:sz w:val="24"/>
          <w:szCs w:val="24"/>
        </w:rPr>
        <w:t>. Available at: https://www.cipd.org.uk/knowledge/factsheets/stress-in-the-workplace-factsheet (Accessed: 10 June 2025).</w:t>
      </w:r>
    </w:p>
    <w:p w14:paraId="613D15E1" w14:textId="05E05B16" w:rsidR="00EF208C" w:rsidRPr="00EF208C" w:rsidRDefault="00EF208C" w:rsidP="00EF208C">
      <w:pPr>
        <w:rPr>
          <w:sz w:val="24"/>
          <w:szCs w:val="24"/>
        </w:rPr>
      </w:pPr>
      <w:r w:rsidRPr="00EF208C">
        <w:rPr>
          <w:sz w:val="24"/>
          <w:szCs w:val="24"/>
        </w:rPr>
        <w:lastRenderedPageBreak/>
        <w:t xml:space="preserve"> </w:t>
      </w:r>
      <w:r w:rsidRPr="00691F5B">
        <w:rPr>
          <w:color w:val="EE0000"/>
          <w:sz w:val="24"/>
          <w:szCs w:val="24"/>
        </w:rPr>
        <w:t xml:space="preserve">CIPD (2025a) </w:t>
      </w:r>
      <w:r w:rsidRPr="00691F5B">
        <w:rPr>
          <w:i/>
          <w:iCs/>
          <w:color w:val="EE0000"/>
          <w:sz w:val="24"/>
          <w:szCs w:val="24"/>
        </w:rPr>
        <w:t>Employee Voice CIPD Viewpoint</w:t>
      </w:r>
      <w:r w:rsidRPr="00691F5B">
        <w:rPr>
          <w:color w:val="EE0000"/>
          <w:sz w:val="24"/>
          <w:szCs w:val="24"/>
        </w:rPr>
        <w:t xml:space="preserve">. Available at: </w:t>
      </w:r>
      <w:hyperlink r:id="rId18" w:tgtFrame="_new" w:history="1">
        <w:r w:rsidRPr="00691F5B">
          <w:rPr>
            <w:rStyle w:val="Hyperlink"/>
            <w:color w:val="EE0000"/>
            <w:sz w:val="24"/>
            <w:szCs w:val="24"/>
          </w:rPr>
          <w:t>https://www.cipd.org/uk/views-and-insights/cipd-viewpoint/employee-voice/</w:t>
        </w:r>
      </w:hyperlink>
      <w:r w:rsidRPr="00691F5B">
        <w:rPr>
          <w:color w:val="EE0000"/>
          <w:sz w:val="24"/>
          <w:szCs w:val="24"/>
        </w:rPr>
        <w:t xml:space="preserve"> (Accessed: 01 May 2025).</w:t>
      </w:r>
    </w:p>
    <w:p w14:paraId="7F7D5604" w14:textId="0B036923" w:rsidR="00EF208C" w:rsidRPr="00EF208C" w:rsidRDefault="00EF208C" w:rsidP="00EF208C">
      <w:pPr>
        <w:rPr>
          <w:sz w:val="24"/>
          <w:szCs w:val="24"/>
        </w:rPr>
      </w:pPr>
      <w:r w:rsidRPr="00EF208C">
        <w:rPr>
          <w:sz w:val="24"/>
          <w:szCs w:val="24"/>
        </w:rPr>
        <w:t xml:space="preserve"> CIPD (2025</w:t>
      </w:r>
      <w:r w:rsidRPr="00EF208C">
        <w:rPr>
          <w:color w:val="EE0000"/>
          <w:sz w:val="24"/>
          <w:szCs w:val="24"/>
        </w:rPr>
        <w:t>b</w:t>
      </w:r>
      <w:r w:rsidRPr="00EF208C">
        <w:rPr>
          <w:sz w:val="24"/>
          <w:szCs w:val="24"/>
        </w:rPr>
        <w:t xml:space="preserve">) </w:t>
      </w:r>
      <w:r w:rsidRPr="00EF208C">
        <w:rPr>
          <w:i/>
          <w:iCs/>
          <w:sz w:val="24"/>
          <w:szCs w:val="24"/>
        </w:rPr>
        <w:t>Trade unions factsheet</w:t>
      </w:r>
      <w:r w:rsidRPr="00EF208C">
        <w:rPr>
          <w:sz w:val="24"/>
          <w:szCs w:val="24"/>
        </w:rPr>
        <w:t xml:space="preserve">. Chartered Institute of Personnel and Development. Available at: </w:t>
      </w:r>
      <w:hyperlink r:id="rId19" w:tgtFrame="_new" w:history="1">
        <w:r w:rsidRPr="00EF208C">
          <w:rPr>
            <w:rStyle w:val="Hyperlink"/>
            <w:sz w:val="24"/>
            <w:szCs w:val="24"/>
          </w:rPr>
          <w:t>https://www.cipd.org/uk/knowledge/factsheets/trade-unions-factsheet/</w:t>
        </w:r>
      </w:hyperlink>
      <w:r w:rsidRPr="00EF208C">
        <w:rPr>
          <w:sz w:val="24"/>
          <w:szCs w:val="24"/>
        </w:rPr>
        <w:t xml:space="preserve"> (Accessed: 10 May 2025).</w:t>
      </w:r>
    </w:p>
    <w:p w14:paraId="0659CC45" w14:textId="59DA8B1E" w:rsidR="00EF208C" w:rsidRPr="00EF208C" w:rsidRDefault="00EF208C" w:rsidP="00EF208C">
      <w:pPr>
        <w:rPr>
          <w:sz w:val="24"/>
          <w:szCs w:val="24"/>
        </w:rPr>
      </w:pPr>
      <w:r w:rsidRPr="00EF208C">
        <w:rPr>
          <w:sz w:val="24"/>
          <w:szCs w:val="24"/>
        </w:rPr>
        <w:t xml:space="preserve">Daniels, K. (2022) </w:t>
      </w:r>
      <w:r w:rsidRPr="00EF208C">
        <w:rPr>
          <w:i/>
          <w:iCs/>
          <w:sz w:val="24"/>
          <w:szCs w:val="24"/>
        </w:rPr>
        <w:t>Introduction to Employment Law: Fundamentals for HR and Business Students</w:t>
      </w:r>
      <w:r w:rsidRPr="00EF208C">
        <w:rPr>
          <w:sz w:val="24"/>
          <w:szCs w:val="24"/>
        </w:rPr>
        <w:t>. 6th edn. London: CIPD.</w:t>
      </w:r>
    </w:p>
    <w:p w14:paraId="3DFE2D70" w14:textId="478151A0" w:rsidR="00EF208C" w:rsidRPr="00EF208C" w:rsidRDefault="00EF208C" w:rsidP="00EF208C">
      <w:pPr>
        <w:rPr>
          <w:sz w:val="24"/>
          <w:szCs w:val="24"/>
        </w:rPr>
      </w:pPr>
      <w:r w:rsidRPr="00EF208C">
        <w:rPr>
          <w:sz w:val="24"/>
          <w:szCs w:val="24"/>
        </w:rPr>
        <w:t xml:space="preserve">Fuchs, S., Lorenz, K. and Fuchs, M. (2024) </w:t>
      </w:r>
      <w:r w:rsidRPr="00EF208C">
        <w:rPr>
          <w:i/>
          <w:iCs/>
          <w:sz w:val="24"/>
          <w:szCs w:val="24"/>
        </w:rPr>
        <w:t>Generational differences in attitudes towards work and career: A systematic literature review on the preferences of Generations X, Y, and Z</w:t>
      </w:r>
      <w:r w:rsidRPr="00EF208C">
        <w:rPr>
          <w:sz w:val="24"/>
          <w:szCs w:val="24"/>
        </w:rPr>
        <w:t xml:space="preserve">. [online] ResearchGate. Available at: </w:t>
      </w:r>
      <w:hyperlink r:id="rId20" w:tgtFrame="_new" w:history="1">
        <w:r w:rsidRPr="00EF208C">
          <w:rPr>
            <w:rStyle w:val="Hyperlink"/>
            <w:sz w:val="24"/>
            <w:szCs w:val="24"/>
          </w:rPr>
          <w:t>https://www.researchgate.net/publication/383860257</w:t>
        </w:r>
      </w:hyperlink>
      <w:r w:rsidRPr="00EF208C">
        <w:rPr>
          <w:sz w:val="24"/>
          <w:szCs w:val="24"/>
        </w:rPr>
        <w:t xml:space="preserve"> (Accessed: 16 May 2025).</w:t>
      </w:r>
    </w:p>
    <w:p w14:paraId="66E3C4FD" w14:textId="0E56F7D2" w:rsidR="00EF208C" w:rsidRDefault="00EF208C" w:rsidP="00EF208C">
      <w:pPr>
        <w:rPr>
          <w:sz w:val="24"/>
          <w:szCs w:val="24"/>
        </w:rPr>
      </w:pPr>
      <w:r w:rsidRPr="00EF208C">
        <w:rPr>
          <w:sz w:val="24"/>
          <w:szCs w:val="24"/>
        </w:rPr>
        <w:t xml:space="preserve">Indeed (2023) </w:t>
      </w:r>
      <w:r w:rsidRPr="00EF208C">
        <w:rPr>
          <w:i/>
          <w:iCs/>
          <w:sz w:val="24"/>
          <w:szCs w:val="24"/>
        </w:rPr>
        <w:t>What is employee participation and why is it important?</w:t>
      </w:r>
      <w:r w:rsidRPr="00EF208C">
        <w:rPr>
          <w:sz w:val="24"/>
          <w:szCs w:val="24"/>
        </w:rPr>
        <w:t xml:space="preserve"> Available at: </w:t>
      </w:r>
      <w:hyperlink r:id="rId21" w:tgtFrame="_new" w:history="1">
        <w:r w:rsidRPr="00EF208C">
          <w:rPr>
            <w:rStyle w:val="Hyperlink"/>
            <w:sz w:val="24"/>
            <w:szCs w:val="24"/>
          </w:rPr>
          <w:t>https://uk.indeed.com/career-advice/career-develpment/employee-participation</w:t>
        </w:r>
      </w:hyperlink>
      <w:r w:rsidRPr="00EF208C">
        <w:rPr>
          <w:sz w:val="24"/>
          <w:szCs w:val="24"/>
        </w:rPr>
        <w:t xml:space="preserve"> (Accessed: 20 April 2025).</w:t>
      </w:r>
    </w:p>
    <w:p w14:paraId="3ED87CF4" w14:textId="6ECA6DD0" w:rsidR="00EF208C" w:rsidRDefault="00EF208C" w:rsidP="00EF208C">
      <w:pPr>
        <w:rPr>
          <w:sz w:val="24"/>
          <w:szCs w:val="24"/>
        </w:rPr>
      </w:pPr>
      <w:r w:rsidRPr="00EF208C">
        <w:rPr>
          <w:sz w:val="24"/>
          <w:szCs w:val="24"/>
        </w:rPr>
        <w:t xml:space="preserve"> Purdue Global (2023) </w:t>
      </w:r>
      <w:r w:rsidRPr="00EF208C">
        <w:rPr>
          <w:i/>
          <w:iCs/>
          <w:sz w:val="24"/>
          <w:szCs w:val="24"/>
        </w:rPr>
        <w:t>Generational workforce differences: Managing a multi-generational workforce</w:t>
      </w:r>
      <w:r w:rsidRPr="00EF208C">
        <w:rPr>
          <w:sz w:val="24"/>
          <w:szCs w:val="24"/>
        </w:rPr>
        <w:t xml:space="preserve">. [online] Available at: </w:t>
      </w:r>
      <w:hyperlink r:id="rId22" w:tgtFrame="_new" w:history="1">
        <w:r w:rsidRPr="00EF208C">
          <w:rPr>
            <w:rStyle w:val="Hyperlink"/>
            <w:sz w:val="24"/>
            <w:szCs w:val="24"/>
          </w:rPr>
          <w:t>https://www.purdueglobal.edu/education-partnerships/generational-workforce-differences-infographic/</w:t>
        </w:r>
      </w:hyperlink>
      <w:r w:rsidRPr="00EF208C">
        <w:rPr>
          <w:sz w:val="24"/>
          <w:szCs w:val="24"/>
        </w:rPr>
        <w:t xml:space="preserve"> (Accessed: 16 May 2025).</w:t>
      </w:r>
    </w:p>
    <w:p w14:paraId="74A9644B" w14:textId="07A93192" w:rsidR="00EF208C" w:rsidRPr="00EF208C" w:rsidRDefault="00EF208C" w:rsidP="00EF208C">
      <w:pPr>
        <w:rPr>
          <w:color w:val="EE0000"/>
          <w:sz w:val="24"/>
          <w:szCs w:val="24"/>
        </w:rPr>
      </w:pPr>
      <w:r w:rsidRPr="00EF208C">
        <w:rPr>
          <w:color w:val="EE0000"/>
          <w:sz w:val="24"/>
          <w:szCs w:val="24"/>
        </w:rPr>
        <w:t xml:space="preserve">Rawls, J (1973) </w:t>
      </w:r>
      <w:r w:rsidRPr="00EF208C">
        <w:rPr>
          <w:i/>
          <w:iCs/>
          <w:color w:val="EE0000"/>
          <w:sz w:val="24"/>
          <w:szCs w:val="24"/>
        </w:rPr>
        <w:t xml:space="preserve">A Theory of justice, </w:t>
      </w:r>
      <w:r w:rsidRPr="00EF208C">
        <w:rPr>
          <w:color w:val="EE0000"/>
          <w:sz w:val="24"/>
          <w:szCs w:val="24"/>
        </w:rPr>
        <w:t xml:space="preserve">Oxford, Oxford University Press </w:t>
      </w:r>
    </w:p>
    <w:p w14:paraId="31FC5DA9" w14:textId="7A693562" w:rsidR="00EF208C" w:rsidRPr="00EF208C" w:rsidRDefault="00EF208C" w:rsidP="00EF208C">
      <w:pPr>
        <w:rPr>
          <w:color w:val="EE0000"/>
          <w:sz w:val="24"/>
          <w:szCs w:val="24"/>
        </w:rPr>
      </w:pPr>
      <w:r w:rsidRPr="00EF208C">
        <w:rPr>
          <w:color w:val="EE0000"/>
          <w:sz w:val="24"/>
          <w:szCs w:val="24"/>
        </w:rPr>
        <w:t xml:space="preserve">Schneider, B (1987) The people make the place, </w:t>
      </w:r>
      <w:r w:rsidRPr="00EF208C">
        <w:rPr>
          <w:i/>
          <w:iCs/>
          <w:color w:val="EE0000"/>
          <w:sz w:val="24"/>
          <w:szCs w:val="24"/>
        </w:rPr>
        <w:t>Personnel Psychology,</w:t>
      </w:r>
      <w:r w:rsidRPr="00EF208C">
        <w:rPr>
          <w:color w:val="EE0000"/>
          <w:sz w:val="24"/>
          <w:szCs w:val="24"/>
        </w:rPr>
        <w:t xml:space="preserve"> 40 (3), pp 437-53.</w:t>
      </w:r>
    </w:p>
    <w:p w14:paraId="123E66F9" w14:textId="125168CA" w:rsidR="00EF208C" w:rsidRPr="00EF208C" w:rsidRDefault="00EF208C" w:rsidP="00EF208C">
      <w:pPr>
        <w:rPr>
          <w:sz w:val="24"/>
          <w:szCs w:val="24"/>
        </w:rPr>
      </w:pPr>
      <w:r w:rsidRPr="00EF208C">
        <w:rPr>
          <w:sz w:val="24"/>
          <w:szCs w:val="24"/>
        </w:rPr>
        <w:t xml:space="preserve">Suff, R. (2022) </w:t>
      </w:r>
      <w:r w:rsidRPr="00EF208C">
        <w:rPr>
          <w:i/>
          <w:iCs/>
          <w:sz w:val="24"/>
          <w:szCs w:val="24"/>
        </w:rPr>
        <w:t>Dismissal procedures</w:t>
      </w:r>
      <w:r w:rsidRPr="00EF208C">
        <w:rPr>
          <w:sz w:val="24"/>
          <w:szCs w:val="24"/>
        </w:rPr>
        <w:t xml:space="preserve">. CIPD. Available at: </w:t>
      </w:r>
      <w:hyperlink r:id="rId23" w:tgtFrame="_new" w:history="1">
        <w:r w:rsidRPr="00EF208C">
          <w:rPr>
            <w:rStyle w:val="Hyperlink"/>
            <w:sz w:val="24"/>
            <w:szCs w:val="24"/>
          </w:rPr>
          <w:t>https://www.cipd.org/uk/knowledge/factsheets/dismissal-factsheet/</w:t>
        </w:r>
      </w:hyperlink>
      <w:r w:rsidRPr="00EF208C">
        <w:rPr>
          <w:sz w:val="24"/>
          <w:szCs w:val="24"/>
        </w:rPr>
        <w:t xml:space="preserve"> (Accessed: 12 May 2025).</w:t>
      </w:r>
    </w:p>
    <w:p w14:paraId="7F01191F" w14:textId="4A23E72C" w:rsidR="00EF208C" w:rsidRPr="00EF208C" w:rsidRDefault="00EF208C" w:rsidP="00EF208C">
      <w:pPr>
        <w:rPr>
          <w:sz w:val="24"/>
          <w:szCs w:val="24"/>
        </w:rPr>
      </w:pPr>
      <w:r w:rsidRPr="00EF208C">
        <w:rPr>
          <w:sz w:val="24"/>
          <w:szCs w:val="24"/>
        </w:rPr>
        <w:t xml:space="preserve">Suff, R. (2023) </w:t>
      </w:r>
      <w:r w:rsidRPr="00EF208C">
        <w:rPr>
          <w:i/>
          <w:iCs/>
          <w:sz w:val="24"/>
          <w:szCs w:val="24"/>
        </w:rPr>
        <w:t>Discipline and grievances at work</w:t>
      </w:r>
      <w:r w:rsidRPr="00EF208C">
        <w:rPr>
          <w:sz w:val="24"/>
          <w:szCs w:val="24"/>
        </w:rPr>
        <w:t xml:space="preserve">. CIPD. Available at: </w:t>
      </w:r>
      <w:hyperlink r:id="rId24" w:tgtFrame="_new" w:history="1">
        <w:r w:rsidRPr="00EF208C">
          <w:rPr>
            <w:rStyle w:val="Hyperlink"/>
            <w:sz w:val="24"/>
            <w:szCs w:val="24"/>
          </w:rPr>
          <w:t>https://www.cipd.org/uk/knowledge/factsheets/discipline-factsheet/</w:t>
        </w:r>
      </w:hyperlink>
      <w:r w:rsidRPr="00EF208C">
        <w:rPr>
          <w:sz w:val="24"/>
          <w:szCs w:val="24"/>
        </w:rPr>
        <w:t xml:space="preserve"> (Accessed: 12 May 2025).</w:t>
      </w:r>
    </w:p>
    <w:p w14:paraId="682DC314" w14:textId="271EB687" w:rsidR="00EF208C" w:rsidRPr="005201E7" w:rsidRDefault="00EF208C" w:rsidP="00EF208C">
      <w:pPr>
        <w:rPr>
          <w:color w:val="EE0000"/>
          <w:sz w:val="24"/>
          <w:szCs w:val="24"/>
        </w:rPr>
      </w:pPr>
      <w:r w:rsidRPr="005201E7">
        <w:rPr>
          <w:color w:val="EE0000"/>
          <w:sz w:val="24"/>
          <w:szCs w:val="24"/>
        </w:rPr>
        <w:t xml:space="preserve">Taylor, S. &amp; Woodhams, C. (2022) </w:t>
      </w:r>
      <w:r w:rsidRPr="005201E7">
        <w:rPr>
          <w:i/>
          <w:iCs/>
          <w:color w:val="EE0000"/>
          <w:sz w:val="24"/>
          <w:szCs w:val="24"/>
        </w:rPr>
        <w:t>Human Resource Management: People and Organisations</w:t>
      </w:r>
      <w:r w:rsidRPr="005201E7">
        <w:rPr>
          <w:color w:val="EE0000"/>
          <w:sz w:val="24"/>
          <w:szCs w:val="24"/>
        </w:rPr>
        <w:t>. 3rd edn. London: CIPD/Kogan Page.</w:t>
      </w:r>
    </w:p>
    <w:p w14:paraId="3EA1CA2E" w14:textId="105A164B" w:rsidR="00EF208C" w:rsidRPr="00EF208C" w:rsidRDefault="00EF208C" w:rsidP="00EF208C">
      <w:pPr>
        <w:rPr>
          <w:sz w:val="24"/>
          <w:szCs w:val="24"/>
        </w:rPr>
      </w:pPr>
      <w:r w:rsidRPr="00EF208C">
        <w:rPr>
          <w:sz w:val="24"/>
          <w:szCs w:val="24"/>
        </w:rPr>
        <w:t xml:space="preserve"> UK Government (1996) </w:t>
      </w:r>
      <w:r w:rsidRPr="00EF208C">
        <w:rPr>
          <w:i/>
          <w:iCs/>
          <w:sz w:val="24"/>
          <w:szCs w:val="24"/>
        </w:rPr>
        <w:t>Employment Rights Act 1996</w:t>
      </w:r>
      <w:r w:rsidRPr="00EF208C">
        <w:rPr>
          <w:sz w:val="24"/>
          <w:szCs w:val="24"/>
        </w:rPr>
        <w:t xml:space="preserve">. Available at: </w:t>
      </w:r>
      <w:hyperlink r:id="rId25" w:tgtFrame="_new" w:history="1">
        <w:r w:rsidRPr="00EF208C">
          <w:rPr>
            <w:rStyle w:val="Hyperlink"/>
            <w:sz w:val="24"/>
            <w:szCs w:val="24"/>
          </w:rPr>
          <w:t>https://www.legislation.gov.uk/ukpga/1996/18/contents</w:t>
        </w:r>
      </w:hyperlink>
      <w:r w:rsidRPr="00EF208C">
        <w:rPr>
          <w:sz w:val="24"/>
          <w:szCs w:val="24"/>
        </w:rPr>
        <w:t xml:space="preserve"> (Accessed: 16 May 2025).</w:t>
      </w:r>
    </w:p>
    <w:p w14:paraId="18806F8B" w14:textId="502BCB85" w:rsidR="00EF208C" w:rsidRDefault="00EF208C" w:rsidP="00EF208C">
      <w:pPr>
        <w:rPr>
          <w:sz w:val="24"/>
          <w:szCs w:val="24"/>
        </w:rPr>
      </w:pPr>
      <w:r w:rsidRPr="00EF208C">
        <w:rPr>
          <w:sz w:val="24"/>
          <w:szCs w:val="24"/>
        </w:rPr>
        <w:t xml:space="preserve"> </w:t>
      </w:r>
      <w:r w:rsidRPr="00691F5B">
        <w:rPr>
          <w:color w:val="EE0000"/>
          <w:sz w:val="24"/>
          <w:szCs w:val="24"/>
        </w:rPr>
        <w:t xml:space="preserve">UK Government (2010) </w:t>
      </w:r>
      <w:r w:rsidRPr="00691F5B">
        <w:rPr>
          <w:i/>
          <w:iCs/>
          <w:color w:val="EE0000"/>
          <w:sz w:val="24"/>
          <w:szCs w:val="24"/>
        </w:rPr>
        <w:t>Equality Act 2010, Chapter 2: Adjustments for disabled persons</w:t>
      </w:r>
      <w:r w:rsidRPr="00691F5B">
        <w:rPr>
          <w:color w:val="EE0000"/>
          <w:sz w:val="24"/>
          <w:szCs w:val="24"/>
        </w:rPr>
        <w:t xml:space="preserve">. Available at: </w:t>
      </w:r>
      <w:hyperlink r:id="rId26" w:tgtFrame="_new" w:history="1">
        <w:r w:rsidRPr="00691F5B">
          <w:rPr>
            <w:rStyle w:val="Hyperlink"/>
            <w:color w:val="EE0000"/>
            <w:sz w:val="24"/>
            <w:szCs w:val="24"/>
          </w:rPr>
          <w:t>https://www.legislation.gov.uk/ukpga/2010/15/part2/chapter2</w:t>
        </w:r>
      </w:hyperlink>
      <w:r w:rsidRPr="00691F5B">
        <w:rPr>
          <w:color w:val="EE0000"/>
          <w:sz w:val="24"/>
          <w:szCs w:val="24"/>
        </w:rPr>
        <w:t xml:space="preserve"> (Accessed: 03 July 2025).</w:t>
      </w:r>
    </w:p>
    <w:p w14:paraId="34A8B306" w14:textId="028A8E44" w:rsidR="00EF208C" w:rsidRPr="00EF208C" w:rsidRDefault="00EF208C" w:rsidP="00EF208C">
      <w:pPr>
        <w:rPr>
          <w:sz w:val="24"/>
          <w:szCs w:val="24"/>
        </w:rPr>
      </w:pPr>
      <w:r w:rsidRPr="00EF208C">
        <w:rPr>
          <w:sz w:val="24"/>
          <w:szCs w:val="24"/>
        </w:rPr>
        <w:lastRenderedPageBreak/>
        <w:t xml:space="preserve">  Wilkinson, A., Donaghey, J., Dundon, T. and Freeman, R.B. (2020) </w:t>
      </w:r>
      <w:r w:rsidRPr="00EF208C">
        <w:rPr>
          <w:i/>
          <w:iCs/>
          <w:sz w:val="24"/>
          <w:szCs w:val="24"/>
        </w:rPr>
        <w:t>Handbook of Research on Employee Voice</w:t>
      </w:r>
      <w:r w:rsidRPr="00EF208C">
        <w:rPr>
          <w:sz w:val="24"/>
          <w:szCs w:val="24"/>
        </w:rPr>
        <w:t>. Cheltenham: Edward Elgar Publishing.</w:t>
      </w:r>
    </w:p>
    <w:p w14:paraId="46E8CAB1" w14:textId="4F260E82" w:rsidR="00EF208C" w:rsidRPr="00EF208C" w:rsidRDefault="00EF208C" w:rsidP="00EF208C">
      <w:pPr>
        <w:rPr>
          <w:sz w:val="24"/>
          <w:szCs w:val="24"/>
        </w:rPr>
      </w:pPr>
      <w:r w:rsidRPr="00EF208C">
        <w:rPr>
          <w:sz w:val="24"/>
          <w:szCs w:val="24"/>
        </w:rPr>
        <w:t xml:space="preserve"> Woodfield, R. (2022) </w:t>
      </w:r>
      <w:r w:rsidRPr="00EF208C">
        <w:rPr>
          <w:i/>
          <w:iCs/>
          <w:sz w:val="24"/>
          <w:szCs w:val="24"/>
        </w:rPr>
        <w:t>Maximising employee voice in a hybrid working world</w:t>
      </w:r>
      <w:r w:rsidRPr="00EF208C">
        <w:rPr>
          <w:sz w:val="24"/>
          <w:szCs w:val="24"/>
        </w:rPr>
        <w:t xml:space="preserve">. CIPD. Available at: </w:t>
      </w:r>
      <w:hyperlink r:id="rId27" w:tgtFrame="_new" w:history="1">
        <w:r w:rsidRPr="00EF208C">
          <w:rPr>
            <w:rStyle w:val="Hyperlink"/>
            <w:sz w:val="24"/>
            <w:szCs w:val="24"/>
          </w:rPr>
          <w:t>https://www.cipd.org/en/views-and-insights/thought-leaderships/people-profession/employee-voice/</w:t>
        </w:r>
      </w:hyperlink>
    </w:p>
    <w:p w14:paraId="6BB4B626" w14:textId="027EF53F" w:rsidR="00EF208C" w:rsidRPr="00EF208C" w:rsidRDefault="00EF208C" w:rsidP="00EF208C">
      <w:pPr>
        <w:rPr>
          <w:sz w:val="24"/>
          <w:szCs w:val="24"/>
        </w:rPr>
      </w:pPr>
      <w:r w:rsidRPr="00EF208C">
        <w:rPr>
          <w:sz w:val="24"/>
          <w:szCs w:val="24"/>
        </w:rPr>
        <w:t xml:space="preserve">Young, J. (2022) </w:t>
      </w:r>
      <w:r w:rsidRPr="00EF208C">
        <w:rPr>
          <w:i/>
          <w:iCs/>
          <w:sz w:val="24"/>
          <w:szCs w:val="24"/>
        </w:rPr>
        <w:t>Mediation at Work</w:t>
      </w:r>
      <w:r w:rsidRPr="00EF208C">
        <w:rPr>
          <w:sz w:val="24"/>
          <w:szCs w:val="24"/>
        </w:rPr>
        <w:t xml:space="preserve">. CIPD. Available at: </w:t>
      </w:r>
      <w:hyperlink r:id="rId28" w:tgtFrame="_new" w:history="1">
        <w:r w:rsidRPr="00EF208C">
          <w:rPr>
            <w:rStyle w:val="Hyperlink"/>
            <w:sz w:val="24"/>
            <w:szCs w:val="24"/>
          </w:rPr>
          <w:t>https://www.cipd.org/en/knowledge/factsheets/mediation-factsheet/</w:t>
        </w:r>
      </w:hyperlink>
    </w:p>
    <w:p w14:paraId="65A00002" w14:textId="0EBCC572" w:rsidR="00993450" w:rsidRDefault="00993450" w:rsidP="00EF208C">
      <w:pPr>
        <w:rPr>
          <w:sz w:val="24"/>
          <w:szCs w:val="24"/>
        </w:rPr>
      </w:pPr>
    </w:p>
    <w:p w14:paraId="456D14BD" w14:textId="77777777" w:rsidR="00BF2509" w:rsidRDefault="00BF2509"/>
    <w:p w14:paraId="3799574C" w14:textId="77777777" w:rsidR="00BF2509" w:rsidRDefault="00BF2509"/>
    <w:p w14:paraId="6CD6B461" w14:textId="77777777" w:rsidR="00453021" w:rsidRDefault="00453021"/>
    <w:sectPr w:rsidR="00453021">
      <w:headerReference w:type="even" r:id="rId29"/>
      <w:headerReference w:type="default" r:id="rId30"/>
      <w:footerReference w:type="even" r:id="rId31"/>
      <w:footerReference w:type="default" r:id="rId32"/>
      <w:headerReference w:type="first" r:id="rId33"/>
      <w:footerReference w:type="firs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0B777C" w14:textId="77777777" w:rsidR="004B6831" w:rsidRDefault="004B6831" w:rsidP="00993450">
      <w:pPr>
        <w:spacing w:after="0" w:line="240" w:lineRule="auto"/>
      </w:pPr>
      <w:r>
        <w:separator/>
      </w:r>
    </w:p>
  </w:endnote>
  <w:endnote w:type="continuationSeparator" w:id="0">
    <w:p w14:paraId="5D56404F" w14:textId="77777777" w:rsidR="004B6831" w:rsidRDefault="004B6831" w:rsidP="009934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4EB925" w14:textId="77777777" w:rsidR="00C11F19" w:rsidRDefault="00C11F1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1DBC62" w14:textId="77777777" w:rsidR="00C11F19" w:rsidRDefault="00C11F1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C87D82" w14:textId="77777777" w:rsidR="00C11F19" w:rsidRDefault="00C11F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8D5991" w14:textId="77777777" w:rsidR="004B6831" w:rsidRDefault="004B6831" w:rsidP="00993450">
      <w:pPr>
        <w:spacing w:after="0" w:line="240" w:lineRule="auto"/>
      </w:pPr>
      <w:r>
        <w:separator/>
      </w:r>
    </w:p>
  </w:footnote>
  <w:footnote w:type="continuationSeparator" w:id="0">
    <w:p w14:paraId="05CD3FDA" w14:textId="77777777" w:rsidR="004B6831" w:rsidRDefault="004B6831" w:rsidP="009934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D840EF" w14:textId="77777777" w:rsidR="00C11F19" w:rsidRDefault="00C11F1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3193B1" w14:textId="77777777" w:rsidR="00993450" w:rsidRDefault="00993450">
    <w:pPr>
      <w:pStyle w:val="Header"/>
    </w:pPr>
    <w:r>
      <w:t>Sarah Francis-Davies</w:t>
    </w:r>
  </w:p>
  <w:p w14:paraId="436CAB32" w14:textId="3F5E1F4C" w:rsidR="00993450" w:rsidRDefault="00993450">
    <w:pPr>
      <w:pStyle w:val="Header"/>
    </w:pPr>
    <w:r>
      <w:t>19/05/2025</w:t>
    </w:r>
  </w:p>
  <w:p w14:paraId="54E88F33" w14:textId="4E670894" w:rsidR="00993450" w:rsidRDefault="00993450">
    <w:pPr>
      <w:pStyle w:val="Header"/>
    </w:pPr>
    <w:r>
      <w:t xml:space="preserve">Employment Relationship Management </w:t>
    </w:r>
  </w:p>
  <w:p w14:paraId="5E3585F6" w14:textId="6F02C44C" w:rsidR="00993450" w:rsidRDefault="00993450">
    <w:pPr>
      <w:pStyle w:val="Header"/>
    </w:pPr>
    <w:r>
      <w:t xml:space="preserve">Word Count: 3516 </w:t>
    </w:r>
  </w:p>
  <w:p w14:paraId="75FC8E60" w14:textId="4335C728" w:rsidR="00C11F19" w:rsidRPr="00C11F19" w:rsidRDefault="00C11F19">
    <w:pPr>
      <w:pStyle w:val="Header"/>
      <w:rPr>
        <w:color w:val="EE0000"/>
      </w:rPr>
    </w:pPr>
    <w:r w:rsidRPr="00C11F19">
      <w:rPr>
        <w:color w:val="EE0000"/>
      </w:rPr>
      <w:t>Resubmitted: 12/07/2025</w:t>
    </w:r>
  </w:p>
  <w:p w14:paraId="2C6D449C" w14:textId="4CB218AE" w:rsidR="00C11F19" w:rsidRPr="00C11F19" w:rsidRDefault="00C11F19">
    <w:pPr>
      <w:pStyle w:val="Header"/>
      <w:rPr>
        <w:color w:val="EE0000"/>
      </w:rPr>
    </w:pPr>
    <w:r w:rsidRPr="00C11F19">
      <w:rPr>
        <w:color w:val="EE0000"/>
      </w:rPr>
      <w:t>New Word Count: 3907</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A75D3" w14:textId="77777777" w:rsidR="00C11F19" w:rsidRDefault="00C11F1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526E3E"/>
    <w:multiLevelType w:val="hybridMultilevel"/>
    <w:tmpl w:val="7FCE7492"/>
    <w:lvl w:ilvl="0" w:tplc="65DAF81E">
      <w:start w:val="1"/>
      <w:numFmt w:val="decimal"/>
      <w:lvlText w:val="%1."/>
      <w:lvlJc w:val="left"/>
      <w:pPr>
        <w:ind w:left="720" w:hanging="360"/>
      </w:pPr>
      <w:rPr>
        <w:rFonts w:hint="default"/>
        <w:color w:val="EE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BE622A"/>
    <w:multiLevelType w:val="hybridMultilevel"/>
    <w:tmpl w:val="ACD4CE6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37411A"/>
    <w:multiLevelType w:val="hybridMultilevel"/>
    <w:tmpl w:val="BAC6DBB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17818162">
    <w:abstractNumId w:val="1"/>
  </w:num>
  <w:num w:numId="2" w16cid:durableId="1025441820">
    <w:abstractNumId w:val="2"/>
  </w:num>
  <w:num w:numId="3" w16cid:durableId="21390325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37CF"/>
    <w:rsid w:val="000A7C59"/>
    <w:rsid w:val="00154DB2"/>
    <w:rsid w:val="001709F7"/>
    <w:rsid w:val="001756B9"/>
    <w:rsid w:val="001A1B8A"/>
    <w:rsid w:val="001A79F8"/>
    <w:rsid w:val="001F6A36"/>
    <w:rsid w:val="00246710"/>
    <w:rsid w:val="0029549D"/>
    <w:rsid w:val="002A0EAB"/>
    <w:rsid w:val="002A4900"/>
    <w:rsid w:val="002E37CF"/>
    <w:rsid w:val="00321320"/>
    <w:rsid w:val="003400E5"/>
    <w:rsid w:val="00453021"/>
    <w:rsid w:val="004B6831"/>
    <w:rsid w:val="004B6BD1"/>
    <w:rsid w:val="005201E7"/>
    <w:rsid w:val="005E12BA"/>
    <w:rsid w:val="00691F5B"/>
    <w:rsid w:val="00866F84"/>
    <w:rsid w:val="009360CB"/>
    <w:rsid w:val="00993450"/>
    <w:rsid w:val="009A2A8A"/>
    <w:rsid w:val="00A03F3C"/>
    <w:rsid w:val="00A507B6"/>
    <w:rsid w:val="00B60DD5"/>
    <w:rsid w:val="00B741B2"/>
    <w:rsid w:val="00BF2509"/>
    <w:rsid w:val="00C11F19"/>
    <w:rsid w:val="00CA4344"/>
    <w:rsid w:val="00CC6D3A"/>
    <w:rsid w:val="00CE1198"/>
    <w:rsid w:val="00D454A7"/>
    <w:rsid w:val="00DB2DAE"/>
    <w:rsid w:val="00E2293D"/>
    <w:rsid w:val="00E93A83"/>
    <w:rsid w:val="00EF20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C1309"/>
  <w15:chartTrackingRefBased/>
  <w15:docId w15:val="{83766B2B-908B-48F9-B046-2B6C3C7E2F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37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E37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37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37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37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37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37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37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37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37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37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37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37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37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37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37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37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37CF"/>
    <w:rPr>
      <w:rFonts w:eastAsiaTheme="majorEastAsia" w:cstheme="majorBidi"/>
      <w:color w:val="272727" w:themeColor="text1" w:themeTint="D8"/>
    </w:rPr>
  </w:style>
  <w:style w:type="paragraph" w:styleId="Title">
    <w:name w:val="Title"/>
    <w:basedOn w:val="Normal"/>
    <w:next w:val="Normal"/>
    <w:link w:val="TitleChar"/>
    <w:uiPriority w:val="10"/>
    <w:qFormat/>
    <w:rsid w:val="002E37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37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37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37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37CF"/>
    <w:pPr>
      <w:spacing w:before="160"/>
      <w:jc w:val="center"/>
    </w:pPr>
    <w:rPr>
      <w:i/>
      <w:iCs/>
      <w:color w:val="404040" w:themeColor="text1" w:themeTint="BF"/>
    </w:rPr>
  </w:style>
  <w:style w:type="character" w:customStyle="1" w:styleId="QuoteChar">
    <w:name w:val="Quote Char"/>
    <w:basedOn w:val="DefaultParagraphFont"/>
    <w:link w:val="Quote"/>
    <w:uiPriority w:val="29"/>
    <w:rsid w:val="002E37CF"/>
    <w:rPr>
      <w:i/>
      <w:iCs/>
      <w:color w:val="404040" w:themeColor="text1" w:themeTint="BF"/>
    </w:rPr>
  </w:style>
  <w:style w:type="paragraph" w:styleId="ListParagraph">
    <w:name w:val="List Paragraph"/>
    <w:basedOn w:val="Normal"/>
    <w:uiPriority w:val="34"/>
    <w:qFormat/>
    <w:rsid w:val="002E37CF"/>
    <w:pPr>
      <w:ind w:left="720"/>
      <w:contextualSpacing/>
    </w:pPr>
  </w:style>
  <w:style w:type="character" w:styleId="IntenseEmphasis">
    <w:name w:val="Intense Emphasis"/>
    <w:basedOn w:val="DefaultParagraphFont"/>
    <w:uiPriority w:val="21"/>
    <w:qFormat/>
    <w:rsid w:val="002E37CF"/>
    <w:rPr>
      <w:i/>
      <w:iCs/>
      <w:color w:val="0F4761" w:themeColor="accent1" w:themeShade="BF"/>
    </w:rPr>
  </w:style>
  <w:style w:type="paragraph" w:styleId="IntenseQuote">
    <w:name w:val="Intense Quote"/>
    <w:basedOn w:val="Normal"/>
    <w:next w:val="Normal"/>
    <w:link w:val="IntenseQuoteChar"/>
    <w:uiPriority w:val="30"/>
    <w:qFormat/>
    <w:rsid w:val="002E37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37CF"/>
    <w:rPr>
      <w:i/>
      <w:iCs/>
      <w:color w:val="0F4761" w:themeColor="accent1" w:themeShade="BF"/>
    </w:rPr>
  </w:style>
  <w:style w:type="character" w:styleId="IntenseReference">
    <w:name w:val="Intense Reference"/>
    <w:basedOn w:val="DefaultParagraphFont"/>
    <w:uiPriority w:val="32"/>
    <w:qFormat/>
    <w:rsid w:val="002E37CF"/>
    <w:rPr>
      <w:b/>
      <w:bCs/>
      <w:smallCaps/>
      <w:color w:val="0F4761" w:themeColor="accent1" w:themeShade="BF"/>
      <w:spacing w:val="5"/>
    </w:rPr>
  </w:style>
  <w:style w:type="character" w:styleId="Hyperlink">
    <w:name w:val="Hyperlink"/>
    <w:basedOn w:val="DefaultParagraphFont"/>
    <w:uiPriority w:val="99"/>
    <w:unhideWhenUsed/>
    <w:rsid w:val="00993450"/>
    <w:rPr>
      <w:color w:val="467886" w:themeColor="hyperlink"/>
      <w:u w:val="single"/>
    </w:rPr>
  </w:style>
  <w:style w:type="paragraph" w:styleId="Header">
    <w:name w:val="header"/>
    <w:basedOn w:val="Normal"/>
    <w:link w:val="HeaderChar"/>
    <w:uiPriority w:val="99"/>
    <w:unhideWhenUsed/>
    <w:rsid w:val="009934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3450"/>
  </w:style>
  <w:style w:type="paragraph" w:styleId="Footer">
    <w:name w:val="footer"/>
    <w:basedOn w:val="Normal"/>
    <w:link w:val="FooterChar"/>
    <w:uiPriority w:val="99"/>
    <w:unhideWhenUsed/>
    <w:rsid w:val="009934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3450"/>
  </w:style>
  <w:style w:type="character" w:styleId="UnresolvedMention">
    <w:name w:val="Unresolved Mention"/>
    <w:basedOn w:val="DefaultParagraphFont"/>
    <w:uiPriority w:val="99"/>
    <w:semiHidden/>
    <w:unhideWhenUsed/>
    <w:rsid w:val="00EF208C"/>
    <w:rPr>
      <w:color w:val="605E5C"/>
      <w:shd w:val="clear" w:color="auto" w:fill="E1DFDD"/>
    </w:rPr>
  </w:style>
  <w:style w:type="character" w:styleId="FollowedHyperlink">
    <w:name w:val="FollowedHyperlink"/>
    <w:basedOn w:val="DefaultParagraphFont"/>
    <w:uiPriority w:val="99"/>
    <w:semiHidden/>
    <w:unhideWhenUsed/>
    <w:rsid w:val="00EF208C"/>
    <w:rPr>
      <w:color w:val="96607D" w:themeColor="followedHyperlink"/>
      <w:u w:val="single"/>
    </w:rPr>
  </w:style>
  <w:style w:type="paragraph" w:styleId="NormalWeb">
    <w:name w:val="Normal (Web)"/>
    <w:basedOn w:val="Normal"/>
    <w:uiPriority w:val="99"/>
    <w:semiHidden/>
    <w:unhideWhenUsed/>
    <w:rsid w:val="00EF208C"/>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36306844">
      <w:bodyDiv w:val="1"/>
      <w:marLeft w:val="0"/>
      <w:marRight w:val="0"/>
      <w:marTop w:val="0"/>
      <w:marBottom w:val="0"/>
      <w:divBdr>
        <w:top w:val="none" w:sz="0" w:space="0" w:color="auto"/>
        <w:left w:val="none" w:sz="0" w:space="0" w:color="auto"/>
        <w:bottom w:val="none" w:sz="0" w:space="0" w:color="auto"/>
        <w:right w:val="none" w:sz="0" w:space="0" w:color="auto"/>
      </w:divBdr>
    </w:div>
    <w:div w:id="2014455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cipd.co.uk/knowledge/work/future-voice/employee-experiences" TargetMode="External"/><Relationship Id="rId18" Type="http://schemas.openxmlformats.org/officeDocument/2006/relationships/hyperlink" Target="https://www.cipd.org/uk/views-and-insights/cipd-viewpoint/employee-voice/" TargetMode="External"/><Relationship Id="rId26" Type="http://schemas.openxmlformats.org/officeDocument/2006/relationships/hyperlink" Target="https://www.legislation.gov.uk/ukpga/2010/15/part2/chapter2" TargetMode="External"/><Relationship Id="rId3" Type="http://schemas.openxmlformats.org/officeDocument/2006/relationships/styles" Target="styles.xml"/><Relationship Id="rId21" Type="http://schemas.openxmlformats.org/officeDocument/2006/relationships/hyperlink" Target="https://uk.indeed.com/career-advice/career-develpment/employee-participation" TargetMode="External"/><Relationship Id="rId34"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s://perma.cc/QW3F-UVJV" TargetMode="External"/><Relationship Id="rId17" Type="http://schemas.openxmlformats.org/officeDocument/2006/relationships/hyperlink" Target="https://www.cipd.org/uk/the-people-profession/the-profession-map/" TargetMode="External"/><Relationship Id="rId25" Type="http://schemas.openxmlformats.org/officeDocument/2006/relationships/hyperlink" Target="https://www.legislation.gov.uk/ukpga/1996/18/contents" TargetMode="External"/><Relationship Id="rId33"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s://www.cipd.org/uk/knowledge/employment-law/" TargetMode="External"/><Relationship Id="rId20" Type="http://schemas.openxmlformats.org/officeDocument/2006/relationships/hyperlink" Target="https://www.researchgate.net/publication/383860257"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ipd.co.uk/hr-resouces/research/best-good-practice-hr-developing-principle-profession.aspx" TargetMode="External"/><Relationship Id="rId24" Type="http://schemas.openxmlformats.org/officeDocument/2006/relationships/hyperlink" Target="https://www.cipd.org/uk/knowledge/factsheets/discipline-factsheet/" TargetMode="External"/><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cipd.org/uk/knowledge/factsheets/discipline-factsheet/" TargetMode="External"/><Relationship Id="rId23" Type="http://schemas.openxmlformats.org/officeDocument/2006/relationships/hyperlink" Target="https://www.cipd.org/uk/knowledge/factsheets/dismissal-factsheet/" TargetMode="External"/><Relationship Id="rId28" Type="http://schemas.openxmlformats.org/officeDocument/2006/relationships/hyperlink" Target="https://www.cipd.org/en/knowledge/factsheets/mediation-factsheet/" TargetMode="External"/><Relationship Id="rId36" Type="http://schemas.openxmlformats.org/officeDocument/2006/relationships/theme" Target="theme/theme1.xml"/><Relationship Id="rId10" Type="http://schemas.openxmlformats.org/officeDocument/2006/relationships/hyperlink" Target="https://www.acas.org.uk/dispute-in-the-workplace-a-story-of-change-and-complexity" TargetMode="External"/><Relationship Id="rId19" Type="http://schemas.openxmlformats.org/officeDocument/2006/relationships/hyperlink" Target="https://www.cipd.org/uk/knowledge/factsheets/trade-unions-factsheet/"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acas.org.uk/arbitration" TargetMode="External"/><Relationship Id="rId14" Type="http://schemas.openxmlformats.org/officeDocument/2006/relationships/hyperlink" Target="https://perma.cc/WAL5-ZM2Z" TargetMode="External"/><Relationship Id="rId22" Type="http://schemas.openxmlformats.org/officeDocument/2006/relationships/hyperlink" Target="https://www.purdueglobal.edu/education-partnerships/generational-workforce-differences-infographic/" TargetMode="External"/><Relationship Id="rId27" Type="http://schemas.openxmlformats.org/officeDocument/2006/relationships/hyperlink" Target="https://www.cipd.org/en/views-and-insights/thought-leaderships/people-profession/employee-voice/" TargetMode="External"/><Relationship Id="rId30" Type="http://schemas.openxmlformats.org/officeDocument/2006/relationships/header" Target="header2.xml"/><Relationship Id="rId35" Type="http://schemas.openxmlformats.org/officeDocument/2006/relationships/fontTable" Target="fontTable.xml"/><Relationship Id="rId8" Type="http://schemas.openxmlformats.org/officeDocument/2006/relationships/hyperlink" Target="https://www.acas.org.uk/sites/default/files/2022-04/discipline-and-grievances-at-work-the-acas-guid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75827A-1967-4DEF-A162-CC94564E27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5732</Words>
  <Characters>32673</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Francis-Davies</dc:creator>
  <cp:keywords/>
  <dc:description/>
  <cp:lastModifiedBy>Sarah Francis-Davies</cp:lastModifiedBy>
  <cp:revision>4</cp:revision>
  <dcterms:created xsi:type="dcterms:W3CDTF">2025-07-12T19:01:00Z</dcterms:created>
  <dcterms:modified xsi:type="dcterms:W3CDTF">2025-07-12T19:08:00Z</dcterms:modified>
</cp:coreProperties>
</file>