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3F7C" w:rsidRDefault="00BD3F7C" w:rsidP="00BD3F7C">
      <w:pPr>
        <w:shd w:val="clear" w:color="auto" w:fill="FFFFFF"/>
        <w:spacing w:line="360" w:lineRule="auto"/>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drawing>
          <wp:inline distT="0" distB="0" distL="0" distR="0" wp14:anchorId="11F9C019" wp14:editId="354B46F0">
            <wp:extent cx="4486275" cy="1876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86275" cy="1876425"/>
                    </a:xfrm>
                    <a:prstGeom prst="rect">
                      <a:avLst/>
                    </a:prstGeom>
                    <a:noFill/>
                    <a:ln>
                      <a:noFill/>
                    </a:ln>
                  </pic:spPr>
                </pic:pic>
              </a:graphicData>
            </a:graphic>
          </wp:inline>
        </w:drawing>
      </w:r>
    </w:p>
    <w:p w:rsidR="00BD3F7C" w:rsidRDefault="00BD3F7C" w:rsidP="00BD3F7C">
      <w:pPr>
        <w:shd w:val="clear" w:color="auto" w:fill="FFFFFF"/>
        <w:spacing w:line="360" w:lineRule="auto"/>
        <w:rPr>
          <w:rFonts w:ascii="Arial" w:eastAsia="Arial" w:hAnsi="Arial" w:cs="Arial"/>
          <w:b/>
        </w:rPr>
      </w:pPr>
      <w:r>
        <w:rPr>
          <w:b/>
        </w:rPr>
        <w:t xml:space="preserve"> </w:t>
      </w:r>
    </w:p>
    <w:p w:rsidR="00BD3F7C" w:rsidRDefault="00BD3F7C" w:rsidP="00BD3F7C">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Name: </w:t>
      </w:r>
      <w:r>
        <w:rPr>
          <w:rFonts w:ascii="Times New Roman" w:eastAsia="Times New Roman" w:hAnsi="Times New Roman" w:cs="Times New Roman"/>
          <w:b/>
          <w:sz w:val="48"/>
          <w:szCs w:val="48"/>
        </w:rPr>
        <w:t xml:space="preserve">Thomas </w:t>
      </w:r>
      <w:proofErr w:type="spellStart"/>
      <w:r>
        <w:rPr>
          <w:rFonts w:ascii="Times New Roman" w:eastAsia="Times New Roman" w:hAnsi="Times New Roman" w:cs="Times New Roman"/>
          <w:b/>
          <w:sz w:val="48"/>
          <w:szCs w:val="48"/>
        </w:rPr>
        <w:t>Adeyemi</w:t>
      </w:r>
      <w:proofErr w:type="spellEnd"/>
    </w:p>
    <w:p w:rsidR="00BD3F7C" w:rsidRDefault="00BD3F7C" w:rsidP="00BD3F7C">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w:t>
      </w:r>
      <w:proofErr w:type="spellStart"/>
      <w:r>
        <w:rPr>
          <w:rFonts w:ascii="Times New Roman" w:eastAsia="Times New Roman" w:hAnsi="Times New Roman" w:cs="Times New Roman"/>
          <w:b/>
          <w:sz w:val="48"/>
          <w:szCs w:val="48"/>
        </w:rPr>
        <w:t>Varzari</w:t>
      </w:r>
      <w:proofErr w:type="spellEnd"/>
      <w:r>
        <w:rPr>
          <w:rFonts w:ascii="Times New Roman" w:eastAsia="Times New Roman" w:hAnsi="Times New Roman" w:cs="Times New Roman"/>
          <w:b/>
          <w:sz w:val="48"/>
          <w:szCs w:val="48"/>
        </w:rPr>
        <w:t xml:space="preserve"> Cristina </w:t>
      </w:r>
    </w:p>
    <w:p w:rsidR="00BD3F7C" w:rsidRDefault="00BD3F7C" w:rsidP="00BD3F7C">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ID: 2110951</w:t>
      </w:r>
    </w:p>
    <w:p w:rsidR="00BD3F7C" w:rsidRDefault="00BD3F7C" w:rsidP="00BD3F7C">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LCBB6002</w:t>
      </w:r>
    </w:p>
    <w:p w:rsidR="00BD3F7C" w:rsidRDefault="00BD3F7C" w:rsidP="00BD3F7C">
      <w:pPr>
        <w:spacing w:line="360" w:lineRule="auto"/>
        <w:rPr>
          <w:rFonts w:ascii="Times New Roman" w:eastAsia="Times New Roman" w:hAnsi="Times New Roman" w:cs="Times New Roman"/>
          <w:b/>
          <w:color w:val="000000"/>
          <w:sz w:val="32"/>
          <w:szCs w:val="32"/>
        </w:rPr>
      </w:pPr>
      <w:r>
        <w:rPr>
          <w:rFonts w:ascii="Times New Roman" w:eastAsia="Times New Roman" w:hAnsi="Times New Roman" w:cs="Times New Roman"/>
          <w:b/>
          <w:sz w:val="48"/>
          <w:szCs w:val="48"/>
        </w:rPr>
        <w:t>Module Title: Inter</w:t>
      </w:r>
      <w:r>
        <w:rPr>
          <w:rFonts w:ascii="Times New Roman" w:eastAsia="Times New Roman" w:hAnsi="Times New Roman" w:cs="Times New Roman"/>
          <w:b/>
          <w:sz w:val="48"/>
          <w:szCs w:val="48"/>
        </w:rPr>
        <w:t>national Financial Management</w:t>
      </w:r>
      <w:r>
        <w:rPr>
          <w:rFonts w:ascii="Times New Roman" w:eastAsia="Times New Roman" w:hAnsi="Times New Roman" w:cs="Times New Roman"/>
          <w:b/>
          <w:sz w:val="48"/>
          <w:szCs w:val="48"/>
        </w:rPr>
        <w:t xml:space="preserve"> (assessment 1)</w:t>
      </w:r>
    </w:p>
    <w:p w:rsidR="00EA1D93" w:rsidRDefault="00EA1D93"/>
    <w:p w:rsidR="00BD3F7C" w:rsidRDefault="00BD3F7C"/>
    <w:p w:rsidR="00BD3F7C" w:rsidRDefault="00BD3F7C"/>
    <w:p w:rsidR="00BD3F7C" w:rsidRDefault="00BD3F7C"/>
    <w:p w:rsidR="00BD3F7C" w:rsidRDefault="00BD3F7C"/>
    <w:p w:rsidR="00BD3F7C" w:rsidRDefault="00BD3F7C"/>
    <w:p w:rsidR="00BD3F7C" w:rsidRDefault="00BD3F7C"/>
    <w:p w:rsidR="00BD3F7C" w:rsidRDefault="00BD3F7C"/>
    <w:p w:rsidR="00BD3F7C" w:rsidRDefault="00BD3F7C"/>
    <w:p w:rsidR="00BD3F7C" w:rsidRPr="00BD3F7C" w:rsidRDefault="00BD3F7C" w:rsidP="00BD3F7C">
      <w:pPr>
        <w:jc w:val="center"/>
        <w:rPr>
          <w:rFonts w:ascii="Times New Roman" w:hAnsi="Times New Roman" w:cs="Times New Roman"/>
          <w:b/>
          <w:sz w:val="24"/>
          <w:szCs w:val="24"/>
        </w:rPr>
      </w:pPr>
      <w:r w:rsidRPr="00BD3F7C">
        <w:rPr>
          <w:rFonts w:ascii="Times New Roman" w:hAnsi="Times New Roman" w:cs="Times New Roman"/>
          <w:b/>
          <w:sz w:val="24"/>
          <w:szCs w:val="24"/>
        </w:rPr>
        <w:lastRenderedPageBreak/>
        <w:t>Table of Contents</w:t>
      </w:r>
    </w:p>
    <w:sdt>
      <w:sdtPr>
        <w:id w:val="2057124732"/>
        <w:docPartObj>
          <w:docPartGallery w:val="Table of Contents"/>
          <w:docPartUnique/>
        </w:docPartObj>
      </w:sdtPr>
      <w:sdtEndPr>
        <w:rPr>
          <w:rFonts w:eastAsiaTheme="minorHAnsi"/>
          <w:lang w:val="en-US"/>
        </w:rPr>
      </w:sdtEndPr>
      <w:sdtContent>
        <w:p w:rsidR="00BD3F7C" w:rsidRPr="00BD3F7C" w:rsidRDefault="00BD3F7C" w:rsidP="00BD3F7C">
          <w:pPr>
            <w:pStyle w:val="TOC1"/>
            <w:tabs>
              <w:tab w:val="right" w:pos="9350"/>
            </w:tabs>
            <w:rPr>
              <w:noProof/>
            </w:rPr>
          </w:pPr>
          <w:r w:rsidRPr="00BD3F7C">
            <w:fldChar w:fldCharType="begin"/>
          </w:r>
          <w:r w:rsidRPr="00BD3F7C">
            <w:instrText xml:space="preserve"> TOC \h \u \z \t "Heading 1,1,Heading 2,2,Heading 3,3,Heading 4,4,Heading 5,5,Heading 6,6,"</w:instrText>
          </w:r>
          <w:r w:rsidRPr="00BD3F7C">
            <w:fldChar w:fldCharType="separate"/>
          </w:r>
          <w:hyperlink r:id="rId6" w:anchor="_Toc150446097" w:history="1">
            <w:r w:rsidRPr="00BD3F7C">
              <w:rPr>
                <w:rStyle w:val="Hyperlink"/>
                <w:noProof/>
              </w:rPr>
              <w:t>Introduction</w:t>
            </w:r>
            <w:r w:rsidRPr="00BD3F7C">
              <w:rPr>
                <w:rStyle w:val="Hyperlink"/>
                <w:noProof/>
                <w:webHidden/>
              </w:rPr>
              <w:tab/>
            </w:r>
            <w:r w:rsidRPr="00BD3F7C">
              <w:rPr>
                <w:rStyle w:val="Hyperlink"/>
                <w:noProof/>
                <w:webHidden/>
              </w:rPr>
              <w:fldChar w:fldCharType="begin"/>
            </w:r>
            <w:r w:rsidRPr="00BD3F7C">
              <w:rPr>
                <w:rStyle w:val="Hyperlink"/>
                <w:noProof/>
                <w:webHidden/>
              </w:rPr>
              <w:instrText xml:space="preserve"> PAGEREF _Toc150446097 \h </w:instrText>
            </w:r>
            <w:r w:rsidRPr="00BD3F7C">
              <w:rPr>
                <w:rStyle w:val="Hyperlink"/>
                <w:noProof/>
                <w:webHidden/>
              </w:rPr>
            </w:r>
            <w:r w:rsidRPr="00BD3F7C">
              <w:rPr>
                <w:rStyle w:val="Hyperlink"/>
                <w:noProof/>
                <w:webHidden/>
              </w:rPr>
              <w:fldChar w:fldCharType="separate"/>
            </w:r>
            <w:r w:rsidRPr="00BD3F7C">
              <w:rPr>
                <w:rStyle w:val="Hyperlink"/>
                <w:noProof/>
                <w:webHidden/>
              </w:rPr>
              <w:t>3</w:t>
            </w:r>
            <w:r w:rsidRPr="00BD3F7C">
              <w:rPr>
                <w:rStyle w:val="Hyperlink"/>
                <w:noProof/>
                <w:webHidden/>
              </w:rPr>
              <w:fldChar w:fldCharType="end"/>
            </w:r>
          </w:hyperlink>
        </w:p>
        <w:p w:rsidR="00BD3F7C" w:rsidRPr="00BD3F7C" w:rsidRDefault="00BD3F7C" w:rsidP="00BD3F7C">
          <w:pPr>
            <w:pStyle w:val="TOC1"/>
            <w:tabs>
              <w:tab w:val="right" w:pos="9350"/>
            </w:tabs>
            <w:rPr>
              <w:noProof/>
            </w:rPr>
          </w:pPr>
          <w:hyperlink r:id="rId7" w:anchor="_Toc150446098" w:history="1">
            <w:r w:rsidRPr="00BD3F7C">
              <w:rPr>
                <w:rStyle w:val="Hyperlink"/>
                <w:noProof/>
              </w:rPr>
              <w:t>“International Financial Management (IFM) theories”</w:t>
            </w:r>
            <w:r w:rsidRPr="00BD3F7C">
              <w:rPr>
                <w:rStyle w:val="Hyperlink"/>
                <w:noProof/>
                <w:webHidden/>
              </w:rPr>
              <w:tab/>
            </w:r>
            <w:r w:rsidRPr="00BD3F7C">
              <w:rPr>
                <w:rStyle w:val="Hyperlink"/>
                <w:noProof/>
                <w:webHidden/>
              </w:rPr>
              <w:fldChar w:fldCharType="begin"/>
            </w:r>
            <w:r w:rsidRPr="00BD3F7C">
              <w:rPr>
                <w:rStyle w:val="Hyperlink"/>
                <w:noProof/>
                <w:webHidden/>
              </w:rPr>
              <w:instrText xml:space="preserve"> PAGEREF _Toc150446098 \h </w:instrText>
            </w:r>
            <w:r w:rsidRPr="00BD3F7C">
              <w:rPr>
                <w:rStyle w:val="Hyperlink"/>
                <w:noProof/>
                <w:webHidden/>
              </w:rPr>
            </w:r>
            <w:r w:rsidRPr="00BD3F7C">
              <w:rPr>
                <w:rStyle w:val="Hyperlink"/>
                <w:noProof/>
                <w:webHidden/>
              </w:rPr>
              <w:fldChar w:fldCharType="separate"/>
            </w:r>
            <w:r w:rsidRPr="00BD3F7C">
              <w:rPr>
                <w:rStyle w:val="Hyperlink"/>
                <w:noProof/>
                <w:webHidden/>
              </w:rPr>
              <w:t>3</w:t>
            </w:r>
            <w:r w:rsidRPr="00BD3F7C">
              <w:rPr>
                <w:rStyle w:val="Hyperlink"/>
                <w:noProof/>
                <w:webHidden/>
              </w:rPr>
              <w:fldChar w:fldCharType="end"/>
            </w:r>
          </w:hyperlink>
        </w:p>
        <w:p w:rsidR="00BD3F7C" w:rsidRPr="00BD3F7C" w:rsidRDefault="00BD3F7C" w:rsidP="00BD3F7C">
          <w:pPr>
            <w:pStyle w:val="TOC1"/>
            <w:tabs>
              <w:tab w:val="right" w:pos="9350"/>
            </w:tabs>
            <w:rPr>
              <w:noProof/>
            </w:rPr>
          </w:pPr>
          <w:hyperlink r:id="rId8" w:anchor="_Toc150446099" w:history="1">
            <w:r w:rsidRPr="00BD3F7C">
              <w:rPr>
                <w:rStyle w:val="Hyperlink"/>
                <w:noProof/>
              </w:rPr>
              <w:t>“Foreign exchange risk to multinational corporations”</w:t>
            </w:r>
            <w:r w:rsidRPr="00BD3F7C">
              <w:rPr>
                <w:rStyle w:val="Hyperlink"/>
                <w:noProof/>
                <w:webHidden/>
              </w:rPr>
              <w:tab/>
            </w:r>
            <w:r w:rsidRPr="00BD3F7C">
              <w:rPr>
                <w:rStyle w:val="Hyperlink"/>
                <w:noProof/>
                <w:webHidden/>
              </w:rPr>
              <w:fldChar w:fldCharType="begin"/>
            </w:r>
            <w:r w:rsidRPr="00BD3F7C">
              <w:rPr>
                <w:rStyle w:val="Hyperlink"/>
                <w:noProof/>
                <w:webHidden/>
              </w:rPr>
              <w:instrText xml:space="preserve"> PAGEREF _Toc150446099 \h </w:instrText>
            </w:r>
            <w:r w:rsidRPr="00BD3F7C">
              <w:rPr>
                <w:rStyle w:val="Hyperlink"/>
                <w:noProof/>
                <w:webHidden/>
              </w:rPr>
            </w:r>
            <w:r w:rsidRPr="00BD3F7C">
              <w:rPr>
                <w:rStyle w:val="Hyperlink"/>
                <w:noProof/>
                <w:webHidden/>
              </w:rPr>
              <w:fldChar w:fldCharType="separate"/>
            </w:r>
            <w:r w:rsidRPr="00BD3F7C">
              <w:rPr>
                <w:rStyle w:val="Hyperlink"/>
                <w:noProof/>
                <w:webHidden/>
              </w:rPr>
              <w:t>3</w:t>
            </w:r>
            <w:r w:rsidRPr="00BD3F7C">
              <w:rPr>
                <w:rStyle w:val="Hyperlink"/>
                <w:noProof/>
                <w:webHidden/>
              </w:rPr>
              <w:fldChar w:fldCharType="end"/>
            </w:r>
          </w:hyperlink>
        </w:p>
        <w:p w:rsidR="00BD3F7C" w:rsidRPr="00BD3F7C" w:rsidRDefault="00BD3F7C" w:rsidP="00BD3F7C">
          <w:pPr>
            <w:pStyle w:val="TOC1"/>
            <w:tabs>
              <w:tab w:val="right" w:pos="9350"/>
            </w:tabs>
            <w:rPr>
              <w:noProof/>
            </w:rPr>
          </w:pPr>
          <w:hyperlink r:id="rId9" w:anchor="_Toc150446100" w:history="1">
            <w:r w:rsidRPr="00BD3F7C">
              <w:rPr>
                <w:rStyle w:val="Hyperlink"/>
                <w:noProof/>
              </w:rPr>
              <w:t>“Evaluate the different strategies that multinational corporations often adopt in managing their exposure to foreign exchange risks.”</w:t>
            </w:r>
            <w:r w:rsidRPr="00BD3F7C">
              <w:rPr>
                <w:rStyle w:val="Hyperlink"/>
                <w:noProof/>
                <w:webHidden/>
              </w:rPr>
              <w:tab/>
            </w:r>
            <w:r>
              <w:rPr>
                <w:rStyle w:val="Hyperlink"/>
                <w:noProof/>
                <w:webHidden/>
              </w:rPr>
              <w:t>3</w:t>
            </w:r>
          </w:hyperlink>
        </w:p>
        <w:p w:rsidR="00BD3F7C" w:rsidRPr="00BD3F7C" w:rsidRDefault="00BD3F7C" w:rsidP="00BD3F7C">
          <w:pPr>
            <w:pStyle w:val="TOC1"/>
            <w:tabs>
              <w:tab w:val="right" w:pos="9350"/>
            </w:tabs>
            <w:rPr>
              <w:noProof/>
            </w:rPr>
          </w:pPr>
          <w:hyperlink r:id="rId10" w:anchor="_Toc150446101" w:history="1">
            <w:r w:rsidRPr="00BD3F7C">
              <w:rPr>
                <w:rStyle w:val="Hyperlink"/>
                <w:noProof/>
              </w:rPr>
              <w:t>Conclusion</w:t>
            </w:r>
            <w:r w:rsidRPr="00BD3F7C">
              <w:rPr>
                <w:rStyle w:val="Hyperlink"/>
                <w:noProof/>
                <w:webHidden/>
              </w:rPr>
              <w:tab/>
            </w:r>
            <w:r>
              <w:rPr>
                <w:rStyle w:val="Hyperlink"/>
                <w:noProof/>
                <w:webHidden/>
              </w:rPr>
              <w:t>5</w:t>
            </w:r>
          </w:hyperlink>
        </w:p>
        <w:p w:rsidR="00BD3F7C" w:rsidRPr="00BD3F7C" w:rsidRDefault="00BD3F7C" w:rsidP="00BD3F7C">
          <w:pPr>
            <w:pStyle w:val="TOC1"/>
            <w:tabs>
              <w:tab w:val="right" w:pos="9350"/>
            </w:tabs>
            <w:rPr>
              <w:noProof/>
            </w:rPr>
          </w:pPr>
          <w:hyperlink r:id="rId11" w:anchor="_Toc150446102" w:history="1">
            <w:r w:rsidRPr="00BD3F7C">
              <w:rPr>
                <w:rStyle w:val="Hyperlink"/>
                <w:noProof/>
              </w:rPr>
              <w:t>Reference List</w:t>
            </w:r>
            <w:r w:rsidRPr="00BD3F7C">
              <w:rPr>
                <w:rStyle w:val="Hyperlink"/>
                <w:noProof/>
                <w:webHidden/>
              </w:rPr>
              <w:tab/>
            </w:r>
            <w:r>
              <w:rPr>
                <w:rStyle w:val="Hyperlink"/>
                <w:noProof/>
                <w:webHidden/>
              </w:rPr>
              <w:t>6</w:t>
            </w:r>
          </w:hyperlink>
        </w:p>
        <w:p w:rsidR="00BD3F7C" w:rsidRPr="00BD3F7C" w:rsidRDefault="00BD3F7C" w:rsidP="00BD3F7C">
          <w:pPr>
            <w:widowControl w:val="0"/>
            <w:tabs>
              <w:tab w:val="right" w:pos="12000"/>
            </w:tabs>
            <w:rPr>
              <w:rFonts w:ascii="Times New Roman" w:hAnsi="Times New Roman" w:cs="Times New Roman"/>
              <w:color w:val="000000"/>
              <w:sz w:val="24"/>
              <w:szCs w:val="24"/>
            </w:rPr>
          </w:pPr>
          <w:r w:rsidRPr="00BD3F7C">
            <w:rPr>
              <w:rFonts w:ascii="Times New Roman" w:hAnsi="Times New Roman" w:cs="Times New Roman"/>
              <w:sz w:val="24"/>
              <w:szCs w:val="24"/>
            </w:rPr>
            <w:fldChar w:fldCharType="end"/>
          </w:r>
        </w:p>
      </w:sdtContent>
    </w:sdt>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br w:type="page"/>
      </w:r>
    </w:p>
    <w:p w:rsidR="00BD3F7C" w:rsidRPr="00BD3F7C" w:rsidRDefault="00BD3F7C" w:rsidP="00BD3F7C">
      <w:pPr>
        <w:pStyle w:val="Heading1"/>
      </w:pPr>
      <w:bookmarkStart w:id="0" w:name="_Toc150446097"/>
      <w:r w:rsidRPr="00BD3F7C">
        <w:lastRenderedPageBreak/>
        <w:t>Introduction</w:t>
      </w:r>
      <w:bookmarkEnd w:id="0"/>
      <w:r w:rsidRPr="00BD3F7C">
        <w:t xml:space="preserve">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The scope of international financial management has inclusion of capital markets which helps individuals and businesses earn more money and help their ideas come true. Sound financial management is imperative for the firm to survive and grow in the volatile market conditions. </w:t>
      </w:r>
      <w:proofErr w:type="gramStart"/>
      <w:r w:rsidRPr="00BD3F7C">
        <w:rPr>
          <w:rFonts w:ascii="Times New Roman" w:hAnsi="Times New Roman" w:cs="Times New Roman"/>
          <w:sz w:val="24"/>
          <w:szCs w:val="24"/>
        </w:rPr>
        <w:t>(Arnold, 2012).</w:t>
      </w:r>
      <w:proofErr w:type="gramEnd"/>
      <w:r w:rsidRPr="00BD3F7C">
        <w:rPr>
          <w:rFonts w:ascii="Times New Roman" w:hAnsi="Times New Roman" w:cs="Times New Roman"/>
          <w:sz w:val="24"/>
          <w:szCs w:val="24"/>
        </w:rPr>
        <w:t xml:space="preserve"> The aim of this report is to outline the evaluation of financial management theories on companies. The overview is going to cover a brief introduction to international financial management theories. The last question is to evaluate the different strategies used by multinational corporations to manage foreign exchange risk relating to the theories of international financial management. </w:t>
      </w:r>
    </w:p>
    <w:p w:rsidR="00BD3F7C" w:rsidRPr="00BD3F7C" w:rsidRDefault="00BD3F7C" w:rsidP="00BD3F7C">
      <w:pPr>
        <w:pStyle w:val="Heading1"/>
      </w:pPr>
      <w:bookmarkStart w:id="1" w:name="_Toc150446098"/>
      <w:r w:rsidRPr="00BD3F7C">
        <w:t>“International Financial Management (IFM) theories”</w:t>
      </w:r>
      <w:bookmarkEnd w:id="1"/>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The interest rate parity is the theory that provides a strong relationship between both the interest rates and the current currency’s exchange rate. It also follows the practice of maintaining a consistent rate of interest across all the different channels. The Mundell-Fleming model lays down an argument that an economy is not capable of maintaining a fixed economic policy and an independent monetary policy (Al-</w:t>
      </w:r>
      <w:proofErr w:type="spellStart"/>
      <w:r w:rsidRPr="00BD3F7C">
        <w:rPr>
          <w:rFonts w:ascii="Times New Roman" w:hAnsi="Times New Roman" w:cs="Times New Roman"/>
          <w:sz w:val="24"/>
          <w:szCs w:val="24"/>
        </w:rPr>
        <w:t>Lozi</w:t>
      </w:r>
      <w:proofErr w:type="spellEnd"/>
      <w:r w:rsidRPr="00BD3F7C">
        <w:rPr>
          <w:rFonts w:ascii="Times New Roman" w:hAnsi="Times New Roman" w:cs="Times New Roman"/>
          <w:sz w:val="24"/>
          <w:szCs w:val="24"/>
        </w:rPr>
        <w:t xml:space="preserve">, 2023). The optimum currency area theory guides the companies that there are specific areas that have boundaries based on national boundaries that can create benefits for the modern currency. </w:t>
      </w:r>
    </w:p>
    <w:p w:rsidR="00BD3F7C" w:rsidRPr="00BD3F7C" w:rsidRDefault="00BD3F7C" w:rsidP="00BD3F7C">
      <w:pPr>
        <w:pStyle w:val="Heading1"/>
      </w:pPr>
      <w:bookmarkStart w:id="2" w:name="_Toc150446099"/>
      <w:r w:rsidRPr="00BD3F7C">
        <w:t>“Foreign exchange risk to multinational corporations”</w:t>
      </w:r>
      <w:bookmarkEnd w:id="2"/>
      <w:r w:rsidRPr="00BD3F7C">
        <w:t xml:space="preserve">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Foreign exchange risk represents the overall losses that international financial management can incur due to fluctuations in the currency. According to </w:t>
      </w:r>
      <w:proofErr w:type="spellStart"/>
      <w:r w:rsidRPr="00BD3F7C">
        <w:rPr>
          <w:rFonts w:ascii="Times New Roman" w:hAnsi="Times New Roman" w:cs="Times New Roman"/>
          <w:color w:val="222222"/>
          <w:sz w:val="24"/>
          <w:szCs w:val="24"/>
          <w:highlight w:val="white"/>
        </w:rPr>
        <w:t>Horvathova</w:t>
      </w:r>
      <w:proofErr w:type="spellEnd"/>
      <w:r w:rsidRPr="00BD3F7C">
        <w:rPr>
          <w:rFonts w:ascii="Times New Roman" w:hAnsi="Times New Roman" w:cs="Times New Roman"/>
          <w:color w:val="222222"/>
          <w:sz w:val="24"/>
          <w:szCs w:val="24"/>
          <w:highlight w:val="white"/>
        </w:rPr>
        <w:t xml:space="preserve"> and </w:t>
      </w:r>
      <w:proofErr w:type="spellStart"/>
      <w:r w:rsidRPr="00BD3F7C">
        <w:rPr>
          <w:rFonts w:ascii="Times New Roman" w:hAnsi="Times New Roman" w:cs="Times New Roman"/>
          <w:color w:val="222222"/>
          <w:sz w:val="24"/>
          <w:szCs w:val="24"/>
          <w:highlight w:val="white"/>
        </w:rPr>
        <w:t>Mokrisova</w:t>
      </w:r>
      <w:proofErr w:type="spellEnd"/>
      <w:r w:rsidRPr="00BD3F7C">
        <w:rPr>
          <w:rFonts w:ascii="Times New Roman" w:hAnsi="Times New Roman" w:cs="Times New Roman"/>
          <w:color w:val="222222"/>
          <w:sz w:val="24"/>
          <w:szCs w:val="24"/>
          <w:highlight w:val="white"/>
        </w:rPr>
        <w:t xml:space="preserve"> </w:t>
      </w:r>
      <w:r w:rsidRPr="00BD3F7C">
        <w:rPr>
          <w:rFonts w:ascii="Times New Roman" w:hAnsi="Times New Roman" w:cs="Times New Roman"/>
          <w:sz w:val="24"/>
          <w:szCs w:val="24"/>
        </w:rPr>
        <w:t xml:space="preserve">(2020), fluctuations in the currency can negatively impact the company’s operations in short, medium and long-term competitiveness based on the products and services. For several companies, this type of risk can undergo changes in the supply costs that have been purchased from a different country and change the product’s attractiveness to overseas customers. There are three types of foreign exchange risk that includes transaction risk, translation risk and economic risk. Economic risk is that risk where the market value of the company is usually impacted due to fluctuations in the exchange rate. This type of risk can usually be created due to conditions in the macroeconomic environment. </w:t>
      </w:r>
    </w:p>
    <w:p w:rsidR="00BD3F7C" w:rsidRPr="00BD3F7C" w:rsidRDefault="00BD3F7C" w:rsidP="00BD3F7C">
      <w:pPr>
        <w:pStyle w:val="Heading1"/>
      </w:pPr>
      <w:bookmarkStart w:id="3" w:name="_Toc150446100"/>
      <w:r w:rsidRPr="00BD3F7C">
        <w:t>“Evaluate the different strategies that multinational corporations often adopt in managing their exposure to foreign exchange risks.”</w:t>
      </w:r>
      <w:bookmarkEnd w:id="3"/>
      <w:r w:rsidRPr="00BD3F7C">
        <w:t xml:space="preserve">  </w:t>
      </w:r>
    </w:p>
    <w:p w:rsid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One of the most effective ways through which foreign exchange risk can be managed is foreign exchange trading also known as Hedging. As opined by </w:t>
      </w:r>
      <w:proofErr w:type="spellStart"/>
      <w:r w:rsidRPr="00BD3F7C">
        <w:rPr>
          <w:rFonts w:ascii="Times New Roman" w:hAnsi="Times New Roman" w:cs="Times New Roman"/>
          <w:color w:val="222222"/>
          <w:sz w:val="24"/>
          <w:szCs w:val="24"/>
          <w:highlight w:val="white"/>
        </w:rPr>
        <w:t>Jin</w:t>
      </w:r>
      <w:proofErr w:type="spellEnd"/>
      <w:r w:rsidRPr="00BD3F7C">
        <w:rPr>
          <w:rFonts w:ascii="Times New Roman" w:hAnsi="Times New Roman" w:cs="Times New Roman"/>
          <w:color w:val="222222"/>
          <w:sz w:val="24"/>
          <w:szCs w:val="24"/>
          <w:highlight w:val="white"/>
        </w:rPr>
        <w:t xml:space="preserve"> </w:t>
      </w:r>
      <w:r w:rsidRPr="00BD3F7C">
        <w:rPr>
          <w:rFonts w:ascii="Times New Roman" w:hAnsi="Times New Roman" w:cs="Times New Roman"/>
          <w:i/>
          <w:color w:val="222222"/>
          <w:sz w:val="24"/>
          <w:szCs w:val="24"/>
          <w:highlight w:val="white"/>
        </w:rPr>
        <w:t>et al.</w:t>
      </w:r>
      <w:r w:rsidRPr="00BD3F7C">
        <w:rPr>
          <w:rFonts w:ascii="Times New Roman" w:hAnsi="Times New Roman" w:cs="Times New Roman"/>
          <w:color w:val="222222"/>
          <w:sz w:val="24"/>
          <w:szCs w:val="24"/>
          <w:highlight w:val="white"/>
        </w:rPr>
        <w:t xml:space="preserve"> </w:t>
      </w:r>
      <w:r w:rsidRPr="00BD3F7C">
        <w:rPr>
          <w:rFonts w:ascii="Times New Roman" w:hAnsi="Times New Roman" w:cs="Times New Roman"/>
          <w:sz w:val="24"/>
          <w:szCs w:val="24"/>
        </w:rPr>
        <w:t xml:space="preserve">(2021), one of the benefits of foreign exchange trading is that it helps in the reduction of margins and increasing liquidity. Companies such as JP Morgan and </w:t>
      </w:r>
      <w:proofErr w:type="spellStart"/>
      <w:r w:rsidRPr="00BD3F7C">
        <w:rPr>
          <w:rFonts w:ascii="Times New Roman" w:hAnsi="Times New Roman" w:cs="Times New Roman"/>
          <w:sz w:val="24"/>
          <w:szCs w:val="24"/>
        </w:rPr>
        <w:t>MoneyCorp</w:t>
      </w:r>
      <w:proofErr w:type="spellEnd"/>
      <w:r w:rsidRPr="00BD3F7C">
        <w:rPr>
          <w:rFonts w:ascii="Times New Roman" w:hAnsi="Times New Roman" w:cs="Times New Roman"/>
          <w:sz w:val="24"/>
          <w:szCs w:val="24"/>
        </w:rPr>
        <w:t xml:space="preserve"> use hedging to prevent the negative impacts of foreign exchange risk. This can also be related to the theory of interest rate parity that establishes the relationship between interest rates and currency exchange. As an example, Money Corp follows foreign exchange risk management in protecting the higher levels of fluctuations in the currency and protecting the profits (</w:t>
      </w:r>
      <w:proofErr w:type="spellStart"/>
      <w:r w:rsidRPr="00BD3F7C">
        <w:rPr>
          <w:rFonts w:ascii="Times New Roman" w:hAnsi="Times New Roman" w:cs="Times New Roman"/>
          <w:sz w:val="24"/>
          <w:szCs w:val="24"/>
        </w:rPr>
        <w:t>Moneycorp</w:t>
      </w:r>
      <w:proofErr w:type="spellEnd"/>
      <w:r w:rsidRPr="00BD3F7C">
        <w:rPr>
          <w:rFonts w:ascii="Times New Roman" w:hAnsi="Times New Roman" w:cs="Times New Roman"/>
          <w:sz w:val="24"/>
          <w:szCs w:val="24"/>
        </w:rPr>
        <w:t xml:space="preserve">, 2023). On the contrary, Morton (2020) stated the disadvantages of foreign exchange trading where the market brings unregulated profits. Despite leveraging identifying opportunities for profits, this can also create losses for the company.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lastRenderedPageBreak/>
        <w:t xml:space="preserve">This can be challenging for multinational corporations since adhering to strategies of foreign exchange trading and hedging can create a disadvantage for multinational companies such as JP Morgan and Money Corp.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Another strategy which is followed by companies to reduce the foreign exchange risk is using forward foreign exchange contracts. According to </w:t>
      </w:r>
      <w:proofErr w:type="spellStart"/>
      <w:r w:rsidRPr="00BD3F7C">
        <w:rPr>
          <w:rFonts w:ascii="Times New Roman" w:hAnsi="Times New Roman" w:cs="Times New Roman"/>
          <w:color w:val="222222"/>
          <w:sz w:val="24"/>
          <w:szCs w:val="24"/>
          <w:highlight w:val="white"/>
        </w:rPr>
        <w:t>Abankwa</w:t>
      </w:r>
      <w:proofErr w:type="spellEnd"/>
      <w:r w:rsidRPr="00BD3F7C">
        <w:rPr>
          <w:rFonts w:ascii="Times New Roman" w:hAnsi="Times New Roman" w:cs="Times New Roman"/>
          <w:color w:val="222222"/>
          <w:sz w:val="24"/>
          <w:szCs w:val="24"/>
          <w:highlight w:val="white"/>
        </w:rPr>
        <w:t xml:space="preserve"> and Blenman </w:t>
      </w:r>
      <w:r w:rsidRPr="00BD3F7C">
        <w:rPr>
          <w:rFonts w:ascii="Times New Roman" w:hAnsi="Times New Roman" w:cs="Times New Roman"/>
          <w:sz w:val="24"/>
          <w:szCs w:val="24"/>
        </w:rPr>
        <w:t xml:space="preserve">(2021), a forward exchange contract is used as a hedge against the risk that it provides protection based on both parties from either unexpected or adverse movements in the currencies. Relative to the Mundell </w:t>
      </w:r>
      <w:proofErr w:type="spellStart"/>
      <w:proofErr w:type="gramStart"/>
      <w:r w:rsidRPr="00BD3F7C">
        <w:rPr>
          <w:rFonts w:ascii="Times New Roman" w:hAnsi="Times New Roman" w:cs="Times New Roman"/>
          <w:sz w:val="24"/>
          <w:szCs w:val="24"/>
        </w:rPr>
        <w:t>fleming</w:t>
      </w:r>
      <w:proofErr w:type="spellEnd"/>
      <w:proofErr w:type="gramEnd"/>
      <w:r w:rsidRPr="00BD3F7C">
        <w:rPr>
          <w:rFonts w:ascii="Times New Roman" w:hAnsi="Times New Roman" w:cs="Times New Roman"/>
          <w:sz w:val="24"/>
          <w:szCs w:val="24"/>
        </w:rPr>
        <w:t xml:space="preserve"> theory, the domestic interest rate is fixed in both the domestic and foreign markets which can be managed by the nominal exchange theory. Supporting the above statement, </w:t>
      </w:r>
      <w:proofErr w:type="spellStart"/>
      <w:r w:rsidRPr="00BD3F7C">
        <w:rPr>
          <w:rFonts w:ascii="Times New Roman" w:hAnsi="Times New Roman" w:cs="Times New Roman"/>
          <w:sz w:val="24"/>
          <w:szCs w:val="24"/>
        </w:rPr>
        <w:t>Atrill</w:t>
      </w:r>
      <w:proofErr w:type="spellEnd"/>
      <w:r w:rsidRPr="00BD3F7C">
        <w:rPr>
          <w:rFonts w:ascii="Times New Roman" w:hAnsi="Times New Roman" w:cs="Times New Roman"/>
          <w:sz w:val="24"/>
          <w:szCs w:val="24"/>
        </w:rPr>
        <w:t xml:space="preserve"> (2011) stated that financial management guides managers in carrying out tasks based on strategic management and risk management. As an example, Unilever’s management team is strongly focused on making use of forward foreign exchange in order to reduce the volatility of foreign exchange risk (Unilever, 2023). Similarly, GSK uses third-party risk management to manage the risks related to foreign exchange risk (</w:t>
      </w:r>
      <w:proofErr w:type="spellStart"/>
      <w:r w:rsidRPr="00BD3F7C">
        <w:rPr>
          <w:rFonts w:ascii="Times New Roman" w:hAnsi="Times New Roman" w:cs="Times New Roman"/>
          <w:sz w:val="24"/>
          <w:szCs w:val="24"/>
        </w:rPr>
        <w:t>Gsk</w:t>
      </w:r>
      <w:proofErr w:type="spellEnd"/>
      <w:r w:rsidRPr="00BD3F7C">
        <w:rPr>
          <w:rFonts w:ascii="Times New Roman" w:hAnsi="Times New Roman" w:cs="Times New Roman"/>
          <w:sz w:val="24"/>
          <w:szCs w:val="24"/>
        </w:rPr>
        <w:t xml:space="preserve">, 2023).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Contrary to the above statement, </w:t>
      </w:r>
      <w:proofErr w:type="spellStart"/>
      <w:r w:rsidRPr="00BD3F7C">
        <w:rPr>
          <w:rFonts w:ascii="Times New Roman" w:hAnsi="Times New Roman" w:cs="Times New Roman"/>
          <w:color w:val="222222"/>
          <w:sz w:val="24"/>
          <w:szCs w:val="24"/>
          <w:highlight w:val="white"/>
        </w:rPr>
        <w:t>Ilzetzki</w:t>
      </w:r>
      <w:proofErr w:type="spellEnd"/>
      <w:r w:rsidRPr="00BD3F7C">
        <w:rPr>
          <w:rFonts w:ascii="Times New Roman" w:hAnsi="Times New Roman" w:cs="Times New Roman"/>
          <w:color w:val="222222"/>
          <w:sz w:val="24"/>
          <w:szCs w:val="24"/>
          <w:highlight w:val="white"/>
        </w:rPr>
        <w:t xml:space="preserve"> </w:t>
      </w:r>
      <w:r w:rsidRPr="00BD3F7C">
        <w:rPr>
          <w:rFonts w:ascii="Times New Roman" w:hAnsi="Times New Roman" w:cs="Times New Roman"/>
          <w:i/>
          <w:color w:val="222222"/>
          <w:sz w:val="24"/>
          <w:szCs w:val="24"/>
          <w:highlight w:val="white"/>
        </w:rPr>
        <w:t>et al.</w:t>
      </w:r>
      <w:r w:rsidRPr="00BD3F7C">
        <w:rPr>
          <w:rFonts w:ascii="Times New Roman" w:hAnsi="Times New Roman" w:cs="Times New Roman"/>
          <w:color w:val="222222"/>
          <w:sz w:val="24"/>
          <w:szCs w:val="24"/>
          <w:highlight w:val="white"/>
        </w:rPr>
        <w:t xml:space="preserve"> </w:t>
      </w:r>
      <w:r w:rsidRPr="00BD3F7C">
        <w:rPr>
          <w:rFonts w:ascii="Times New Roman" w:hAnsi="Times New Roman" w:cs="Times New Roman"/>
          <w:sz w:val="24"/>
          <w:szCs w:val="24"/>
        </w:rPr>
        <w:t xml:space="preserve">(2022) stated the disadvantages of forward foreign exchange contracts since they cannot provide benefits to the company based on the exchange rates since the rate itself is fixed. This can be challenging for multinational companies such as Unilever and GSK since it may not produce opportunities for the companies to adapt to opportunities based on foreign exchange.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Another strategy that the company can avoid foreign exchange risk is using the foreign currency option where the purchaser is given the option to either buy or sell a fixed amount of foreign exchange units for a particular period. As per the opinion of </w:t>
      </w:r>
      <w:proofErr w:type="spellStart"/>
      <w:r w:rsidRPr="00BD3F7C">
        <w:rPr>
          <w:rFonts w:ascii="Times New Roman" w:hAnsi="Times New Roman" w:cs="Times New Roman"/>
          <w:color w:val="222222"/>
          <w:sz w:val="24"/>
          <w:szCs w:val="24"/>
          <w:highlight w:val="white"/>
        </w:rPr>
        <w:t>Bottasso</w:t>
      </w:r>
      <w:proofErr w:type="spellEnd"/>
      <w:r w:rsidRPr="00BD3F7C">
        <w:rPr>
          <w:rFonts w:ascii="Times New Roman" w:hAnsi="Times New Roman" w:cs="Times New Roman"/>
          <w:color w:val="222222"/>
          <w:sz w:val="24"/>
          <w:szCs w:val="24"/>
          <w:highlight w:val="white"/>
        </w:rPr>
        <w:t xml:space="preserve"> </w:t>
      </w:r>
      <w:r w:rsidRPr="00BD3F7C">
        <w:rPr>
          <w:rFonts w:ascii="Times New Roman" w:hAnsi="Times New Roman" w:cs="Times New Roman"/>
          <w:i/>
          <w:color w:val="222222"/>
          <w:sz w:val="24"/>
          <w:szCs w:val="24"/>
          <w:highlight w:val="white"/>
        </w:rPr>
        <w:t>et al.</w:t>
      </w:r>
      <w:r w:rsidRPr="00BD3F7C">
        <w:rPr>
          <w:rFonts w:ascii="Times New Roman" w:hAnsi="Times New Roman" w:cs="Times New Roman"/>
          <w:color w:val="222222"/>
          <w:sz w:val="24"/>
          <w:szCs w:val="24"/>
          <w:highlight w:val="white"/>
        </w:rPr>
        <w:t xml:space="preserve"> </w:t>
      </w:r>
      <w:r w:rsidRPr="00BD3F7C">
        <w:rPr>
          <w:rFonts w:ascii="Times New Roman" w:hAnsi="Times New Roman" w:cs="Times New Roman"/>
          <w:sz w:val="24"/>
          <w:szCs w:val="24"/>
        </w:rPr>
        <w:t xml:space="preserve">(2023), currency options are beneficial for investors in giving them the right to either buy or sell a particular currency for a specified amount before the date of expiry at the strike price. This can be related to the Optimum Currency Area theory which strongly suggests that larger and less dependent countries need to adjust to exchange rate volatiles in terms of aggregate efficiency in the economy and providing values to the monetary policy. As an example, Tesco uses an efficient risk management process by holding regular meetings with the Executive Committee and the board (Tesco, 2023). It involves using several strategies such as currency swaps and currency options to hedge themselves from higher exposure to transactions. Another example is Amazon where the company is responsible for using derivative financial instruments in order to hedge the risk fluctuations of the foreign exchange rates.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Contrary to the above statement, </w:t>
      </w:r>
      <w:proofErr w:type="spellStart"/>
      <w:r w:rsidRPr="00BD3F7C">
        <w:rPr>
          <w:rFonts w:ascii="Times New Roman" w:hAnsi="Times New Roman" w:cs="Times New Roman"/>
          <w:color w:val="222222"/>
          <w:sz w:val="24"/>
          <w:szCs w:val="24"/>
          <w:highlight w:val="white"/>
        </w:rPr>
        <w:t>Aigner</w:t>
      </w:r>
      <w:proofErr w:type="spellEnd"/>
      <w:r w:rsidRPr="00BD3F7C">
        <w:rPr>
          <w:rFonts w:ascii="Times New Roman" w:hAnsi="Times New Roman" w:cs="Times New Roman"/>
          <w:color w:val="222222"/>
          <w:sz w:val="24"/>
          <w:szCs w:val="24"/>
          <w:highlight w:val="white"/>
        </w:rPr>
        <w:t xml:space="preserve"> and Dhaliwal </w:t>
      </w:r>
      <w:r w:rsidRPr="00BD3F7C">
        <w:rPr>
          <w:rFonts w:ascii="Times New Roman" w:hAnsi="Times New Roman" w:cs="Times New Roman"/>
          <w:sz w:val="24"/>
          <w:szCs w:val="24"/>
        </w:rPr>
        <w:t xml:space="preserve">(2021) stated the disadvantages of currency options which include higher risk and lower liquidity. Due to liquidity being low, it cannot be easy to either buy or sell the options. This can be disadvantageous for Tesco and Amazon which increases their risks of foreign investment and does not have enough liquidity. As an example, the rise in global inflation rates has negatively impacted the multinational companies that have affected both the suppliers and the customers. This includes providing products at a higher price to the customers and purchasing raw materials at a higher price. This can reduce the company’s brand image in the global markets. </w:t>
      </w:r>
    </w:p>
    <w:p w:rsid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To mitigate the exposure to economic risks, companies adopt strategies related to the management of currency flows, swaps in currencies and agreements of risk sharing. Currency risk sharing is the process where the currency is being hedged in order to strike a deal between two parties who have agreed to share the risk related to fluctuations in the exchange rate. As per the statement of Adrian </w:t>
      </w:r>
      <w:r w:rsidRPr="00BD3F7C">
        <w:rPr>
          <w:rFonts w:ascii="Times New Roman" w:hAnsi="Times New Roman" w:cs="Times New Roman"/>
          <w:i/>
          <w:sz w:val="24"/>
          <w:szCs w:val="24"/>
        </w:rPr>
        <w:t>et al.</w:t>
      </w:r>
      <w:r w:rsidRPr="00BD3F7C">
        <w:rPr>
          <w:rFonts w:ascii="Times New Roman" w:hAnsi="Times New Roman" w:cs="Times New Roman"/>
          <w:sz w:val="24"/>
          <w:szCs w:val="24"/>
        </w:rPr>
        <w:t xml:space="preserve"> (2022), entering into a currency risk-sharing agreement allows two or more parties who mutually hedge against each other in order to mitigate any possible losses.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lastRenderedPageBreak/>
        <w:t xml:space="preserve">This can help the companies to prevent themselves from any unpredictable losses. This can be related to the Mint Parity theory where the exchange rates are related to the same standards. Supporting the above statement, Arnold (2012) stated that several businesses do not involve a conflict based on the objectives of each shareholder.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This helps reduce the risk of returns on foreign exchanges when multinational companies deal in transactions on a global basis. As an example, Barclays Bank forms an FX group treasury policy by taking the treasury into consideration and </w:t>
      </w:r>
      <w:proofErr w:type="spellStart"/>
      <w:r w:rsidRPr="00BD3F7C">
        <w:rPr>
          <w:rFonts w:ascii="Times New Roman" w:hAnsi="Times New Roman" w:cs="Times New Roman"/>
          <w:sz w:val="24"/>
          <w:szCs w:val="24"/>
        </w:rPr>
        <w:t>maximisation</w:t>
      </w:r>
      <w:proofErr w:type="spellEnd"/>
      <w:r w:rsidRPr="00BD3F7C">
        <w:rPr>
          <w:rFonts w:ascii="Times New Roman" w:hAnsi="Times New Roman" w:cs="Times New Roman"/>
          <w:sz w:val="24"/>
          <w:szCs w:val="24"/>
        </w:rPr>
        <w:t xml:space="preserve"> of its effectiveness across the entire </w:t>
      </w:r>
      <w:proofErr w:type="spellStart"/>
      <w:r w:rsidRPr="00BD3F7C">
        <w:rPr>
          <w:rFonts w:ascii="Times New Roman" w:hAnsi="Times New Roman" w:cs="Times New Roman"/>
          <w:sz w:val="24"/>
          <w:szCs w:val="24"/>
        </w:rPr>
        <w:t>organisation</w:t>
      </w:r>
      <w:proofErr w:type="spellEnd"/>
      <w:r w:rsidRPr="00BD3F7C">
        <w:rPr>
          <w:rFonts w:ascii="Times New Roman" w:hAnsi="Times New Roman" w:cs="Times New Roman"/>
          <w:sz w:val="24"/>
          <w:szCs w:val="24"/>
        </w:rPr>
        <w:t xml:space="preserve"> (</w:t>
      </w:r>
      <w:proofErr w:type="spellStart"/>
      <w:r w:rsidRPr="00BD3F7C">
        <w:rPr>
          <w:rFonts w:ascii="Times New Roman" w:hAnsi="Times New Roman" w:cs="Times New Roman"/>
          <w:sz w:val="24"/>
          <w:szCs w:val="24"/>
        </w:rPr>
        <w:t>Barclayscorporate</w:t>
      </w:r>
      <w:proofErr w:type="spellEnd"/>
      <w:r w:rsidRPr="00BD3F7C">
        <w:rPr>
          <w:rFonts w:ascii="Times New Roman" w:hAnsi="Times New Roman" w:cs="Times New Roman"/>
          <w:sz w:val="24"/>
          <w:szCs w:val="24"/>
        </w:rPr>
        <w:t xml:space="preserve">, 2023). This can help the company to manage several risks aligned with the foreign exchange market. Similarly, PepsiCo mitigates their inherent risks in international currency that involves using derivatives which specifically include forward contracts to outsource purchases from local suppliers. However, </w:t>
      </w:r>
      <w:proofErr w:type="spellStart"/>
      <w:r w:rsidRPr="00BD3F7C">
        <w:rPr>
          <w:rFonts w:ascii="Times New Roman" w:hAnsi="Times New Roman" w:cs="Times New Roman"/>
          <w:color w:val="222222"/>
          <w:sz w:val="24"/>
          <w:szCs w:val="24"/>
          <w:highlight w:val="white"/>
        </w:rPr>
        <w:t>Ilinka</w:t>
      </w:r>
      <w:proofErr w:type="spellEnd"/>
      <w:r w:rsidRPr="00BD3F7C">
        <w:rPr>
          <w:rFonts w:ascii="Times New Roman" w:hAnsi="Times New Roman" w:cs="Times New Roman"/>
          <w:color w:val="222222"/>
          <w:sz w:val="24"/>
          <w:szCs w:val="24"/>
          <w:highlight w:val="white"/>
        </w:rPr>
        <w:t xml:space="preserve"> and </w:t>
      </w:r>
      <w:proofErr w:type="spellStart"/>
      <w:r w:rsidRPr="00BD3F7C">
        <w:rPr>
          <w:rFonts w:ascii="Times New Roman" w:hAnsi="Times New Roman" w:cs="Times New Roman"/>
          <w:color w:val="222222"/>
          <w:sz w:val="24"/>
          <w:szCs w:val="24"/>
          <w:highlight w:val="white"/>
        </w:rPr>
        <w:t>Tayachi</w:t>
      </w:r>
      <w:proofErr w:type="spellEnd"/>
      <w:r w:rsidRPr="00BD3F7C">
        <w:rPr>
          <w:rFonts w:ascii="Times New Roman" w:hAnsi="Times New Roman" w:cs="Times New Roman"/>
          <w:color w:val="222222"/>
          <w:sz w:val="24"/>
          <w:szCs w:val="24"/>
          <w:highlight w:val="white"/>
        </w:rPr>
        <w:t xml:space="preserve"> </w:t>
      </w:r>
      <w:r w:rsidRPr="00BD3F7C">
        <w:rPr>
          <w:rFonts w:ascii="Times New Roman" w:hAnsi="Times New Roman" w:cs="Times New Roman"/>
          <w:sz w:val="24"/>
          <w:szCs w:val="24"/>
        </w:rPr>
        <w:t xml:space="preserve">(2020) stated that currency risk-sharing agreement has several risks such as exchange rate risks, counterparty risks and liquidity risks. This can be disadvantageous for multinational companies since exchange rate risks and interest rate risks can increase the prices of the foreign goods imported which might reduce the ability of the company to earn higher profits.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The last strategy is the currency swap process which can be used to hedge the foreign exchange risks in the international market. The process involves swapping cash flows in the foreign currency with either domestic or a pre-determined date. The main purpose of currency swaps is to reduce the overall currency-related risks in order to achieve lower costs of financing or gaining access to foreign currency. This is beneficial for multinational companies since it can protect the companies from higher volatility of foreign exchange risks. However, currency swaps can have interest rates and higher liquidity risks.  </w:t>
      </w:r>
    </w:p>
    <w:p w:rsidR="00BD3F7C" w:rsidRPr="00BD3F7C" w:rsidRDefault="00BD3F7C" w:rsidP="00BD3F7C">
      <w:pPr>
        <w:pStyle w:val="Heading1"/>
      </w:pPr>
      <w:bookmarkStart w:id="4" w:name="_Toc150446101"/>
      <w:r w:rsidRPr="00BD3F7C">
        <w:t>Conclusion</w:t>
      </w:r>
      <w:bookmarkEnd w:id="4"/>
      <w:r w:rsidRPr="00BD3F7C">
        <w:t xml:space="preserve"> </w:t>
      </w:r>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Foreign exchange trading, currency risk sharing and currency swaps were considered to be some of the most effective strategies for multinational companies to gain protection from higher risks of foreign exchange. Concluding the findings from this report, it can be deduced that the interest rate parity theory and the optimum currency area theory are relatable to the strategies adopted by companies to counter the challenges of foreign exchange. Forward contracts, hedging and currency swaps have been used by several multinational companies to protect themselves from higher vol</w:t>
      </w:r>
      <w:bookmarkStart w:id="5" w:name="_GoBack"/>
      <w:bookmarkEnd w:id="5"/>
      <w:r w:rsidRPr="00BD3F7C">
        <w:rPr>
          <w:rFonts w:ascii="Times New Roman" w:hAnsi="Times New Roman" w:cs="Times New Roman"/>
          <w:sz w:val="24"/>
          <w:szCs w:val="24"/>
        </w:rPr>
        <w:t xml:space="preserve">atility of foreign exchange. </w:t>
      </w:r>
      <w:r w:rsidRPr="00BD3F7C">
        <w:rPr>
          <w:rFonts w:ascii="Times New Roman" w:hAnsi="Times New Roman" w:cs="Times New Roman"/>
          <w:sz w:val="24"/>
          <w:szCs w:val="24"/>
        </w:rPr>
        <w:br w:type="page"/>
      </w:r>
    </w:p>
    <w:p w:rsidR="00BD3F7C" w:rsidRPr="00BD3F7C" w:rsidRDefault="00BD3F7C" w:rsidP="00BD3F7C">
      <w:pPr>
        <w:pStyle w:val="Heading1"/>
      </w:pPr>
      <w:bookmarkStart w:id="6" w:name="_Toc150446102"/>
      <w:r w:rsidRPr="00BD3F7C">
        <w:lastRenderedPageBreak/>
        <w:t>Reference List</w:t>
      </w:r>
      <w:bookmarkEnd w:id="6"/>
    </w:p>
    <w:p w:rsidR="00BD3F7C" w:rsidRPr="00BD3F7C" w:rsidRDefault="00BD3F7C" w:rsidP="00BD3F7C">
      <w:pPr>
        <w:rPr>
          <w:rFonts w:ascii="Times New Roman" w:hAnsi="Times New Roman" w:cs="Times New Roman"/>
          <w:sz w:val="24"/>
          <w:szCs w:val="24"/>
        </w:rPr>
      </w:pPr>
      <w:proofErr w:type="spellStart"/>
      <w:proofErr w:type="gramStart"/>
      <w:r w:rsidRPr="00BD3F7C">
        <w:rPr>
          <w:rFonts w:ascii="Times New Roman" w:hAnsi="Times New Roman" w:cs="Times New Roman"/>
          <w:sz w:val="24"/>
          <w:szCs w:val="24"/>
          <w:highlight w:val="white"/>
        </w:rPr>
        <w:t>Abankwa</w:t>
      </w:r>
      <w:proofErr w:type="spellEnd"/>
      <w:r w:rsidRPr="00BD3F7C">
        <w:rPr>
          <w:rFonts w:ascii="Times New Roman" w:hAnsi="Times New Roman" w:cs="Times New Roman"/>
          <w:sz w:val="24"/>
          <w:szCs w:val="24"/>
          <w:highlight w:val="white"/>
        </w:rPr>
        <w:t>, S. and Blenman, L.P., 2021.</w:t>
      </w:r>
      <w:proofErr w:type="gramEnd"/>
      <w:r w:rsidRPr="00BD3F7C">
        <w:rPr>
          <w:rFonts w:ascii="Times New Roman" w:hAnsi="Times New Roman" w:cs="Times New Roman"/>
          <w:sz w:val="24"/>
          <w:szCs w:val="24"/>
          <w:highlight w:val="white"/>
        </w:rPr>
        <w:t xml:space="preserve"> Measuring liquidity risk effects on carry trades across currencies and regimes. </w:t>
      </w:r>
      <w:r w:rsidRPr="00BD3F7C">
        <w:rPr>
          <w:rFonts w:ascii="Times New Roman" w:hAnsi="Times New Roman" w:cs="Times New Roman"/>
          <w:i/>
          <w:sz w:val="24"/>
          <w:szCs w:val="24"/>
          <w:highlight w:val="white"/>
        </w:rPr>
        <w:t>Journal of Multinational Financial Management</w:t>
      </w:r>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60</w:t>
      </w:r>
      <w:r w:rsidRPr="00BD3F7C">
        <w:rPr>
          <w:rFonts w:ascii="Times New Roman" w:hAnsi="Times New Roman" w:cs="Times New Roman"/>
          <w:sz w:val="24"/>
          <w:szCs w:val="24"/>
          <w:highlight w:val="white"/>
        </w:rPr>
        <w:t>, p.100683.</w:t>
      </w:r>
    </w:p>
    <w:p w:rsidR="00BD3F7C" w:rsidRPr="00BD3F7C" w:rsidRDefault="00BD3F7C" w:rsidP="00BD3F7C">
      <w:pPr>
        <w:rPr>
          <w:rFonts w:ascii="Times New Roman" w:hAnsi="Times New Roman" w:cs="Times New Roman"/>
          <w:sz w:val="24"/>
          <w:szCs w:val="24"/>
          <w:highlight w:val="white"/>
        </w:rPr>
      </w:pPr>
      <w:proofErr w:type="gramStart"/>
      <w:r w:rsidRPr="00BD3F7C">
        <w:rPr>
          <w:rFonts w:ascii="Times New Roman" w:hAnsi="Times New Roman" w:cs="Times New Roman"/>
          <w:sz w:val="24"/>
          <w:szCs w:val="24"/>
          <w:highlight w:val="white"/>
        </w:rPr>
        <w:t xml:space="preserve">Adrian, M.T., </w:t>
      </w:r>
      <w:proofErr w:type="spellStart"/>
      <w:r w:rsidRPr="00BD3F7C">
        <w:rPr>
          <w:rFonts w:ascii="Times New Roman" w:hAnsi="Times New Roman" w:cs="Times New Roman"/>
          <w:sz w:val="24"/>
          <w:szCs w:val="24"/>
          <w:highlight w:val="white"/>
        </w:rPr>
        <w:t>Grinberg</w:t>
      </w:r>
      <w:proofErr w:type="spellEnd"/>
      <w:r w:rsidRPr="00BD3F7C">
        <w:rPr>
          <w:rFonts w:ascii="Times New Roman" w:hAnsi="Times New Roman" w:cs="Times New Roman"/>
          <w:sz w:val="24"/>
          <w:szCs w:val="24"/>
          <w:highlight w:val="white"/>
        </w:rPr>
        <w:t xml:space="preserve">, F., </w:t>
      </w:r>
      <w:proofErr w:type="spellStart"/>
      <w:r w:rsidRPr="00BD3F7C">
        <w:rPr>
          <w:rFonts w:ascii="Times New Roman" w:hAnsi="Times New Roman" w:cs="Times New Roman"/>
          <w:sz w:val="24"/>
          <w:szCs w:val="24"/>
          <w:highlight w:val="white"/>
        </w:rPr>
        <w:t>Griffoli</w:t>
      </w:r>
      <w:proofErr w:type="spellEnd"/>
      <w:r w:rsidRPr="00BD3F7C">
        <w:rPr>
          <w:rFonts w:ascii="Times New Roman" w:hAnsi="Times New Roman" w:cs="Times New Roman"/>
          <w:sz w:val="24"/>
          <w:szCs w:val="24"/>
          <w:highlight w:val="white"/>
        </w:rPr>
        <w:t>, M.T.M., Townsend, R.M. and Zhang, N., 2022.</w:t>
      </w:r>
      <w:proofErr w:type="gramEnd"/>
      <w:r w:rsidRPr="00BD3F7C">
        <w:rPr>
          <w:rFonts w:ascii="Times New Roman" w:hAnsi="Times New Roman" w:cs="Times New Roman"/>
          <w:sz w:val="24"/>
          <w:szCs w:val="24"/>
          <w:highlight w:val="white"/>
        </w:rPr>
        <w:t xml:space="preserve"> </w:t>
      </w:r>
      <w:proofErr w:type="gramStart"/>
      <w:r w:rsidRPr="00BD3F7C">
        <w:rPr>
          <w:rFonts w:ascii="Times New Roman" w:hAnsi="Times New Roman" w:cs="Times New Roman"/>
          <w:i/>
          <w:sz w:val="24"/>
          <w:szCs w:val="24"/>
          <w:highlight w:val="white"/>
        </w:rPr>
        <w:t>A Multi-Currency Exchange and Contracting Platform</w:t>
      </w:r>
      <w:r w:rsidRPr="00BD3F7C">
        <w:rPr>
          <w:rFonts w:ascii="Times New Roman" w:hAnsi="Times New Roman" w:cs="Times New Roman"/>
          <w:sz w:val="24"/>
          <w:szCs w:val="24"/>
          <w:highlight w:val="white"/>
        </w:rPr>
        <w:t xml:space="preserve"> (No. 2022-2217).</w:t>
      </w:r>
      <w:proofErr w:type="gramEnd"/>
      <w:r w:rsidRPr="00BD3F7C">
        <w:rPr>
          <w:rFonts w:ascii="Times New Roman" w:hAnsi="Times New Roman" w:cs="Times New Roman"/>
          <w:sz w:val="24"/>
          <w:szCs w:val="24"/>
          <w:highlight w:val="white"/>
        </w:rPr>
        <w:t xml:space="preserve"> </w:t>
      </w:r>
      <w:proofErr w:type="gramStart"/>
      <w:r w:rsidRPr="00BD3F7C">
        <w:rPr>
          <w:rFonts w:ascii="Times New Roman" w:hAnsi="Times New Roman" w:cs="Times New Roman"/>
          <w:sz w:val="24"/>
          <w:szCs w:val="24"/>
          <w:highlight w:val="white"/>
        </w:rPr>
        <w:t>International Monetary Fund.</w:t>
      </w:r>
      <w:proofErr w:type="gramEnd"/>
    </w:p>
    <w:p w:rsidR="00BD3F7C" w:rsidRPr="00BD3F7C" w:rsidRDefault="00BD3F7C" w:rsidP="00BD3F7C">
      <w:pPr>
        <w:rPr>
          <w:rFonts w:ascii="Times New Roman" w:hAnsi="Times New Roman" w:cs="Times New Roman"/>
          <w:sz w:val="24"/>
          <w:szCs w:val="24"/>
          <w:highlight w:val="white"/>
        </w:rPr>
      </w:pPr>
      <w:proofErr w:type="spellStart"/>
      <w:r w:rsidRPr="00BD3F7C">
        <w:rPr>
          <w:rFonts w:ascii="Times New Roman" w:hAnsi="Times New Roman" w:cs="Times New Roman"/>
          <w:sz w:val="24"/>
          <w:szCs w:val="24"/>
          <w:highlight w:val="white"/>
        </w:rPr>
        <w:t>Aigner</w:t>
      </w:r>
      <w:proofErr w:type="spellEnd"/>
      <w:r w:rsidRPr="00BD3F7C">
        <w:rPr>
          <w:rFonts w:ascii="Times New Roman" w:hAnsi="Times New Roman" w:cs="Times New Roman"/>
          <w:sz w:val="24"/>
          <w:szCs w:val="24"/>
          <w:highlight w:val="white"/>
        </w:rPr>
        <w:t xml:space="preserve">, A.A. and Dhaliwal, G., 2021. </w:t>
      </w:r>
      <w:proofErr w:type="spellStart"/>
      <w:r w:rsidRPr="00BD3F7C">
        <w:rPr>
          <w:rFonts w:ascii="Times New Roman" w:hAnsi="Times New Roman" w:cs="Times New Roman"/>
          <w:sz w:val="24"/>
          <w:szCs w:val="24"/>
          <w:highlight w:val="white"/>
        </w:rPr>
        <w:t>Uniswap</w:t>
      </w:r>
      <w:proofErr w:type="spellEnd"/>
      <w:r w:rsidRPr="00BD3F7C">
        <w:rPr>
          <w:rFonts w:ascii="Times New Roman" w:hAnsi="Times New Roman" w:cs="Times New Roman"/>
          <w:sz w:val="24"/>
          <w:szCs w:val="24"/>
          <w:highlight w:val="white"/>
        </w:rPr>
        <w:t xml:space="preserve">: Impermanent loss and risk profile of a liquidity provider. </w:t>
      </w:r>
      <w:proofErr w:type="spellStart"/>
      <w:proofErr w:type="gramStart"/>
      <w:r w:rsidRPr="00BD3F7C">
        <w:rPr>
          <w:rFonts w:ascii="Times New Roman" w:hAnsi="Times New Roman" w:cs="Times New Roman"/>
          <w:i/>
          <w:sz w:val="24"/>
          <w:szCs w:val="24"/>
          <w:highlight w:val="white"/>
        </w:rPr>
        <w:t>arXiv</w:t>
      </w:r>
      <w:proofErr w:type="spellEnd"/>
      <w:proofErr w:type="gramEnd"/>
      <w:r w:rsidRPr="00BD3F7C">
        <w:rPr>
          <w:rFonts w:ascii="Times New Roman" w:hAnsi="Times New Roman" w:cs="Times New Roman"/>
          <w:i/>
          <w:sz w:val="24"/>
          <w:szCs w:val="24"/>
          <w:highlight w:val="white"/>
        </w:rPr>
        <w:t xml:space="preserve"> preprint arXiv:2106.14404</w:t>
      </w:r>
      <w:r w:rsidRPr="00BD3F7C">
        <w:rPr>
          <w:rFonts w:ascii="Times New Roman" w:hAnsi="Times New Roman" w:cs="Times New Roman"/>
          <w:sz w:val="24"/>
          <w:szCs w:val="24"/>
          <w:highlight w:val="white"/>
        </w:rPr>
        <w:t>.</w:t>
      </w:r>
    </w:p>
    <w:p w:rsidR="00BD3F7C" w:rsidRPr="00BD3F7C" w:rsidRDefault="00BD3F7C" w:rsidP="00BD3F7C">
      <w:pPr>
        <w:rPr>
          <w:rFonts w:ascii="Times New Roman" w:hAnsi="Times New Roman" w:cs="Times New Roman"/>
          <w:sz w:val="24"/>
          <w:szCs w:val="24"/>
          <w:highlight w:val="white"/>
        </w:rPr>
      </w:pPr>
      <w:proofErr w:type="gramStart"/>
      <w:r w:rsidRPr="00BD3F7C">
        <w:rPr>
          <w:rFonts w:ascii="Times New Roman" w:hAnsi="Times New Roman" w:cs="Times New Roman"/>
          <w:sz w:val="24"/>
          <w:szCs w:val="24"/>
          <w:highlight w:val="white"/>
        </w:rPr>
        <w:t>Al-</w:t>
      </w:r>
      <w:proofErr w:type="spellStart"/>
      <w:r w:rsidRPr="00BD3F7C">
        <w:rPr>
          <w:rFonts w:ascii="Times New Roman" w:hAnsi="Times New Roman" w:cs="Times New Roman"/>
          <w:sz w:val="24"/>
          <w:szCs w:val="24"/>
          <w:highlight w:val="white"/>
        </w:rPr>
        <w:t>Lozi</w:t>
      </w:r>
      <w:proofErr w:type="spellEnd"/>
      <w:r w:rsidRPr="00BD3F7C">
        <w:rPr>
          <w:rFonts w:ascii="Times New Roman" w:hAnsi="Times New Roman" w:cs="Times New Roman"/>
          <w:sz w:val="24"/>
          <w:szCs w:val="24"/>
          <w:highlight w:val="white"/>
        </w:rPr>
        <w:t>, M.A., 2023.</w:t>
      </w:r>
      <w:proofErr w:type="gramEnd"/>
      <w:r w:rsidRPr="00BD3F7C">
        <w:rPr>
          <w:rFonts w:ascii="Times New Roman" w:hAnsi="Times New Roman" w:cs="Times New Roman"/>
          <w:sz w:val="24"/>
          <w:szCs w:val="24"/>
          <w:highlight w:val="white"/>
        </w:rPr>
        <w:t xml:space="preserve"> Identifying Monetary Policy </w:t>
      </w:r>
      <w:proofErr w:type="gramStart"/>
      <w:r w:rsidRPr="00BD3F7C">
        <w:rPr>
          <w:rFonts w:ascii="Times New Roman" w:hAnsi="Times New Roman" w:cs="Times New Roman"/>
          <w:sz w:val="24"/>
          <w:szCs w:val="24"/>
          <w:highlight w:val="white"/>
        </w:rPr>
        <w:t>Under</w:t>
      </w:r>
      <w:proofErr w:type="gramEnd"/>
      <w:r w:rsidRPr="00BD3F7C">
        <w:rPr>
          <w:rFonts w:ascii="Times New Roman" w:hAnsi="Times New Roman" w:cs="Times New Roman"/>
          <w:sz w:val="24"/>
          <w:szCs w:val="24"/>
          <w:highlight w:val="white"/>
        </w:rPr>
        <w:t xml:space="preserve"> Fixed Exchange Rates in a Small Open Economy. </w:t>
      </w:r>
      <w:proofErr w:type="gramStart"/>
      <w:r w:rsidRPr="00BD3F7C">
        <w:rPr>
          <w:rFonts w:ascii="Times New Roman" w:hAnsi="Times New Roman" w:cs="Times New Roman"/>
          <w:i/>
          <w:sz w:val="24"/>
          <w:szCs w:val="24"/>
          <w:highlight w:val="white"/>
        </w:rPr>
        <w:t>International Journal of Professional Business Review</w:t>
      </w:r>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8</w:t>
      </w:r>
      <w:r w:rsidRPr="00BD3F7C">
        <w:rPr>
          <w:rFonts w:ascii="Times New Roman" w:hAnsi="Times New Roman" w:cs="Times New Roman"/>
          <w:sz w:val="24"/>
          <w:szCs w:val="24"/>
          <w:highlight w:val="white"/>
        </w:rPr>
        <w:t>(10), pp.e03574-e03574.</w:t>
      </w:r>
      <w:proofErr w:type="gramEnd"/>
    </w:p>
    <w:p w:rsidR="00BD3F7C" w:rsidRPr="00BD3F7C" w:rsidRDefault="00BD3F7C" w:rsidP="00BD3F7C">
      <w:pPr>
        <w:rPr>
          <w:rFonts w:ascii="Times New Roman" w:hAnsi="Times New Roman" w:cs="Times New Roman"/>
          <w:sz w:val="24"/>
          <w:szCs w:val="24"/>
        </w:rPr>
      </w:pPr>
      <w:r w:rsidRPr="00BD3F7C">
        <w:rPr>
          <w:rFonts w:ascii="Times New Roman" w:hAnsi="Times New Roman" w:cs="Times New Roman"/>
          <w:sz w:val="24"/>
          <w:szCs w:val="24"/>
        </w:rPr>
        <w:t xml:space="preserve">Arnold. </w:t>
      </w:r>
      <w:proofErr w:type="gramStart"/>
      <w:r w:rsidRPr="00BD3F7C">
        <w:rPr>
          <w:rFonts w:ascii="Times New Roman" w:hAnsi="Times New Roman" w:cs="Times New Roman"/>
          <w:sz w:val="24"/>
          <w:szCs w:val="24"/>
        </w:rPr>
        <w:t>G., 2012.</w:t>
      </w:r>
      <w:proofErr w:type="gramEnd"/>
      <w:r w:rsidRPr="00BD3F7C">
        <w:rPr>
          <w:rFonts w:ascii="Times New Roman" w:hAnsi="Times New Roman" w:cs="Times New Roman"/>
          <w:sz w:val="24"/>
          <w:szCs w:val="24"/>
        </w:rPr>
        <w:t xml:space="preserve"> </w:t>
      </w:r>
      <w:r w:rsidRPr="00BD3F7C">
        <w:rPr>
          <w:rFonts w:ascii="Times New Roman" w:hAnsi="Times New Roman" w:cs="Times New Roman"/>
          <w:i/>
          <w:sz w:val="24"/>
          <w:szCs w:val="24"/>
        </w:rPr>
        <w:t>Corporate Financial Management, Aston</w:t>
      </w:r>
      <w:r w:rsidRPr="00BD3F7C">
        <w:rPr>
          <w:rFonts w:ascii="Times New Roman" w:hAnsi="Times New Roman" w:cs="Times New Roman"/>
          <w:sz w:val="24"/>
          <w:szCs w:val="24"/>
        </w:rPr>
        <w:t xml:space="preserve">, Financial Times, Prentice Hall. </w:t>
      </w:r>
      <w:proofErr w:type="spellStart"/>
      <w:proofErr w:type="gramStart"/>
      <w:r w:rsidRPr="00BD3F7C">
        <w:rPr>
          <w:rFonts w:ascii="Times New Roman" w:hAnsi="Times New Roman" w:cs="Times New Roman"/>
          <w:sz w:val="24"/>
          <w:szCs w:val="24"/>
        </w:rPr>
        <w:t>Atrill</w:t>
      </w:r>
      <w:proofErr w:type="spellEnd"/>
      <w:r w:rsidRPr="00BD3F7C">
        <w:rPr>
          <w:rFonts w:ascii="Times New Roman" w:hAnsi="Times New Roman" w:cs="Times New Roman"/>
          <w:sz w:val="24"/>
          <w:szCs w:val="24"/>
        </w:rPr>
        <w:t>.</w:t>
      </w:r>
      <w:proofErr w:type="gramEnd"/>
      <w:r w:rsidRPr="00BD3F7C">
        <w:rPr>
          <w:rFonts w:ascii="Times New Roman" w:hAnsi="Times New Roman" w:cs="Times New Roman"/>
          <w:sz w:val="24"/>
          <w:szCs w:val="24"/>
        </w:rPr>
        <w:t xml:space="preserve"> </w:t>
      </w:r>
      <w:proofErr w:type="gramStart"/>
      <w:r w:rsidRPr="00BD3F7C">
        <w:rPr>
          <w:rFonts w:ascii="Times New Roman" w:hAnsi="Times New Roman" w:cs="Times New Roman"/>
          <w:sz w:val="24"/>
          <w:szCs w:val="24"/>
        </w:rPr>
        <w:t>P., 2011.</w:t>
      </w:r>
      <w:proofErr w:type="gramEnd"/>
      <w:r w:rsidRPr="00BD3F7C">
        <w:rPr>
          <w:rFonts w:ascii="Times New Roman" w:hAnsi="Times New Roman" w:cs="Times New Roman"/>
          <w:sz w:val="24"/>
          <w:szCs w:val="24"/>
        </w:rPr>
        <w:t xml:space="preserve"> </w:t>
      </w:r>
      <w:r w:rsidRPr="00BD3F7C">
        <w:rPr>
          <w:rFonts w:ascii="Times New Roman" w:hAnsi="Times New Roman" w:cs="Times New Roman"/>
          <w:i/>
          <w:sz w:val="24"/>
          <w:szCs w:val="24"/>
        </w:rPr>
        <w:t>Financial Management for Decision Makers</w:t>
      </w:r>
      <w:r w:rsidRPr="00BD3F7C">
        <w:rPr>
          <w:rFonts w:ascii="Times New Roman" w:hAnsi="Times New Roman" w:cs="Times New Roman"/>
          <w:sz w:val="24"/>
          <w:szCs w:val="24"/>
        </w:rPr>
        <w:t>, 4th Ed</w:t>
      </w:r>
      <w:proofErr w:type="gramStart"/>
      <w:r w:rsidRPr="00BD3F7C">
        <w:rPr>
          <w:rFonts w:ascii="Times New Roman" w:hAnsi="Times New Roman" w:cs="Times New Roman"/>
          <w:sz w:val="24"/>
          <w:szCs w:val="24"/>
        </w:rPr>
        <w:t>,.</w:t>
      </w:r>
      <w:proofErr w:type="gramEnd"/>
      <w:r w:rsidRPr="00BD3F7C">
        <w:rPr>
          <w:rFonts w:ascii="Times New Roman" w:hAnsi="Times New Roman" w:cs="Times New Roman"/>
          <w:sz w:val="24"/>
          <w:szCs w:val="24"/>
        </w:rPr>
        <w:t xml:space="preserve"> </w:t>
      </w:r>
      <w:proofErr w:type="gramStart"/>
      <w:r w:rsidRPr="00BD3F7C">
        <w:rPr>
          <w:rFonts w:ascii="Times New Roman" w:hAnsi="Times New Roman" w:cs="Times New Roman"/>
          <w:sz w:val="24"/>
          <w:szCs w:val="24"/>
        </w:rPr>
        <w:t>Financial Times, Prentice Hall.</w:t>
      </w:r>
      <w:proofErr w:type="gramEnd"/>
      <w:r w:rsidRPr="00BD3F7C">
        <w:rPr>
          <w:rFonts w:ascii="Times New Roman" w:hAnsi="Times New Roman" w:cs="Times New Roman"/>
          <w:sz w:val="24"/>
          <w:szCs w:val="24"/>
        </w:rPr>
        <w:t xml:space="preserve"> </w:t>
      </w:r>
    </w:p>
    <w:p w:rsidR="00BD3F7C" w:rsidRPr="00BD3F7C" w:rsidRDefault="00BD3F7C" w:rsidP="00BD3F7C">
      <w:pPr>
        <w:rPr>
          <w:rFonts w:ascii="Times New Roman" w:hAnsi="Times New Roman" w:cs="Times New Roman"/>
          <w:sz w:val="24"/>
          <w:szCs w:val="24"/>
          <w:highlight w:val="white"/>
        </w:rPr>
      </w:pPr>
      <w:proofErr w:type="spellStart"/>
      <w:proofErr w:type="gramStart"/>
      <w:r w:rsidRPr="00BD3F7C">
        <w:rPr>
          <w:rFonts w:ascii="Times New Roman" w:hAnsi="Times New Roman" w:cs="Times New Roman"/>
          <w:sz w:val="24"/>
          <w:szCs w:val="24"/>
          <w:highlight w:val="white"/>
        </w:rPr>
        <w:t>Barclayscorporate</w:t>
      </w:r>
      <w:proofErr w:type="spellEnd"/>
      <w:r w:rsidRPr="00BD3F7C">
        <w:rPr>
          <w:rFonts w:ascii="Times New Roman" w:hAnsi="Times New Roman" w:cs="Times New Roman"/>
          <w:sz w:val="24"/>
          <w:szCs w:val="24"/>
          <w:highlight w:val="white"/>
        </w:rPr>
        <w:t>, 2023.</w:t>
      </w:r>
      <w:proofErr w:type="gramEnd"/>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Managing FX risks: exploring the top five steps</w:t>
      </w:r>
      <w:r w:rsidRPr="00BD3F7C">
        <w:rPr>
          <w:rFonts w:ascii="Times New Roman" w:hAnsi="Times New Roman" w:cs="Times New Roman"/>
          <w:sz w:val="24"/>
          <w:szCs w:val="24"/>
          <w:highlight w:val="white"/>
        </w:rPr>
        <w:t xml:space="preserve"> [Online] Available at: &lt;</w:t>
      </w:r>
      <w:hyperlink r:id="rId12" w:history="1">
        <w:r w:rsidRPr="00BD3F7C">
          <w:rPr>
            <w:rStyle w:val="Hyperlink"/>
            <w:rFonts w:ascii="Times New Roman" w:hAnsi="Times New Roman" w:cs="Times New Roman"/>
            <w:sz w:val="24"/>
            <w:szCs w:val="24"/>
            <w:highlight w:val="white"/>
          </w:rPr>
          <w:t>https://www.barclayscorporate.com/insights/managing-fx-risks/</w:t>
        </w:r>
      </w:hyperlink>
      <w:r w:rsidRPr="00BD3F7C">
        <w:rPr>
          <w:rFonts w:ascii="Times New Roman" w:hAnsi="Times New Roman" w:cs="Times New Roman"/>
          <w:sz w:val="24"/>
          <w:szCs w:val="24"/>
          <w:highlight w:val="white"/>
        </w:rPr>
        <w:t>&gt; [Accessed on 9 November 2023]</w:t>
      </w:r>
    </w:p>
    <w:p w:rsidR="00BD3F7C" w:rsidRPr="00BD3F7C" w:rsidRDefault="00BD3F7C" w:rsidP="00BD3F7C">
      <w:pPr>
        <w:rPr>
          <w:rFonts w:ascii="Times New Roman" w:hAnsi="Times New Roman" w:cs="Times New Roman"/>
          <w:sz w:val="24"/>
          <w:szCs w:val="24"/>
          <w:highlight w:val="white"/>
        </w:rPr>
      </w:pPr>
      <w:proofErr w:type="spellStart"/>
      <w:proofErr w:type="gramStart"/>
      <w:r w:rsidRPr="00BD3F7C">
        <w:rPr>
          <w:rFonts w:ascii="Times New Roman" w:hAnsi="Times New Roman" w:cs="Times New Roman"/>
          <w:sz w:val="24"/>
          <w:szCs w:val="24"/>
          <w:highlight w:val="white"/>
        </w:rPr>
        <w:t>Bottasso</w:t>
      </w:r>
      <w:proofErr w:type="spellEnd"/>
      <w:r w:rsidRPr="00BD3F7C">
        <w:rPr>
          <w:rFonts w:ascii="Times New Roman" w:hAnsi="Times New Roman" w:cs="Times New Roman"/>
          <w:sz w:val="24"/>
          <w:szCs w:val="24"/>
          <w:highlight w:val="white"/>
        </w:rPr>
        <w:t xml:space="preserve">, A., </w:t>
      </w:r>
      <w:proofErr w:type="spellStart"/>
      <w:r w:rsidRPr="00BD3F7C">
        <w:rPr>
          <w:rFonts w:ascii="Times New Roman" w:hAnsi="Times New Roman" w:cs="Times New Roman"/>
          <w:sz w:val="24"/>
          <w:szCs w:val="24"/>
          <w:highlight w:val="white"/>
        </w:rPr>
        <w:t>Fusaro</w:t>
      </w:r>
      <w:proofErr w:type="spellEnd"/>
      <w:r w:rsidRPr="00BD3F7C">
        <w:rPr>
          <w:rFonts w:ascii="Times New Roman" w:hAnsi="Times New Roman" w:cs="Times New Roman"/>
          <w:sz w:val="24"/>
          <w:szCs w:val="24"/>
          <w:highlight w:val="white"/>
        </w:rPr>
        <w:t xml:space="preserve">, M., </w:t>
      </w:r>
      <w:proofErr w:type="spellStart"/>
      <w:r w:rsidRPr="00BD3F7C">
        <w:rPr>
          <w:rFonts w:ascii="Times New Roman" w:hAnsi="Times New Roman" w:cs="Times New Roman"/>
          <w:sz w:val="24"/>
          <w:szCs w:val="24"/>
          <w:highlight w:val="white"/>
        </w:rPr>
        <w:t>Giribone</w:t>
      </w:r>
      <w:proofErr w:type="spellEnd"/>
      <w:r w:rsidRPr="00BD3F7C">
        <w:rPr>
          <w:rFonts w:ascii="Times New Roman" w:hAnsi="Times New Roman" w:cs="Times New Roman"/>
          <w:sz w:val="24"/>
          <w:szCs w:val="24"/>
          <w:highlight w:val="white"/>
        </w:rPr>
        <w:t xml:space="preserve">, P.G. and </w:t>
      </w:r>
      <w:proofErr w:type="spellStart"/>
      <w:r w:rsidRPr="00BD3F7C">
        <w:rPr>
          <w:rFonts w:ascii="Times New Roman" w:hAnsi="Times New Roman" w:cs="Times New Roman"/>
          <w:sz w:val="24"/>
          <w:szCs w:val="24"/>
          <w:highlight w:val="white"/>
        </w:rPr>
        <w:t>Tissone</w:t>
      </w:r>
      <w:proofErr w:type="spellEnd"/>
      <w:r w:rsidRPr="00BD3F7C">
        <w:rPr>
          <w:rFonts w:ascii="Times New Roman" w:hAnsi="Times New Roman" w:cs="Times New Roman"/>
          <w:sz w:val="24"/>
          <w:szCs w:val="24"/>
          <w:highlight w:val="white"/>
        </w:rPr>
        <w:t>, A., 2023.</w:t>
      </w:r>
      <w:proofErr w:type="gramEnd"/>
      <w:r w:rsidRPr="00BD3F7C">
        <w:rPr>
          <w:rFonts w:ascii="Times New Roman" w:hAnsi="Times New Roman" w:cs="Times New Roman"/>
          <w:sz w:val="24"/>
          <w:szCs w:val="24"/>
          <w:highlight w:val="white"/>
        </w:rPr>
        <w:t xml:space="preserve"> Investment certificates pricing using a Quasi-Monte Carlo framework: Case-studies based on the Italian market. </w:t>
      </w:r>
      <w:proofErr w:type="gramStart"/>
      <w:r w:rsidRPr="00BD3F7C">
        <w:rPr>
          <w:rFonts w:ascii="Times New Roman" w:hAnsi="Times New Roman" w:cs="Times New Roman"/>
          <w:i/>
          <w:sz w:val="24"/>
          <w:szCs w:val="24"/>
          <w:highlight w:val="white"/>
        </w:rPr>
        <w:t>International Journal of Financial Engineering</w:t>
      </w:r>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10</w:t>
      </w:r>
      <w:r w:rsidRPr="00BD3F7C">
        <w:rPr>
          <w:rFonts w:ascii="Times New Roman" w:hAnsi="Times New Roman" w:cs="Times New Roman"/>
          <w:sz w:val="24"/>
          <w:szCs w:val="24"/>
          <w:highlight w:val="white"/>
        </w:rPr>
        <w:t>(03), p.2350021.</w:t>
      </w:r>
      <w:proofErr w:type="gramEnd"/>
    </w:p>
    <w:p w:rsidR="00BD3F7C" w:rsidRPr="00BD3F7C" w:rsidRDefault="00BD3F7C" w:rsidP="00BD3F7C">
      <w:pPr>
        <w:rPr>
          <w:rFonts w:ascii="Times New Roman" w:hAnsi="Times New Roman" w:cs="Times New Roman"/>
          <w:sz w:val="24"/>
          <w:szCs w:val="24"/>
          <w:highlight w:val="white"/>
        </w:rPr>
      </w:pPr>
      <w:proofErr w:type="spellStart"/>
      <w:proofErr w:type="gramStart"/>
      <w:r w:rsidRPr="00BD3F7C">
        <w:rPr>
          <w:rFonts w:ascii="Times New Roman" w:hAnsi="Times New Roman" w:cs="Times New Roman"/>
          <w:sz w:val="24"/>
          <w:szCs w:val="24"/>
          <w:highlight w:val="white"/>
        </w:rPr>
        <w:t>Gsk</w:t>
      </w:r>
      <w:proofErr w:type="spellEnd"/>
      <w:r w:rsidRPr="00BD3F7C">
        <w:rPr>
          <w:rFonts w:ascii="Times New Roman" w:hAnsi="Times New Roman" w:cs="Times New Roman"/>
          <w:sz w:val="24"/>
          <w:szCs w:val="24"/>
          <w:highlight w:val="white"/>
        </w:rPr>
        <w:t>, 2023.</w:t>
      </w:r>
      <w:proofErr w:type="gramEnd"/>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Working with third parties</w:t>
      </w:r>
      <w:r w:rsidRPr="00BD3F7C">
        <w:rPr>
          <w:rFonts w:ascii="Times New Roman" w:hAnsi="Times New Roman" w:cs="Times New Roman"/>
          <w:sz w:val="24"/>
          <w:szCs w:val="24"/>
          <w:highlight w:val="white"/>
        </w:rPr>
        <w:t xml:space="preserve"> [Online] Available at: &lt;</w:t>
      </w:r>
      <w:hyperlink r:id="rId13" w:history="1">
        <w:r w:rsidRPr="00BD3F7C">
          <w:rPr>
            <w:rStyle w:val="Hyperlink"/>
            <w:rFonts w:ascii="Times New Roman" w:hAnsi="Times New Roman" w:cs="Times New Roman"/>
            <w:sz w:val="24"/>
            <w:szCs w:val="24"/>
            <w:highlight w:val="white"/>
          </w:rPr>
          <w:t>https://www.gsk.com/en-gb/responsibility/ethical-standards/working-with-third-parties/</w:t>
        </w:r>
      </w:hyperlink>
      <w:r w:rsidRPr="00BD3F7C">
        <w:rPr>
          <w:rFonts w:ascii="Times New Roman" w:hAnsi="Times New Roman" w:cs="Times New Roman"/>
          <w:sz w:val="24"/>
          <w:szCs w:val="24"/>
          <w:highlight w:val="white"/>
        </w:rPr>
        <w:t>&gt; [Accessed on 9 November 2023]</w:t>
      </w:r>
    </w:p>
    <w:p w:rsidR="00BD3F7C" w:rsidRPr="00BD3F7C" w:rsidRDefault="00BD3F7C" w:rsidP="00BD3F7C">
      <w:pPr>
        <w:rPr>
          <w:rFonts w:ascii="Times New Roman" w:hAnsi="Times New Roman" w:cs="Times New Roman"/>
          <w:sz w:val="24"/>
          <w:szCs w:val="24"/>
        </w:rPr>
      </w:pPr>
      <w:proofErr w:type="spellStart"/>
      <w:proofErr w:type="gramStart"/>
      <w:r w:rsidRPr="00BD3F7C">
        <w:rPr>
          <w:rFonts w:ascii="Times New Roman" w:hAnsi="Times New Roman" w:cs="Times New Roman"/>
          <w:sz w:val="24"/>
          <w:szCs w:val="24"/>
          <w:highlight w:val="white"/>
        </w:rPr>
        <w:t>Horvathova</w:t>
      </w:r>
      <w:proofErr w:type="spellEnd"/>
      <w:r w:rsidRPr="00BD3F7C">
        <w:rPr>
          <w:rFonts w:ascii="Times New Roman" w:hAnsi="Times New Roman" w:cs="Times New Roman"/>
          <w:sz w:val="24"/>
          <w:szCs w:val="24"/>
          <w:highlight w:val="white"/>
        </w:rPr>
        <w:t xml:space="preserve">, J. and </w:t>
      </w:r>
      <w:proofErr w:type="spellStart"/>
      <w:r w:rsidRPr="00BD3F7C">
        <w:rPr>
          <w:rFonts w:ascii="Times New Roman" w:hAnsi="Times New Roman" w:cs="Times New Roman"/>
          <w:sz w:val="24"/>
          <w:szCs w:val="24"/>
          <w:highlight w:val="white"/>
        </w:rPr>
        <w:t>Mokrisova</w:t>
      </w:r>
      <w:proofErr w:type="spellEnd"/>
      <w:r w:rsidRPr="00BD3F7C">
        <w:rPr>
          <w:rFonts w:ascii="Times New Roman" w:hAnsi="Times New Roman" w:cs="Times New Roman"/>
          <w:sz w:val="24"/>
          <w:szCs w:val="24"/>
          <w:highlight w:val="white"/>
        </w:rPr>
        <w:t>, M., 2020.</w:t>
      </w:r>
      <w:proofErr w:type="gramEnd"/>
      <w:r w:rsidRPr="00BD3F7C">
        <w:rPr>
          <w:rFonts w:ascii="Times New Roman" w:hAnsi="Times New Roman" w:cs="Times New Roman"/>
          <w:sz w:val="24"/>
          <w:szCs w:val="24"/>
          <w:highlight w:val="white"/>
        </w:rPr>
        <w:t xml:space="preserve"> </w:t>
      </w:r>
      <w:proofErr w:type="gramStart"/>
      <w:r w:rsidRPr="00BD3F7C">
        <w:rPr>
          <w:rFonts w:ascii="Times New Roman" w:hAnsi="Times New Roman" w:cs="Times New Roman"/>
          <w:sz w:val="24"/>
          <w:szCs w:val="24"/>
          <w:highlight w:val="white"/>
        </w:rPr>
        <w:t>Business competitiveness, its financial and economic parameters.</w:t>
      </w:r>
      <w:proofErr w:type="gramEnd"/>
      <w:r w:rsidRPr="00BD3F7C">
        <w:rPr>
          <w:rFonts w:ascii="Times New Roman" w:hAnsi="Times New Roman" w:cs="Times New Roman"/>
          <w:sz w:val="24"/>
          <w:szCs w:val="24"/>
          <w:highlight w:val="white"/>
        </w:rPr>
        <w:t xml:space="preserve"> </w:t>
      </w:r>
      <w:proofErr w:type="gramStart"/>
      <w:r w:rsidRPr="00BD3F7C">
        <w:rPr>
          <w:rFonts w:ascii="Times New Roman" w:hAnsi="Times New Roman" w:cs="Times New Roman"/>
          <w:i/>
          <w:sz w:val="24"/>
          <w:szCs w:val="24"/>
          <w:highlight w:val="white"/>
        </w:rPr>
        <w:t>Montenegrin Journal of Economics</w:t>
      </w:r>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16</w:t>
      </w:r>
      <w:r w:rsidRPr="00BD3F7C">
        <w:rPr>
          <w:rFonts w:ascii="Times New Roman" w:hAnsi="Times New Roman" w:cs="Times New Roman"/>
          <w:sz w:val="24"/>
          <w:szCs w:val="24"/>
          <w:highlight w:val="white"/>
        </w:rPr>
        <w:t>(1), pp.139-153.</w:t>
      </w:r>
      <w:proofErr w:type="gramEnd"/>
    </w:p>
    <w:p w:rsidR="00BD3F7C" w:rsidRPr="00BD3F7C" w:rsidRDefault="00BD3F7C" w:rsidP="00BD3F7C">
      <w:pPr>
        <w:rPr>
          <w:rFonts w:ascii="Times New Roman" w:hAnsi="Times New Roman" w:cs="Times New Roman"/>
          <w:sz w:val="24"/>
          <w:szCs w:val="24"/>
          <w:highlight w:val="white"/>
        </w:rPr>
      </w:pPr>
      <w:proofErr w:type="spellStart"/>
      <w:proofErr w:type="gramStart"/>
      <w:r w:rsidRPr="00BD3F7C">
        <w:rPr>
          <w:rFonts w:ascii="Times New Roman" w:hAnsi="Times New Roman" w:cs="Times New Roman"/>
          <w:sz w:val="24"/>
          <w:szCs w:val="24"/>
          <w:highlight w:val="white"/>
        </w:rPr>
        <w:t>Ilinka</w:t>
      </w:r>
      <w:proofErr w:type="spellEnd"/>
      <w:r w:rsidRPr="00BD3F7C">
        <w:rPr>
          <w:rFonts w:ascii="Times New Roman" w:hAnsi="Times New Roman" w:cs="Times New Roman"/>
          <w:sz w:val="24"/>
          <w:szCs w:val="24"/>
          <w:highlight w:val="white"/>
        </w:rPr>
        <w:t xml:space="preserve">, A.N.T.O.V.A. and </w:t>
      </w:r>
      <w:proofErr w:type="spellStart"/>
      <w:r w:rsidRPr="00BD3F7C">
        <w:rPr>
          <w:rFonts w:ascii="Times New Roman" w:hAnsi="Times New Roman" w:cs="Times New Roman"/>
          <w:sz w:val="24"/>
          <w:szCs w:val="24"/>
          <w:highlight w:val="white"/>
        </w:rPr>
        <w:t>Tayachi</w:t>
      </w:r>
      <w:proofErr w:type="spellEnd"/>
      <w:r w:rsidRPr="00BD3F7C">
        <w:rPr>
          <w:rFonts w:ascii="Times New Roman" w:hAnsi="Times New Roman" w:cs="Times New Roman"/>
          <w:sz w:val="24"/>
          <w:szCs w:val="24"/>
          <w:highlight w:val="white"/>
        </w:rPr>
        <w:t>, T., 2020.</w:t>
      </w:r>
      <w:proofErr w:type="gramEnd"/>
      <w:r w:rsidRPr="00BD3F7C">
        <w:rPr>
          <w:rFonts w:ascii="Times New Roman" w:hAnsi="Times New Roman" w:cs="Times New Roman"/>
          <w:sz w:val="24"/>
          <w:szCs w:val="24"/>
          <w:highlight w:val="white"/>
        </w:rPr>
        <w:t xml:space="preserve"> </w:t>
      </w:r>
      <w:proofErr w:type="gramStart"/>
      <w:r w:rsidRPr="00BD3F7C">
        <w:rPr>
          <w:rFonts w:ascii="Times New Roman" w:hAnsi="Times New Roman" w:cs="Times New Roman"/>
          <w:sz w:val="24"/>
          <w:szCs w:val="24"/>
          <w:highlight w:val="white"/>
        </w:rPr>
        <w:t>Managing Crypto-pegged Exchange Rates Risks in Islamic Banks in the Era of Digitalization Economy and Tokenization.</w:t>
      </w:r>
      <w:proofErr w:type="gramEnd"/>
      <w:r w:rsidRPr="00BD3F7C">
        <w:rPr>
          <w:rFonts w:ascii="Times New Roman" w:hAnsi="Times New Roman" w:cs="Times New Roman"/>
          <w:sz w:val="24"/>
          <w:szCs w:val="24"/>
          <w:highlight w:val="white"/>
        </w:rPr>
        <w:t xml:space="preserve"> </w:t>
      </w:r>
      <w:proofErr w:type="gramStart"/>
      <w:r w:rsidRPr="00BD3F7C">
        <w:rPr>
          <w:rFonts w:ascii="Times New Roman" w:hAnsi="Times New Roman" w:cs="Times New Roman"/>
          <w:i/>
          <w:sz w:val="24"/>
          <w:szCs w:val="24"/>
          <w:highlight w:val="white"/>
        </w:rPr>
        <w:t>Journal of Islamic Finance</w:t>
      </w:r>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9</w:t>
      </w:r>
      <w:r w:rsidRPr="00BD3F7C">
        <w:rPr>
          <w:rFonts w:ascii="Times New Roman" w:hAnsi="Times New Roman" w:cs="Times New Roman"/>
          <w:sz w:val="24"/>
          <w:szCs w:val="24"/>
          <w:highlight w:val="white"/>
        </w:rPr>
        <w:t>(1), pp.046-060.</w:t>
      </w:r>
      <w:proofErr w:type="gramEnd"/>
    </w:p>
    <w:p w:rsidR="00BD3F7C" w:rsidRPr="00BD3F7C" w:rsidRDefault="00BD3F7C" w:rsidP="00BD3F7C">
      <w:pPr>
        <w:rPr>
          <w:rFonts w:ascii="Times New Roman" w:hAnsi="Times New Roman" w:cs="Times New Roman"/>
          <w:sz w:val="24"/>
          <w:szCs w:val="24"/>
        </w:rPr>
      </w:pPr>
      <w:proofErr w:type="spellStart"/>
      <w:r w:rsidRPr="00BD3F7C">
        <w:rPr>
          <w:rFonts w:ascii="Times New Roman" w:hAnsi="Times New Roman" w:cs="Times New Roman"/>
          <w:sz w:val="24"/>
          <w:szCs w:val="24"/>
          <w:highlight w:val="white"/>
        </w:rPr>
        <w:t>Ilzetzki</w:t>
      </w:r>
      <w:proofErr w:type="spellEnd"/>
      <w:r w:rsidRPr="00BD3F7C">
        <w:rPr>
          <w:rFonts w:ascii="Times New Roman" w:hAnsi="Times New Roman" w:cs="Times New Roman"/>
          <w:sz w:val="24"/>
          <w:szCs w:val="24"/>
          <w:highlight w:val="white"/>
        </w:rPr>
        <w:t xml:space="preserve">, E., Reinhart, C.M. and Rogoff, K.S., 2022. </w:t>
      </w:r>
      <w:proofErr w:type="gramStart"/>
      <w:r w:rsidRPr="00BD3F7C">
        <w:rPr>
          <w:rFonts w:ascii="Times New Roman" w:hAnsi="Times New Roman" w:cs="Times New Roman"/>
          <w:sz w:val="24"/>
          <w:szCs w:val="24"/>
          <w:highlight w:val="white"/>
        </w:rPr>
        <w:t>Rethinking exchange rate regimes.</w:t>
      </w:r>
      <w:proofErr w:type="gramEnd"/>
      <w:r w:rsidRPr="00BD3F7C">
        <w:rPr>
          <w:rFonts w:ascii="Times New Roman" w:hAnsi="Times New Roman" w:cs="Times New Roman"/>
          <w:sz w:val="24"/>
          <w:szCs w:val="24"/>
          <w:highlight w:val="white"/>
        </w:rPr>
        <w:t xml:space="preserve"> </w:t>
      </w:r>
      <w:proofErr w:type="gramStart"/>
      <w:r w:rsidRPr="00BD3F7C">
        <w:rPr>
          <w:rFonts w:ascii="Times New Roman" w:hAnsi="Times New Roman" w:cs="Times New Roman"/>
          <w:sz w:val="24"/>
          <w:szCs w:val="24"/>
          <w:highlight w:val="white"/>
        </w:rPr>
        <w:t xml:space="preserve">In </w:t>
      </w:r>
      <w:r w:rsidRPr="00BD3F7C">
        <w:rPr>
          <w:rFonts w:ascii="Times New Roman" w:hAnsi="Times New Roman" w:cs="Times New Roman"/>
          <w:i/>
          <w:sz w:val="24"/>
          <w:szCs w:val="24"/>
          <w:highlight w:val="white"/>
        </w:rPr>
        <w:t>Handbook of international economics</w:t>
      </w:r>
      <w:r w:rsidRPr="00BD3F7C">
        <w:rPr>
          <w:rFonts w:ascii="Times New Roman" w:hAnsi="Times New Roman" w:cs="Times New Roman"/>
          <w:sz w:val="24"/>
          <w:szCs w:val="24"/>
          <w:highlight w:val="white"/>
        </w:rPr>
        <w:t xml:space="preserve"> (Vol. 6, pp. 91-145).</w:t>
      </w:r>
      <w:proofErr w:type="gramEnd"/>
      <w:r w:rsidRPr="00BD3F7C">
        <w:rPr>
          <w:rFonts w:ascii="Times New Roman" w:hAnsi="Times New Roman" w:cs="Times New Roman"/>
          <w:sz w:val="24"/>
          <w:szCs w:val="24"/>
          <w:highlight w:val="white"/>
        </w:rPr>
        <w:t xml:space="preserve"> </w:t>
      </w:r>
      <w:proofErr w:type="gramStart"/>
      <w:r w:rsidRPr="00BD3F7C">
        <w:rPr>
          <w:rFonts w:ascii="Times New Roman" w:hAnsi="Times New Roman" w:cs="Times New Roman"/>
          <w:sz w:val="24"/>
          <w:szCs w:val="24"/>
          <w:highlight w:val="white"/>
        </w:rPr>
        <w:t>Elsevier.</w:t>
      </w:r>
      <w:proofErr w:type="gramEnd"/>
    </w:p>
    <w:p w:rsidR="00BD3F7C" w:rsidRPr="00BD3F7C" w:rsidRDefault="00BD3F7C" w:rsidP="00BD3F7C">
      <w:pPr>
        <w:rPr>
          <w:rFonts w:ascii="Times New Roman" w:hAnsi="Times New Roman" w:cs="Times New Roman"/>
          <w:sz w:val="24"/>
          <w:szCs w:val="24"/>
          <w:highlight w:val="white"/>
        </w:rPr>
      </w:pPr>
      <w:proofErr w:type="spellStart"/>
      <w:r w:rsidRPr="00BD3F7C">
        <w:rPr>
          <w:rFonts w:ascii="Times New Roman" w:hAnsi="Times New Roman" w:cs="Times New Roman"/>
          <w:sz w:val="24"/>
          <w:szCs w:val="24"/>
          <w:highlight w:val="white"/>
        </w:rPr>
        <w:t>Jin</w:t>
      </w:r>
      <w:proofErr w:type="spellEnd"/>
      <w:r w:rsidRPr="00BD3F7C">
        <w:rPr>
          <w:rFonts w:ascii="Times New Roman" w:hAnsi="Times New Roman" w:cs="Times New Roman"/>
          <w:sz w:val="24"/>
          <w:szCs w:val="24"/>
          <w:highlight w:val="white"/>
        </w:rPr>
        <w:t xml:space="preserve">, M.Z., Zhao, Y. and Wang, H., 2021. </w:t>
      </w:r>
      <w:proofErr w:type="gramStart"/>
      <w:r w:rsidRPr="00BD3F7C">
        <w:rPr>
          <w:rFonts w:ascii="Times New Roman" w:hAnsi="Times New Roman" w:cs="Times New Roman"/>
          <w:i/>
          <w:sz w:val="24"/>
          <w:szCs w:val="24"/>
          <w:highlight w:val="white"/>
        </w:rPr>
        <w:t>Establishing a Foreign Exchange Futures Market in China</w:t>
      </w:r>
      <w:r w:rsidRPr="00BD3F7C">
        <w:rPr>
          <w:rFonts w:ascii="Times New Roman" w:hAnsi="Times New Roman" w:cs="Times New Roman"/>
          <w:sz w:val="24"/>
          <w:szCs w:val="24"/>
          <w:highlight w:val="white"/>
        </w:rPr>
        <w:t>.</w:t>
      </w:r>
      <w:proofErr w:type="gramEnd"/>
      <w:r w:rsidRPr="00BD3F7C">
        <w:rPr>
          <w:rFonts w:ascii="Times New Roman" w:hAnsi="Times New Roman" w:cs="Times New Roman"/>
          <w:sz w:val="24"/>
          <w:szCs w:val="24"/>
          <w:highlight w:val="white"/>
        </w:rPr>
        <w:t xml:space="preserve"> </w:t>
      </w:r>
      <w:proofErr w:type="gramStart"/>
      <w:r w:rsidRPr="00BD3F7C">
        <w:rPr>
          <w:rFonts w:ascii="Times New Roman" w:hAnsi="Times New Roman" w:cs="Times New Roman"/>
          <w:sz w:val="24"/>
          <w:szCs w:val="24"/>
          <w:highlight w:val="white"/>
        </w:rPr>
        <w:t>International Monetary Fund.</w:t>
      </w:r>
      <w:proofErr w:type="gramEnd"/>
    </w:p>
    <w:p w:rsidR="00BD3F7C" w:rsidRPr="00BD3F7C" w:rsidRDefault="00BD3F7C" w:rsidP="00BD3F7C">
      <w:pPr>
        <w:rPr>
          <w:rFonts w:ascii="Times New Roman" w:hAnsi="Times New Roman" w:cs="Times New Roman"/>
          <w:sz w:val="24"/>
          <w:szCs w:val="24"/>
        </w:rPr>
      </w:pPr>
      <w:proofErr w:type="spellStart"/>
      <w:proofErr w:type="gramStart"/>
      <w:r w:rsidRPr="00BD3F7C">
        <w:rPr>
          <w:rFonts w:ascii="Times New Roman" w:hAnsi="Times New Roman" w:cs="Times New Roman"/>
          <w:sz w:val="24"/>
          <w:szCs w:val="24"/>
          <w:highlight w:val="white"/>
        </w:rPr>
        <w:t>Moneycorp</w:t>
      </w:r>
      <w:proofErr w:type="spellEnd"/>
      <w:r w:rsidRPr="00BD3F7C">
        <w:rPr>
          <w:rFonts w:ascii="Times New Roman" w:hAnsi="Times New Roman" w:cs="Times New Roman"/>
          <w:sz w:val="24"/>
          <w:szCs w:val="24"/>
          <w:highlight w:val="white"/>
        </w:rPr>
        <w:t>, 2023.</w:t>
      </w:r>
      <w:proofErr w:type="gramEnd"/>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Foreign exchange risk management</w:t>
      </w:r>
      <w:r w:rsidRPr="00BD3F7C">
        <w:rPr>
          <w:rFonts w:ascii="Times New Roman" w:hAnsi="Times New Roman" w:cs="Times New Roman"/>
          <w:sz w:val="24"/>
          <w:szCs w:val="24"/>
          <w:highlight w:val="white"/>
        </w:rPr>
        <w:t xml:space="preserve"> [Online] Available at: &lt;</w:t>
      </w:r>
      <w:hyperlink r:id="rId14" w:history="1">
        <w:r w:rsidRPr="00BD3F7C">
          <w:rPr>
            <w:rStyle w:val="Hyperlink"/>
            <w:rFonts w:ascii="Times New Roman" w:hAnsi="Times New Roman" w:cs="Times New Roman"/>
            <w:sz w:val="24"/>
            <w:szCs w:val="24"/>
          </w:rPr>
          <w:t>https://www.moneycorp.com/en-gb/business/risk-management/</w:t>
        </w:r>
      </w:hyperlink>
      <w:r w:rsidRPr="00BD3F7C">
        <w:rPr>
          <w:rFonts w:ascii="Times New Roman" w:hAnsi="Times New Roman" w:cs="Times New Roman"/>
          <w:sz w:val="24"/>
          <w:szCs w:val="24"/>
          <w:highlight w:val="white"/>
        </w:rPr>
        <w:t>&gt; [Accessed on 9 November 2023]</w:t>
      </w:r>
    </w:p>
    <w:p w:rsidR="00BD3F7C" w:rsidRPr="00BD3F7C" w:rsidRDefault="00BD3F7C" w:rsidP="00BD3F7C">
      <w:pPr>
        <w:rPr>
          <w:rFonts w:ascii="Times New Roman" w:hAnsi="Times New Roman" w:cs="Times New Roman"/>
          <w:sz w:val="24"/>
          <w:szCs w:val="24"/>
          <w:highlight w:val="white"/>
        </w:rPr>
      </w:pPr>
      <w:r w:rsidRPr="00BD3F7C">
        <w:rPr>
          <w:rFonts w:ascii="Times New Roman" w:hAnsi="Times New Roman" w:cs="Times New Roman"/>
          <w:sz w:val="24"/>
          <w:szCs w:val="24"/>
          <w:highlight w:val="white"/>
        </w:rPr>
        <w:t xml:space="preserve">Morton, D.T., 2020. The future of cryptocurrency: an unregulated instrument in an increasingly regulated global economy. </w:t>
      </w:r>
      <w:proofErr w:type="gramStart"/>
      <w:r w:rsidRPr="00BD3F7C">
        <w:rPr>
          <w:rFonts w:ascii="Times New Roman" w:hAnsi="Times New Roman" w:cs="Times New Roman"/>
          <w:i/>
          <w:sz w:val="24"/>
          <w:szCs w:val="24"/>
          <w:highlight w:val="white"/>
        </w:rPr>
        <w:t>Loy.</w:t>
      </w:r>
      <w:proofErr w:type="gramEnd"/>
      <w:r w:rsidRPr="00BD3F7C">
        <w:rPr>
          <w:rFonts w:ascii="Times New Roman" w:hAnsi="Times New Roman" w:cs="Times New Roman"/>
          <w:i/>
          <w:sz w:val="24"/>
          <w:szCs w:val="24"/>
          <w:highlight w:val="white"/>
        </w:rPr>
        <w:t xml:space="preserve"> U. Chi. Int'l L. Rev.</w:t>
      </w:r>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16</w:t>
      </w:r>
      <w:r w:rsidRPr="00BD3F7C">
        <w:rPr>
          <w:rFonts w:ascii="Times New Roman" w:hAnsi="Times New Roman" w:cs="Times New Roman"/>
          <w:sz w:val="24"/>
          <w:szCs w:val="24"/>
          <w:highlight w:val="white"/>
        </w:rPr>
        <w:t>, p.129.</w:t>
      </w:r>
    </w:p>
    <w:p w:rsidR="00BD3F7C" w:rsidRPr="00BD3F7C" w:rsidRDefault="00BD3F7C" w:rsidP="00BD3F7C">
      <w:pPr>
        <w:rPr>
          <w:rFonts w:ascii="Times New Roman" w:hAnsi="Times New Roman" w:cs="Times New Roman"/>
          <w:sz w:val="24"/>
          <w:szCs w:val="24"/>
        </w:rPr>
      </w:pPr>
      <w:proofErr w:type="gramStart"/>
      <w:r w:rsidRPr="00BD3F7C">
        <w:rPr>
          <w:rFonts w:ascii="Times New Roman" w:hAnsi="Times New Roman" w:cs="Times New Roman"/>
          <w:sz w:val="24"/>
          <w:szCs w:val="24"/>
          <w:highlight w:val="white"/>
        </w:rPr>
        <w:t>Unilever, 2023.</w:t>
      </w:r>
      <w:proofErr w:type="gramEnd"/>
      <w:r w:rsidRPr="00BD3F7C">
        <w:rPr>
          <w:rFonts w:ascii="Times New Roman" w:hAnsi="Times New Roman" w:cs="Times New Roman"/>
          <w:sz w:val="24"/>
          <w:szCs w:val="24"/>
          <w:highlight w:val="white"/>
        </w:rPr>
        <w:t xml:space="preserve"> </w:t>
      </w:r>
      <w:r w:rsidRPr="00BD3F7C">
        <w:rPr>
          <w:rFonts w:ascii="Times New Roman" w:hAnsi="Times New Roman" w:cs="Times New Roman"/>
          <w:i/>
          <w:sz w:val="24"/>
          <w:szCs w:val="24"/>
          <w:highlight w:val="white"/>
        </w:rPr>
        <w:t>List of Risks</w:t>
      </w:r>
      <w:r w:rsidRPr="00BD3F7C">
        <w:rPr>
          <w:rFonts w:ascii="Times New Roman" w:hAnsi="Times New Roman" w:cs="Times New Roman"/>
          <w:sz w:val="24"/>
          <w:szCs w:val="24"/>
          <w:highlight w:val="white"/>
        </w:rPr>
        <w:t xml:space="preserve"> [Online] Available at: &lt;</w:t>
      </w:r>
      <w:hyperlink r:id="rId15" w:history="1">
        <w:r w:rsidRPr="00BD3F7C">
          <w:rPr>
            <w:rStyle w:val="Hyperlink"/>
            <w:rFonts w:ascii="Times New Roman" w:hAnsi="Times New Roman" w:cs="Times New Roman"/>
            <w:sz w:val="24"/>
            <w:szCs w:val="24"/>
            <w:highlight w:val="white"/>
          </w:rPr>
          <w:t>https://www.unilever.co.id/unilever-indonesia/investor-relations/corporate-governance-manual/list-of-risks/</w:t>
        </w:r>
      </w:hyperlink>
      <w:r w:rsidRPr="00BD3F7C">
        <w:rPr>
          <w:rFonts w:ascii="Times New Roman" w:hAnsi="Times New Roman" w:cs="Times New Roman"/>
          <w:sz w:val="24"/>
          <w:szCs w:val="24"/>
          <w:highlight w:val="white"/>
        </w:rPr>
        <w:t>&gt; [Accessed on 9 November 2023]</w:t>
      </w:r>
    </w:p>
    <w:p w:rsidR="00BD3F7C" w:rsidRPr="00BD3F7C" w:rsidRDefault="00BD3F7C" w:rsidP="00BD3F7C">
      <w:pPr>
        <w:rPr>
          <w:rFonts w:ascii="Times New Roman" w:hAnsi="Times New Roman" w:cs="Times New Roman"/>
          <w:sz w:val="24"/>
          <w:szCs w:val="24"/>
        </w:rPr>
      </w:pPr>
    </w:p>
    <w:p w:rsidR="00BD3F7C" w:rsidRPr="00BD3F7C" w:rsidRDefault="00BD3F7C" w:rsidP="00BD3F7C">
      <w:pPr>
        <w:widowControl w:val="0"/>
        <w:spacing w:after="0"/>
        <w:rPr>
          <w:rFonts w:ascii="Times New Roman" w:hAnsi="Times New Roman" w:cs="Times New Roman"/>
          <w:sz w:val="24"/>
          <w:szCs w:val="24"/>
        </w:rPr>
      </w:pPr>
    </w:p>
    <w:p w:rsidR="00BD3F7C" w:rsidRPr="00BD3F7C" w:rsidRDefault="00BD3F7C">
      <w:pPr>
        <w:rPr>
          <w:rFonts w:ascii="Times New Roman" w:hAnsi="Times New Roman" w:cs="Times New Roman"/>
          <w:sz w:val="24"/>
          <w:szCs w:val="24"/>
        </w:rPr>
      </w:pPr>
    </w:p>
    <w:sectPr w:rsidR="00BD3F7C" w:rsidRPr="00BD3F7C" w:rsidSect="00BD3F7C">
      <w:pgSz w:w="12240" w:h="15840"/>
      <w:pgMar w:top="567" w:right="758" w:bottom="567"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2E4E"/>
    <w:rsid w:val="00BD3F7C"/>
    <w:rsid w:val="00D92E4E"/>
    <w:rsid w:val="00EA1D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3F7C"/>
  </w:style>
  <w:style w:type="paragraph" w:styleId="Heading1">
    <w:name w:val="heading 1"/>
    <w:basedOn w:val="Normal"/>
    <w:next w:val="Normal"/>
    <w:link w:val="Heading1Char"/>
    <w:qFormat/>
    <w:rsid w:val="00BD3F7C"/>
    <w:pPr>
      <w:keepNext/>
      <w:keepLines/>
      <w:spacing w:before="200" w:line="360" w:lineRule="auto"/>
      <w:jc w:val="both"/>
      <w:outlineLvl w:val="0"/>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3F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3F7C"/>
    <w:rPr>
      <w:rFonts w:ascii="Tahoma" w:hAnsi="Tahoma" w:cs="Tahoma"/>
      <w:sz w:val="16"/>
      <w:szCs w:val="16"/>
    </w:rPr>
  </w:style>
  <w:style w:type="character" w:customStyle="1" w:styleId="Heading1Char">
    <w:name w:val="Heading 1 Char"/>
    <w:basedOn w:val="DefaultParagraphFont"/>
    <w:link w:val="Heading1"/>
    <w:rsid w:val="00BD3F7C"/>
    <w:rPr>
      <w:rFonts w:ascii="Times New Roman" w:eastAsia="Times New Roman" w:hAnsi="Times New Roman" w:cs="Times New Roman"/>
      <w:b/>
      <w:sz w:val="24"/>
      <w:szCs w:val="24"/>
      <w:lang w:val="en-GB"/>
    </w:rPr>
  </w:style>
  <w:style w:type="character" w:styleId="Hyperlink">
    <w:name w:val="Hyperlink"/>
    <w:basedOn w:val="DefaultParagraphFont"/>
    <w:uiPriority w:val="99"/>
    <w:semiHidden/>
    <w:unhideWhenUsed/>
    <w:rsid w:val="00BD3F7C"/>
    <w:rPr>
      <w:color w:val="0000FF" w:themeColor="hyperlink"/>
      <w:u w:val="single"/>
    </w:rPr>
  </w:style>
  <w:style w:type="paragraph" w:styleId="TOC1">
    <w:name w:val="toc 1"/>
    <w:basedOn w:val="Normal"/>
    <w:next w:val="Normal"/>
    <w:autoRedefine/>
    <w:uiPriority w:val="39"/>
    <w:semiHidden/>
    <w:unhideWhenUsed/>
    <w:rsid w:val="00BD3F7C"/>
    <w:pPr>
      <w:spacing w:before="200" w:after="100" w:line="360" w:lineRule="auto"/>
      <w:jc w:val="both"/>
    </w:pPr>
    <w:rPr>
      <w:rFonts w:ascii="Times New Roman" w:eastAsia="Times New Roman" w:hAnsi="Times New Roman" w:cs="Times New Roman"/>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3F7C"/>
  </w:style>
  <w:style w:type="paragraph" w:styleId="Heading1">
    <w:name w:val="heading 1"/>
    <w:basedOn w:val="Normal"/>
    <w:next w:val="Normal"/>
    <w:link w:val="Heading1Char"/>
    <w:qFormat/>
    <w:rsid w:val="00BD3F7C"/>
    <w:pPr>
      <w:keepNext/>
      <w:keepLines/>
      <w:spacing w:before="200" w:line="360" w:lineRule="auto"/>
      <w:jc w:val="both"/>
      <w:outlineLvl w:val="0"/>
    </w:pPr>
    <w:rPr>
      <w:rFonts w:ascii="Times New Roman" w:eastAsia="Times New Roman"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3F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3F7C"/>
    <w:rPr>
      <w:rFonts w:ascii="Tahoma" w:hAnsi="Tahoma" w:cs="Tahoma"/>
      <w:sz w:val="16"/>
      <w:szCs w:val="16"/>
    </w:rPr>
  </w:style>
  <w:style w:type="character" w:customStyle="1" w:styleId="Heading1Char">
    <w:name w:val="Heading 1 Char"/>
    <w:basedOn w:val="DefaultParagraphFont"/>
    <w:link w:val="Heading1"/>
    <w:rsid w:val="00BD3F7C"/>
    <w:rPr>
      <w:rFonts w:ascii="Times New Roman" w:eastAsia="Times New Roman" w:hAnsi="Times New Roman" w:cs="Times New Roman"/>
      <w:b/>
      <w:sz w:val="24"/>
      <w:szCs w:val="24"/>
      <w:lang w:val="en-GB"/>
    </w:rPr>
  </w:style>
  <w:style w:type="character" w:styleId="Hyperlink">
    <w:name w:val="Hyperlink"/>
    <w:basedOn w:val="DefaultParagraphFont"/>
    <w:uiPriority w:val="99"/>
    <w:semiHidden/>
    <w:unhideWhenUsed/>
    <w:rsid w:val="00BD3F7C"/>
    <w:rPr>
      <w:color w:val="0000FF" w:themeColor="hyperlink"/>
      <w:u w:val="single"/>
    </w:rPr>
  </w:style>
  <w:style w:type="paragraph" w:styleId="TOC1">
    <w:name w:val="toc 1"/>
    <w:basedOn w:val="Normal"/>
    <w:next w:val="Normal"/>
    <w:autoRedefine/>
    <w:uiPriority w:val="39"/>
    <w:semiHidden/>
    <w:unhideWhenUsed/>
    <w:rsid w:val="00BD3F7C"/>
    <w:pPr>
      <w:spacing w:before="200" w:after="100" w:line="360" w:lineRule="auto"/>
      <w:jc w:val="both"/>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176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arza\Desktop\International%20Financial%20Management.docx" TargetMode="External"/><Relationship Id="rId13" Type="http://schemas.openxmlformats.org/officeDocument/2006/relationships/hyperlink" Target="https://www.gsk.com/en-gb/responsibility/ethical-standards/working-with-third-parties/" TargetMode="External"/><Relationship Id="rId3" Type="http://schemas.openxmlformats.org/officeDocument/2006/relationships/settings" Target="settings.xml"/><Relationship Id="rId7" Type="http://schemas.openxmlformats.org/officeDocument/2006/relationships/hyperlink" Target="file:///C:\Users\varza\Desktop\International%20Financial%20Management.docx" TargetMode="External"/><Relationship Id="rId12" Type="http://schemas.openxmlformats.org/officeDocument/2006/relationships/hyperlink" Target="https://www.barclayscorporate.com/insights/managing-fx-risks/"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varza\Desktop\International%20Financial%20Management.docx" TargetMode="External"/><Relationship Id="rId11" Type="http://schemas.openxmlformats.org/officeDocument/2006/relationships/hyperlink" Target="file:///C:\Users\varza\Desktop\International%20Financial%20Management.docx" TargetMode="External"/><Relationship Id="rId5" Type="http://schemas.openxmlformats.org/officeDocument/2006/relationships/image" Target="media/image1.png"/><Relationship Id="rId15" Type="http://schemas.openxmlformats.org/officeDocument/2006/relationships/hyperlink" Target="https://www.unilever.co.id/unilever-indonesia/investor-relations/corporate-governance-manual/list-of-risks/" TargetMode="External"/><Relationship Id="rId10" Type="http://schemas.openxmlformats.org/officeDocument/2006/relationships/hyperlink" Target="file:///C:\Users\varza\Desktop\International%20Financial%20Management.docx" TargetMode="External"/><Relationship Id="rId4" Type="http://schemas.openxmlformats.org/officeDocument/2006/relationships/webSettings" Target="webSettings.xml"/><Relationship Id="rId9" Type="http://schemas.openxmlformats.org/officeDocument/2006/relationships/hyperlink" Target="file:///C:\Users\varza\Desktop\International%20Financial%20Management.docx" TargetMode="External"/><Relationship Id="rId14" Type="http://schemas.openxmlformats.org/officeDocument/2006/relationships/hyperlink" Target="https://www.moneycorp.com/en-gb/business/risk-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6</Pages>
  <Words>2155</Words>
  <Characters>12287</Characters>
  <Application>Microsoft Office Word</Application>
  <DocSecurity>0</DocSecurity>
  <Lines>102</Lines>
  <Paragraphs>28</Paragraphs>
  <ScaleCrop>false</ScaleCrop>
  <Company/>
  <LinksUpToDate>false</LinksUpToDate>
  <CharactersWithSpaces>14414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v</dc:creator>
  <cp:keywords/>
  <dc:description/>
  <cp:lastModifiedBy>a v</cp:lastModifiedBy>
  <cp:revision>2</cp:revision>
  <dcterms:created xsi:type="dcterms:W3CDTF">2023-12-17T20:07:00Z</dcterms:created>
  <dcterms:modified xsi:type="dcterms:W3CDTF">2023-12-17T20:15:00Z</dcterms:modified>
</cp:coreProperties>
</file>