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714DC" w14:textId="55D03B23" w:rsidR="00487B1A" w:rsidRDefault="12DA97CC" w:rsidP="590286A3">
      <w:pPr>
        <w:jc w:val="center"/>
        <w:rPr>
          <w:rFonts w:ascii="Century Gothic" w:eastAsia="Century Gothic" w:hAnsi="Century Gothic" w:cs="Century Gothic"/>
          <w:color w:val="000000" w:themeColor="text1"/>
          <w:sz w:val="28"/>
          <w:szCs w:val="28"/>
        </w:rPr>
      </w:pPr>
      <w:r>
        <w:rPr>
          <w:noProof/>
        </w:rPr>
        <w:drawing>
          <wp:inline distT="0" distB="0" distL="0" distR="0" wp14:anchorId="5FEE1CA4" wp14:editId="7AD239AC">
            <wp:extent cx="5856621" cy="2463370"/>
            <wp:effectExtent l="0" t="0" r="0" b="0"/>
            <wp:docPr id="2156686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68699" name="Picture 215668699"/>
                    <pic:cNvPicPr/>
                  </pic:nvPicPr>
                  <pic:blipFill>
                    <a:blip r:embed="rId7">
                      <a:extLst>
                        <a:ext uri="{28A0092B-C50C-407E-A947-70E740481C1C}">
                          <a14:useLocalDpi xmlns:a14="http://schemas.microsoft.com/office/drawing/2010/main"/>
                        </a:ext>
                      </a:extLst>
                    </a:blip>
                    <a:stretch>
                      <a:fillRect/>
                    </a:stretch>
                  </pic:blipFill>
                  <pic:spPr>
                    <a:xfrm>
                      <a:off x="0" y="0"/>
                      <a:ext cx="5856621" cy="2463370"/>
                    </a:xfrm>
                    <a:prstGeom prst="rect">
                      <a:avLst/>
                    </a:prstGeom>
                  </pic:spPr>
                </pic:pic>
              </a:graphicData>
            </a:graphic>
          </wp:inline>
        </w:drawing>
      </w:r>
    </w:p>
    <w:p w14:paraId="5C4DDA51" w14:textId="50B8340B" w:rsidR="00487B1A" w:rsidRDefault="575892B9" w:rsidP="429B2BAA">
      <w:pPr>
        <w:rPr>
          <w:rFonts w:ascii="Century Gothic" w:eastAsia="Century Gothic" w:hAnsi="Century Gothic" w:cs="Century Gothic"/>
          <w:b/>
          <w:bCs/>
          <w:sz w:val="36"/>
          <w:szCs w:val="36"/>
        </w:rPr>
      </w:pPr>
      <w:r w:rsidRPr="429B2BAA">
        <w:rPr>
          <w:rFonts w:ascii="Century Gothic" w:eastAsia="Century Gothic" w:hAnsi="Century Gothic" w:cs="Century Gothic"/>
          <w:b/>
          <w:bCs/>
          <w:sz w:val="36"/>
          <w:szCs w:val="36"/>
        </w:rPr>
        <w:t>Navigating Change in the Circular Economy: A Strategic HR Report on Technological Adaptation, Talent Retention, and DEI at A I Traders Ltd</w:t>
      </w:r>
    </w:p>
    <w:p w14:paraId="2E3D69BF" w14:textId="0D8EAC8A" w:rsidR="00487B1A" w:rsidRDefault="00487B1A" w:rsidP="590286A3">
      <w:pPr>
        <w:jc w:val="center"/>
        <w:rPr>
          <w:rFonts w:ascii="Arial" w:hAnsi="Arial"/>
          <w:color w:val="000000" w:themeColor="text1"/>
        </w:rPr>
      </w:pPr>
    </w:p>
    <w:p w14:paraId="3830E6E0" w14:textId="52F6CE49" w:rsidR="00487B1A" w:rsidRDefault="006D1359" w:rsidP="429B2BAA">
      <w:r>
        <w:br/>
      </w:r>
      <w:r w:rsidR="12DA97CC" w:rsidRPr="429B2BAA">
        <w:rPr>
          <w:rFonts w:ascii="Century Gothic" w:eastAsia="Century Gothic" w:hAnsi="Century Gothic" w:cs="Century Gothic"/>
          <w:b/>
          <w:bCs/>
          <w:color w:val="000000" w:themeColor="text1"/>
          <w:sz w:val="32"/>
          <w:szCs w:val="32"/>
        </w:rPr>
        <w:t>Module Code:</w:t>
      </w:r>
      <w:r w:rsidR="12DA97CC" w:rsidRPr="429B2BAA">
        <w:rPr>
          <w:rFonts w:ascii="Century Gothic" w:eastAsia="Century Gothic" w:hAnsi="Century Gothic" w:cs="Century Gothic"/>
          <w:color w:val="000000" w:themeColor="text1"/>
          <w:sz w:val="32"/>
          <w:szCs w:val="32"/>
        </w:rPr>
        <w:t xml:space="preserve"> </w:t>
      </w:r>
      <w:r w:rsidR="3D97B0E0" w:rsidRPr="429B2BAA">
        <w:rPr>
          <w:rFonts w:ascii="Century Gothic" w:eastAsia="Century Gothic" w:hAnsi="Century Gothic" w:cs="Century Gothic"/>
          <w:color w:val="000000" w:themeColor="text1"/>
          <w:sz w:val="32"/>
          <w:szCs w:val="32"/>
        </w:rPr>
        <w:t xml:space="preserve">LCLM5002 </w:t>
      </w:r>
    </w:p>
    <w:p w14:paraId="1B20CE5F" w14:textId="5800117A" w:rsidR="6BE29CBD" w:rsidRDefault="6BE29CBD" w:rsidP="429B2BAA">
      <w:r w:rsidRPr="429B2BAA">
        <w:rPr>
          <w:rFonts w:ascii="Century Gothic" w:eastAsia="Century Gothic" w:hAnsi="Century Gothic" w:cs="Century Gothic"/>
          <w:b/>
          <w:bCs/>
          <w:color w:val="000000" w:themeColor="text1"/>
          <w:sz w:val="32"/>
          <w:szCs w:val="32"/>
        </w:rPr>
        <w:t>Module Title:</w:t>
      </w:r>
      <w:r w:rsidRPr="429B2BAA">
        <w:rPr>
          <w:rFonts w:ascii="Century Gothic" w:eastAsia="Century Gothic" w:hAnsi="Century Gothic" w:cs="Century Gothic"/>
          <w:color w:val="000000" w:themeColor="text1"/>
          <w:sz w:val="32"/>
          <w:szCs w:val="32"/>
        </w:rPr>
        <w:t xml:space="preserve"> </w:t>
      </w:r>
      <w:r w:rsidRPr="429B2BAA">
        <w:rPr>
          <w:rFonts w:ascii="Century Gothic" w:eastAsia="Century Gothic" w:hAnsi="Century Gothic" w:cs="Century Gothic"/>
          <w:sz w:val="32"/>
          <w:szCs w:val="32"/>
        </w:rPr>
        <w:t>Developing and Managing Individuals and Teams</w:t>
      </w:r>
    </w:p>
    <w:p w14:paraId="0819C898" w14:textId="6957E7A2" w:rsidR="00487B1A" w:rsidRDefault="08F09DE7" w:rsidP="429B2BAA">
      <w:r w:rsidRPr="429B2BAA">
        <w:rPr>
          <w:rFonts w:ascii="Century Gothic" w:eastAsia="Century Gothic" w:hAnsi="Century Gothic" w:cs="Century Gothic"/>
          <w:b/>
          <w:bCs/>
          <w:color w:val="000000" w:themeColor="text1"/>
          <w:sz w:val="32"/>
          <w:szCs w:val="32"/>
        </w:rPr>
        <w:t>Assignment Title</w:t>
      </w:r>
      <w:r w:rsidRPr="429B2BAA">
        <w:rPr>
          <w:rFonts w:ascii="Century Gothic" w:eastAsia="Century Gothic" w:hAnsi="Century Gothic" w:cs="Century Gothic"/>
          <w:color w:val="000000" w:themeColor="text1"/>
          <w:sz w:val="32"/>
          <w:szCs w:val="32"/>
        </w:rPr>
        <w:t xml:space="preserve">: </w:t>
      </w:r>
      <w:r w:rsidR="09FD90D9" w:rsidRPr="429B2BAA">
        <w:rPr>
          <w:rFonts w:ascii="Century Gothic" w:eastAsia="Century Gothic" w:hAnsi="Century Gothic" w:cs="Century Gothic"/>
          <w:sz w:val="32"/>
          <w:szCs w:val="32"/>
        </w:rPr>
        <w:t xml:space="preserve">Component 2 - Individual Report </w:t>
      </w:r>
    </w:p>
    <w:p w14:paraId="0D080AE4" w14:textId="7690C9AF" w:rsidR="00487B1A" w:rsidRDefault="12DA97CC" w:rsidP="429B2BAA">
      <w:pPr>
        <w:rPr>
          <w:rFonts w:ascii="Century Gothic" w:eastAsia="Century Gothic" w:hAnsi="Century Gothic" w:cs="Century Gothic"/>
          <w:color w:val="000000" w:themeColor="text1"/>
          <w:sz w:val="32"/>
          <w:szCs w:val="32"/>
        </w:rPr>
      </w:pPr>
      <w:r w:rsidRPr="429B2BAA">
        <w:rPr>
          <w:rFonts w:ascii="Century Gothic" w:eastAsia="Century Gothic" w:hAnsi="Century Gothic" w:cs="Century Gothic"/>
          <w:b/>
          <w:bCs/>
          <w:color w:val="000000" w:themeColor="text1"/>
          <w:sz w:val="32"/>
          <w:szCs w:val="32"/>
        </w:rPr>
        <w:t>Student Name</w:t>
      </w:r>
      <w:r w:rsidRPr="429B2BAA">
        <w:rPr>
          <w:rFonts w:ascii="Century Gothic" w:eastAsia="Century Gothic" w:hAnsi="Century Gothic" w:cs="Century Gothic"/>
          <w:color w:val="000000" w:themeColor="text1"/>
          <w:sz w:val="32"/>
          <w:szCs w:val="32"/>
        </w:rPr>
        <w:t>: Asad Ikram</w:t>
      </w:r>
      <w:r w:rsidR="02AA8C62">
        <w:br/>
      </w:r>
      <w:r w:rsidRPr="429B2BAA">
        <w:rPr>
          <w:rFonts w:ascii="Century Gothic" w:eastAsia="Century Gothic" w:hAnsi="Century Gothic" w:cs="Century Gothic"/>
          <w:b/>
          <w:bCs/>
          <w:color w:val="000000" w:themeColor="text1"/>
          <w:sz w:val="32"/>
          <w:szCs w:val="32"/>
        </w:rPr>
        <w:t xml:space="preserve">Student ID: </w:t>
      </w:r>
      <w:hyperlink r:id="rId8">
        <w:r w:rsidRPr="429B2BAA">
          <w:rPr>
            <w:rStyle w:val="Hyperlink"/>
            <w:b/>
            <w:bCs/>
          </w:rPr>
          <w:t>2435727@student.uwtsd.ac.uk</w:t>
        </w:r>
      </w:hyperlink>
      <w:r w:rsidR="02AA8C62">
        <w:br/>
      </w:r>
      <w:r w:rsidRPr="429B2BAA">
        <w:rPr>
          <w:rFonts w:ascii="Century Gothic" w:eastAsia="Century Gothic" w:hAnsi="Century Gothic" w:cs="Century Gothic"/>
          <w:b/>
          <w:bCs/>
          <w:color w:val="000000" w:themeColor="text1"/>
          <w:sz w:val="32"/>
          <w:szCs w:val="32"/>
        </w:rPr>
        <w:t>Lecturer:</w:t>
      </w:r>
      <w:r w:rsidR="73020663" w:rsidRPr="429B2BAA">
        <w:rPr>
          <w:rFonts w:ascii="Century Gothic" w:eastAsia="Century Gothic" w:hAnsi="Century Gothic" w:cs="Century Gothic"/>
          <w:b/>
          <w:bCs/>
          <w:color w:val="000000" w:themeColor="text1"/>
          <w:sz w:val="32"/>
          <w:szCs w:val="32"/>
        </w:rPr>
        <w:t xml:space="preserve"> </w:t>
      </w:r>
      <w:r w:rsidR="6A24B94D" w:rsidRPr="429B2BAA">
        <w:rPr>
          <w:rFonts w:ascii="Century Gothic" w:eastAsia="Century Gothic" w:hAnsi="Century Gothic" w:cs="Century Gothic"/>
          <w:color w:val="000000" w:themeColor="text1"/>
          <w:sz w:val="32"/>
          <w:szCs w:val="32"/>
        </w:rPr>
        <w:t>Samson Oladejo</w:t>
      </w:r>
    </w:p>
    <w:p w14:paraId="6CA007ED" w14:textId="70172302" w:rsidR="00487B1A" w:rsidRDefault="00487B1A" w:rsidP="590286A3">
      <w:pPr>
        <w:spacing w:after="0"/>
        <w:jc w:val="center"/>
        <w:rPr>
          <w:rFonts w:ascii="Century Gothic" w:eastAsia="Century Gothic" w:hAnsi="Century Gothic" w:cs="Century Gothic"/>
          <w:color w:val="000000" w:themeColor="text1"/>
          <w:sz w:val="32"/>
          <w:szCs w:val="32"/>
        </w:rPr>
      </w:pPr>
    </w:p>
    <w:p w14:paraId="0F1653F8" w14:textId="7C0B7FAE" w:rsidR="00487B1A" w:rsidRDefault="00487B1A" w:rsidP="590286A3">
      <w:pPr>
        <w:spacing w:after="0"/>
        <w:jc w:val="center"/>
      </w:pPr>
      <w:r>
        <w:br/>
      </w:r>
      <w:r w:rsidR="12DA97CC" w:rsidRPr="429B2BAA">
        <w:rPr>
          <w:rFonts w:ascii="Century Gothic" w:eastAsia="Century Gothic" w:hAnsi="Century Gothic" w:cs="Century Gothic"/>
          <w:b/>
          <w:bCs/>
          <w:color w:val="000000" w:themeColor="text1"/>
          <w:sz w:val="32"/>
          <w:szCs w:val="32"/>
        </w:rPr>
        <w:t>Programme:</w:t>
      </w:r>
      <w:r w:rsidR="12DA97CC" w:rsidRPr="429B2BAA">
        <w:rPr>
          <w:rFonts w:ascii="Century Gothic" w:eastAsia="Century Gothic" w:hAnsi="Century Gothic" w:cs="Century Gothic"/>
          <w:color w:val="000000" w:themeColor="text1"/>
          <w:sz w:val="32"/>
          <w:szCs w:val="32"/>
        </w:rPr>
        <w:t xml:space="preserve"> </w:t>
      </w:r>
      <w:r w:rsidR="567D6C86" w:rsidRPr="429B2BAA">
        <w:rPr>
          <w:rFonts w:ascii="Century Gothic" w:eastAsia="Century Gothic" w:hAnsi="Century Gothic" w:cs="Century Gothic"/>
          <w:color w:val="000000" w:themeColor="text1"/>
          <w:sz w:val="32"/>
          <w:szCs w:val="32"/>
        </w:rPr>
        <w:t>BA (Hons) Leadership and Management Skills for the Workplace</w:t>
      </w:r>
    </w:p>
    <w:p w14:paraId="332B41ED" w14:textId="6FEFE381" w:rsidR="00487B1A" w:rsidRDefault="00487B1A" w:rsidP="429B2BAA">
      <w:pPr>
        <w:spacing w:after="0"/>
        <w:jc w:val="center"/>
        <w:rPr>
          <w:rFonts w:ascii="Century Gothic" w:eastAsia="Century Gothic" w:hAnsi="Century Gothic" w:cs="Century Gothic"/>
          <w:color w:val="000000" w:themeColor="text1"/>
          <w:sz w:val="32"/>
          <w:szCs w:val="32"/>
        </w:rPr>
      </w:pPr>
    </w:p>
    <w:p w14:paraId="353A690C" w14:textId="0017258A" w:rsidR="00487B1A" w:rsidRDefault="00487B1A" w:rsidP="429B2BAA">
      <w:pPr>
        <w:spacing w:after="0"/>
        <w:jc w:val="center"/>
        <w:rPr>
          <w:rFonts w:ascii="Century Gothic" w:eastAsia="Century Gothic" w:hAnsi="Century Gothic" w:cs="Century Gothic"/>
          <w:color w:val="000000" w:themeColor="text1"/>
          <w:sz w:val="32"/>
          <w:szCs w:val="32"/>
        </w:rPr>
      </w:pPr>
    </w:p>
    <w:p w14:paraId="5B65D8EC" w14:textId="5029413F" w:rsidR="00487B1A" w:rsidRDefault="77F1FCCC" w:rsidP="429B2BAA">
      <w:pPr>
        <w:spacing w:after="0"/>
      </w:pPr>
      <w:r>
        <w:br w:type="page"/>
      </w:r>
    </w:p>
    <w:p w14:paraId="586DA898" w14:textId="4116A172" w:rsidR="00487B1A" w:rsidRDefault="7CC5CF6A" w:rsidP="429B2BAA">
      <w:pPr>
        <w:pStyle w:val="Heading2"/>
      </w:pPr>
      <w:r w:rsidRPr="429B2BAA">
        <w:t>Executive Summary</w:t>
      </w:r>
    </w:p>
    <w:p w14:paraId="7C73A694" w14:textId="768EC22E" w:rsidR="00487B1A" w:rsidRDefault="7CC5CF6A" w:rsidP="429B2BAA">
      <w:r w:rsidRPr="429B2BAA">
        <w:t xml:space="preserve">This report presents a strategic evaluation of contemporary Human Resource (HR) challenges and practices within A I Traders Ltd, a growing UK-based consumer electronics refurbishment SME. As the organization scales, it faces critical pressures in adapting to rapid technological advancements, securing and retaining technical talent, and fostering a diverse, equitable, and inclusive (DEI) workplace. By </w:t>
      </w:r>
      <w:r w:rsidR="4CC8AEFA" w:rsidRPr="429B2BAA">
        <w:t>analysing</w:t>
      </w:r>
      <w:r w:rsidRPr="429B2BAA">
        <w:t xml:space="preserve"> these factors, this report evaluates the efficacy of digital HR systems, strategic workforce planning, and structured DEI frameworks. Furthermore, the critical role of departmental managers in driving these changes is assessed. This report concludes that while systemic barriers like financial constraints and change resistance exist, they can be mitigated through transparent communication and inclusive leadership. Key recommendations include the phased rollout of a cloud-based HRIS, establishing structured technical mentorship pathways, and implementing blind recruitment practices to secure sustainable long-term business performance</w:t>
      </w:r>
    </w:p>
    <w:p w14:paraId="44313AD7" w14:textId="6393BE19" w:rsidR="00487B1A" w:rsidRDefault="00487B1A" w:rsidP="429B2BAA">
      <w:pPr>
        <w:spacing w:after="0"/>
      </w:pPr>
    </w:p>
    <w:p w14:paraId="0C193DBB" w14:textId="5081B4E4" w:rsidR="00487B1A" w:rsidRDefault="00487B1A" w:rsidP="429B2BAA">
      <w:pPr>
        <w:spacing w:after="0"/>
        <w:jc w:val="center"/>
        <w:rPr>
          <w:rFonts w:ascii="Century Gothic" w:eastAsia="Century Gothic" w:hAnsi="Century Gothic" w:cs="Century Gothic"/>
          <w:color w:val="000000" w:themeColor="text1"/>
          <w:sz w:val="32"/>
          <w:szCs w:val="32"/>
        </w:rPr>
      </w:pPr>
    </w:p>
    <w:p w14:paraId="6DEFD87C" w14:textId="5B639941" w:rsidR="00487B1A" w:rsidRDefault="00487B1A" w:rsidP="429B2BAA">
      <w:pPr>
        <w:spacing w:after="0"/>
        <w:jc w:val="center"/>
        <w:rPr>
          <w:rFonts w:ascii="Century Gothic" w:eastAsia="Century Gothic" w:hAnsi="Century Gothic" w:cs="Century Gothic"/>
          <w:color w:val="000000" w:themeColor="text1"/>
          <w:sz w:val="32"/>
          <w:szCs w:val="32"/>
        </w:rPr>
      </w:pPr>
    </w:p>
    <w:p w14:paraId="19776150" w14:textId="5AA2E56A" w:rsidR="00487B1A" w:rsidRDefault="77F1FCCC" w:rsidP="429B2BAA">
      <w:pPr>
        <w:spacing w:after="0"/>
      </w:pPr>
      <w:r>
        <w:br w:type="page"/>
      </w:r>
    </w:p>
    <w:p w14:paraId="5007384E" w14:textId="31556C17" w:rsidR="00487B1A" w:rsidRDefault="00487B1A" w:rsidP="429B2BAA">
      <w:pPr>
        <w:spacing w:after="0"/>
        <w:jc w:val="center"/>
        <w:rPr>
          <w:rFonts w:ascii="Century Gothic" w:eastAsia="Century Gothic" w:hAnsi="Century Gothic" w:cs="Century Gothic"/>
          <w:color w:val="000000" w:themeColor="text1"/>
          <w:sz w:val="32"/>
          <w:szCs w:val="32"/>
        </w:rPr>
      </w:pPr>
    </w:p>
    <w:p w14:paraId="507C173F" w14:textId="5D5A2B88" w:rsidR="00487B1A" w:rsidRDefault="46FAA2F3" w:rsidP="429B2BAA">
      <w:pPr>
        <w:spacing w:after="0"/>
        <w:rPr>
          <w:rFonts w:ascii="Century Gothic" w:eastAsia="Century Gothic" w:hAnsi="Century Gothic" w:cs="Century Gothic"/>
          <w:b/>
          <w:bCs/>
          <w:color w:val="000000" w:themeColor="text1"/>
          <w:sz w:val="32"/>
          <w:szCs w:val="32"/>
        </w:rPr>
      </w:pPr>
      <w:r w:rsidRPr="429B2BAA">
        <w:rPr>
          <w:rFonts w:ascii="Century Gothic" w:eastAsia="Century Gothic" w:hAnsi="Century Gothic" w:cs="Century Gothic"/>
          <w:b/>
          <w:bCs/>
          <w:color w:val="000000" w:themeColor="text1"/>
          <w:sz w:val="32"/>
          <w:szCs w:val="32"/>
        </w:rPr>
        <w:t>Table of Content</w:t>
      </w:r>
    </w:p>
    <w:p w14:paraId="3D1281FA" w14:textId="6E401105" w:rsidR="00487B1A" w:rsidRDefault="00487B1A" w:rsidP="590286A3">
      <w:pPr>
        <w:spacing w:after="0"/>
        <w:jc w:val="center"/>
        <w:rPr>
          <w:rFonts w:ascii="Century Gothic" w:eastAsia="Century Gothic" w:hAnsi="Century Gothic" w:cs="Century Gothic"/>
          <w:color w:val="000000" w:themeColor="text1"/>
          <w:sz w:val="32"/>
          <w:szCs w:val="32"/>
        </w:rPr>
      </w:pPr>
    </w:p>
    <w:sdt>
      <w:sdtPr>
        <w:id w:val="2017610785"/>
        <w:docPartObj>
          <w:docPartGallery w:val="Table of Contents"/>
          <w:docPartUnique/>
        </w:docPartObj>
      </w:sdtPr>
      <w:sdtEndPr/>
      <w:sdtContent>
        <w:p w14:paraId="647D6E65" w14:textId="5741554E" w:rsidR="00487B1A" w:rsidRDefault="006D1359" w:rsidP="590286A3">
          <w:pPr>
            <w:pStyle w:val="TOC2"/>
            <w:tabs>
              <w:tab w:val="right" w:leader="dot" w:pos="9015"/>
            </w:tabs>
            <w:rPr>
              <w:rStyle w:val="Hyperlink"/>
            </w:rPr>
          </w:pPr>
          <w:r>
            <w:fldChar w:fldCharType="begin"/>
          </w:r>
          <w:r>
            <w:instrText>TOC \o \z \u \h</w:instrText>
          </w:r>
          <w:r>
            <w:fldChar w:fldCharType="separate"/>
          </w:r>
          <w:hyperlink w:anchor="_Toc1043083122">
            <w:r w:rsidR="590286A3" w:rsidRPr="590286A3">
              <w:rPr>
                <w:rStyle w:val="Hyperlink"/>
              </w:rPr>
              <w:t>1. Introduction</w:t>
            </w:r>
            <w:r>
              <w:tab/>
            </w:r>
            <w:r>
              <w:fldChar w:fldCharType="begin"/>
            </w:r>
            <w:r>
              <w:instrText>PAGEREF _Toc1043083122 \h</w:instrText>
            </w:r>
            <w:r>
              <w:fldChar w:fldCharType="separate"/>
            </w:r>
            <w:r w:rsidR="590286A3" w:rsidRPr="590286A3">
              <w:rPr>
                <w:rStyle w:val="Hyperlink"/>
              </w:rPr>
              <w:t>2</w:t>
            </w:r>
            <w:r>
              <w:fldChar w:fldCharType="end"/>
            </w:r>
          </w:hyperlink>
        </w:p>
        <w:p w14:paraId="17AF09C9" w14:textId="0DB7FA85" w:rsidR="00487B1A" w:rsidRDefault="590286A3" w:rsidP="590286A3">
          <w:pPr>
            <w:pStyle w:val="TOC2"/>
            <w:tabs>
              <w:tab w:val="right" w:leader="dot" w:pos="9015"/>
            </w:tabs>
            <w:rPr>
              <w:rStyle w:val="Hyperlink"/>
            </w:rPr>
          </w:pPr>
          <w:hyperlink w:anchor="_Toc1002975855">
            <w:r w:rsidRPr="590286A3">
              <w:rPr>
                <w:rStyle w:val="Hyperlink"/>
              </w:rPr>
              <w:t>2. Explanation of Key Factors</w:t>
            </w:r>
            <w:r w:rsidR="006D1359">
              <w:tab/>
            </w:r>
            <w:r w:rsidR="006D1359">
              <w:fldChar w:fldCharType="begin"/>
            </w:r>
            <w:r w:rsidR="006D1359">
              <w:instrText>PAGEREF _Toc1002975855 \h</w:instrText>
            </w:r>
            <w:r w:rsidR="006D1359">
              <w:fldChar w:fldCharType="separate"/>
            </w:r>
            <w:r w:rsidRPr="590286A3">
              <w:rPr>
                <w:rStyle w:val="Hyperlink"/>
              </w:rPr>
              <w:t>2</w:t>
            </w:r>
            <w:r w:rsidR="006D1359">
              <w:fldChar w:fldCharType="end"/>
            </w:r>
          </w:hyperlink>
        </w:p>
        <w:p w14:paraId="093EA709" w14:textId="27107B4C" w:rsidR="00487B1A" w:rsidRDefault="590286A3" w:rsidP="590286A3">
          <w:pPr>
            <w:pStyle w:val="TOC3"/>
            <w:tabs>
              <w:tab w:val="right" w:leader="dot" w:pos="9015"/>
            </w:tabs>
            <w:rPr>
              <w:rStyle w:val="Hyperlink"/>
            </w:rPr>
          </w:pPr>
          <w:hyperlink w:anchor="_Toc296635648">
            <w:r w:rsidRPr="590286A3">
              <w:rPr>
                <w:rStyle w:val="Hyperlink"/>
              </w:rPr>
              <w:t>2.1 Adapting to Technological Advancements</w:t>
            </w:r>
            <w:r w:rsidR="006D1359">
              <w:tab/>
            </w:r>
            <w:r w:rsidR="006D1359">
              <w:fldChar w:fldCharType="begin"/>
            </w:r>
            <w:r w:rsidR="006D1359">
              <w:instrText>PAGEREF _Toc296635648 \h</w:instrText>
            </w:r>
            <w:r w:rsidR="006D1359">
              <w:fldChar w:fldCharType="separate"/>
            </w:r>
            <w:r w:rsidRPr="590286A3">
              <w:rPr>
                <w:rStyle w:val="Hyperlink"/>
              </w:rPr>
              <w:t>2</w:t>
            </w:r>
            <w:r w:rsidR="006D1359">
              <w:fldChar w:fldCharType="end"/>
            </w:r>
          </w:hyperlink>
        </w:p>
        <w:p w14:paraId="3F672B5F" w14:textId="716FBDD9" w:rsidR="00487B1A" w:rsidRDefault="590286A3" w:rsidP="590286A3">
          <w:pPr>
            <w:pStyle w:val="TOC3"/>
            <w:tabs>
              <w:tab w:val="right" w:leader="dot" w:pos="9015"/>
            </w:tabs>
            <w:rPr>
              <w:rStyle w:val="Hyperlink"/>
            </w:rPr>
          </w:pPr>
          <w:hyperlink w:anchor="_Toc62858248">
            <w:r w:rsidRPr="590286A3">
              <w:rPr>
                <w:rStyle w:val="Hyperlink"/>
              </w:rPr>
              <w:t>2.2 Talent Acquisition and Retention</w:t>
            </w:r>
            <w:r w:rsidR="006D1359">
              <w:tab/>
            </w:r>
            <w:r w:rsidR="006D1359">
              <w:fldChar w:fldCharType="begin"/>
            </w:r>
            <w:r w:rsidR="006D1359">
              <w:instrText>PAGEREF _Toc62858248 \h</w:instrText>
            </w:r>
            <w:r w:rsidR="006D1359">
              <w:fldChar w:fldCharType="separate"/>
            </w:r>
            <w:r w:rsidRPr="590286A3">
              <w:rPr>
                <w:rStyle w:val="Hyperlink"/>
              </w:rPr>
              <w:t>3</w:t>
            </w:r>
            <w:r w:rsidR="006D1359">
              <w:fldChar w:fldCharType="end"/>
            </w:r>
          </w:hyperlink>
        </w:p>
        <w:p w14:paraId="41AF3489" w14:textId="6FE90E48" w:rsidR="00487B1A" w:rsidRDefault="590286A3" w:rsidP="590286A3">
          <w:pPr>
            <w:pStyle w:val="TOC3"/>
            <w:tabs>
              <w:tab w:val="right" w:leader="dot" w:pos="9015"/>
            </w:tabs>
            <w:rPr>
              <w:rStyle w:val="Hyperlink"/>
            </w:rPr>
          </w:pPr>
          <w:hyperlink w:anchor="_Toc2022360600">
            <w:r w:rsidRPr="590286A3">
              <w:rPr>
                <w:rStyle w:val="Hyperlink"/>
              </w:rPr>
              <w:t>2.3 Diversity, Equity and Inclusion (DEI)</w:t>
            </w:r>
            <w:r w:rsidR="006D1359">
              <w:tab/>
            </w:r>
            <w:r w:rsidR="006D1359">
              <w:fldChar w:fldCharType="begin"/>
            </w:r>
            <w:r w:rsidR="006D1359">
              <w:instrText>PAGEREF _Toc2022360600 \h</w:instrText>
            </w:r>
            <w:r w:rsidR="006D1359">
              <w:fldChar w:fldCharType="separate"/>
            </w:r>
            <w:r w:rsidRPr="590286A3">
              <w:rPr>
                <w:rStyle w:val="Hyperlink"/>
              </w:rPr>
              <w:t>4</w:t>
            </w:r>
            <w:r w:rsidR="006D1359">
              <w:fldChar w:fldCharType="end"/>
            </w:r>
          </w:hyperlink>
        </w:p>
        <w:p w14:paraId="16C4CCFC" w14:textId="0A3EE1DA" w:rsidR="00487B1A" w:rsidRDefault="590286A3" w:rsidP="590286A3">
          <w:pPr>
            <w:pStyle w:val="TOC2"/>
            <w:tabs>
              <w:tab w:val="right" w:leader="dot" w:pos="9015"/>
            </w:tabs>
            <w:rPr>
              <w:rStyle w:val="Hyperlink"/>
            </w:rPr>
          </w:pPr>
          <w:hyperlink w:anchor="_Toc753121148">
            <w:r w:rsidRPr="590286A3">
              <w:rPr>
                <w:rStyle w:val="Hyperlink"/>
              </w:rPr>
              <w:t>3.Contemporary HR Practices</w:t>
            </w:r>
            <w:r w:rsidR="006D1359">
              <w:tab/>
            </w:r>
            <w:r w:rsidR="006D1359">
              <w:fldChar w:fldCharType="begin"/>
            </w:r>
            <w:r w:rsidR="006D1359">
              <w:instrText>PAGEREF _Toc753121148 \h</w:instrText>
            </w:r>
            <w:r w:rsidR="006D1359">
              <w:fldChar w:fldCharType="separate"/>
            </w:r>
            <w:r w:rsidRPr="590286A3">
              <w:rPr>
                <w:rStyle w:val="Hyperlink"/>
              </w:rPr>
              <w:t>4</w:t>
            </w:r>
            <w:r w:rsidR="006D1359">
              <w:fldChar w:fldCharType="end"/>
            </w:r>
          </w:hyperlink>
        </w:p>
        <w:p w14:paraId="388DE990" w14:textId="53ADC8C8" w:rsidR="00487B1A" w:rsidRDefault="590286A3" w:rsidP="590286A3">
          <w:pPr>
            <w:pStyle w:val="TOC3"/>
            <w:tabs>
              <w:tab w:val="right" w:leader="dot" w:pos="9015"/>
            </w:tabs>
            <w:rPr>
              <w:rStyle w:val="Hyperlink"/>
            </w:rPr>
          </w:pPr>
          <w:hyperlink w:anchor="_Toc914570554">
            <w:r w:rsidRPr="590286A3">
              <w:rPr>
                <w:rStyle w:val="Hyperlink"/>
              </w:rPr>
              <w:t>3.1 Digital Human Resource Systems and Workforce Analytics</w:t>
            </w:r>
            <w:r w:rsidR="006D1359">
              <w:tab/>
            </w:r>
            <w:r w:rsidR="006D1359">
              <w:fldChar w:fldCharType="begin"/>
            </w:r>
            <w:r w:rsidR="006D1359">
              <w:instrText>PAGEREF _Toc914570554 \h</w:instrText>
            </w:r>
            <w:r w:rsidR="006D1359">
              <w:fldChar w:fldCharType="separate"/>
            </w:r>
            <w:r w:rsidRPr="590286A3">
              <w:rPr>
                <w:rStyle w:val="Hyperlink"/>
              </w:rPr>
              <w:t>4</w:t>
            </w:r>
            <w:r w:rsidR="006D1359">
              <w:fldChar w:fldCharType="end"/>
            </w:r>
          </w:hyperlink>
        </w:p>
        <w:p w14:paraId="7B3C3528" w14:textId="6130AE90" w:rsidR="00487B1A" w:rsidRDefault="590286A3" w:rsidP="590286A3">
          <w:pPr>
            <w:pStyle w:val="TOC3"/>
            <w:tabs>
              <w:tab w:val="right" w:leader="dot" w:pos="9015"/>
            </w:tabs>
            <w:rPr>
              <w:rStyle w:val="Hyperlink"/>
            </w:rPr>
          </w:pPr>
          <w:hyperlink w:anchor="_Toc1218607982">
            <w:r w:rsidRPr="590286A3">
              <w:rPr>
                <w:rStyle w:val="Hyperlink"/>
              </w:rPr>
              <w:t>3.2 Talent Acquisition and Employee Retention Strategies</w:t>
            </w:r>
            <w:r w:rsidR="006D1359">
              <w:tab/>
            </w:r>
            <w:r w:rsidR="006D1359">
              <w:fldChar w:fldCharType="begin"/>
            </w:r>
            <w:r w:rsidR="006D1359">
              <w:instrText>PAGEREF _Toc1218607982 \h</w:instrText>
            </w:r>
            <w:r w:rsidR="006D1359">
              <w:fldChar w:fldCharType="separate"/>
            </w:r>
            <w:r w:rsidRPr="590286A3">
              <w:rPr>
                <w:rStyle w:val="Hyperlink"/>
              </w:rPr>
              <w:t>5</w:t>
            </w:r>
            <w:r w:rsidR="006D1359">
              <w:fldChar w:fldCharType="end"/>
            </w:r>
          </w:hyperlink>
        </w:p>
        <w:p w14:paraId="7FB47BF6" w14:textId="61226527" w:rsidR="00487B1A" w:rsidRDefault="590286A3" w:rsidP="590286A3">
          <w:pPr>
            <w:pStyle w:val="TOC3"/>
            <w:tabs>
              <w:tab w:val="right" w:leader="dot" w:pos="9015"/>
            </w:tabs>
            <w:rPr>
              <w:rStyle w:val="Hyperlink"/>
            </w:rPr>
          </w:pPr>
          <w:hyperlink w:anchor="_Toc2057939534">
            <w:r w:rsidRPr="590286A3">
              <w:rPr>
                <w:rStyle w:val="Hyperlink"/>
              </w:rPr>
              <w:t>3.3 Diversity, Equity and Inclusion Practices</w:t>
            </w:r>
            <w:r w:rsidR="006D1359">
              <w:tab/>
            </w:r>
            <w:r w:rsidR="006D1359">
              <w:fldChar w:fldCharType="begin"/>
            </w:r>
            <w:r w:rsidR="006D1359">
              <w:instrText>PAGEREF _Toc2057939534 \h</w:instrText>
            </w:r>
            <w:r w:rsidR="006D1359">
              <w:fldChar w:fldCharType="separate"/>
            </w:r>
            <w:r w:rsidRPr="590286A3">
              <w:rPr>
                <w:rStyle w:val="Hyperlink"/>
              </w:rPr>
              <w:t>6</w:t>
            </w:r>
            <w:r w:rsidR="006D1359">
              <w:fldChar w:fldCharType="end"/>
            </w:r>
          </w:hyperlink>
        </w:p>
        <w:p w14:paraId="7E839DA7" w14:textId="6EC63947" w:rsidR="00487B1A" w:rsidRDefault="590286A3" w:rsidP="590286A3">
          <w:pPr>
            <w:pStyle w:val="TOC2"/>
            <w:tabs>
              <w:tab w:val="right" w:leader="dot" w:pos="9015"/>
            </w:tabs>
            <w:rPr>
              <w:rStyle w:val="Hyperlink"/>
            </w:rPr>
          </w:pPr>
          <w:hyperlink w:anchor="_Toc1636665323">
            <w:r w:rsidRPr="590286A3">
              <w:rPr>
                <w:rStyle w:val="Hyperlink"/>
              </w:rPr>
              <w:t>4. Critical Evaluation of Managerial Implementation of Human Resource Practices</w:t>
            </w:r>
            <w:r w:rsidR="006D1359">
              <w:tab/>
            </w:r>
            <w:r w:rsidR="006D1359">
              <w:fldChar w:fldCharType="begin"/>
            </w:r>
            <w:r w:rsidR="006D1359">
              <w:instrText>PAGEREF _Toc1636665323 \h</w:instrText>
            </w:r>
            <w:r w:rsidR="006D1359">
              <w:fldChar w:fldCharType="separate"/>
            </w:r>
            <w:r w:rsidRPr="590286A3">
              <w:rPr>
                <w:rStyle w:val="Hyperlink"/>
              </w:rPr>
              <w:t>6</w:t>
            </w:r>
            <w:r w:rsidR="006D1359">
              <w:fldChar w:fldCharType="end"/>
            </w:r>
          </w:hyperlink>
        </w:p>
        <w:p w14:paraId="4D645084" w14:textId="3549D649" w:rsidR="00487B1A" w:rsidRDefault="590286A3" w:rsidP="590286A3">
          <w:pPr>
            <w:pStyle w:val="TOC3"/>
            <w:tabs>
              <w:tab w:val="right" w:leader="dot" w:pos="9015"/>
            </w:tabs>
            <w:rPr>
              <w:rStyle w:val="Hyperlink"/>
            </w:rPr>
          </w:pPr>
          <w:hyperlink w:anchor="_Toc629472102">
            <w:r w:rsidRPr="590286A3">
              <w:rPr>
                <w:rStyle w:val="Hyperlink"/>
              </w:rPr>
              <w:t>4.1 Leadership</w:t>
            </w:r>
            <w:r w:rsidR="006D1359">
              <w:tab/>
            </w:r>
            <w:r w:rsidR="006D1359">
              <w:fldChar w:fldCharType="begin"/>
            </w:r>
            <w:r w:rsidR="006D1359">
              <w:instrText>PAGEREF _Toc629472102 \h</w:instrText>
            </w:r>
            <w:r w:rsidR="006D1359">
              <w:fldChar w:fldCharType="separate"/>
            </w:r>
            <w:r w:rsidRPr="590286A3">
              <w:rPr>
                <w:rStyle w:val="Hyperlink"/>
              </w:rPr>
              <w:t>6</w:t>
            </w:r>
            <w:r w:rsidR="006D1359">
              <w:fldChar w:fldCharType="end"/>
            </w:r>
          </w:hyperlink>
        </w:p>
        <w:p w14:paraId="2F3671BD" w14:textId="1C945678" w:rsidR="00487B1A" w:rsidRDefault="590286A3" w:rsidP="590286A3">
          <w:pPr>
            <w:pStyle w:val="TOC3"/>
            <w:tabs>
              <w:tab w:val="right" w:leader="dot" w:pos="9015"/>
            </w:tabs>
            <w:rPr>
              <w:rStyle w:val="Hyperlink"/>
            </w:rPr>
          </w:pPr>
          <w:hyperlink w:anchor="_Toc607488374">
            <w:r w:rsidRPr="590286A3">
              <w:rPr>
                <w:rStyle w:val="Hyperlink"/>
              </w:rPr>
              <w:t>4.2 Communication</w:t>
            </w:r>
            <w:r w:rsidR="006D1359">
              <w:tab/>
            </w:r>
            <w:r w:rsidR="006D1359">
              <w:fldChar w:fldCharType="begin"/>
            </w:r>
            <w:r w:rsidR="006D1359">
              <w:instrText>PAGEREF _Toc607488374 \h</w:instrText>
            </w:r>
            <w:r w:rsidR="006D1359">
              <w:fldChar w:fldCharType="separate"/>
            </w:r>
            <w:r w:rsidRPr="590286A3">
              <w:rPr>
                <w:rStyle w:val="Hyperlink"/>
              </w:rPr>
              <w:t>7</w:t>
            </w:r>
            <w:r w:rsidR="006D1359">
              <w:fldChar w:fldCharType="end"/>
            </w:r>
          </w:hyperlink>
        </w:p>
        <w:p w14:paraId="3BE436B3" w14:textId="79E8A5B1" w:rsidR="00487B1A" w:rsidRDefault="590286A3" w:rsidP="590286A3">
          <w:pPr>
            <w:pStyle w:val="TOC3"/>
            <w:tabs>
              <w:tab w:val="right" w:leader="dot" w:pos="9015"/>
            </w:tabs>
            <w:rPr>
              <w:rStyle w:val="Hyperlink"/>
            </w:rPr>
          </w:pPr>
          <w:hyperlink w:anchor="_Toc1620767264">
            <w:r w:rsidRPr="590286A3">
              <w:rPr>
                <w:rStyle w:val="Hyperlink"/>
              </w:rPr>
              <w:t>4.3 Performance Monitoring</w:t>
            </w:r>
            <w:r w:rsidR="006D1359">
              <w:tab/>
            </w:r>
            <w:r w:rsidR="006D1359">
              <w:fldChar w:fldCharType="begin"/>
            </w:r>
            <w:r w:rsidR="006D1359">
              <w:instrText>PAGEREF _Toc1620767264 \h</w:instrText>
            </w:r>
            <w:r w:rsidR="006D1359">
              <w:fldChar w:fldCharType="separate"/>
            </w:r>
            <w:r w:rsidRPr="590286A3">
              <w:rPr>
                <w:rStyle w:val="Hyperlink"/>
              </w:rPr>
              <w:t>7</w:t>
            </w:r>
            <w:r w:rsidR="006D1359">
              <w:fldChar w:fldCharType="end"/>
            </w:r>
          </w:hyperlink>
        </w:p>
        <w:p w14:paraId="196F9C9F" w14:textId="395DB013" w:rsidR="00487B1A" w:rsidRDefault="590286A3" w:rsidP="590286A3">
          <w:pPr>
            <w:pStyle w:val="TOC3"/>
            <w:tabs>
              <w:tab w:val="right" w:leader="dot" w:pos="9015"/>
            </w:tabs>
            <w:rPr>
              <w:rStyle w:val="Hyperlink"/>
            </w:rPr>
          </w:pPr>
          <w:hyperlink w:anchor="_Toc834733020">
            <w:r w:rsidRPr="590286A3">
              <w:rPr>
                <w:rStyle w:val="Hyperlink"/>
              </w:rPr>
              <w:t>4.4 Organisational Culture</w:t>
            </w:r>
            <w:r w:rsidR="006D1359">
              <w:tab/>
            </w:r>
            <w:r w:rsidR="006D1359">
              <w:fldChar w:fldCharType="begin"/>
            </w:r>
            <w:r w:rsidR="006D1359">
              <w:instrText>PAGEREF _Toc834733020 \h</w:instrText>
            </w:r>
            <w:r w:rsidR="006D1359">
              <w:fldChar w:fldCharType="separate"/>
            </w:r>
            <w:r w:rsidRPr="590286A3">
              <w:rPr>
                <w:rStyle w:val="Hyperlink"/>
              </w:rPr>
              <w:t>7</w:t>
            </w:r>
            <w:r w:rsidR="006D1359">
              <w:fldChar w:fldCharType="end"/>
            </w:r>
          </w:hyperlink>
        </w:p>
        <w:p w14:paraId="2B9D1580" w14:textId="44A97F02" w:rsidR="00487B1A" w:rsidRDefault="590286A3" w:rsidP="590286A3">
          <w:pPr>
            <w:pStyle w:val="TOC3"/>
            <w:tabs>
              <w:tab w:val="right" w:leader="dot" w:pos="9015"/>
            </w:tabs>
            <w:rPr>
              <w:rStyle w:val="Hyperlink"/>
            </w:rPr>
          </w:pPr>
          <w:hyperlink w:anchor="_Toc1682824016">
            <w:r w:rsidRPr="590286A3">
              <w:rPr>
                <w:rStyle w:val="Hyperlink"/>
              </w:rPr>
              <w:t>4.5 Barriers to Implementation</w:t>
            </w:r>
            <w:r w:rsidR="006D1359">
              <w:tab/>
            </w:r>
            <w:r w:rsidR="006D1359">
              <w:fldChar w:fldCharType="begin"/>
            </w:r>
            <w:r w:rsidR="006D1359">
              <w:instrText>PAGEREF _Toc1682824016 \h</w:instrText>
            </w:r>
            <w:r w:rsidR="006D1359">
              <w:fldChar w:fldCharType="separate"/>
            </w:r>
            <w:r w:rsidRPr="590286A3">
              <w:rPr>
                <w:rStyle w:val="Hyperlink"/>
              </w:rPr>
              <w:t>7</w:t>
            </w:r>
            <w:r w:rsidR="006D1359">
              <w:fldChar w:fldCharType="end"/>
            </w:r>
          </w:hyperlink>
        </w:p>
        <w:p w14:paraId="0C1D7D77" w14:textId="2C77A056" w:rsidR="00487B1A" w:rsidRDefault="590286A3" w:rsidP="590286A3">
          <w:pPr>
            <w:pStyle w:val="TOC2"/>
            <w:tabs>
              <w:tab w:val="right" w:leader="dot" w:pos="9015"/>
            </w:tabs>
            <w:rPr>
              <w:rStyle w:val="Hyperlink"/>
            </w:rPr>
          </w:pPr>
          <w:hyperlink w:anchor="_Toc1395072148">
            <w:r w:rsidRPr="590286A3">
              <w:rPr>
                <w:rStyle w:val="Hyperlink"/>
              </w:rPr>
              <w:t>5. Conclusion</w:t>
            </w:r>
            <w:r w:rsidR="006D1359">
              <w:tab/>
            </w:r>
            <w:r w:rsidR="006D1359">
              <w:fldChar w:fldCharType="begin"/>
            </w:r>
            <w:r w:rsidR="006D1359">
              <w:instrText>PAGEREF _Toc1395072148 \h</w:instrText>
            </w:r>
            <w:r w:rsidR="006D1359">
              <w:fldChar w:fldCharType="separate"/>
            </w:r>
            <w:r w:rsidRPr="590286A3">
              <w:rPr>
                <w:rStyle w:val="Hyperlink"/>
              </w:rPr>
              <w:t>8</w:t>
            </w:r>
            <w:r w:rsidR="006D1359">
              <w:fldChar w:fldCharType="end"/>
            </w:r>
          </w:hyperlink>
        </w:p>
        <w:p w14:paraId="61971E29" w14:textId="4EF1346B" w:rsidR="00487B1A" w:rsidRDefault="590286A3" w:rsidP="590286A3">
          <w:pPr>
            <w:pStyle w:val="TOC2"/>
            <w:tabs>
              <w:tab w:val="right" w:leader="dot" w:pos="9015"/>
            </w:tabs>
            <w:rPr>
              <w:rStyle w:val="Hyperlink"/>
            </w:rPr>
          </w:pPr>
          <w:hyperlink w:anchor="_Toc1463525404">
            <w:r w:rsidRPr="590286A3">
              <w:rPr>
                <w:rStyle w:val="Hyperlink"/>
              </w:rPr>
              <w:t>6. Recommendations</w:t>
            </w:r>
            <w:r w:rsidR="006D1359">
              <w:tab/>
            </w:r>
            <w:r w:rsidR="006D1359">
              <w:fldChar w:fldCharType="begin"/>
            </w:r>
            <w:r w:rsidR="006D1359">
              <w:instrText>PAGEREF _Toc1463525404 \h</w:instrText>
            </w:r>
            <w:r w:rsidR="006D1359">
              <w:fldChar w:fldCharType="separate"/>
            </w:r>
            <w:r w:rsidRPr="590286A3">
              <w:rPr>
                <w:rStyle w:val="Hyperlink"/>
              </w:rPr>
              <w:t>8</w:t>
            </w:r>
            <w:r w:rsidR="006D1359">
              <w:fldChar w:fldCharType="end"/>
            </w:r>
          </w:hyperlink>
        </w:p>
        <w:p w14:paraId="01F379A2" w14:textId="7B28FCC5" w:rsidR="00487B1A" w:rsidRDefault="590286A3" w:rsidP="590286A3">
          <w:pPr>
            <w:pStyle w:val="TOC2"/>
            <w:tabs>
              <w:tab w:val="right" w:leader="dot" w:pos="9015"/>
            </w:tabs>
            <w:rPr>
              <w:rStyle w:val="Hyperlink"/>
            </w:rPr>
          </w:pPr>
          <w:hyperlink w:anchor="_Toc220463802">
            <w:r w:rsidRPr="590286A3">
              <w:rPr>
                <w:rStyle w:val="Hyperlink"/>
              </w:rPr>
              <w:t>7. References</w:t>
            </w:r>
            <w:r w:rsidR="006D1359">
              <w:tab/>
            </w:r>
            <w:r w:rsidR="006D1359">
              <w:fldChar w:fldCharType="begin"/>
            </w:r>
            <w:r w:rsidR="006D1359">
              <w:instrText>PAGEREF _Toc220463802 \h</w:instrText>
            </w:r>
            <w:r w:rsidR="006D1359">
              <w:fldChar w:fldCharType="separate"/>
            </w:r>
            <w:r w:rsidRPr="590286A3">
              <w:rPr>
                <w:rStyle w:val="Hyperlink"/>
              </w:rPr>
              <w:t>8</w:t>
            </w:r>
            <w:r w:rsidR="006D1359">
              <w:fldChar w:fldCharType="end"/>
            </w:r>
          </w:hyperlink>
        </w:p>
        <w:p w14:paraId="39D62040" w14:textId="35E810FA" w:rsidR="00487B1A" w:rsidRDefault="006D1359">
          <w:r>
            <w:fldChar w:fldCharType="end"/>
          </w:r>
        </w:p>
      </w:sdtContent>
    </w:sdt>
    <w:p w14:paraId="7A47CC0A" w14:textId="56E2FCC8" w:rsidR="00487B1A" w:rsidRDefault="00487B1A" w:rsidP="590286A3">
      <w:pPr>
        <w:spacing w:after="0"/>
        <w:rPr>
          <w:rFonts w:ascii="Century Gothic" w:eastAsia="Century Gothic" w:hAnsi="Century Gothic" w:cs="Century Gothic"/>
          <w:color w:val="000000" w:themeColor="text1"/>
          <w:sz w:val="32"/>
          <w:szCs w:val="32"/>
        </w:rPr>
      </w:pPr>
    </w:p>
    <w:p w14:paraId="5E5787A5" w14:textId="76B3F7CB" w:rsidR="00487B1A" w:rsidRDefault="00487B1A"/>
    <w:p w14:paraId="0B2B5BAB" w14:textId="49422A81" w:rsidR="590286A3" w:rsidRDefault="590286A3"/>
    <w:p w14:paraId="4C677CCC" w14:textId="0D0C30EA" w:rsidR="590286A3" w:rsidRDefault="590286A3">
      <w:r>
        <w:br w:type="page"/>
      </w:r>
    </w:p>
    <w:p w14:paraId="76FC0DC8" w14:textId="3BF4FAE9" w:rsidR="590286A3" w:rsidRDefault="590286A3" w:rsidP="429B2BAA"/>
    <w:p w14:paraId="1E16DD7F" w14:textId="1DE63976" w:rsidR="1C8CCF04" w:rsidRDefault="1C8CCF04" w:rsidP="590286A3">
      <w:pPr>
        <w:pStyle w:val="Heading2"/>
        <w:rPr>
          <w:rFonts w:ascii="Arial" w:eastAsia="Arial" w:hAnsi="Arial" w:cs="Arial"/>
        </w:rPr>
      </w:pPr>
      <w:bookmarkStart w:id="0" w:name="_Toc1043083122"/>
      <w:r w:rsidRPr="590286A3">
        <w:t>1. Introduction</w:t>
      </w:r>
      <w:bookmarkEnd w:id="0"/>
    </w:p>
    <w:p w14:paraId="4D5BDBE5" w14:textId="6E5A55EA" w:rsidR="1C8CCF04" w:rsidRDefault="1C8CCF04" w:rsidP="590286A3">
      <w:pPr>
        <w:spacing w:line="360" w:lineRule="auto"/>
      </w:pPr>
      <w:r w:rsidRPr="590286A3">
        <w:t xml:space="preserve">Human Resource (HR) management plays an important role in helping organisations achieve their business objectives by recruiting, developing and retaining skilled employees (Armstrong and Taylor, 2023). In today's competitive business environment, organisations must respond to rapid technological advancements, increasing competition for talent and the growing importance of Diversity, Equity and Inclusion (DEI). These challenges require businesses to adopt effective HR practices to improve employee performance, organisational effectiveness and </w:t>
      </w:r>
      <w:r w:rsidR="62FEBFC5" w:rsidRPr="590286A3">
        <w:t>long-term</w:t>
      </w:r>
      <w:r w:rsidRPr="590286A3">
        <w:t xml:space="preserve"> business success (CIPD, 2024).</w:t>
      </w:r>
    </w:p>
    <w:p w14:paraId="62878A09" w14:textId="70C6CC71" w:rsidR="1C8CCF04" w:rsidRDefault="1C8CCF04" w:rsidP="590286A3">
      <w:pPr>
        <w:spacing w:line="360" w:lineRule="auto"/>
      </w:pPr>
      <w:r w:rsidRPr="590286A3">
        <w:t>This report examines A I Traders Ltd, a United Kingdom based Small and Medium Sized Enterprise (SME) specialising in the sourcing, testing, refurbishment and resale of consumer electronics and household appliances. The report explains the key HR challenges related to technological advancement, talent acquisition and retention, and DEI within the organisation. It also evaluates contemporary HR practices that can address these challenges and critically examines how departmental managers can implement these practices effectively. Finally, the report provides practical recommendations to support sustainable business growth and improve organisational performance.</w:t>
      </w:r>
    </w:p>
    <w:p w14:paraId="1AC8D9CB" w14:textId="33A9D73B" w:rsidR="0114CEFC" w:rsidRDefault="0114CEFC" w:rsidP="590286A3">
      <w:pPr>
        <w:pStyle w:val="Heading2"/>
      </w:pPr>
      <w:bookmarkStart w:id="1" w:name="_Toc1002975855"/>
      <w:r w:rsidRPr="590286A3">
        <w:t>2. Explanation of Key Factors</w:t>
      </w:r>
      <w:bookmarkEnd w:id="1"/>
    </w:p>
    <w:p w14:paraId="5A8F6564" w14:textId="057DF97C" w:rsidR="0114CEFC" w:rsidRDefault="5B870852" w:rsidP="590286A3">
      <w:pPr>
        <w:pStyle w:val="Heading3"/>
        <w:rPr>
          <w:rFonts w:ascii="Arial" w:eastAsia="Arial" w:hAnsi="Arial" w:cs="Arial"/>
        </w:rPr>
      </w:pPr>
      <w:bookmarkStart w:id="2" w:name="_Toc296635648"/>
      <w:r>
        <w:t>2.1 Adapting to Technological Advancements</w:t>
      </w:r>
      <w:bookmarkEnd w:id="2"/>
    </w:p>
    <w:p w14:paraId="4B069F1D" w14:textId="7C183F89" w:rsidR="0114CEFC" w:rsidRDefault="7C9FB531" w:rsidP="429B2BAA">
      <w:pPr>
        <w:spacing w:line="360" w:lineRule="auto"/>
      </w:pPr>
      <w:r w:rsidRPr="429B2BAA">
        <w:rPr>
          <w:rFonts w:ascii="Arial" w:hAnsi="Arial"/>
        </w:rPr>
        <w:t xml:space="preserve">Technological adoption is a primary driver of operational efficiency and value creation within contemporary circular economy SMEs (Armstrong and Taylor, 2023). For A I Traders Ltd, digitizing inventory tracking, testing diagnostics, and e-commerce transactions is vital to handle the rapid flow of consumer electronics. However, technological integration is often limited by human resistance. According to Davis’s (1989) Technology Acceptance Model (TAM), employee adoption of new digital interfaces relies on two cognitive determinants: </w:t>
      </w:r>
      <w:r w:rsidRPr="429B2BAA">
        <w:rPr>
          <w:rFonts w:ascii="Arial" w:hAnsi="Arial"/>
          <w:i/>
          <w:iCs/>
        </w:rPr>
        <w:t>perceived usefulness</w:t>
      </w:r>
      <w:r w:rsidRPr="429B2BAA">
        <w:rPr>
          <w:rFonts w:ascii="Arial" w:hAnsi="Arial"/>
        </w:rPr>
        <w:t xml:space="preserve"> (PU) and </w:t>
      </w:r>
      <w:r w:rsidRPr="429B2BAA">
        <w:rPr>
          <w:rFonts w:ascii="Arial" w:hAnsi="Arial"/>
          <w:i/>
          <w:iCs/>
        </w:rPr>
        <w:t>perceived ease of use</w:t>
      </w:r>
      <w:r w:rsidRPr="429B2BAA">
        <w:rPr>
          <w:rFonts w:ascii="Arial" w:hAnsi="Arial"/>
        </w:rPr>
        <w:t xml:space="preserve"> (PEOU). If refurbishment technicians view a new stock management platform as overly complex or lacking utility, low PEOU and PU will trigger behavioral rejection, leading to data entry errors and delayed order fulfillment. Rather than viewing technology solely as an infrastructure upgrade, management must critically recognize that system success is socially constructed. Cultivating strong PEOU through targeted, user-centric training is therefore essential to translate digital systems into sustained performance gains, reducing staff friction and maintaining high customer satisfaction metrics (CIPD, 2024).</w:t>
      </w:r>
    </w:p>
    <w:p w14:paraId="44945598" w14:textId="1109C9FD" w:rsidR="5155C47A" w:rsidRDefault="5155C47A" w:rsidP="590286A3">
      <w:pPr>
        <w:pStyle w:val="Heading3"/>
      </w:pPr>
      <w:bookmarkStart w:id="3" w:name="_Toc62858248"/>
      <w:r w:rsidRPr="590286A3">
        <w:t>2.2 Talent Acquisition and Retention</w:t>
      </w:r>
      <w:bookmarkEnd w:id="3"/>
    </w:p>
    <w:p w14:paraId="5A03F23B" w14:textId="535472B8" w:rsidR="5155C47A" w:rsidRDefault="5155C47A" w:rsidP="590286A3">
      <w:pPr>
        <w:spacing w:line="360" w:lineRule="auto"/>
      </w:pPr>
      <w:r w:rsidRPr="590286A3">
        <w:rPr>
          <w:rFonts w:ascii="Arial" w:hAnsi="Arial"/>
        </w:rPr>
        <w:t>Talent acquisition and retention are essential Human Resource (HR) functions that enable organisations to recruit skilled employees and retain experienced staff who contribute to long term business success. According to Bratton and Gold (2023), effective talent management involves attracting individuals with the right knowledge, skills and abilities while creating a working environment that encourages employees to remain committed to the organisation. For A I Traders Ltd, recruiting employees with technical knowledge of consumer electronics, warehouse operations and customer service is important to ensure products are inspected, refurbished and delivered to a high standard.</w:t>
      </w:r>
    </w:p>
    <w:p w14:paraId="1CEB2025" w14:textId="066F9553" w:rsidR="5155C47A" w:rsidRDefault="5155C47A" w:rsidP="590286A3">
      <w:pPr>
        <w:spacing w:line="360" w:lineRule="auto"/>
      </w:pPr>
      <w:r w:rsidRPr="590286A3">
        <w:rPr>
          <w:rFonts w:ascii="Arial" w:hAnsi="Arial"/>
        </w:rPr>
        <w:t>As the business continues to expand, competition for skilled employees may become more challenging. Recruiting new employees requires time and financial investment, while high staff turnover can disrupt daily operations, reduce productivity and increase recruitment and training costs. Collings, Scullion and Vaiman (2015) argue that organisations which invest in talent management are more likely to achieve sustainable competitive advantage because experienced employees possess valuable knowledge and practical skills.</w:t>
      </w:r>
    </w:p>
    <w:p w14:paraId="04FC7931" w14:textId="39DEDF6E" w:rsidR="5155C47A" w:rsidRDefault="5155C47A" w:rsidP="590286A3">
      <w:pPr>
        <w:spacing w:line="360" w:lineRule="auto"/>
      </w:pPr>
      <w:r w:rsidRPr="590286A3">
        <w:rPr>
          <w:rFonts w:ascii="Arial" w:hAnsi="Arial"/>
        </w:rPr>
        <w:t>In addition, retaining employees through fair rewards, career development opportunities and recognition for good performance can improve motivation and organisational commitment. Taylor (2022) suggests that organisations with effective recruitment and retention strategies often experience higher employee engagement and lower turnover. Therefore, successful talent acquisition and retention enable A I Traders Ltd to maintain a skilled workforce, improve organisational performance and support sustainable business growth.</w:t>
      </w:r>
    </w:p>
    <w:p w14:paraId="358EC740" w14:textId="7646B560" w:rsidR="3C3D4298" w:rsidRDefault="1FD03A00" w:rsidP="590286A3">
      <w:pPr>
        <w:pStyle w:val="Heading3"/>
      </w:pPr>
      <w:bookmarkStart w:id="4" w:name="_Toc2022360600"/>
      <w:r>
        <w:t>2.3 Diversity, Equity and Inclusion (DEI)</w:t>
      </w:r>
      <w:bookmarkEnd w:id="4"/>
    </w:p>
    <w:p w14:paraId="01F544AE" w14:textId="6B90C1BC" w:rsidR="255F3EA3" w:rsidRDefault="255F3EA3" w:rsidP="429B2BAA">
      <w:pPr>
        <w:spacing w:line="360" w:lineRule="auto"/>
      </w:pPr>
      <w:r w:rsidRPr="429B2BAA">
        <w:rPr>
          <w:rFonts w:ascii="Arial" w:hAnsi="Arial"/>
        </w:rPr>
        <w:t xml:space="preserve">Managing Diversity, Equity, and Inclusion (DEI) is a strategic imperative rather than a mere compliance exercise (Bratton and Gold, 2023). Using Shore et al.’s (2018) Inclusion Framework, a critical distinction must be made between simple demographic representation (diversity) and psychological safety (inclusion). At A I Traders Ltd, merely recruiting individuals from varied backgrounds to handle refurbishment and customer service does not guarantee organizational benefits. Without actively cultivating a culture of </w:t>
      </w:r>
      <w:r w:rsidRPr="429B2BAA">
        <w:rPr>
          <w:rFonts w:ascii="Arial" w:hAnsi="Arial"/>
          <w:i/>
          <w:iCs/>
        </w:rPr>
        <w:t>belongingness</w:t>
      </w:r>
      <w:r w:rsidRPr="429B2BAA">
        <w:rPr>
          <w:rFonts w:ascii="Arial" w:hAnsi="Arial"/>
        </w:rPr>
        <w:t xml:space="preserve"> and </w:t>
      </w:r>
      <w:r w:rsidRPr="429B2BAA">
        <w:rPr>
          <w:rFonts w:ascii="Arial" w:hAnsi="Arial"/>
          <w:i/>
          <w:iCs/>
        </w:rPr>
        <w:t>uniqueness</w:t>
      </w:r>
      <w:r w:rsidRPr="429B2BAA">
        <w:rPr>
          <w:rFonts w:ascii="Arial" w:hAnsi="Arial"/>
        </w:rPr>
        <w:t>, minority employees may experience exclusion or assimilation pressures, leading to high turnover and suppressed innovation (Shore et al., 2018). Furthermore, the CIPD (2024) warns that poorly managed diversity initiatives can trigger workplace conflict and relational friction. To unlock the cognitive benefits of a diverse workforce, managers must move past descriptive policies and critically restructure internal processes to ensure equitable developmental pathways (Boxall and Purcell, 2022). Implementing systemic equity guarantees that diverse skills are leveraged to adapt to changing market demographics, converting inclusive practices directly into collaborative strength, improved employee wellbeing, and sustained performance advantages for the growing SME (Armstrong and Taylor, 2023).</w:t>
      </w:r>
    </w:p>
    <w:p w14:paraId="42642922" w14:textId="0860AC74" w:rsidR="4653C113" w:rsidRDefault="4653C113" w:rsidP="590286A3">
      <w:pPr>
        <w:pStyle w:val="Heading2"/>
        <w:rPr>
          <w:rFonts w:ascii="Arial" w:eastAsia="Arial" w:hAnsi="Arial" w:cs="Arial"/>
          <w:sz w:val="24"/>
          <w:szCs w:val="24"/>
        </w:rPr>
      </w:pPr>
      <w:bookmarkStart w:id="5" w:name="_Toc753121148"/>
      <w:r w:rsidRPr="590286A3">
        <w:t>3.Contemporary HR Practices</w:t>
      </w:r>
      <w:bookmarkEnd w:id="5"/>
    </w:p>
    <w:p w14:paraId="4B4B5897" w14:textId="067A9723" w:rsidR="4653C113" w:rsidRDefault="06BBB9E8" w:rsidP="590286A3">
      <w:pPr>
        <w:pStyle w:val="Heading3"/>
      </w:pPr>
      <w:bookmarkStart w:id="6" w:name="_Toc914570554"/>
      <w:r>
        <w:t>3.1 Digital Human Resource Systems and Workforce Analytics</w:t>
      </w:r>
      <w:bookmarkEnd w:id="6"/>
    </w:p>
    <w:p w14:paraId="4CA0AAB7" w14:textId="6EF4BFF1" w:rsidR="7F75279B" w:rsidRDefault="7F75279B" w:rsidP="429B2BAA">
      <w:pPr>
        <w:spacing w:line="360" w:lineRule="auto"/>
      </w:pPr>
      <w:r w:rsidRPr="429B2BAA">
        <w:t xml:space="preserve">To mitigate technological friction, A I Traders Ltd must transition from manual administration by strategically adopting a digital Human Resource Information System (HRIS) alongside workforce analytics. Applying Parry and Tyson’s (2011) human resource technology framework reveals that modern digital systems deliver vital transformational value rather than simply reducing transactional paperwork. By leveraging operational analytics, the firm can dynamically coordinate shifting schedules, monitor technician repair yields, and forecast technical talent deficits (Armstrong and Taylor, 2023). This integration elevates strategic workforce planning, aligning employee performance directly with e-commerce market demand (Boxall and Purcell, 2022). </w:t>
      </w:r>
    </w:p>
    <w:p w14:paraId="11DFD756" w14:textId="40653DE9" w:rsidR="7F75279B" w:rsidRDefault="7F75279B" w:rsidP="429B2BAA">
      <w:pPr>
        <w:spacing w:line="360" w:lineRule="auto"/>
      </w:pPr>
      <w:r w:rsidRPr="429B2BAA">
        <w:t>However, a critical evaluation highlights distinct operational challenges for a growing SME. Implementing sophisticated digital software platforms requires significant capital investment and continuous training (CIPD, 2024). Drawing from Davis’s (1989) Technology Acceptance Model, if technicians perceive these digital interfaces as counter-intuitive (low ease of use), system compliance will drop, resulting in flawed data inputs. Furthermore, a strict reliance on quantitative algorithmic monitoring risks depersonalizing the workplace, which Bratton and Gold (2023) warn can undermine trust and intrinsic motivation within a close-knit team. Thus, while predictive HR metrics offer strong scheduling benefits, their organizational efficacy is heavily bounded by cultural readiness. A I Traders Ltd must introduce these systems collaboratively to preserve team morale (Taylor, 2022).</w:t>
      </w:r>
    </w:p>
    <w:p w14:paraId="184D8BC3" w14:textId="69C157E8" w:rsidR="429B2BAA" w:rsidRDefault="429B2BAA" w:rsidP="429B2BAA">
      <w:pPr>
        <w:spacing w:line="360" w:lineRule="auto"/>
        <w:rPr>
          <w:rFonts w:ascii="Arial" w:hAnsi="Arial"/>
        </w:rPr>
      </w:pPr>
    </w:p>
    <w:p w14:paraId="26736842" w14:textId="0579D78D" w:rsidR="46FC06C9" w:rsidRDefault="46FC06C9" w:rsidP="590286A3">
      <w:pPr>
        <w:pStyle w:val="Heading3"/>
      </w:pPr>
      <w:bookmarkStart w:id="7" w:name="_Toc1218607982"/>
      <w:r w:rsidRPr="590286A3">
        <w:t>3.2 Talent Acquisition and Employee Retention Strategies</w:t>
      </w:r>
      <w:bookmarkEnd w:id="7"/>
    </w:p>
    <w:p w14:paraId="224FD610" w14:textId="3BD4CF5C" w:rsidR="46FC06C9" w:rsidRDefault="46FC06C9" w:rsidP="590286A3">
      <w:pPr>
        <w:spacing w:line="360" w:lineRule="auto"/>
      </w:pPr>
      <w:r w:rsidRPr="590286A3">
        <w:rPr>
          <w:rFonts w:ascii="Arial" w:hAnsi="Arial"/>
        </w:rPr>
        <w:t>A I Traders Ltd can strengthen its workforce by adopting effective talent acquisition and employee retention strategies. As the business expands, recruiting employees with the right technical skills, product knowledge and customer service experience will become increasingly important. A structured recruitment process, including clear job descriptions, interviews and practical assessments, can help the company appoint suitable employees who meet business requirements.</w:t>
      </w:r>
    </w:p>
    <w:p w14:paraId="71405E3C" w14:textId="7668F00A" w:rsidR="46FC06C9" w:rsidRDefault="46FC06C9" w:rsidP="590286A3">
      <w:pPr>
        <w:spacing w:line="360" w:lineRule="auto"/>
      </w:pPr>
      <w:r w:rsidRPr="590286A3">
        <w:rPr>
          <w:rFonts w:ascii="Arial" w:hAnsi="Arial"/>
        </w:rPr>
        <w:t>Employee retention is equally important because experienced employees develop valuable knowledge of the company's products, quality standards and operating procedures. Providing regular training, recognising good performance and creating opportunities for career development can improve employee motivation and reduce staff turnover. These practices also encourage employees to build long term careers within the organisation rather than seeking opportunities elsewhere.</w:t>
      </w:r>
    </w:p>
    <w:p w14:paraId="26B435AC" w14:textId="3784DC01" w:rsidR="46FC06C9" w:rsidRDefault="46FC06C9" w:rsidP="590286A3">
      <w:pPr>
        <w:spacing w:line="360" w:lineRule="auto"/>
      </w:pPr>
      <w:r w:rsidRPr="590286A3">
        <w:rPr>
          <w:rFonts w:ascii="Arial" w:hAnsi="Arial"/>
        </w:rPr>
        <w:t xml:space="preserve">According to Collings, Scullion and Vaiman (2015), organisations that invest in talent management are better positioned to attract, develop and retain skilled employees, creating a sustainable competitive advantage. Although implementing these strategies requires investment in time and resources, the </w:t>
      </w:r>
      <w:r w:rsidR="6C49AF3E" w:rsidRPr="590286A3">
        <w:rPr>
          <w:rFonts w:ascii="Arial" w:hAnsi="Arial"/>
        </w:rPr>
        <w:t>long-term</w:t>
      </w:r>
      <w:r w:rsidRPr="590286A3">
        <w:rPr>
          <w:rFonts w:ascii="Arial" w:hAnsi="Arial"/>
        </w:rPr>
        <w:t xml:space="preserve"> benefits include lower recruitment costs, improved employee commitment and higher organisational performance, making them valuable HR practices for A I Traders Ltd.</w:t>
      </w:r>
    </w:p>
    <w:p w14:paraId="19C0B5BC" w14:textId="08C4D9A7" w:rsidR="7354753A" w:rsidRDefault="2A5BE385" w:rsidP="590286A3">
      <w:pPr>
        <w:pStyle w:val="Heading3"/>
      </w:pPr>
      <w:bookmarkStart w:id="8" w:name="_Toc2057939534"/>
      <w:r>
        <w:t>3.3 Diversity, Equity and Inclusion Practices</w:t>
      </w:r>
      <w:bookmarkEnd w:id="8"/>
    </w:p>
    <w:p w14:paraId="24AB6A03" w14:textId="6EDFB46A" w:rsidR="7354753A" w:rsidRDefault="5898B143" w:rsidP="429B2BAA">
      <w:pPr>
        <w:spacing w:line="360" w:lineRule="auto"/>
      </w:pPr>
      <w:r w:rsidRPr="429B2BAA">
        <w:t xml:space="preserve">To build a fair workplace, A I Traders Ltd must implement active Diversity, Equity, and Inclusion (DEI) practices rather than just writing basic policies. According to Shore et al.’s (2018) Inclusion Framework, there is a big difference between simple representation (diversity) and feeling valued (inclusion). While hiring a diverse workforce brings fresh ideas to a growing SME, simply having different people in the warehouse or customer service teams is not enough. If minority employees feel pressured to assimilate or face exclusion, the company will suffer from high staff turnover and team conflict (Shore et al., 2018). </w:t>
      </w:r>
    </w:p>
    <w:p w14:paraId="14D513D7" w14:textId="34BAEC15" w:rsidR="7354753A" w:rsidRDefault="5898B143" w:rsidP="429B2BAA">
      <w:pPr>
        <w:spacing w:line="360" w:lineRule="auto"/>
      </w:pPr>
      <w:r w:rsidRPr="429B2BAA">
        <w:t>A major benefit of structured DEI practices, like blind recruitment and equality training, is that they improve employee engagement and build a strong employer brand, making it easier to attract skilled technicians (Taylor, 2022). However, a key limitation is that training programs require continuous management commitment and can sometimes face resistance from staff who do not see their value (Kotter, 2012). Additionally, poorly handled initiatives can lead to misunderstandings or feel like a checkbox exercise (CIPD, 2024). Therefore, to achieve long-term success, managers must go beyond description and actively shape an inclusive organizational culture where everyone feels safe to contribute (Bratton and Gold, 2023; Armstrong and Taylor, 2023).</w:t>
      </w:r>
    </w:p>
    <w:p w14:paraId="2EF73BA1" w14:textId="15874E50" w:rsidR="7354753A" w:rsidRDefault="7354753A" w:rsidP="429B2BAA">
      <w:pPr>
        <w:spacing w:line="360" w:lineRule="auto"/>
        <w:rPr>
          <w:rFonts w:ascii="Arial" w:hAnsi="Arial"/>
        </w:rPr>
      </w:pPr>
    </w:p>
    <w:p w14:paraId="428777C4" w14:textId="5AAD2EC4" w:rsidR="074FA8BC" w:rsidRDefault="074FA8BC" w:rsidP="590286A3">
      <w:pPr>
        <w:pStyle w:val="Heading2"/>
      </w:pPr>
      <w:bookmarkStart w:id="9" w:name="_Toc1636665323"/>
      <w:r w:rsidRPr="590286A3">
        <w:t>4. Critical Evaluation of Managerial Implementation of Human Resource Practices</w:t>
      </w:r>
      <w:bookmarkEnd w:id="9"/>
    </w:p>
    <w:p w14:paraId="47D9E821" w14:textId="388522C9" w:rsidR="074FA8BC" w:rsidRDefault="694E89E0" w:rsidP="590286A3">
      <w:pPr>
        <w:pStyle w:val="Heading3"/>
      </w:pPr>
      <w:bookmarkStart w:id="10" w:name="_Toc629472102"/>
      <w:r>
        <w:t>4.1 Leadership</w:t>
      </w:r>
      <w:bookmarkEnd w:id="10"/>
    </w:p>
    <w:p w14:paraId="1B5974F5" w14:textId="1BB45456" w:rsidR="6B1F849B" w:rsidRDefault="6B1F849B" w:rsidP="429B2BAA">
      <w:pPr>
        <w:spacing w:line="360" w:lineRule="auto"/>
      </w:pPr>
      <w:r w:rsidRPr="429B2BAA">
        <w:rPr>
          <w:rFonts w:ascii="Arial" w:hAnsi="Arial"/>
        </w:rPr>
        <w:t>Strong leadership is vital for implementing new HR practices successfully at A I Traders Ltd (Armstrong and Taylor, 2023). According to Northouse’s (2022) Leader-Member Exchange (LMX) theory, the quality of relationships between managers and employees determines how well organizational change is accepted and sustained. If managers build high-quality, trusting relationships with technicians and warehouse staff, employees are much more likely to support complex new digital systems and DEI policies (CIPD, 2024). However, a major barrier is when very busy departmental managers treat leadership as a simple top-down instruction rather than a collaborative process (Bratton and Gold, 2023). To ensure urgent implementation, leaders must actively involve and empower staff to overcome change resistance and build a supportive organizational culture (Kotter, 2012).</w:t>
      </w:r>
    </w:p>
    <w:p w14:paraId="3A21595A" w14:textId="641E5447" w:rsidR="074FA8BC" w:rsidRDefault="694E89E0" w:rsidP="590286A3">
      <w:pPr>
        <w:pStyle w:val="Heading3"/>
      </w:pPr>
      <w:bookmarkStart w:id="11" w:name="_Toc607488374"/>
      <w:r>
        <w:t>4.2 Communication</w:t>
      </w:r>
      <w:bookmarkEnd w:id="11"/>
    </w:p>
    <w:p w14:paraId="23928FD3" w14:textId="175F280C" w:rsidR="0BB52A16" w:rsidRDefault="0BB52A16" w:rsidP="429B2BAA">
      <w:pPr>
        <w:spacing w:line="360" w:lineRule="auto"/>
      </w:pPr>
      <w:r w:rsidRPr="429B2BAA">
        <w:rPr>
          <w:rFonts w:ascii="Arial" w:hAnsi="Arial"/>
        </w:rPr>
        <w:t>Clear communication is vital to explain new HR policies and reduce workplace uncertainty at A I Traders Ltd (CIPD, 2024). Using Kotter’s (2012) change principles, managers must communicate the "why" behind digital HR transitions and DEI practices to prevent employee anxiety. Rather than using top-down emails, managers should utilize interactive team meetings to build trust and gather feedback (Northouse, 2022; Bratton and Gold, 2023). This two-way dialogue ensures alignment, boosts employee engagement, and supports smooth policy implementation (Taylor, 2022).</w:t>
      </w:r>
    </w:p>
    <w:p w14:paraId="32CCC7D1" w14:textId="09377D5F" w:rsidR="074FA8BC" w:rsidRDefault="074FA8BC" w:rsidP="590286A3">
      <w:pPr>
        <w:pStyle w:val="Heading3"/>
      </w:pPr>
      <w:bookmarkStart w:id="12" w:name="_Toc1620767264"/>
      <w:r w:rsidRPr="590286A3">
        <w:t>4.3 Performance Monitoring</w:t>
      </w:r>
      <w:bookmarkEnd w:id="12"/>
    </w:p>
    <w:p w14:paraId="29E91186" w14:textId="6BAFF35E" w:rsidR="074FA8BC" w:rsidRDefault="074FA8BC" w:rsidP="590286A3">
      <w:pPr>
        <w:spacing w:line="360" w:lineRule="auto"/>
      </w:pPr>
      <w:r w:rsidRPr="590286A3">
        <w:rPr>
          <w:rFonts w:ascii="Arial" w:hAnsi="Arial"/>
        </w:rPr>
        <w:t>Managers should regularly monitor employee performance to ensure HR practices are delivering positive results. Setting clear objectives, conducting performance reviews and providing constructive feedback help employees understand expectations and improve their performance. Training should be provided where skill gaps are identified, particularly in product testing, refurbishment and customer service. Armstrong and Taylor (2023) state that effective performance management improves employee capability and supports organisational success. Managers should therefore focus on employee development rather than simply identifying poor performance.</w:t>
      </w:r>
    </w:p>
    <w:p w14:paraId="3F4D01E6" w14:textId="711D78AB" w:rsidR="074FA8BC" w:rsidRDefault="694E89E0" w:rsidP="590286A3">
      <w:pPr>
        <w:pStyle w:val="Heading3"/>
      </w:pPr>
      <w:bookmarkStart w:id="13" w:name="_Toc834733020"/>
      <w:r>
        <w:t>4.4 Organisational Culture</w:t>
      </w:r>
      <w:bookmarkEnd w:id="13"/>
    </w:p>
    <w:p w14:paraId="3C59B3B4" w14:textId="39E6AA67" w:rsidR="5EFBF5F3" w:rsidRDefault="5EFBF5F3" w:rsidP="429B2BAA">
      <w:pPr>
        <w:spacing w:line="360" w:lineRule="auto"/>
      </w:pPr>
      <w:r w:rsidRPr="429B2BAA">
        <w:rPr>
          <w:rFonts w:ascii="Arial" w:hAnsi="Arial"/>
        </w:rPr>
        <w:t>A supportive organisational culture is essential for embedding new HR policies at A I Traders Ltd (CIPD, 2024). According to Schein’s culture model, superficial policy changes will fail unless core assumptions about teamwork and inclusion are reshaped (Bratton and Gold, 2023). Managers must actively foster a culture of psychological safety and collaboration (Shore et al., 2018). Aligning daily practices with these supportive values lowers change resistance, motivates technicians, and ensures long-term business success (Armstrong and Taylor, 2023; Boxall and Purcell, 2022).</w:t>
      </w:r>
    </w:p>
    <w:p w14:paraId="7810A55F" w14:textId="6F224CF0" w:rsidR="074FA8BC" w:rsidRDefault="074FA8BC" w:rsidP="590286A3">
      <w:pPr>
        <w:pStyle w:val="Heading3"/>
      </w:pPr>
      <w:bookmarkStart w:id="14" w:name="_Toc1682824016"/>
      <w:r w:rsidRPr="590286A3">
        <w:t>4.5 Barriers to Implementation</w:t>
      </w:r>
      <w:bookmarkEnd w:id="14"/>
    </w:p>
    <w:p w14:paraId="68949E47" w14:textId="3134C887" w:rsidR="074FA8BC" w:rsidRDefault="074FA8BC" w:rsidP="590286A3">
      <w:pPr>
        <w:spacing w:line="360" w:lineRule="auto"/>
      </w:pPr>
      <w:r w:rsidRPr="590286A3">
        <w:rPr>
          <w:rFonts w:ascii="Arial" w:hAnsi="Arial"/>
        </w:rPr>
        <w:t>Managers may experience challenges when implementing new HR practices, including employee resistance to change, limited financial resources and lack of training. These barriers can delay organisational improvements if they are not managed effectively. Managers should involve employees in the change process, explain the reasons for new initiatives and provide appropriate training and support. Kotter (2012) argues that successful organisational change depends on employee involvement, effective communication and clear leadership. Addressing these barriers can improve employee acceptance and increase the likelihood of successful implementation.</w:t>
      </w:r>
    </w:p>
    <w:p w14:paraId="32C8491E" w14:textId="6366A283" w:rsidR="4A002A86" w:rsidRDefault="513F3EE3" w:rsidP="590286A3">
      <w:pPr>
        <w:pStyle w:val="Heading2"/>
      </w:pPr>
      <w:bookmarkStart w:id="15" w:name="_Toc1395072148"/>
      <w:r>
        <w:t>5. Conclusion</w:t>
      </w:r>
      <w:bookmarkEnd w:id="15"/>
    </w:p>
    <w:p w14:paraId="4487C45F" w14:textId="35E5E6FC" w:rsidR="60376101" w:rsidRDefault="60376101" w:rsidP="429B2BAA">
      <w:pPr>
        <w:spacing w:line="360" w:lineRule="auto"/>
      </w:pPr>
      <w:r w:rsidRPr="429B2BAA">
        <w:rPr>
          <w:rFonts w:ascii="Arial" w:hAnsi="Arial"/>
        </w:rPr>
        <w:t>In conclusion, the successful growth of A I Traders Ltd relies on transitioning from basic descriptive processes to strategically integrated HR practices. Adopting digital HR systems and workforce analytics offers strong scheduling and operational benefits, provided management actively supports employees to ensure system ease of use (Davis, 1989; Parry and Tyson, 2011). Furthermore, building a truly inclusive organizational culture—rather than simply focusing on demographic diversity—is essential to reduce staff conflict and boost collaborative performance (Shore et al., 2018; CIPD, 2024). Ultimately, proactive leadership and transparent communication remain critical to guide employees through these changes (Kotter, 2012; Northouse, 2022).</w:t>
      </w:r>
    </w:p>
    <w:p w14:paraId="4AF038F4" w14:textId="4120A6A3" w:rsidR="4A002A86" w:rsidRDefault="513F3EE3" w:rsidP="590286A3">
      <w:pPr>
        <w:pStyle w:val="Heading2"/>
      </w:pPr>
      <w:bookmarkStart w:id="16" w:name="_Toc1463525404"/>
      <w:r>
        <w:t>6. Recommendations</w:t>
      </w:r>
      <w:bookmarkEnd w:id="16"/>
    </w:p>
    <w:p w14:paraId="432874DE" w14:textId="699DEB2B" w:rsidR="06866752" w:rsidRDefault="06866752" w:rsidP="429B2BAA">
      <w:pPr>
        <w:spacing w:line="360" w:lineRule="auto"/>
      </w:pPr>
      <w:r w:rsidRPr="429B2BAA">
        <w:rPr>
          <w:rFonts w:ascii="Arial" w:hAnsi="Arial"/>
        </w:rPr>
        <w:t>To improve performance, A I Traders Ltd should implement three highly practical, interconnected strategies. First, to ease technology adoption, managers must establish user-centric, hands-on training workshops for the new inventory system to increase its perceived ease of use (Davis, 1989). Second, to boost talent retention, the company should introduce structured mentorship programs that offer clear technical career progression pathways (Taylor, 2022). Finally, to foster true inclusion, HR should standardize blind recruitment practices for all warehouse and customer service roles (Shore et al., 2018). These direct actions will resolve current barriers and support sustainable, long-term business growth across the entire organization.</w:t>
      </w:r>
    </w:p>
    <w:p w14:paraId="026A1521" w14:textId="57D38D83" w:rsidR="429B2BAA" w:rsidRDefault="429B2BAA">
      <w:r>
        <w:br w:type="page"/>
      </w:r>
    </w:p>
    <w:p w14:paraId="62A23B1F" w14:textId="558D1E91" w:rsidR="429B2BAA" w:rsidRDefault="429B2BAA" w:rsidP="429B2BAA">
      <w:pPr>
        <w:spacing w:line="360" w:lineRule="auto"/>
        <w:rPr>
          <w:rFonts w:ascii="Arial" w:hAnsi="Arial"/>
        </w:rPr>
      </w:pPr>
    </w:p>
    <w:p w14:paraId="04504207" w14:textId="00AE1BCC" w:rsidR="6DB0CE6B" w:rsidRDefault="6DB0CE6B" w:rsidP="590286A3">
      <w:pPr>
        <w:pStyle w:val="Heading2"/>
      </w:pPr>
      <w:bookmarkStart w:id="17" w:name="_Toc220463802"/>
      <w:r w:rsidRPr="590286A3">
        <w:t>7. References</w:t>
      </w:r>
      <w:bookmarkEnd w:id="17"/>
    </w:p>
    <w:p w14:paraId="2A7CF775" w14:textId="4CF7AB60" w:rsidR="6DB0CE6B" w:rsidRDefault="6DB0CE6B" w:rsidP="590286A3">
      <w:pPr>
        <w:pStyle w:val="ListParagraph"/>
        <w:numPr>
          <w:ilvl w:val="0"/>
          <w:numId w:val="1"/>
        </w:numPr>
        <w:rPr>
          <w:rFonts w:ascii="Arial" w:hAnsi="Arial"/>
        </w:rPr>
      </w:pPr>
      <w:r w:rsidRPr="590286A3">
        <w:rPr>
          <w:rFonts w:ascii="Arial" w:hAnsi="Arial"/>
        </w:rPr>
        <w:t xml:space="preserve">Armstrong, M. and Taylor, S. (2023) </w:t>
      </w:r>
      <w:r w:rsidRPr="590286A3">
        <w:rPr>
          <w:rFonts w:ascii="Arial" w:hAnsi="Arial"/>
          <w:i/>
          <w:iCs/>
        </w:rPr>
        <w:t>Armstrong's Handbook of Human Resource Management Practice</w:t>
      </w:r>
      <w:r w:rsidRPr="590286A3">
        <w:rPr>
          <w:rFonts w:ascii="Arial" w:hAnsi="Arial"/>
        </w:rPr>
        <w:t>. 16th edn. London: Kogan Page.</w:t>
      </w:r>
    </w:p>
    <w:p w14:paraId="7F9E6A85" w14:textId="278E029B" w:rsidR="6DB0CE6B" w:rsidRDefault="6DB0CE6B" w:rsidP="590286A3">
      <w:pPr>
        <w:pStyle w:val="ListParagraph"/>
        <w:numPr>
          <w:ilvl w:val="0"/>
          <w:numId w:val="1"/>
        </w:numPr>
        <w:rPr>
          <w:rFonts w:ascii="Arial" w:hAnsi="Arial"/>
        </w:rPr>
      </w:pPr>
      <w:r w:rsidRPr="590286A3">
        <w:rPr>
          <w:rFonts w:ascii="Arial" w:hAnsi="Arial"/>
        </w:rPr>
        <w:t xml:space="preserve">Boxall, P. and Purcell, J. (2022) </w:t>
      </w:r>
      <w:r w:rsidRPr="590286A3">
        <w:rPr>
          <w:rFonts w:ascii="Arial" w:hAnsi="Arial"/>
          <w:i/>
          <w:iCs/>
        </w:rPr>
        <w:t>Strategy and Human Resource Management</w:t>
      </w:r>
      <w:r w:rsidRPr="590286A3">
        <w:rPr>
          <w:rFonts w:ascii="Arial" w:hAnsi="Arial"/>
        </w:rPr>
        <w:t>. 5th edn. London: Red Globe Press.</w:t>
      </w:r>
    </w:p>
    <w:p w14:paraId="0F9FC3D6" w14:textId="74960223" w:rsidR="6DB0CE6B" w:rsidRDefault="6DB0CE6B" w:rsidP="590286A3">
      <w:pPr>
        <w:pStyle w:val="ListParagraph"/>
        <w:numPr>
          <w:ilvl w:val="0"/>
          <w:numId w:val="1"/>
        </w:numPr>
        <w:rPr>
          <w:rFonts w:ascii="Arial" w:hAnsi="Arial"/>
        </w:rPr>
      </w:pPr>
      <w:r w:rsidRPr="590286A3">
        <w:rPr>
          <w:rFonts w:ascii="Arial" w:hAnsi="Arial"/>
        </w:rPr>
        <w:t xml:space="preserve">Bratton, J. and Gold, J. (2023) </w:t>
      </w:r>
      <w:r w:rsidRPr="590286A3">
        <w:rPr>
          <w:rFonts w:ascii="Arial" w:hAnsi="Arial"/>
          <w:i/>
          <w:iCs/>
        </w:rPr>
        <w:t>Human Resource Management: Theory and Practice</w:t>
      </w:r>
      <w:r w:rsidRPr="590286A3">
        <w:rPr>
          <w:rFonts w:ascii="Arial" w:hAnsi="Arial"/>
        </w:rPr>
        <w:t>. 8th edn. London: Red Globe Press.</w:t>
      </w:r>
    </w:p>
    <w:p w14:paraId="3B529D27" w14:textId="0F62CDE9" w:rsidR="6DB0CE6B" w:rsidRDefault="6DB0CE6B" w:rsidP="590286A3">
      <w:pPr>
        <w:pStyle w:val="ListParagraph"/>
        <w:numPr>
          <w:ilvl w:val="0"/>
          <w:numId w:val="1"/>
        </w:numPr>
        <w:rPr>
          <w:rFonts w:ascii="Arial" w:hAnsi="Arial"/>
        </w:rPr>
      </w:pPr>
      <w:r w:rsidRPr="590286A3">
        <w:rPr>
          <w:rFonts w:ascii="Arial" w:hAnsi="Arial"/>
        </w:rPr>
        <w:t xml:space="preserve">Chartered Institute of Personnel and Development (CIPD) (2024) </w:t>
      </w:r>
      <w:r w:rsidRPr="590286A3">
        <w:rPr>
          <w:rFonts w:ascii="Arial" w:hAnsi="Arial"/>
          <w:i/>
          <w:iCs/>
        </w:rPr>
        <w:t>Factsheets</w:t>
      </w:r>
      <w:r w:rsidRPr="590286A3">
        <w:rPr>
          <w:rFonts w:ascii="Arial" w:hAnsi="Arial"/>
        </w:rPr>
        <w:t xml:space="preserve">. </w:t>
      </w:r>
    </w:p>
    <w:p w14:paraId="673E2DA9" w14:textId="03DA9AC1" w:rsidR="6DB0CE6B" w:rsidRDefault="3DCFF044" w:rsidP="590286A3">
      <w:pPr>
        <w:pStyle w:val="ListParagraph"/>
        <w:numPr>
          <w:ilvl w:val="0"/>
          <w:numId w:val="1"/>
        </w:numPr>
        <w:rPr>
          <w:rFonts w:ascii="Arial" w:hAnsi="Arial"/>
        </w:rPr>
      </w:pPr>
      <w:r w:rsidRPr="429B2BAA">
        <w:rPr>
          <w:rFonts w:ascii="Arial" w:hAnsi="Arial"/>
        </w:rPr>
        <w:t xml:space="preserve">Collings, D.G., Scullion, H. and Vaiman, V. (2015) 'Talent management: Progress and prospects', </w:t>
      </w:r>
      <w:r w:rsidRPr="429B2BAA">
        <w:rPr>
          <w:rFonts w:ascii="Arial" w:hAnsi="Arial"/>
          <w:i/>
          <w:iCs/>
        </w:rPr>
        <w:t>Human Resource Management Review</w:t>
      </w:r>
    </w:p>
    <w:p w14:paraId="293ED422" w14:textId="1D67DDA4" w:rsidR="6DB0CE6B" w:rsidRDefault="6DB0CE6B" w:rsidP="590286A3">
      <w:pPr>
        <w:pStyle w:val="ListParagraph"/>
        <w:numPr>
          <w:ilvl w:val="0"/>
          <w:numId w:val="1"/>
        </w:numPr>
        <w:rPr>
          <w:rFonts w:ascii="Arial" w:hAnsi="Arial"/>
        </w:rPr>
      </w:pPr>
      <w:r w:rsidRPr="590286A3">
        <w:rPr>
          <w:rFonts w:ascii="Arial" w:hAnsi="Arial"/>
        </w:rPr>
        <w:t xml:space="preserve">Kotter, J.P. (2012) </w:t>
      </w:r>
      <w:r w:rsidRPr="590286A3">
        <w:rPr>
          <w:rFonts w:ascii="Arial" w:hAnsi="Arial"/>
          <w:i/>
          <w:iCs/>
        </w:rPr>
        <w:t>Leading Change</w:t>
      </w:r>
      <w:r w:rsidRPr="590286A3">
        <w:rPr>
          <w:rFonts w:ascii="Arial" w:hAnsi="Arial"/>
        </w:rPr>
        <w:t>. Boston: Harvard Business Review Press.</w:t>
      </w:r>
    </w:p>
    <w:p w14:paraId="7E3561E0" w14:textId="1F0DE2D9" w:rsidR="6DB0CE6B" w:rsidRDefault="3DCFF044" w:rsidP="590286A3">
      <w:pPr>
        <w:pStyle w:val="ListParagraph"/>
        <w:numPr>
          <w:ilvl w:val="0"/>
          <w:numId w:val="1"/>
        </w:numPr>
        <w:rPr>
          <w:rFonts w:ascii="Arial" w:hAnsi="Arial"/>
        </w:rPr>
      </w:pPr>
      <w:r w:rsidRPr="429B2BAA">
        <w:rPr>
          <w:rFonts w:ascii="Arial" w:hAnsi="Arial"/>
        </w:rPr>
        <w:t xml:space="preserve">Northouse, P.G. (2022) </w:t>
      </w:r>
      <w:r w:rsidRPr="429B2BAA">
        <w:rPr>
          <w:rFonts w:ascii="Arial" w:hAnsi="Arial"/>
          <w:i/>
          <w:iCs/>
        </w:rPr>
        <w:t>Leadership: Theory and Practice</w:t>
      </w:r>
      <w:r w:rsidRPr="429B2BAA">
        <w:rPr>
          <w:rFonts w:ascii="Arial" w:hAnsi="Arial"/>
        </w:rPr>
        <w:t>. 9th edn. Thousand Oaks, CA: Sage Publications.</w:t>
      </w:r>
    </w:p>
    <w:p w14:paraId="0E7E62F5" w14:textId="1B2A754B" w:rsidR="064A598C" w:rsidRDefault="064A598C" w:rsidP="429B2BAA">
      <w:pPr>
        <w:pStyle w:val="ListParagraph"/>
        <w:numPr>
          <w:ilvl w:val="0"/>
          <w:numId w:val="1"/>
        </w:numPr>
      </w:pPr>
      <w:r w:rsidRPr="429B2BAA">
        <w:t xml:space="preserve">Marler, J.H. and Fisher, S.L. (2013) 'An evidence-based review of e-HRM and strategic human resource management', </w:t>
      </w:r>
      <w:r w:rsidRPr="429B2BAA">
        <w:rPr>
          <w:i/>
          <w:iCs/>
        </w:rPr>
        <w:t>Human Resource Management Review</w:t>
      </w:r>
    </w:p>
    <w:p w14:paraId="04E18CE7" w14:textId="2F2850E0" w:rsidR="064A598C" w:rsidRDefault="064A598C" w:rsidP="429B2BAA">
      <w:pPr>
        <w:pStyle w:val="ListParagraph"/>
        <w:numPr>
          <w:ilvl w:val="0"/>
          <w:numId w:val="1"/>
        </w:numPr>
        <w:spacing w:after="240"/>
      </w:pPr>
      <w:r w:rsidRPr="429B2BAA">
        <w:t xml:space="preserve">Nishii, L.H. (2013) 'The benefits of climate for inclusion for gender-diverse groups', </w:t>
      </w:r>
      <w:r w:rsidRPr="429B2BAA">
        <w:rPr>
          <w:i/>
          <w:iCs/>
        </w:rPr>
        <w:t>Academy of Management Journal</w:t>
      </w:r>
    </w:p>
    <w:p w14:paraId="5BF7B113" w14:textId="3D8667F1" w:rsidR="6DB0CE6B" w:rsidRDefault="3DCFF044" w:rsidP="590286A3">
      <w:pPr>
        <w:pStyle w:val="ListParagraph"/>
        <w:numPr>
          <w:ilvl w:val="0"/>
          <w:numId w:val="1"/>
        </w:numPr>
        <w:rPr>
          <w:rFonts w:ascii="Arial" w:hAnsi="Arial"/>
        </w:rPr>
      </w:pPr>
      <w:r w:rsidRPr="429B2BAA">
        <w:rPr>
          <w:rFonts w:ascii="Arial" w:hAnsi="Arial"/>
        </w:rPr>
        <w:t xml:space="preserve">Shore, L.M., Cleveland, J.N. and Sanchez, D. (2018) 'Inclusive workplaces: A review and model', </w:t>
      </w:r>
      <w:r w:rsidRPr="429B2BAA">
        <w:rPr>
          <w:rFonts w:ascii="Arial" w:hAnsi="Arial"/>
          <w:i/>
          <w:iCs/>
        </w:rPr>
        <w:t>Human Resource Management Review</w:t>
      </w:r>
    </w:p>
    <w:p w14:paraId="6CF4D715" w14:textId="7471E379" w:rsidR="6DB0CE6B" w:rsidRDefault="3DCFF044" w:rsidP="590286A3">
      <w:pPr>
        <w:pStyle w:val="ListParagraph"/>
        <w:numPr>
          <w:ilvl w:val="0"/>
          <w:numId w:val="1"/>
        </w:numPr>
        <w:rPr>
          <w:rFonts w:ascii="Arial" w:hAnsi="Arial"/>
        </w:rPr>
      </w:pPr>
      <w:r w:rsidRPr="429B2BAA">
        <w:rPr>
          <w:rFonts w:ascii="Arial" w:hAnsi="Arial"/>
        </w:rPr>
        <w:t xml:space="preserve">Taylor, S. (2022) </w:t>
      </w:r>
      <w:r w:rsidRPr="429B2BAA">
        <w:rPr>
          <w:rFonts w:ascii="Arial" w:hAnsi="Arial"/>
          <w:i/>
          <w:iCs/>
        </w:rPr>
        <w:t>Resourcing and Talent Management</w:t>
      </w:r>
      <w:r w:rsidRPr="429B2BAA">
        <w:rPr>
          <w:rFonts w:ascii="Arial" w:hAnsi="Arial"/>
        </w:rPr>
        <w:t>. 9th edn. London: Chartered Institute of Personnel and Development.</w:t>
      </w:r>
    </w:p>
    <w:p w14:paraId="65603198" w14:textId="22A64C4E" w:rsidR="590286A3" w:rsidRDefault="0700311E" w:rsidP="429B2BAA">
      <w:pPr>
        <w:pStyle w:val="ListParagraph"/>
        <w:numPr>
          <w:ilvl w:val="0"/>
          <w:numId w:val="1"/>
        </w:numPr>
        <w:spacing w:line="360" w:lineRule="auto"/>
      </w:pPr>
      <w:r w:rsidRPr="429B2BAA">
        <w:t xml:space="preserve">Davis, F.D. (1989) 'Perceived usefulness, perceived ease of use, and user acceptance of information technology', </w:t>
      </w:r>
      <w:r w:rsidRPr="429B2BAA">
        <w:rPr>
          <w:i/>
          <w:iCs/>
        </w:rPr>
        <w:t>MIS Quarterly</w:t>
      </w:r>
    </w:p>
    <w:p w14:paraId="29E882A1" w14:textId="13D86068" w:rsidR="590286A3" w:rsidRDefault="0700311E" w:rsidP="429B2BAA">
      <w:pPr>
        <w:pStyle w:val="ListParagraph"/>
        <w:numPr>
          <w:ilvl w:val="0"/>
          <w:numId w:val="1"/>
        </w:numPr>
        <w:spacing w:before="240" w:after="240" w:line="360" w:lineRule="auto"/>
      </w:pPr>
      <w:r w:rsidRPr="429B2BAA">
        <w:t xml:space="preserve">Mor Barak, M.E. (2015) 'Inclusion is the key to diversity management, but what is inclusion?', </w:t>
      </w:r>
      <w:r w:rsidRPr="429B2BAA">
        <w:rPr>
          <w:i/>
          <w:iCs/>
        </w:rPr>
        <w:t>Human Service Organizations: Management, Leadership &amp; Governance</w:t>
      </w:r>
    </w:p>
    <w:p w14:paraId="3DABEBC3" w14:textId="1E0B4123" w:rsidR="590286A3" w:rsidRDefault="0700311E" w:rsidP="429B2BAA">
      <w:pPr>
        <w:pStyle w:val="ListParagraph"/>
        <w:numPr>
          <w:ilvl w:val="0"/>
          <w:numId w:val="1"/>
        </w:numPr>
        <w:spacing w:before="240" w:after="240" w:line="360" w:lineRule="auto"/>
      </w:pPr>
      <w:r w:rsidRPr="429B2BAA">
        <w:t xml:space="preserve">Parry, E. and Tyson, S. (2011) 'Desired scenarios for the relationship between HRM and technology', </w:t>
      </w:r>
      <w:r w:rsidRPr="429B2BAA">
        <w:rPr>
          <w:i/>
          <w:iCs/>
        </w:rPr>
        <w:t>International Journal of Human Resource Management</w:t>
      </w:r>
    </w:p>
    <w:p w14:paraId="30F24D13" w14:textId="5BD37D7E" w:rsidR="590286A3" w:rsidRDefault="0700311E" w:rsidP="429B2BAA">
      <w:pPr>
        <w:pStyle w:val="ListParagraph"/>
        <w:numPr>
          <w:ilvl w:val="0"/>
          <w:numId w:val="1"/>
        </w:numPr>
        <w:spacing w:before="240" w:after="240" w:line="360" w:lineRule="auto"/>
      </w:pPr>
      <w:r w:rsidRPr="429B2BAA">
        <w:t xml:space="preserve">Shore, L.M., Randel, A.E., Chung, B.G., Dean, M.A., Ehrhart, K.H. and Singh, G. (2011) 'Inclusion and diversity in work groups: A review and model for future research', </w:t>
      </w:r>
      <w:r w:rsidRPr="429B2BAA">
        <w:rPr>
          <w:i/>
          <w:iCs/>
        </w:rPr>
        <w:t>Journal of Management</w:t>
      </w:r>
    </w:p>
    <w:p w14:paraId="6D06ECB8" w14:textId="52EFB730" w:rsidR="590286A3" w:rsidRDefault="590286A3" w:rsidP="590286A3">
      <w:pPr>
        <w:spacing w:line="360" w:lineRule="auto"/>
        <w:rPr>
          <w:rFonts w:ascii="Arial" w:hAnsi="Arial"/>
        </w:rPr>
      </w:pPr>
    </w:p>
    <w:p w14:paraId="72D41DF3" w14:textId="3E87082E" w:rsidR="590286A3" w:rsidRDefault="590286A3" w:rsidP="590286A3">
      <w:pPr>
        <w:spacing w:line="360" w:lineRule="auto"/>
        <w:rPr>
          <w:rFonts w:ascii="Arial" w:hAnsi="Arial"/>
        </w:rPr>
      </w:pPr>
    </w:p>
    <w:p w14:paraId="25905AC8" w14:textId="7F59ABE8" w:rsidR="590286A3" w:rsidRDefault="590286A3" w:rsidP="590286A3">
      <w:pPr>
        <w:spacing w:line="360" w:lineRule="auto"/>
        <w:rPr>
          <w:rFonts w:ascii="Arial" w:hAnsi="Arial"/>
        </w:rPr>
      </w:pPr>
    </w:p>
    <w:p w14:paraId="5582080C" w14:textId="7DFC432B" w:rsidR="590286A3" w:rsidRDefault="590286A3" w:rsidP="590286A3">
      <w:pPr>
        <w:spacing w:line="360" w:lineRule="auto"/>
        <w:rPr>
          <w:rFonts w:ascii="Arial" w:hAnsi="Arial"/>
        </w:rPr>
      </w:pPr>
    </w:p>
    <w:p w14:paraId="10ECCF70" w14:textId="24465EE4" w:rsidR="590286A3" w:rsidRDefault="590286A3" w:rsidP="590286A3">
      <w:pPr>
        <w:spacing w:line="360" w:lineRule="auto"/>
        <w:rPr>
          <w:rFonts w:ascii="Arial" w:hAnsi="Arial"/>
        </w:rPr>
      </w:pPr>
    </w:p>
    <w:p w14:paraId="524AFB31" w14:textId="70652B7E" w:rsidR="590286A3" w:rsidRDefault="590286A3" w:rsidP="590286A3">
      <w:pPr>
        <w:spacing w:line="360" w:lineRule="auto"/>
        <w:rPr>
          <w:rFonts w:ascii="Arial" w:hAnsi="Arial"/>
        </w:rPr>
      </w:pPr>
    </w:p>
    <w:p w14:paraId="25235286" w14:textId="7F6D0069" w:rsidR="590286A3" w:rsidRDefault="590286A3" w:rsidP="590286A3">
      <w:pPr>
        <w:spacing w:line="360" w:lineRule="auto"/>
        <w:rPr>
          <w:rFonts w:ascii="Arial" w:hAnsi="Arial"/>
        </w:rPr>
      </w:pPr>
    </w:p>
    <w:p w14:paraId="2478BBBE" w14:textId="11E2B0EB" w:rsidR="590286A3" w:rsidRDefault="590286A3" w:rsidP="590286A3">
      <w:pPr>
        <w:spacing w:line="360" w:lineRule="auto"/>
      </w:pPr>
    </w:p>
    <w:p w14:paraId="3D70D342" w14:textId="7B4B27BD" w:rsidR="590286A3" w:rsidRDefault="590286A3"/>
    <w:sectPr w:rsidR="590286A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B7CEB" w14:textId="77777777" w:rsidR="006D1359" w:rsidRDefault="006D1359">
      <w:pPr>
        <w:spacing w:after="0" w:line="240" w:lineRule="auto"/>
      </w:pPr>
      <w:r>
        <w:separator/>
      </w:r>
    </w:p>
  </w:endnote>
  <w:endnote w:type="continuationSeparator" w:id="0">
    <w:p w14:paraId="13DD0CBB" w14:textId="77777777" w:rsidR="006D1359" w:rsidRDefault="006D1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9B2BAA" w14:paraId="17FA7F25" w14:textId="77777777" w:rsidTr="429B2BAA">
      <w:trPr>
        <w:trHeight w:val="300"/>
      </w:trPr>
      <w:tc>
        <w:tcPr>
          <w:tcW w:w="3005" w:type="dxa"/>
        </w:tcPr>
        <w:p w14:paraId="49D237C3" w14:textId="0B526631" w:rsidR="429B2BAA" w:rsidRDefault="429B2BAA" w:rsidP="429B2BAA">
          <w:pPr>
            <w:pStyle w:val="Header"/>
            <w:ind w:left="-115"/>
          </w:pPr>
        </w:p>
      </w:tc>
      <w:tc>
        <w:tcPr>
          <w:tcW w:w="3005" w:type="dxa"/>
        </w:tcPr>
        <w:p w14:paraId="0253A06C" w14:textId="729A83F2" w:rsidR="429B2BAA" w:rsidRDefault="429B2BAA" w:rsidP="429B2BAA">
          <w:pPr>
            <w:pStyle w:val="Header"/>
            <w:jc w:val="center"/>
          </w:pPr>
        </w:p>
      </w:tc>
      <w:tc>
        <w:tcPr>
          <w:tcW w:w="3005" w:type="dxa"/>
        </w:tcPr>
        <w:p w14:paraId="75C98384" w14:textId="0C8F894B" w:rsidR="429B2BAA" w:rsidRDefault="429B2BAA" w:rsidP="429B2BAA">
          <w:pPr>
            <w:pStyle w:val="Header"/>
            <w:ind w:right="-115"/>
            <w:jc w:val="right"/>
          </w:pPr>
        </w:p>
      </w:tc>
    </w:tr>
  </w:tbl>
  <w:p w14:paraId="1B6AEFA7" w14:textId="334DC370" w:rsidR="429B2BAA" w:rsidRDefault="429B2BAA" w:rsidP="429B2B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90286A3" w14:paraId="4EC7D067" w14:textId="77777777" w:rsidTr="429B2BAA">
      <w:trPr>
        <w:trHeight w:val="300"/>
      </w:trPr>
      <w:tc>
        <w:tcPr>
          <w:tcW w:w="3005" w:type="dxa"/>
        </w:tcPr>
        <w:p w14:paraId="0CAA2120" w14:textId="2E4BDF5E" w:rsidR="590286A3" w:rsidRDefault="590286A3" w:rsidP="590286A3">
          <w:pPr>
            <w:pStyle w:val="Header"/>
            <w:ind w:left="-115"/>
          </w:pPr>
        </w:p>
      </w:tc>
      <w:tc>
        <w:tcPr>
          <w:tcW w:w="3005" w:type="dxa"/>
        </w:tcPr>
        <w:p w14:paraId="5D29A452" w14:textId="5B9F8583" w:rsidR="590286A3" w:rsidRDefault="590286A3" w:rsidP="590286A3">
          <w:pPr>
            <w:pStyle w:val="Header"/>
            <w:jc w:val="center"/>
          </w:pPr>
        </w:p>
      </w:tc>
      <w:tc>
        <w:tcPr>
          <w:tcW w:w="3005" w:type="dxa"/>
        </w:tcPr>
        <w:p w14:paraId="28C4C353" w14:textId="39F85082" w:rsidR="590286A3" w:rsidRDefault="590286A3" w:rsidP="590286A3">
          <w:pPr>
            <w:pStyle w:val="Header"/>
            <w:ind w:right="-115"/>
            <w:jc w:val="right"/>
          </w:pPr>
          <w:r>
            <w:fldChar w:fldCharType="begin"/>
          </w:r>
          <w:r>
            <w:instrText>PAGE</w:instrText>
          </w:r>
          <w:r>
            <w:fldChar w:fldCharType="separate"/>
          </w:r>
          <w:r>
            <w:fldChar w:fldCharType="end"/>
          </w:r>
        </w:p>
      </w:tc>
    </w:tr>
  </w:tbl>
  <w:p w14:paraId="7AD5B8E4" w14:textId="5D6C3D36" w:rsidR="590286A3" w:rsidRDefault="590286A3" w:rsidP="590286A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9B2BAA" w14:paraId="4F51479D" w14:textId="77777777" w:rsidTr="429B2BAA">
      <w:trPr>
        <w:trHeight w:val="300"/>
      </w:trPr>
      <w:tc>
        <w:tcPr>
          <w:tcW w:w="3005" w:type="dxa"/>
        </w:tcPr>
        <w:p w14:paraId="4A71E55F" w14:textId="4A65D957" w:rsidR="429B2BAA" w:rsidRDefault="429B2BAA" w:rsidP="429B2BAA">
          <w:pPr>
            <w:pStyle w:val="Header"/>
            <w:ind w:left="-115"/>
          </w:pPr>
        </w:p>
      </w:tc>
      <w:tc>
        <w:tcPr>
          <w:tcW w:w="3005" w:type="dxa"/>
        </w:tcPr>
        <w:p w14:paraId="38871923" w14:textId="75BEA316" w:rsidR="429B2BAA" w:rsidRDefault="429B2BAA" w:rsidP="429B2BAA">
          <w:pPr>
            <w:pStyle w:val="Header"/>
            <w:jc w:val="center"/>
          </w:pPr>
        </w:p>
      </w:tc>
      <w:tc>
        <w:tcPr>
          <w:tcW w:w="3005" w:type="dxa"/>
        </w:tcPr>
        <w:p w14:paraId="30490F3A" w14:textId="5E31A9F8" w:rsidR="429B2BAA" w:rsidRDefault="429B2BAA" w:rsidP="429B2BAA">
          <w:pPr>
            <w:pStyle w:val="Header"/>
            <w:ind w:right="-115"/>
            <w:jc w:val="right"/>
          </w:pPr>
        </w:p>
      </w:tc>
    </w:tr>
  </w:tbl>
  <w:p w14:paraId="709ACA91" w14:textId="45F534F8" w:rsidR="429B2BAA" w:rsidRDefault="429B2BAA" w:rsidP="429B2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B0AE0" w14:textId="77777777" w:rsidR="006D1359" w:rsidRDefault="006D1359">
      <w:pPr>
        <w:spacing w:after="0" w:line="240" w:lineRule="auto"/>
      </w:pPr>
      <w:r>
        <w:separator/>
      </w:r>
    </w:p>
  </w:footnote>
  <w:footnote w:type="continuationSeparator" w:id="0">
    <w:p w14:paraId="261F02A6" w14:textId="77777777" w:rsidR="006D1359" w:rsidRDefault="006D1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9B2BAA" w14:paraId="74D2A032" w14:textId="77777777" w:rsidTr="429B2BAA">
      <w:trPr>
        <w:trHeight w:val="300"/>
      </w:trPr>
      <w:tc>
        <w:tcPr>
          <w:tcW w:w="3005" w:type="dxa"/>
        </w:tcPr>
        <w:p w14:paraId="10C42D41" w14:textId="34A83E87" w:rsidR="429B2BAA" w:rsidRDefault="429B2BAA" w:rsidP="429B2BAA">
          <w:pPr>
            <w:pStyle w:val="Header"/>
            <w:ind w:left="-115"/>
          </w:pPr>
        </w:p>
      </w:tc>
      <w:tc>
        <w:tcPr>
          <w:tcW w:w="3005" w:type="dxa"/>
        </w:tcPr>
        <w:p w14:paraId="13806031" w14:textId="5187DD96" w:rsidR="429B2BAA" w:rsidRDefault="429B2BAA" w:rsidP="429B2BAA">
          <w:pPr>
            <w:pStyle w:val="Header"/>
            <w:jc w:val="center"/>
          </w:pPr>
        </w:p>
      </w:tc>
      <w:tc>
        <w:tcPr>
          <w:tcW w:w="3005" w:type="dxa"/>
        </w:tcPr>
        <w:p w14:paraId="4A23993A" w14:textId="745BB2FE" w:rsidR="429B2BAA" w:rsidRDefault="429B2BAA" w:rsidP="429B2BAA">
          <w:pPr>
            <w:pStyle w:val="Header"/>
            <w:ind w:right="-115"/>
            <w:jc w:val="right"/>
          </w:pPr>
        </w:p>
      </w:tc>
    </w:tr>
  </w:tbl>
  <w:p w14:paraId="3FA0FF17" w14:textId="0C80BEC9" w:rsidR="429B2BAA" w:rsidRDefault="429B2BAA" w:rsidP="429B2B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9B2BAA" w14:paraId="4AF18AAC" w14:textId="77777777" w:rsidTr="429B2BAA">
      <w:trPr>
        <w:trHeight w:val="300"/>
      </w:trPr>
      <w:tc>
        <w:tcPr>
          <w:tcW w:w="3005" w:type="dxa"/>
        </w:tcPr>
        <w:p w14:paraId="50385BCC" w14:textId="2F453F02" w:rsidR="429B2BAA" w:rsidRDefault="429B2BAA" w:rsidP="429B2BAA">
          <w:pPr>
            <w:pStyle w:val="Header"/>
            <w:ind w:left="-115"/>
          </w:pPr>
        </w:p>
      </w:tc>
      <w:tc>
        <w:tcPr>
          <w:tcW w:w="3005" w:type="dxa"/>
        </w:tcPr>
        <w:p w14:paraId="2A97154D" w14:textId="2E481AD6" w:rsidR="429B2BAA" w:rsidRDefault="429B2BAA" w:rsidP="429B2BAA">
          <w:pPr>
            <w:pStyle w:val="Header"/>
            <w:jc w:val="center"/>
          </w:pPr>
        </w:p>
      </w:tc>
      <w:tc>
        <w:tcPr>
          <w:tcW w:w="3005" w:type="dxa"/>
        </w:tcPr>
        <w:p w14:paraId="4E68C982" w14:textId="6D482D28" w:rsidR="429B2BAA" w:rsidRDefault="429B2BAA" w:rsidP="429B2BAA">
          <w:pPr>
            <w:pStyle w:val="Header"/>
            <w:ind w:right="-115"/>
            <w:jc w:val="right"/>
          </w:pPr>
        </w:p>
      </w:tc>
    </w:tr>
  </w:tbl>
  <w:p w14:paraId="518352AF" w14:textId="4C5DD6EF" w:rsidR="429B2BAA" w:rsidRDefault="429B2BAA" w:rsidP="429B2B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29B2BAA" w14:paraId="712531A1" w14:textId="77777777" w:rsidTr="429B2BAA">
      <w:trPr>
        <w:trHeight w:val="300"/>
      </w:trPr>
      <w:tc>
        <w:tcPr>
          <w:tcW w:w="3005" w:type="dxa"/>
        </w:tcPr>
        <w:p w14:paraId="6D271349" w14:textId="44E6634A" w:rsidR="429B2BAA" w:rsidRDefault="429B2BAA" w:rsidP="429B2BAA">
          <w:pPr>
            <w:pStyle w:val="Header"/>
            <w:ind w:left="-115"/>
          </w:pPr>
        </w:p>
      </w:tc>
      <w:tc>
        <w:tcPr>
          <w:tcW w:w="3005" w:type="dxa"/>
        </w:tcPr>
        <w:p w14:paraId="6D0C12CE" w14:textId="215F7D74" w:rsidR="429B2BAA" w:rsidRDefault="429B2BAA" w:rsidP="429B2BAA">
          <w:pPr>
            <w:pStyle w:val="Header"/>
            <w:jc w:val="center"/>
          </w:pPr>
        </w:p>
      </w:tc>
      <w:tc>
        <w:tcPr>
          <w:tcW w:w="3005" w:type="dxa"/>
        </w:tcPr>
        <w:p w14:paraId="121946A9" w14:textId="1926FB43" w:rsidR="429B2BAA" w:rsidRDefault="429B2BAA" w:rsidP="429B2BAA">
          <w:pPr>
            <w:pStyle w:val="Header"/>
            <w:ind w:right="-115"/>
            <w:jc w:val="right"/>
          </w:pPr>
        </w:p>
      </w:tc>
    </w:tr>
  </w:tbl>
  <w:p w14:paraId="7105C514" w14:textId="05E865D9" w:rsidR="429B2BAA" w:rsidRDefault="429B2BAA" w:rsidP="429B2B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2BFCF"/>
    <w:multiLevelType w:val="hybridMultilevel"/>
    <w:tmpl w:val="FFFFFFFF"/>
    <w:lvl w:ilvl="0" w:tplc="2CBA598C">
      <w:start w:val="1"/>
      <w:numFmt w:val="bullet"/>
      <w:lvlText w:val=""/>
      <w:lvlJc w:val="left"/>
      <w:pPr>
        <w:ind w:left="720" w:hanging="360"/>
      </w:pPr>
      <w:rPr>
        <w:rFonts w:ascii="Symbol" w:hAnsi="Symbol" w:hint="default"/>
      </w:rPr>
    </w:lvl>
    <w:lvl w:ilvl="1" w:tplc="B1CC7C60">
      <w:start w:val="1"/>
      <w:numFmt w:val="bullet"/>
      <w:lvlText w:val="o"/>
      <w:lvlJc w:val="left"/>
      <w:pPr>
        <w:ind w:left="1440" w:hanging="360"/>
      </w:pPr>
      <w:rPr>
        <w:rFonts w:ascii="Courier New" w:hAnsi="Courier New" w:hint="default"/>
      </w:rPr>
    </w:lvl>
    <w:lvl w:ilvl="2" w:tplc="DD28DA22">
      <w:start w:val="1"/>
      <w:numFmt w:val="bullet"/>
      <w:lvlText w:val=""/>
      <w:lvlJc w:val="left"/>
      <w:pPr>
        <w:ind w:left="2160" w:hanging="360"/>
      </w:pPr>
      <w:rPr>
        <w:rFonts w:ascii="Wingdings" w:hAnsi="Wingdings" w:hint="default"/>
      </w:rPr>
    </w:lvl>
    <w:lvl w:ilvl="3" w:tplc="FF00412A">
      <w:start w:val="1"/>
      <w:numFmt w:val="bullet"/>
      <w:lvlText w:val=""/>
      <w:lvlJc w:val="left"/>
      <w:pPr>
        <w:ind w:left="2880" w:hanging="360"/>
      </w:pPr>
      <w:rPr>
        <w:rFonts w:ascii="Symbol" w:hAnsi="Symbol" w:hint="default"/>
      </w:rPr>
    </w:lvl>
    <w:lvl w:ilvl="4" w:tplc="72C088EA">
      <w:start w:val="1"/>
      <w:numFmt w:val="bullet"/>
      <w:lvlText w:val="o"/>
      <w:lvlJc w:val="left"/>
      <w:pPr>
        <w:ind w:left="3600" w:hanging="360"/>
      </w:pPr>
      <w:rPr>
        <w:rFonts w:ascii="Courier New" w:hAnsi="Courier New" w:hint="default"/>
      </w:rPr>
    </w:lvl>
    <w:lvl w:ilvl="5" w:tplc="053C2DD2">
      <w:start w:val="1"/>
      <w:numFmt w:val="bullet"/>
      <w:lvlText w:val=""/>
      <w:lvlJc w:val="left"/>
      <w:pPr>
        <w:ind w:left="4320" w:hanging="360"/>
      </w:pPr>
      <w:rPr>
        <w:rFonts w:ascii="Wingdings" w:hAnsi="Wingdings" w:hint="default"/>
      </w:rPr>
    </w:lvl>
    <w:lvl w:ilvl="6" w:tplc="331C281C">
      <w:start w:val="1"/>
      <w:numFmt w:val="bullet"/>
      <w:lvlText w:val=""/>
      <w:lvlJc w:val="left"/>
      <w:pPr>
        <w:ind w:left="5040" w:hanging="360"/>
      </w:pPr>
      <w:rPr>
        <w:rFonts w:ascii="Symbol" w:hAnsi="Symbol" w:hint="default"/>
      </w:rPr>
    </w:lvl>
    <w:lvl w:ilvl="7" w:tplc="2A2425B0">
      <w:start w:val="1"/>
      <w:numFmt w:val="bullet"/>
      <w:lvlText w:val="o"/>
      <w:lvlJc w:val="left"/>
      <w:pPr>
        <w:ind w:left="5760" w:hanging="360"/>
      </w:pPr>
      <w:rPr>
        <w:rFonts w:ascii="Courier New" w:hAnsi="Courier New" w:hint="default"/>
      </w:rPr>
    </w:lvl>
    <w:lvl w:ilvl="8" w:tplc="267261EA">
      <w:start w:val="1"/>
      <w:numFmt w:val="bullet"/>
      <w:lvlText w:val=""/>
      <w:lvlJc w:val="left"/>
      <w:pPr>
        <w:ind w:left="6480" w:hanging="360"/>
      </w:pPr>
      <w:rPr>
        <w:rFonts w:ascii="Wingdings" w:hAnsi="Wingdings" w:hint="default"/>
      </w:rPr>
    </w:lvl>
  </w:abstractNum>
  <w:num w:numId="1" w16cid:durableId="503281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FE989C"/>
    <w:rsid w:val="00321485"/>
    <w:rsid w:val="00432A47"/>
    <w:rsid w:val="00487B1A"/>
    <w:rsid w:val="00601166"/>
    <w:rsid w:val="0067675E"/>
    <w:rsid w:val="006D1359"/>
    <w:rsid w:val="008532EF"/>
    <w:rsid w:val="00896619"/>
    <w:rsid w:val="00A339DA"/>
    <w:rsid w:val="00A96E1A"/>
    <w:rsid w:val="00DC732D"/>
    <w:rsid w:val="0114CEFC"/>
    <w:rsid w:val="0189DABB"/>
    <w:rsid w:val="02AA8C62"/>
    <w:rsid w:val="0457644A"/>
    <w:rsid w:val="053698BE"/>
    <w:rsid w:val="062CE9B2"/>
    <w:rsid w:val="0644EB6E"/>
    <w:rsid w:val="064A598C"/>
    <w:rsid w:val="0673946F"/>
    <w:rsid w:val="06866752"/>
    <w:rsid w:val="06BBB9E8"/>
    <w:rsid w:val="0700311E"/>
    <w:rsid w:val="074FA8BC"/>
    <w:rsid w:val="08F09DE7"/>
    <w:rsid w:val="0985F859"/>
    <w:rsid w:val="09940C86"/>
    <w:rsid w:val="09FD90D9"/>
    <w:rsid w:val="0A9E2F21"/>
    <w:rsid w:val="0B48187C"/>
    <w:rsid w:val="0BA5F3D1"/>
    <w:rsid w:val="0BB52A16"/>
    <w:rsid w:val="0E762A9F"/>
    <w:rsid w:val="12A4E25A"/>
    <w:rsid w:val="12DA97CC"/>
    <w:rsid w:val="13179AD3"/>
    <w:rsid w:val="13563A54"/>
    <w:rsid w:val="15D17117"/>
    <w:rsid w:val="18FEE184"/>
    <w:rsid w:val="1904662D"/>
    <w:rsid w:val="19993FDA"/>
    <w:rsid w:val="1B0E7624"/>
    <w:rsid w:val="1C4B3175"/>
    <w:rsid w:val="1C8CCF04"/>
    <w:rsid w:val="1EE5243F"/>
    <w:rsid w:val="1F0FC491"/>
    <w:rsid w:val="1FD03A00"/>
    <w:rsid w:val="21FEABA4"/>
    <w:rsid w:val="2326D1E9"/>
    <w:rsid w:val="24CBA322"/>
    <w:rsid w:val="255F3EA3"/>
    <w:rsid w:val="25BA6997"/>
    <w:rsid w:val="26707FD8"/>
    <w:rsid w:val="27343AFF"/>
    <w:rsid w:val="279B935A"/>
    <w:rsid w:val="27F5E331"/>
    <w:rsid w:val="2829B606"/>
    <w:rsid w:val="28EC8DD6"/>
    <w:rsid w:val="29653E99"/>
    <w:rsid w:val="2A3D0267"/>
    <w:rsid w:val="2A47453F"/>
    <w:rsid w:val="2A5BE385"/>
    <w:rsid w:val="2A8A6298"/>
    <w:rsid w:val="2C39439A"/>
    <w:rsid w:val="2F5DD98D"/>
    <w:rsid w:val="3081A029"/>
    <w:rsid w:val="326675BC"/>
    <w:rsid w:val="3281A7E8"/>
    <w:rsid w:val="334E8D66"/>
    <w:rsid w:val="33F3550A"/>
    <w:rsid w:val="34399B54"/>
    <w:rsid w:val="3572C379"/>
    <w:rsid w:val="39BC9687"/>
    <w:rsid w:val="3AC354E0"/>
    <w:rsid w:val="3C1871DC"/>
    <w:rsid w:val="3C3D4298"/>
    <w:rsid w:val="3D97B0E0"/>
    <w:rsid w:val="3DCFF044"/>
    <w:rsid w:val="429B2BAA"/>
    <w:rsid w:val="45185DB1"/>
    <w:rsid w:val="46309FD7"/>
    <w:rsid w:val="4653C113"/>
    <w:rsid w:val="46FAA2F3"/>
    <w:rsid w:val="46FC06C9"/>
    <w:rsid w:val="485F1728"/>
    <w:rsid w:val="49365C86"/>
    <w:rsid w:val="49A39D71"/>
    <w:rsid w:val="4A002A86"/>
    <w:rsid w:val="4CC8AEFA"/>
    <w:rsid w:val="4D7DA00F"/>
    <w:rsid w:val="4DD236C4"/>
    <w:rsid w:val="513F3EE3"/>
    <w:rsid w:val="5155C47A"/>
    <w:rsid w:val="538EA5B6"/>
    <w:rsid w:val="53EEAFF6"/>
    <w:rsid w:val="549D89D7"/>
    <w:rsid w:val="567D6C86"/>
    <w:rsid w:val="575892B9"/>
    <w:rsid w:val="57FE989C"/>
    <w:rsid w:val="5898B143"/>
    <w:rsid w:val="590286A3"/>
    <w:rsid w:val="59D09B3C"/>
    <w:rsid w:val="5B5696C3"/>
    <w:rsid w:val="5B870852"/>
    <w:rsid w:val="5E0518D4"/>
    <w:rsid w:val="5E37E2AA"/>
    <w:rsid w:val="5EFBF5F3"/>
    <w:rsid w:val="60376101"/>
    <w:rsid w:val="61035FEF"/>
    <w:rsid w:val="615CCCA5"/>
    <w:rsid w:val="61EC3289"/>
    <w:rsid w:val="62FEBFC5"/>
    <w:rsid w:val="63ACDF94"/>
    <w:rsid w:val="64F61E65"/>
    <w:rsid w:val="65943F6E"/>
    <w:rsid w:val="67A6E740"/>
    <w:rsid w:val="67AEF688"/>
    <w:rsid w:val="69395BC3"/>
    <w:rsid w:val="694E89E0"/>
    <w:rsid w:val="697B079C"/>
    <w:rsid w:val="6A24B94D"/>
    <w:rsid w:val="6AF44C4B"/>
    <w:rsid w:val="6B1F849B"/>
    <w:rsid w:val="6B6F4680"/>
    <w:rsid w:val="6BE29CBD"/>
    <w:rsid w:val="6C49AF3E"/>
    <w:rsid w:val="6CDFBF24"/>
    <w:rsid w:val="6DB0CE6B"/>
    <w:rsid w:val="703CD02F"/>
    <w:rsid w:val="7128F6FB"/>
    <w:rsid w:val="727FBD3C"/>
    <w:rsid w:val="72D3323A"/>
    <w:rsid w:val="73020663"/>
    <w:rsid w:val="733ED5F9"/>
    <w:rsid w:val="7354753A"/>
    <w:rsid w:val="749A4053"/>
    <w:rsid w:val="76BF6569"/>
    <w:rsid w:val="76E6A97F"/>
    <w:rsid w:val="77F1FCCC"/>
    <w:rsid w:val="789FE8AF"/>
    <w:rsid w:val="792CBD77"/>
    <w:rsid w:val="7A7C8EE2"/>
    <w:rsid w:val="7B17F681"/>
    <w:rsid w:val="7BA659CE"/>
    <w:rsid w:val="7BE9FC5D"/>
    <w:rsid w:val="7C9FB531"/>
    <w:rsid w:val="7CC5CF6A"/>
    <w:rsid w:val="7CD32937"/>
    <w:rsid w:val="7CF32A1C"/>
    <w:rsid w:val="7D0F250D"/>
    <w:rsid w:val="7F752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8F85C"/>
  <w15:chartTrackingRefBased/>
  <w15:docId w15:val="{EE6300CB-18A8-44FA-85CF-9B47BD6BE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90286A3"/>
    <w:rPr>
      <w:rFonts w:eastAsia="Arial" w:cs="Arial"/>
    </w:rPr>
  </w:style>
  <w:style w:type="paragraph" w:styleId="Heading1">
    <w:name w:val="heading 1"/>
    <w:basedOn w:val="Normal"/>
    <w:next w:val="Normal"/>
    <w:uiPriority w:val="9"/>
    <w:qFormat/>
    <w:rsid w:val="59028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90286A3"/>
    <w:pPr>
      <w:keepNext/>
      <w:keepLines/>
      <w:spacing w:before="160" w:after="80"/>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590286A3"/>
    <w:pPr>
      <w:keepNext/>
      <w:keepLines/>
      <w:spacing w:before="160" w:after="80"/>
      <w:outlineLvl w:val="2"/>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590286A3"/>
    <w:rPr>
      <w:rFonts w:asciiTheme="minorHAnsi" w:eastAsiaTheme="majorEastAsia" w:hAnsiTheme="minorHAnsi" w:cstheme="majorBidi"/>
      <w:b/>
      <w:bCs/>
      <w:noProof w:val="0"/>
      <w:color w:val="0F4761" w:themeColor="accent1" w:themeShade="BF"/>
      <w:sz w:val="28"/>
      <w:szCs w:val="28"/>
      <w:lang w:val="en-GB"/>
    </w:rPr>
  </w:style>
  <w:style w:type="character" w:styleId="Hyperlink">
    <w:name w:val="Hyperlink"/>
    <w:basedOn w:val="DefaultParagraphFont"/>
    <w:uiPriority w:val="99"/>
    <w:unhideWhenUsed/>
    <w:rsid w:val="590286A3"/>
    <w:rPr>
      <w:color w:val="467886"/>
      <w:u w:val="single"/>
    </w:rPr>
  </w:style>
  <w:style w:type="paragraph" w:styleId="ListParagraph">
    <w:name w:val="List Paragraph"/>
    <w:basedOn w:val="Normal"/>
    <w:uiPriority w:val="34"/>
    <w:qFormat/>
    <w:rsid w:val="590286A3"/>
    <w:pPr>
      <w:ind w:left="720"/>
      <w:contextualSpacing/>
    </w:pPr>
  </w:style>
  <w:style w:type="paragraph" w:styleId="Header">
    <w:name w:val="header"/>
    <w:basedOn w:val="Normal"/>
    <w:uiPriority w:val="99"/>
    <w:unhideWhenUsed/>
    <w:rsid w:val="590286A3"/>
    <w:pPr>
      <w:tabs>
        <w:tab w:val="center" w:pos="4680"/>
        <w:tab w:val="right" w:pos="9360"/>
      </w:tabs>
      <w:spacing w:after="0" w:line="240" w:lineRule="auto"/>
    </w:pPr>
  </w:style>
  <w:style w:type="paragraph" w:styleId="Footer">
    <w:name w:val="footer"/>
    <w:basedOn w:val="Normal"/>
    <w:uiPriority w:val="99"/>
    <w:unhideWhenUsed/>
    <w:rsid w:val="590286A3"/>
    <w:pPr>
      <w:tabs>
        <w:tab w:val="center" w:pos="4680"/>
        <w:tab w:val="right" w:pos="9360"/>
      </w:tabs>
      <w:spacing w:after="0" w:line="240" w:lineRule="auto"/>
    </w:pPr>
  </w:style>
  <w:style w:type="paragraph" w:styleId="TOC2">
    <w:name w:val="toc 2"/>
    <w:basedOn w:val="Normal"/>
    <w:next w:val="Normal"/>
    <w:uiPriority w:val="39"/>
    <w:unhideWhenUsed/>
    <w:rsid w:val="590286A3"/>
    <w:pPr>
      <w:spacing w:after="100"/>
      <w:ind w:left="220"/>
    </w:pPr>
  </w:style>
  <w:style w:type="paragraph" w:styleId="TOC3">
    <w:name w:val="toc 3"/>
    <w:basedOn w:val="Normal"/>
    <w:next w:val="Normal"/>
    <w:uiPriority w:val="39"/>
    <w:unhideWhenUsed/>
    <w:rsid w:val="590286A3"/>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435727@student.uwtsd.ac.uk"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3086</Words>
  <Characters>17593</Characters>
  <Application>Microsoft Office Word</Application>
  <DocSecurity>0</DocSecurity>
  <Lines>146</Lines>
  <Paragraphs>41</Paragraphs>
  <ScaleCrop>false</ScaleCrop>
  <Company/>
  <LinksUpToDate>false</LinksUpToDate>
  <CharactersWithSpaces>20638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Husnain</dc:creator>
  <cp:keywords/>
  <dc:description/>
  <cp:lastModifiedBy>Muhammad Husnain</cp:lastModifiedBy>
  <cp:revision>2</cp:revision>
  <dcterms:created xsi:type="dcterms:W3CDTF">2026-07-16T23:36:00Z</dcterms:created>
  <dcterms:modified xsi:type="dcterms:W3CDTF">2026-07-16T23:36:00Z</dcterms:modified>
</cp:coreProperties>
</file>