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F960C1" w14:textId="2D01B397" w:rsidR="0032589E" w:rsidRDefault="0032589E" w:rsidP="00443475">
      <w:pPr>
        <w:rPr>
          <w:rFonts w:hAnsi="Times New Roman" w:cs="Times New Roman"/>
          <w:sz w:val="36"/>
          <w:szCs w:val="36"/>
        </w:rPr>
      </w:pPr>
      <w:r>
        <w:rPr>
          <w:noProof/>
          <w:lang w:val="en-US"/>
        </w:rPr>
        <w:drawing>
          <wp:inline distT="0" distB="0" distL="0" distR="0" wp14:anchorId="35537BC7" wp14:editId="2BB72432">
            <wp:extent cx="2209800" cy="74930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211109" cy="749744"/>
                    </a:xfrm>
                    <a:prstGeom prst="rect">
                      <a:avLst/>
                    </a:prstGeom>
                  </pic:spPr>
                </pic:pic>
              </a:graphicData>
            </a:graphic>
          </wp:inline>
        </w:drawing>
      </w:r>
    </w:p>
    <w:p w14:paraId="6602C474" w14:textId="412BFF99" w:rsidR="0032589E" w:rsidRPr="0032589E" w:rsidRDefault="0032589E" w:rsidP="0032589E">
      <w:pPr>
        <w:spacing w:line="480" w:lineRule="auto"/>
        <w:jc w:val="center"/>
        <w:rPr>
          <w:rFonts w:ascii="Times New Roman" w:hAnsi="Times New Roman" w:cs="Times New Roman"/>
          <w:b/>
          <w:bCs/>
          <w:sz w:val="36"/>
          <w:szCs w:val="36"/>
        </w:rPr>
      </w:pPr>
      <w:r w:rsidRPr="0032589E">
        <w:rPr>
          <w:rFonts w:ascii="Times New Roman" w:hAnsi="Times New Roman" w:cs="Times New Roman"/>
          <w:b/>
          <w:bCs/>
          <w:sz w:val="36"/>
          <w:szCs w:val="36"/>
        </w:rPr>
        <w:t>Certificate of Higher Education in Health and Social Care</w:t>
      </w:r>
      <w:r w:rsidRPr="0032589E">
        <w:rPr>
          <w:rFonts w:ascii="Times New Roman" w:hAnsi="Times New Roman" w:cs="Times New Roman"/>
          <w:b/>
          <w:bCs/>
          <w:sz w:val="36"/>
          <w:szCs w:val="36"/>
        </w:rPr>
        <w:br/>
        <w:t>Psychology in Health and Social Care</w:t>
      </w:r>
    </w:p>
    <w:p w14:paraId="133771B5" w14:textId="4B80D36C" w:rsidR="0032589E" w:rsidRPr="0032589E" w:rsidRDefault="0032589E" w:rsidP="0032589E">
      <w:pPr>
        <w:spacing w:line="480" w:lineRule="auto"/>
        <w:jc w:val="center"/>
        <w:rPr>
          <w:rFonts w:ascii="Times New Roman" w:hAnsi="Times New Roman" w:cs="Times New Roman"/>
          <w:sz w:val="28"/>
          <w:szCs w:val="28"/>
        </w:rPr>
      </w:pPr>
      <w:r w:rsidRPr="0032589E">
        <w:rPr>
          <w:rFonts w:ascii="Times New Roman" w:hAnsi="Times New Roman" w:cs="Times New Roman"/>
          <w:sz w:val="28"/>
          <w:szCs w:val="28"/>
        </w:rPr>
        <w:t>Assessment 2: Bibliography &amp; Report</w:t>
      </w:r>
      <w:r w:rsidRPr="0032589E">
        <w:rPr>
          <w:rFonts w:ascii="Times New Roman" w:hAnsi="Times New Roman" w:cs="Times New Roman"/>
          <w:sz w:val="28"/>
          <w:szCs w:val="28"/>
        </w:rPr>
        <w:br/>
        <w:t>Module Code: LCHS4010</w:t>
      </w:r>
      <w:r w:rsidRPr="0032589E">
        <w:rPr>
          <w:rFonts w:ascii="Times New Roman" w:hAnsi="Times New Roman" w:cs="Times New Roman"/>
          <w:sz w:val="28"/>
          <w:szCs w:val="28"/>
        </w:rPr>
        <w:br/>
        <w:t xml:space="preserve">Student Name: </w:t>
      </w:r>
      <w:r w:rsidR="00AC06FF">
        <w:rPr>
          <w:rFonts w:ascii="Times New Roman" w:hAnsi="Times New Roman" w:cs="Times New Roman"/>
          <w:sz w:val="28"/>
          <w:szCs w:val="28"/>
        </w:rPr>
        <w:t>Noreen kouser</w:t>
      </w:r>
      <w:bookmarkStart w:id="0" w:name="_GoBack"/>
      <w:bookmarkEnd w:id="0"/>
      <w:r w:rsidRPr="0032589E">
        <w:rPr>
          <w:rFonts w:ascii="Times New Roman" w:hAnsi="Times New Roman" w:cs="Times New Roman"/>
          <w:sz w:val="28"/>
          <w:szCs w:val="28"/>
        </w:rPr>
        <w:br/>
        <w:t>Word Count: 1500 words</w:t>
      </w:r>
      <w:r w:rsidRPr="0032589E">
        <w:rPr>
          <w:rFonts w:ascii="Times New Roman" w:hAnsi="Times New Roman" w:cs="Times New Roman"/>
          <w:sz w:val="28"/>
          <w:szCs w:val="28"/>
        </w:rPr>
        <w:br/>
        <w:t>Submission Date: Tuesday, 24th March 2026, 10 am</w:t>
      </w:r>
    </w:p>
    <w:p w14:paraId="26C4AB54" w14:textId="77777777" w:rsidR="0032589E" w:rsidRDefault="0032589E" w:rsidP="0032589E">
      <w:pPr>
        <w:spacing w:line="360" w:lineRule="auto"/>
        <w:jc w:val="both"/>
        <w:rPr>
          <w:rFonts w:ascii="Times New Roman" w:hAnsi="Times New Roman" w:cs="Times New Roman"/>
          <w:b/>
          <w:bCs/>
          <w:sz w:val="24"/>
          <w:szCs w:val="24"/>
        </w:rPr>
      </w:pPr>
    </w:p>
    <w:p w14:paraId="57BD00B5" w14:textId="77777777" w:rsidR="0032589E" w:rsidRDefault="0032589E" w:rsidP="0032589E">
      <w:pPr>
        <w:spacing w:line="360" w:lineRule="auto"/>
        <w:jc w:val="both"/>
        <w:rPr>
          <w:rFonts w:ascii="Times New Roman" w:hAnsi="Times New Roman" w:cs="Times New Roman"/>
          <w:b/>
          <w:bCs/>
          <w:sz w:val="24"/>
          <w:szCs w:val="24"/>
        </w:rPr>
      </w:pPr>
    </w:p>
    <w:p w14:paraId="568DB0A9" w14:textId="77777777" w:rsidR="0032589E" w:rsidRDefault="0032589E" w:rsidP="0032589E">
      <w:pPr>
        <w:spacing w:line="360" w:lineRule="auto"/>
        <w:jc w:val="both"/>
        <w:rPr>
          <w:rFonts w:ascii="Times New Roman" w:hAnsi="Times New Roman" w:cs="Times New Roman"/>
          <w:b/>
          <w:bCs/>
          <w:sz w:val="24"/>
          <w:szCs w:val="24"/>
        </w:rPr>
      </w:pPr>
    </w:p>
    <w:p w14:paraId="06E7A966" w14:textId="77777777" w:rsidR="0032589E" w:rsidRDefault="0032589E" w:rsidP="0032589E">
      <w:pPr>
        <w:spacing w:line="360" w:lineRule="auto"/>
        <w:jc w:val="both"/>
        <w:rPr>
          <w:rFonts w:ascii="Times New Roman" w:hAnsi="Times New Roman" w:cs="Times New Roman"/>
          <w:b/>
          <w:bCs/>
          <w:sz w:val="24"/>
          <w:szCs w:val="24"/>
        </w:rPr>
      </w:pPr>
    </w:p>
    <w:p w14:paraId="25B5B795" w14:textId="77777777" w:rsidR="0032589E" w:rsidRDefault="0032589E" w:rsidP="0032589E">
      <w:pPr>
        <w:spacing w:line="360" w:lineRule="auto"/>
        <w:jc w:val="both"/>
        <w:rPr>
          <w:rFonts w:ascii="Times New Roman" w:hAnsi="Times New Roman" w:cs="Times New Roman"/>
          <w:b/>
          <w:bCs/>
          <w:sz w:val="24"/>
          <w:szCs w:val="24"/>
        </w:rPr>
      </w:pPr>
    </w:p>
    <w:p w14:paraId="7ABB689E" w14:textId="77777777" w:rsidR="0032589E" w:rsidRDefault="0032589E" w:rsidP="0032589E">
      <w:pPr>
        <w:spacing w:line="360" w:lineRule="auto"/>
        <w:jc w:val="both"/>
        <w:rPr>
          <w:rFonts w:ascii="Times New Roman" w:hAnsi="Times New Roman" w:cs="Times New Roman"/>
          <w:b/>
          <w:bCs/>
          <w:sz w:val="24"/>
          <w:szCs w:val="24"/>
        </w:rPr>
      </w:pPr>
    </w:p>
    <w:p w14:paraId="12DFAD64" w14:textId="77777777" w:rsidR="0032589E" w:rsidRDefault="0032589E" w:rsidP="0032589E">
      <w:pPr>
        <w:spacing w:line="360" w:lineRule="auto"/>
        <w:jc w:val="both"/>
        <w:rPr>
          <w:rFonts w:ascii="Times New Roman" w:hAnsi="Times New Roman" w:cs="Times New Roman"/>
          <w:b/>
          <w:bCs/>
          <w:sz w:val="24"/>
          <w:szCs w:val="24"/>
        </w:rPr>
      </w:pPr>
    </w:p>
    <w:p w14:paraId="566C585F" w14:textId="452C2F28" w:rsidR="00C70318" w:rsidRPr="00C70318" w:rsidRDefault="00C70318" w:rsidP="0032589E">
      <w:pPr>
        <w:pStyle w:val="Heading1"/>
      </w:pPr>
      <w:r w:rsidRPr="00C70318">
        <w:lastRenderedPageBreak/>
        <w:t xml:space="preserve">Part A: Annotated Bibliography </w:t>
      </w:r>
    </w:p>
    <w:p w14:paraId="1587158C" w14:textId="77777777" w:rsidR="00C70318" w:rsidRPr="00C70318" w:rsidRDefault="00C70318" w:rsidP="0032589E">
      <w:pPr>
        <w:spacing w:line="360" w:lineRule="auto"/>
        <w:jc w:val="both"/>
        <w:rPr>
          <w:rFonts w:ascii="Times New Roman" w:hAnsi="Times New Roman" w:cs="Times New Roman"/>
          <w:b/>
          <w:bCs/>
          <w:sz w:val="24"/>
          <w:szCs w:val="24"/>
        </w:rPr>
      </w:pPr>
      <w:r w:rsidRPr="00C70318">
        <w:rPr>
          <w:rFonts w:ascii="Times New Roman" w:hAnsi="Times New Roman" w:cs="Times New Roman"/>
          <w:b/>
          <w:bCs/>
          <w:sz w:val="24"/>
          <w:szCs w:val="24"/>
        </w:rPr>
        <w:t>Source 1 — Life Story Work Based on Erikson’s Theory</w:t>
      </w:r>
    </w:p>
    <w:p w14:paraId="7A5257F3" w14:textId="06869790" w:rsidR="00C70318" w:rsidRPr="00C70318" w:rsidRDefault="00C70318" w:rsidP="0032589E">
      <w:pPr>
        <w:spacing w:line="360" w:lineRule="auto"/>
        <w:jc w:val="both"/>
        <w:rPr>
          <w:rFonts w:ascii="Times New Roman" w:hAnsi="Times New Roman" w:cs="Times New Roman"/>
          <w:sz w:val="24"/>
          <w:szCs w:val="24"/>
        </w:rPr>
      </w:pPr>
      <w:r w:rsidRPr="00C70318">
        <w:rPr>
          <w:rFonts w:ascii="Times New Roman" w:hAnsi="Times New Roman" w:cs="Times New Roman"/>
          <w:b/>
          <w:bCs/>
          <w:sz w:val="24"/>
          <w:szCs w:val="24"/>
        </w:rPr>
        <w:t xml:space="preserve">Reference </w:t>
      </w:r>
      <w:r w:rsidRPr="00C70318">
        <w:rPr>
          <w:rFonts w:ascii="Times New Roman" w:hAnsi="Times New Roman" w:cs="Times New Roman"/>
          <w:sz w:val="24"/>
          <w:szCs w:val="24"/>
        </w:rPr>
        <w:br/>
        <w:t xml:space="preserve">Abbasi, M., Radfar, M., Hossein Jafarizadeh, &amp; Hamidreza Khalkhali. (2024). Does life story work based on Erikson’s theory enhance psychological well-being in elderly residents of nursing homes? A randomized controlled trial. </w:t>
      </w:r>
      <w:r w:rsidRPr="00C70318">
        <w:rPr>
          <w:rFonts w:ascii="Times New Roman" w:hAnsi="Times New Roman" w:cs="Times New Roman"/>
          <w:i/>
          <w:iCs/>
          <w:sz w:val="24"/>
          <w:szCs w:val="24"/>
        </w:rPr>
        <w:t>Geriatric Nursing</w:t>
      </w:r>
      <w:r w:rsidRPr="00C70318">
        <w:rPr>
          <w:rFonts w:ascii="Times New Roman" w:hAnsi="Times New Roman" w:cs="Times New Roman"/>
          <w:sz w:val="24"/>
          <w:szCs w:val="24"/>
        </w:rPr>
        <w:t xml:space="preserve">, 61, 140–148. </w:t>
      </w:r>
      <w:hyperlink r:id="rId8" w:tgtFrame="_new" w:history="1">
        <w:r w:rsidRPr="00C70318">
          <w:rPr>
            <w:rStyle w:val="Hyperlink"/>
            <w:rFonts w:ascii="Times New Roman" w:hAnsi="Times New Roman" w:cs="Times New Roman"/>
            <w:sz w:val="24"/>
            <w:szCs w:val="24"/>
          </w:rPr>
          <w:t>https://doi.org/10.1016/j.gerinurse.2024.10.066</w:t>
        </w:r>
      </w:hyperlink>
    </w:p>
    <w:p w14:paraId="4404F90B" w14:textId="69213729" w:rsidR="002041B6" w:rsidRPr="0032589E" w:rsidRDefault="00C70318" w:rsidP="0032589E">
      <w:pPr>
        <w:spacing w:line="360" w:lineRule="auto"/>
        <w:jc w:val="both"/>
        <w:rPr>
          <w:rFonts w:ascii="Times New Roman" w:hAnsi="Times New Roman" w:cs="Times New Roman"/>
          <w:sz w:val="24"/>
          <w:szCs w:val="24"/>
        </w:rPr>
      </w:pPr>
      <w:r w:rsidRPr="00C70318">
        <w:rPr>
          <w:rFonts w:ascii="Times New Roman" w:hAnsi="Times New Roman" w:cs="Times New Roman"/>
          <w:b/>
          <w:bCs/>
          <w:sz w:val="24"/>
          <w:szCs w:val="24"/>
        </w:rPr>
        <w:t>Summary</w:t>
      </w:r>
    </w:p>
    <w:p w14:paraId="6D0BA14E" w14:textId="77777777"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This randomised controlled trial involved the effect of the life storey work (LSW) on Erikson psychosocial stages of development, and in this case, we were dealing with the stage of Integrity vs. Despair. The study established that the engagement in structured life storey activities contributed to psychological wellbeing of older nursing home residents, which contributed to a sense of integrity and life satisfaction. The research showed the beneficial impact of reflection on the previous life events when older adults had an opportunity to develop a sense of meaning and purpose, which is one of the essential parts of the latter stages of the development according to Erikson.</w:t>
      </w:r>
    </w:p>
    <w:p w14:paraId="72382D63" w14:textId="77777777" w:rsidR="002041B6" w:rsidRPr="0032589E" w:rsidRDefault="002041B6" w:rsidP="0032589E">
      <w:pPr>
        <w:spacing w:line="360" w:lineRule="auto"/>
        <w:jc w:val="both"/>
        <w:rPr>
          <w:rFonts w:ascii="Times New Roman" w:hAnsi="Times New Roman" w:cs="Times New Roman"/>
          <w:b/>
          <w:bCs/>
          <w:sz w:val="24"/>
          <w:szCs w:val="24"/>
        </w:rPr>
      </w:pPr>
      <w:r w:rsidRPr="0032589E">
        <w:rPr>
          <w:rFonts w:ascii="Times New Roman" w:hAnsi="Times New Roman" w:cs="Times New Roman"/>
          <w:b/>
          <w:bCs/>
          <w:sz w:val="24"/>
          <w:szCs w:val="24"/>
        </w:rPr>
        <w:t>Critical Comment</w:t>
      </w:r>
    </w:p>
    <w:p w14:paraId="6EF0DF77" w14:textId="031FB13C" w:rsidR="00C70318" w:rsidRPr="00C70318"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This article is very applicable in health and social care environments, particularly nursing home patients, because it postulates how life review interventions can be useful in curbing despair feelings among the aged. This intervention is feasible and in line with the theories of Erikson, which advances wellbeing by proving life experiences. Nevertheless, although the research offers excellent results, it is difficult because not every older adult will be willing and capable of practising deep reflection because of the cognitive impairment or emotional obstacles.</w:t>
      </w:r>
    </w:p>
    <w:p w14:paraId="29B9D73C" w14:textId="77777777" w:rsidR="00C70318" w:rsidRPr="00C70318" w:rsidRDefault="00C70318" w:rsidP="0032589E">
      <w:pPr>
        <w:spacing w:line="360" w:lineRule="auto"/>
        <w:jc w:val="both"/>
        <w:rPr>
          <w:rFonts w:ascii="Times New Roman" w:hAnsi="Times New Roman" w:cs="Times New Roman"/>
          <w:b/>
          <w:bCs/>
          <w:sz w:val="24"/>
          <w:szCs w:val="24"/>
        </w:rPr>
      </w:pPr>
      <w:r w:rsidRPr="00C70318">
        <w:rPr>
          <w:rFonts w:ascii="Times New Roman" w:hAnsi="Times New Roman" w:cs="Times New Roman"/>
          <w:b/>
          <w:bCs/>
          <w:sz w:val="24"/>
          <w:szCs w:val="24"/>
        </w:rPr>
        <w:t>Source 2 — Subjective Well-being in Older Adults</w:t>
      </w:r>
    </w:p>
    <w:p w14:paraId="5982EE24" w14:textId="77777777" w:rsidR="00C70318" w:rsidRPr="00C70318" w:rsidRDefault="00C70318" w:rsidP="0032589E">
      <w:pPr>
        <w:spacing w:line="360" w:lineRule="auto"/>
        <w:jc w:val="both"/>
        <w:rPr>
          <w:rFonts w:ascii="Times New Roman" w:hAnsi="Times New Roman" w:cs="Times New Roman"/>
          <w:sz w:val="24"/>
          <w:szCs w:val="24"/>
        </w:rPr>
      </w:pPr>
      <w:r w:rsidRPr="00C70318">
        <w:rPr>
          <w:rFonts w:ascii="Times New Roman" w:hAnsi="Times New Roman" w:cs="Times New Roman"/>
          <w:b/>
          <w:bCs/>
          <w:sz w:val="24"/>
          <w:szCs w:val="24"/>
        </w:rPr>
        <w:lastRenderedPageBreak/>
        <w:t>Reference (UWTSD Harvard Style)</w:t>
      </w:r>
      <w:r w:rsidRPr="00C70318">
        <w:rPr>
          <w:rFonts w:ascii="Times New Roman" w:hAnsi="Times New Roman" w:cs="Times New Roman"/>
          <w:sz w:val="24"/>
          <w:szCs w:val="24"/>
        </w:rPr>
        <w:br/>
        <w:t xml:space="preserve">Karina, V. (2022). Subjective well-being in older adults. </w:t>
      </w:r>
      <w:r w:rsidRPr="00C70318">
        <w:rPr>
          <w:rFonts w:ascii="Times New Roman" w:hAnsi="Times New Roman" w:cs="Times New Roman"/>
          <w:i/>
          <w:iCs/>
          <w:sz w:val="24"/>
          <w:szCs w:val="24"/>
        </w:rPr>
        <w:t>Journal of Positive Psychology and Wellbeing</w:t>
      </w:r>
      <w:r w:rsidRPr="00C70318">
        <w:rPr>
          <w:rFonts w:ascii="Times New Roman" w:hAnsi="Times New Roman" w:cs="Times New Roman"/>
          <w:sz w:val="24"/>
          <w:szCs w:val="24"/>
        </w:rPr>
        <w:t xml:space="preserve">, 6(1), 3065–3075. </w:t>
      </w:r>
      <w:hyperlink r:id="rId9" w:tgtFrame="_new" w:history="1">
        <w:r w:rsidRPr="00C70318">
          <w:rPr>
            <w:rStyle w:val="Hyperlink"/>
            <w:rFonts w:ascii="Times New Roman" w:hAnsi="Times New Roman" w:cs="Times New Roman"/>
            <w:sz w:val="24"/>
            <w:szCs w:val="24"/>
          </w:rPr>
          <w:t>https://journalppw.com/index.php/jppw/article/view/4796</w:t>
        </w:r>
      </w:hyperlink>
    </w:p>
    <w:p w14:paraId="0EF6B0A6" w14:textId="11B8938D" w:rsidR="002041B6" w:rsidRPr="0032589E" w:rsidRDefault="00C70318" w:rsidP="0032589E">
      <w:pPr>
        <w:spacing w:line="360" w:lineRule="auto"/>
        <w:jc w:val="both"/>
        <w:rPr>
          <w:rFonts w:ascii="Times New Roman" w:hAnsi="Times New Roman" w:cs="Times New Roman"/>
          <w:sz w:val="24"/>
          <w:szCs w:val="24"/>
        </w:rPr>
      </w:pPr>
      <w:r w:rsidRPr="00C70318">
        <w:rPr>
          <w:rFonts w:ascii="Times New Roman" w:hAnsi="Times New Roman" w:cs="Times New Roman"/>
          <w:b/>
          <w:bCs/>
          <w:sz w:val="24"/>
          <w:szCs w:val="24"/>
        </w:rPr>
        <w:t>Summary</w:t>
      </w:r>
    </w:p>
    <w:p w14:paraId="18F7DD5F" w14:textId="77777777"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The article is devoted to the notion of subjective well-being (SWB) in older adults with a certain level of interest to its importance in helping to develop positive emotional and psychological conditions. It examines possible ways of implementing Positive Psychology (in particular, the PERMA model) to older people, in order to improve their life satisfaction and resilience and increase their sense of meaningfulness in life. The article talks about different interventions, such as mindfulness and community involvement, which can have significant effects in enhancing emotional health as it is based on positive emotions and meaningful activities.</w:t>
      </w:r>
    </w:p>
    <w:p w14:paraId="77F44460" w14:textId="77777777" w:rsidR="002041B6" w:rsidRPr="0032589E" w:rsidRDefault="002041B6" w:rsidP="0032589E">
      <w:pPr>
        <w:spacing w:line="360" w:lineRule="auto"/>
        <w:jc w:val="both"/>
        <w:rPr>
          <w:rFonts w:ascii="Times New Roman" w:hAnsi="Times New Roman" w:cs="Times New Roman"/>
          <w:b/>
          <w:bCs/>
          <w:sz w:val="24"/>
          <w:szCs w:val="24"/>
        </w:rPr>
      </w:pPr>
      <w:r w:rsidRPr="0032589E">
        <w:rPr>
          <w:rFonts w:ascii="Times New Roman" w:hAnsi="Times New Roman" w:cs="Times New Roman"/>
          <w:b/>
          <w:bCs/>
          <w:sz w:val="24"/>
          <w:szCs w:val="24"/>
        </w:rPr>
        <w:t>Critical Comment</w:t>
      </w:r>
    </w:p>
    <w:p w14:paraId="3DC1849E" w14:textId="01A0A183" w:rsidR="00C70318" w:rsidRPr="00C70318"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The article is very topical because it ties up Positive Psychology and subjective wellbeing to the older adults directly. It highlights the role of psychological measures that promote interactions and self-realisation as primary factors in enhancing overall wellbeing in a setting of care. One of the limitations is that the mentioned interventions are universalized, and it can be complicated to implement those methods in patients with impaired cognitive abilities seriously or those who are reluctant to engage in the participation.</w:t>
      </w:r>
    </w:p>
    <w:p w14:paraId="440980A2" w14:textId="77777777" w:rsidR="00C70318" w:rsidRPr="00C70318" w:rsidRDefault="00C70318" w:rsidP="0032589E">
      <w:pPr>
        <w:spacing w:line="360" w:lineRule="auto"/>
        <w:rPr>
          <w:rFonts w:ascii="Times New Roman" w:hAnsi="Times New Roman" w:cs="Times New Roman"/>
          <w:b/>
          <w:bCs/>
          <w:sz w:val="24"/>
          <w:szCs w:val="24"/>
        </w:rPr>
      </w:pPr>
      <w:r w:rsidRPr="00C70318">
        <w:rPr>
          <w:rFonts w:ascii="Times New Roman" w:hAnsi="Times New Roman" w:cs="Times New Roman"/>
          <w:b/>
          <w:bCs/>
          <w:sz w:val="24"/>
          <w:szCs w:val="24"/>
        </w:rPr>
        <w:t>Source 3 — Enhancing Subjective Wellbeing with Positive Psychology</w:t>
      </w:r>
    </w:p>
    <w:p w14:paraId="3B989B85" w14:textId="77777777" w:rsidR="00C70318" w:rsidRPr="00C70318" w:rsidRDefault="00C70318" w:rsidP="0032589E">
      <w:pPr>
        <w:spacing w:line="360" w:lineRule="auto"/>
        <w:rPr>
          <w:rFonts w:ascii="Times New Roman" w:hAnsi="Times New Roman" w:cs="Times New Roman"/>
          <w:sz w:val="24"/>
          <w:szCs w:val="24"/>
        </w:rPr>
      </w:pPr>
      <w:r w:rsidRPr="00C70318">
        <w:rPr>
          <w:rFonts w:ascii="Times New Roman" w:hAnsi="Times New Roman" w:cs="Times New Roman"/>
          <w:b/>
          <w:bCs/>
          <w:sz w:val="24"/>
          <w:szCs w:val="24"/>
        </w:rPr>
        <w:t>Reference (UWTSD Harvard Style)</w:t>
      </w:r>
      <w:r w:rsidRPr="00C70318">
        <w:rPr>
          <w:rFonts w:ascii="Times New Roman" w:hAnsi="Times New Roman" w:cs="Times New Roman"/>
          <w:sz w:val="24"/>
          <w:szCs w:val="24"/>
        </w:rPr>
        <w:br/>
      </w:r>
      <w:proofErr w:type="spellStart"/>
      <w:r w:rsidRPr="00C70318">
        <w:rPr>
          <w:rFonts w:ascii="Times New Roman" w:hAnsi="Times New Roman" w:cs="Times New Roman"/>
          <w:sz w:val="24"/>
          <w:szCs w:val="24"/>
        </w:rPr>
        <w:t>Tsiflikioti</w:t>
      </w:r>
      <w:proofErr w:type="spellEnd"/>
      <w:r w:rsidRPr="00C70318">
        <w:rPr>
          <w:rFonts w:ascii="Times New Roman" w:hAnsi="Times New Roman" w:cs="Times New Roman"/>
          <w:sz w:val="24"/>
          <w:szCs w:val="24"/>
        </w:rPr>
        <w:t xml:space="preserve">, K., Moraitou, D., </w:t>
      </w:r>
      <w:proofErr w:type="spellStart"/>
      <w:r w:rsidRPr="00C70318">
        <w:rPr>
          <w:rFonts w:ascii="Times New Roman" w:hAnsi="Times New Roman" w:cs="Times New Roman"/>
          <w:sz w:val="24"/>
          <w:szCs w:val="24"/>
        </w:rPr>
        <w:t>Pezirkianidis</w:t>
      </w:r>
      <w:proofErr w:type="spellEnd"/>
      <w:r w:rsidRPr="00C70318">
        <w:rPr>
          <w:rFonts w:ascii="Times New Roman" w:hAnsi="Times New Roman" w:cs="Times New Roman"/>
          <w:sz w:val="24"/>
          <w:szCs w:val="24"/>
        </w:rPr>
        <w:t xml:space="preserve">, C., Papantoniou, G., </w:t>
      </w:r>
      <w:proofErr w:type="spellStart"/>
      <w:r w:rsidRPr="00C70318">
        <w:rPr>
          <w:rFonts w:ascii="Times New Roman" w:hAnsi="Times New Roman" w:cs="Times New Roman"/>
          <w:sz w:val="24"/>
          <w:szCs w:val="24"/>
        </w:rPr>
        <w:t>Sofologi</w:t>
      </w:r>
      <w:proofErr w:type="spellEnd"/>
      <w:r w:rsidRPr="00C70318">
        <w:rPr>
          <w:rFonts w:ascii="Times New Roman" w:hAnsi="Times New Roman" w:cs="Times New Roman"/>
          <w:sz w:val="24"/>
          <w:szCs w:val="24"/>
        </w:rPr>
        <w:t xml:space="preserve">, M., </w:t>
      </w:r>
      <w:proofErr w:type="spellStart"/>
      <w:r w:rsidRPr="00C70318">
        <w:rPr>
          <w:rFonts w:ascii="Times New Roman" w:hAnsi="Times New Roman" w:cs="Times New Roman"/>
          <w:sz w:val="24"/>
          <w:szCs w:val="24"/>
        </w:rPr>
        <w:t>Kougioumtzis</w:t>
      </w:r>
      <w:proofErr w:type="spellEnd"/>
      <w:r w:rsidRPr="00C70318">
        <w:rPr>
          <w:rFonts w:ascii="Times New Roman" w:hAnsi="Times New Roman" w:cs="Times New Roman"/>
          <w:sz w:val="24"/>
          <w:szCs w:val="24"/>
        </w:rPr>
        <w:t xml:space="preserve">, G. A., &amp; Tsolaki, M. (2023). Enhancing Subjective Wellbeing in Older Individuals with Amnestic Mild Cognitive Impairment: A Randomized Trial of a Positive Psychology Intervention. </w:t>
      </w:r>
      <w:proofErr w:type="spellStart"/>
      <w:r w:rsidRPr="00C70318">
        <w:rPr>
          <w:rFonts w:ascii="Times New Roman" w:hAnsi="Times New Roman" w:cs="Times New Roman"/>
          <w:i/>
          <w:iCs/>
          <w:sz w:val="24"/>
          <w:szCs w:val="24"/>
        </w:rPr>
        <w:t>Behavioral</w:t>
      </w:r>
      <w:proofErr w:type="spellEnd"/>
      <w:r w:rsidRPr="00C70318">
        <w:rPr>
          <w:rFonts w:ascii="Times New Roman" w:hAnsi="Times New Roman" w:cs="Times New Roman"/>
          <w:i/>
          <w:iCs/>
          <w:sz w:val="24"/>
          <w:szCs w:val="24"/>
        </w:rPr>
        <w:t xml:space="preserve"> Sciences</w:t>
      </w:r>
      <w:r w:rsidRPr="00C70318">
        <w:rPr>
          <w:rFonts w:ascii="Times New Roman" w:hAnsi="Times New Roman" w:cs="Times New Roman"/>
          <w:sz w:val="24"/>
          <w:szCs w:val="24"/>
        </w:rPr>
        <w:t xml:space="preserve">, 13(10), 838–838. </w:t>
      </w:r>
      <w:hyperlink r:id="rId10" w:tgtFrame="_new" w:history="1">
        <w:r w:rsidRPr="00C70318">
          <w:rPr>
            <w:rStyle w:val="Hyperlink"/>
            <w:rFonts w:ascii="Times New Roman" w:hAnsi="Times New Roman" w:cs="Times New Roman"/>
            <w:sz w:val="24"/>
            <w:szCs w:val="24"/>
          </w:rPr>
          <w:t>https://doi.org/10.3390/bs13100838</w:t>
        </w:r>
      </w:hyperlink>
    </w:p>
    <w:p w14:paraId="689320E5" w14:textId="05ABB1EB" w:rsidR="002041B6" w:rsidRPr="0032589E" w:rsidRDefault="00C70318" w:rsidP="0032589E">
      <w:pPr>
        <w:spacing w:line="360" w:lineRule="auto"/>
        <w:jc w:val="both"/>
        <w:rPr>
          <w:rFonts w:ascii="Times New Roman" w:hAnsi="Times New Roman" w:cs="Times New Roman"/>
          <w:sz w:val="24"/>
          <w:szCs w:val="24"/>
        </w:rPr>
      </w:pPr>
      <w:r w:rsidRPr="00C70318">
        <w:rPr>
          <w:rFonts w:ascii="Times New Roman" w:hAnsi="Times New Roman" w:cs="Times New Roman"/>
          <w:b/>
          <w:bCs/>
          <w:sz w:val="24"/>
          <w:szCs w:val="24"/>
        </w:rPr>
        <w:t>Summary</w:t>
      </w:r>
    </w:p>
    <w:p w14:paraId="7EE97CF9" w14:textId="77777777"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lastRenderedPageBreak/>
        <w:t>This was a randomised trial that investigated the impact of a Positive Psychology Intervention (PPI) on increasing subjective wellbeing in elderly patients with amnestic mild cognitive impairment (MCI) diagnosis. The research used the principles of PERMA to enable the participants to develop positive feelings, interest, and satisfaction in life. Findings indicated that the group that underwent the intervention made significant gains on mood, social life, and cognitive health implying the potential of positive psychology interventions to enable older adults with MCI to continue being emotionally healthy despite damage to their cognitive status.</w:t>
      </w:r>
    </w:p>
    <w:p w14:paraId="5E6C54A4" w14:textId="77777777" w:rsidR="002041B6" w:rsidRPr="0032589E" w:rsidRDefault="002041B6" w:rsidP="0032589E">
      <w:pPr>
        <w:spacing w:line="360" w:lineRule="auto"/>
        <w:jc w:val="both"/>
        <w:rPr>
          <w:rFonts w:ascii="Times New Roman" w:hAnsi="Times New Roman" w:cs="Times New Roman"/>
          <w:b/>
          <w:bCs/>
          <w:sz w:val="24"/>
          <w:szCs w:val="24"/>
        </w:rPr>
      </w:pPr>
      <w:r w:rsidRPr="0032589E">
        <w:rPr>
          <w:rFonts w:ascii="Times New Roman" w:hAnsi="Times New Roman" w:cs="Times New Roman"/>
          <w:b/>
          <w:bCs/>
          <w:sz w:val="24"/>
          <w:szCs w:val="24"/>
        </w:rPr>
        <w:t>Critical Comment</w:t>
      </w:r>
    </w:p>
    <w:p w14:paraId="18040912" w14:textId="62284FC3" w:rsidR="00C70318" w:rsidRPr="00C70318"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The source in question can be of special use to care professionals on the work with cognitively impaired elderly people due to the evidence that Positive Psychology can be used with people who otherwise could encounter various emotional issues as a result of memory loss. It shows that guided interventions can be used to promote constructive interaction even in patients having MCI. Nonetheless, one of the limitations is that the study involved MCI patients only, and it is not evident how these results can be generalised to older adults with the more advanced dementia.</w:t>
      </w:r>
    </w:p>
    <w:p w14:paraId="6DDCA9D0" w14:textId="77777777" w:rsidR="00C70318" w:rsidRPr="00C70318" w:rsidRDefault="00C70318" w:rsidP="0032589E">
      <w:pPr>
        <w:spacing w:line="360" w:lineRule="auto"/>
        <w:jc w:val="both"/>
        <w:rPr>
          <w:rFonts w:ascii="Times New Roman" w:hAnsi="Times New Roman" w:cs="Times New Roman"/>
          <w:b/>
          <w:bCs/>
          <w:sz w:val="24"/>
          <w:szCs w:val="24"/>
        </w:rPr>
      </w:pPr>
      <w:r w:rsidRPr="00C70318">
        <w:rPr>
          <w:rFonts w:ascii="Times New Roman" w:hAnsi="Times New Roman" w:cs="Times New Roman"/>
          <w:b/>
          <w:bCs/>
          <w:sz w:val="24"/>
          <w:szCs w:val="24"/>
        </w:rPr>
        <w:t>Source 4 — Attachment and Quality of Life in Older Adults</w:t>
      </w:r>
    </w:p>
    <w:p w14:paraId="456B8C32" w14:textId="77777777" w:rsidR="00C70318" w:rsidRPr="00C70318" w:rsidRDefault="00C70318" w:rsidP="0032589E">
      <w:pPr>
        <w:spacing w:line="360" w:lineRule="auto"/>
        <w:rPr>
          <w:rFonts w:ascii="Times New Roman" w:hAnsi="Times New Roman" w:cs="Times New Roman"/>
          <w:sz w:val="24"/>
          <w:szCs w:val="24"/>
        </w:rPr>
      </w:pPr>
      <w:r w:rsidRPr="00C70318">
        <w:rPr>
          <w:rFonts w:ascii="Times New Roman" w:hAnsi="Times New Roman" w:cs="Times New Roman"/>
          <w:b/>
          <w:bCs/>
          <w:sz w:val="24"/>
          <w:szCs w:val="24"/>
        </w:rPr>
        <w:t>Reference (UWTSD Harvard Style)</w:t>
      </w:r>
      <w:r w:rsidRPr="00C70318">
        <w:rPr>
          <w:rFonts w:ascii="Times New Roman" w:hAnsi="Times New Roman" w:cs="Times New Roman"/>
          <w:sz w:val="24"/>
          <w:szCs w:val="24"/>
        </w:rPr>
        <w:br/>
        <w:t xml:space="preserve">Platts, L. G., </w:t>
      </w:r>
      <w:proofErr w:type="spellStart"/>
      <w:r w:rsidRPr="00C70318">
        <w:rPr>
          <w:rFonts w:ascii="Times New Roman" w:hAnsi="Times New Roman" w:cs="Times New Roman"/>
          <w:sz w:val="24"/>
          <w:szCs w:val="24"/>
        </w:rPr>
        <w:t>Alm</w:t>
      </w:r>
      <w:proofErr w:type="spellEnd"/>
      <w:r w:rsidRPr="00C70318">
        <w:rPr>
          <w:rFonts w:ascii="Times New Roman" w:hAnsi="Times New Roman" w:cs="Times New Roman"/>
          <w:sz w:val="24"/>
          <w:szCs w:val="24"/>
        </w:rPr>
        <w:t xml:space="preserve"> </w:t>
      </w:r>
      <w:proofErr w:type="spellStart"/>
      <w:r w:rsidRPr="00C70318">
        <w:rPr>
          <w:rFonts w:ascii="Times New Roman" w:hAnsi="Times New Roman" w:cs="Times New Roman"/>
          <w:sz w:val="24"/>
          <w:szCs w:val="24"/>
        </w:rPr>
        <w:t>Norbrian</w:t>
      </w:r>
      <w:proofErr w:type="spellEnd"/>
      <w:r w:rsidRPr="00C70318">
        <w:rPr>
          <w:rFonts w:ascii="Times New Roman" w:hAnsi="Times New Roman" w:cs="Times New Roman"/>
          <w:sz w:val="24"/>
          <w:szCs w:val="24"/>
        </w:rPr>
        <w:t xml:space="preserve">, A., &amp; Frick, M. A. (2022). Attachment in older adults is stably associated with health and quality of life: findings from a 14-year follow-up of the Whitehall II study. </w:t>
      </w:r>
      <w:r w:rsidRPr="00C70318">
        <w:rPr>
          <w:rFonts w:ascii="Times New Roman" w:hAnsi="Times New Roman" w:cs="Times New Roman"/>
          <w:i/>
          <w:iCs/>
          <w:sz w:val="24"/>
          <w:szCs w:val="24"/>
        </w:rPr>
        <w:t>Aging &amp; Mental Health</w:t>
      </w:r>
      <w:r w:rsidRPr="00C70318">
        <w:rPr>
          <w:rFonts w:ascii="Times New Roman" w:hAnsi="Times New Roman" w:cs="Times New Roman"/>
          <w:sz w:val="24"/>
          <w:szCs w:val="24"/>
        </w:rPr>
        <w:t xml:space="preserve">, 27(9), 1–8. </w:t>
      </w:r>
      <w:hyperlink r:id="rId11" w:tgtFrame="_new" w:history="1">
        <w:r w:rsidRPr="00C70318">
          <w:rPr>
            <w:rStyle w:val="Hyperlink"/>
            <w:rFonts w:ascii="Times New Roman" w:hAnsi="Times New Roman" w:cs="Times New Roman"/>
            <w:sz w:val="24"/>
            <w:szCs w:val="24"/>
          </w:rPr>
          <w:t>https://doi.org/10.1080/13607863.2022.2148157</w:t>
        </w:r>
      </w:hyperlink>
    </w:p>
    <w:p w14:paraId="49EE28EA" w14:textId="4E191C27" w:rsidR="002041B6" w:rsidRPr="0032589E" w:rsidRDefault="00C70318" w:rsidP="0032589E">
      <w:pPr>
        <w:spacing w:line="360" w:lineRule="auto"/>
        <w:jc w:val="both"/>
        <w:rPr>
          <w:rFonts w:ascii="Times New Roman" w:hAnsi="Times New Roman" w:cs="Times New Roman"/>
          <w:b/>
          <w:bCs/>
          <w:sz w:val="24"/>
          <w:szCs w:val="24"/>
        </w:rPr>
      </w:pPr>
      <w:r w:rsidRPr="00C70318">
        <w:rPr>
          <w:rFonts w:ascii="Times New Roman" w:hAnsi="Times New Roman" w:cs="Times New Roman"/>
          <w:b/>
          <w:bCs/>
          <w:sz w:val="24"/>
          <w:szCs w:val="24"/>
        </w:rPr>
        <w:t>Summary</w:t>
      </w:r>
    </w:p>
    <w:p w14:paraId="1D46B00B" w14:textId="77777777"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 xml:space="preserve">The article studies the impact that older </w:t>
      </w:r>
      <w:proofErr w:type="gramStart"/>
      <w:r w:rsidRPr="0032589E">
        <w:rPr>
          <w:rFonts w:ascii="Times New Roman" w:hAnsi="Times New Roman" w:cs="Times New Roman"/>
          <w:sz w:val="24"/>
          <w:szCs w:val="24"/>
        </w:rPr>
        <w:t>adults</w:t>
      </w:r>
      <w:proofErr w:type="gramEnd"/>
      <w:r w:rsidRPr="0032589E">
        <w:rPr>
          <w:rFonts w:ascii="Times New Roman" w:hAnsi="Times New Roman" w:cs="Times New Roman"/>
          <w:sz w:val="24"/>
          <w:szCs w:val="24"/>
        </w:rPr>
        <w:t xml:space="preserve"> attachment styles have on health and quality of life across a 14-year follow-up period. It established that, the respondents that had a secure attachment (e.g. strong emotional attachment to family and friends) had reported their enhancement in mental health and physical functioning, which led to an increase in the overall </w:t>
      </w:r>
      <w:r w:rsidRPr="0032589E">
        <w:rPr>
          <w:rFonts w:ascii="Times New Roman" w:hAnsi="Times New Roman" w:cs="Times New Roman"/>
          <w:sz w:val="24"/>
          <w:szCs w:val="24"/>
        </w:rPr>
        <w:lastRenderedPageBreak/>
        <w:t>quality of life. The authors show that the effects of childhood attachment events are significant in the later stages of life, and therefore, they argue that interventions that are to be conducted with an emphasis on the role of attachment security are needed.</w:t>
      </w:r>
    </w:p>
    <w:p w14:paraId="3BDC5F0D" w14:textId="77777777" w:rsidR="002041B6" w:rsidRPr="0032589E" w:rsidRDefault="002041B6" w:rsidP="0032589E">
      <w:pPr>
        <w:spacing w:line="360" w:lineRule="auto"/>
        <w:jc w:val="both"/>
        <w:rPr>
          <w:rFonts w:ascii="Times New Roman" w:hAnsi="Times New Roman" w:cs="Times New Roman"/>
          <w:b/>
          <w:bCs/>
          <w:sz w:val="24"/>
          <w:szCs w:val="24"/>
        </w:rPr>
      </w:pPr>
      <w:r w:rsidRPr="0032589E">
        <w:rPr>
          <w:rFonts w:ascii="Times New Roman" w:hAnsi="Times New Roman" w:cs="Times New Roman"/>
          <w:b/>
          <w:bCs/>
          <w:sz w:val="24"/>
          <w:szCs w:val="24"/>
        </w:rPr>
        <w:t>Critical Comment</w:t>
      </w:r>
    </w:p>
    <w:p w14:paraId="50A46F2D" w14:textId="0B766D5D" w:rsidR="00C70318" w:rsidRPr="00C70318"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 xml:space="preserve">This paper supports the implication of the Attachment Theory about older </w:t>
      </w:r>
      <w:proofErr w:type="gramStart"/>
      <w:r w:rsidRPr="0032589E">
        <w:rPr>
          <w:rFonts w:ascii="Times New Roman" w:hAnsi="Times New Roman" w:cs="Times New Roman"/>
          <w:sz w:val="24"/>
          <w:szCs w:val="24"/>
        </w:rPr>
        <w:t>adults</w:t>
      </w:r>
      <w:proofErr w:type="gramEnd"/>
      <w:r w:rsidRPr="0032589E">
        <w:rPr>
          <w:rFonts w:ascii="Times New Roman" w:hAnsi="Times New Roman" w:cs="Times New Roman"/>
          <w:sz w:val="24"/>
          <w:szCs w:val="24"/>
        </w:rPr>
        <w:t xml:space="preserve"> care that highlighted the claim by Bowlby that the ability to develop secure attachments can enhance both mental and physical well-being. This serves to underscore the need to foster the establishment of relationships between the residents and the caregivers in health and social care settings. The defects of the study include the fact that the longitudinal nature of the study might not be able to allow the observation of the immediate impacts of attachment interventions within the care setting.</w:t>
      </w:r>
    </w:p>
    <w:p w14:paraId="2A031F1A" w14:textId="619C3E14" w:rsidR="00C70318" w:rsidRPr="00C70318" w:rsidRDefault="00C70318" w:rsidP="0032589E">
      <w:pPr>
        <w:pStyle w:val="Heading1"/>
      </w:pPr>
      <w:r w:rsidRPr="00C70318">
        <w:t>Part B: Short Report</w:t>
      </w:r>
    </w:p>
    <w:p w14:paraId="54F7DD8E" w14:textId="747DD2CF" w:rsidR="00C70318" w:rsidRPr="00C70318" w:rsidRDefault="00C70318" w:rsidP="0032589E">
      <w:pPr>
        <w:spacing w:line="360" w:lineRule="auto"/>
        <w:jc w:val="center"/>
        <w:rPr>
          <w:rFonts w:ascii="Times New Roman" w:hAnsi="Times New Roman" w:cs="Times New Roman"/>
          <w:sz w:val="24"/>
          <w:szCs w:val="24"/>
        </w:rPr>
      </w:pPr>
      <w:r w:rsidRPr="00C70318">
        <w:rPr>
          <w:rFonts w:ascii="Times New Roman" w:hAnsi="Times New Roman" w:cs="Times New Roman"/>
          <w:sz w:val="24"/>
          <w:szCs w:val="24"/>
        </w:rPr>
        <w:br/>
      </w:r>
      <w:r w:rsidRPr="00C70318">
        <w:rPr>
          <w:rFonts w:ascii="Times New Roman" w:hAnsi="Times New Roman" w:cs="Times New Roman"/>
          <w:b/>
          <w:bCs/>
          <w:i/>
          <w:iCs/>
          <w:sz w:val="28"/>
          <w:szCs w:val="28"/>
        </w:rPr>
        <w:t>Improving Psychological Wellbeing in Care Homes Using Positive Psychology (PERMA) Interventions</w:t>
      </w:r>
    </w:p>
    <w:p w14:paraId="43FB8566" w14:textId="77777777" w:rsidR="00C70318" w:rsidRPr="00C70318" w:rsidRDefault="00C70318" w:rsidP="0032589E">
      <w:pPr>
        <w:pStyle w:val="Heading2"/>
      </w:pPr>
      <w:r w:rsidRPr="00C70318">
        <w:t>Introduction</w:t>
      </w:r>
    </w:p>
    <w:p w14:paraId="7A85631E" w14:textId="77777777"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The elderly in residential services tend to encounter numerous psychological issues, such as depressed feelings and emotions, physical impairments, and deprivation of authority. These may cause a poor psychological wellbeing. Positive Psychology in particular, the PERMA model can be used to offer a model to increase life satisfaction and life engagement among older citizens with emphasis on positive emotions, meaning, relationships, and accomplishments. The report examines theories of Positive Psychology that could be adopted in care facilities to enhance elderly psychological wellbeing.</w:t>
      </w:r>
    </w:p>
    <w:p w14:paraId="6A386ED5" w14:textId="77777777" w:rsidR="002041B6" w:rsidRPr="0032589E" w:rsidRDefault="002041B6" w:rsidP="0032589E">
      <w:pPr>
        <w:spacing w:line="360" w:lineRule="auto"/>
        <w:jc w:val="both"/>
        <w:rPr>
          <w:rFonts w:ascii="Times New Roman" w:hAnsi="Times New Roman" w:cs="Times New Roman"/>
          <w:b/>
          <w:bCs/>
          <w:sz w:val="24"/>
          <w:szCs w:val="24"/>
        </w:rPr>
      </w:pPr>
    </w:p>
    <w:p w14:paraId="0B8255BD" w14:textId="31031987" w:rsidR="002041B6" w:rsidRPr="0032589E" w:rsidRDefault="002041B6" w:rsidP="0032589E">
      <w:pPr>
        <w:pStyle w:val="Heading2"/>
      </w:pPr>
      <w:r w:rsidRPr="0032589E">
        <w:lastRenderedPageBreak/>
        <w:t>Application of Positive Psychology Theory</w:t>
      </w:r>
    </w:p>
    <w:p w14:paraId="319C4A39" w14:textId="1ED9258D" w:rsidR="002041B6" w:rsidRPr="0032589E"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 xml:space="preserve">Seligman (2011) asserts that Positive Psychology focuses on strengths, engagement and subjective wellbeing enhancement. Care homes can create custom-built interventions using the PERMA model (Positive emotion, Engagement, Relationships, Meaning, Achievement) to adequately reinforced with positive emotions, which in turn are achieved by using gratitude journals or creative art projects. These interventions stimulate emotional involvement in meaningful activities as well as lead to a social interaction that is critical aspects of enhancing wellbeing in care settings. According to the recent research, including the work by </w:t>
      </w:r>
      <w:proofErr w:type="spellStart"/>
      <w:r w:rsidRPr="0032589E">
        <w:rPr>
          <w:rFonts w:ascii="Times New Roman" w:hAnsi="Times New Roman" w:cs="Times New Roman"/>
          <w:sz w:val="24"/>
          <w:szCs w:val="24"/>
        </w:rPr>
        <w:t>Tsiflikioti</w:t>
      </w:r>
      <w:proofErr w:type="spellEnd"/>
      <w:r w:rsidRPr="0032589E">
        <w:rPr>
          <w:rFonts w:ascii="Times New Roman" w:hAnsi="Times New Roman" w:cs="Times New Roman"/>
          <w:sz w:val="24"/>
          <w:szCs w:val="24"/>
        </w:rPr>
        <w:t xml:space="preserve"> et al. (2023), the PS programmes have proven most effective in enhancing the mood and the social interaction of the elderly patients, especially those with cognitive impairments.</w:t>
      </w:r>
    </w:p>
    <w:p w14:paraId="53D83589" w14:textId="77777777" w:rsidR="002041B6" w:rsidRPr="0032589E" w:rsidRDefault="002041B6" w:rsidP="0032589E">
      <w:pPr>
        <w:pStyle w:val="Heading2"/>
      </w:pPr>
      <w:r w:rsidRPr="0032589E">
        <w:t>Case Scenario</w:t>
      </w:r>
    </w:p>
    <w:p w14:paraId="467CD231" w14:textId="0DEDBF87" w:rsidR="00C70318" w:rsidRPr="00C70318" w:rsidRDefault="002041B6"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Look at the example of an 81-year-old resident, Mrs. B, who at first stated that she is not much interested in activities, and she is quite withdrawn. Having attended a creative expression programme based on the PERMA model with activities like art therapy and storey telling, Mrs. B had started to express more interest in interacting with her colleagues and employees. This brought a new sense of accomplishment to her, as it was through her artwork that the artwork was exhibited in places where everyone could see it. It was the involvement that made her more satisfied with her life and she said that she felt closer to people, which hugely contributed to her psychological wellbeing.</w:t>
      </w:r>
    </w:p>
    <w:p w14:paraId="3D988F0C" w14:textId="77777777" w:rsidR="00C70318" w:rsidRPr="00C70318" w:rsidRDefault="00C70318" w:rsidP="0032589E">
      <w:pPr>
        <w:pStyle w:val="Heading2"/>
      </w:pPr>
      <w:r w:rsidRPr="00C70318">
        <w:t>Challenge in Applying the Theory</w:t>
      </w:r>
    </w:p>
    <w:p w14:paraId="6EAB6CEF" w14:textId="77777777" w:rsidR="00C6644A" w:rsidRPr="0032589E"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One of the main difficulties in translating Positive Psychology to the care home setting is the resistance of residents, especially those with physical disabilities and cognitive problems or low motivation. As an illustration, certain residents might not engage in the group activities because of fear of failure or feeling of inadequacy that might impede the effectiveness of the PERMA interventions.</w:t>
      </w:r>
    </w:p>
    <w:p w14:paraId="2EDA0C20" w14:textId="6C28621E" w:rsidR="00C6644A" w:rsidRPr="0032589E" w:rsidRDefault="00C6644A" w:rsidP="0032589E">
      <w:pPr>
        <w:pStyle w:val="Heading2"/>
      </w:pPr>
      <w:r w:rsidRPr="0032589E">
        <w:lastRenderedPageBreak/>
        <w:t>Strategy to Overcome This Challenge:</w:t>
      </w:r>
    </w:p>
    <w:p w14:paraId="3E5DC2BE" w14:textId="01B84596" w:rsidR="00C6644A" w:rsidRPr="0032589E"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One way that care providers can eliminate resistance is to begin individualising activities based on abilities. This may involve one-on-one and small group sessions which are less threatening. Also, participation can be stimulated by slow introductions to activities (such as light physical exercise or music therapy). Caregivers can also use motivational interviewing strategies to ensure that residents can consider their own interest and preferences so that they feel more relaxed and willing to participate</w:t>
      </w:r>
      <w:r w:rsidR="00B27F26" w:rsidRPr="00B27F26">
        <w:rPr>
          <w:rFonts w:ascii="Times New Roman" w:eastAsia="Times New Roman" w:hAnsi="Times New Roman" w:cs="Times New Roman"/>
          <w:sz w:val="24"/>
          <w:szCs w:val="24"/>
          <w:lang w:eastAsia="en-GB"/>
          <w14:ligatures w14:val="none"/>
        </w:rPr>
        <w:t xml:space="preserve"> </w:t>
      </w:r>
      <w:r w:rsidR="00B27F26" w:rsidRPr="00B27F26">
        <w:rPr>
          <w:rFonts w:ascii="Times New Roman" w:hAnsi="Times New Roman" w:cs="Times New Roman"/>
          <w:sz w:val="24"/>
          <w:szCs w:val="24"/>
        </w:rPr>
        <w:t>(</w:t>
      </w:r>
      <w:proofErr w:type="spellStart"/>
      <w:r w:rsidR="00B27F26" w:rsidRPr="00B27F26">
        <w:rPr>
          <w:rFonts w:ascii="Times New Roman" w:hAnsi="Times New Roman" w:cs="Times New Roman"/>
          <w:sz w:val="24"/>
          <w:szCs w:val="24"/>
        </w:rPr>
        <w:t>Venage</w:t>
      </w:r>
      <w:proofErr w:type="spellEnd"/>
      <w:r w:rsidR="00B27F26" w:rsidRPr="00B27F26">
        <w:rPr>
          <w:rFonts w:ascii="Times New Roman" w:hAnsi="Times New Roman" w:cs="Times New Roman"/>
          <w:sz w:val="24"/>
          <w:szCs w:val="24"/>
        </w:rPr>
        <w:t>, 2019)</w:t>
      </w:r>
      <w:r w:rsidRPr="0032589E">
        <w:rPr>
          <w:rFonts w:ascii="Times New Roman" w:hAnsi="Times New Roman" w:cs="Times New Roman"/>
          <w:sz w:val="24"/>
          <w:szCs w:val="24"/>
        </w:rPr>
        <w:t>.</w:t>
      </w:r>
    </w:p>
    <w:p w14:paraId="0AB81A80" w14:textId="07633220" w:rsidR="00C6644A" w:rsidRPr="0032589E"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 xml:space="preserve">Perma model can be further </w:t>
      </w:r>
      <w:proofErr w:type="spellStart"/>
      <w:r w:rsidRPr="0032589E">
        <w:rPr>
          <w:rFonts w:ascii="Times New Roman" w:hAnsi="Times New Roman" w:cs="Times New Roman"/>
          <w:sz w:val="24"/>
          <w:szCs w:val="24"/>
        </w:rPr>
        <w:t>aggrandated</w:t>
      </w:r>
      <w:proofErr w:type="spellEnd"/>
      <w:r w:rsidRPr="0032589E">
        <w:rPr>
          <w:rFonts w:ascii="Times New Roman" w:hAnsi="Times New Roman" w:cs="Times New Roman"/>
          <w:sz w:val="24"/>
          <w:szCs w:val="24"/>
        </w:rPr>
        <w:t xml:space="preserve"> to encompass the environmental mastery and autonomy because these two areas are important to older people in the residential care setting. Residents should feel a larger degree of control over their lives by encouraging self-efficacy in more basic actions (making choices about which food to eat, what kind of clothes to don even in everyday activities). This independence is necessary in enhancing their interest and self-confidence. Moreover, concentrating on environmental mastery can be offered through providing individualised tasks within the competencies of every resident, which encourages the idea of ability.</w:t>
      </w:r>
    </w:p>
    <w:p w14:paraId="53DD66A2" w14:textId="77777777" w:rsidR="00C6644A" w:rsidRPr="0032589E"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Also, social functioning has been found to play an important role in the mental health of the elderly. According to a model of the psychological well-being created by Ryff, the key to encouraging positive emotions and life satisfaction is the interpersonal relationship. The positive interaction and purpose-related factor can be provided through the use of group activities, which can be group crafts, social club, or community outreach programmes, and this can help mitigate the negative impact of isolation.</w:t>
      </w:r>
    </w:p>
    <w:p w14:paraId="1920EA53" w14:textId="106396FA" w:rsidR="00C70318" w:rsidRPr="00C70318"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Positive Psychology combined with physical, social and psychological interventions would help create an environment that enhances wellbeing even to those who might be reluctant to participate in the first place. This is an all-inclusive model that encourages long term and sustainability of quality of life.</w:t>
      </w:r>
    </w:p>
    <w:p w14:paraId="1ECA2029" w14:textId="77777777" w:rsidR="00C70318" w:rsidRPr="00C70318" w:rsidRDefault="00C70318" w:rsidP="0032589E">
      <w:pPr>
        <w:pStyle w:val="Heading2"/>
      </w:pPr>
      <w:r w:rsidRPr="00C70318">
        <w:lastRenderedPageBreak/>
        <w:t>Conclusion</w:t>
      </w:r>
    </w:p>
    <w:p w14:paraId="4B408C9A" w14:textId="73301FE9" w:rsidR="00C70318" w:rsidRPr="0032589E" w:rsidRDefault="00C6644A" w:rsidP="0032589E">
      <w:pPr>
        <w:spacing w:line="360" w:lineRule="auto"/>
        <w:jc w:val="both"/>
        <w:rPr>
          <w:rFonts w:ascii="Times New Roman" w:hAnsi="Times New Roman" w:cs="Times New Roman"/>
          <w:sz w:val="24"/>
          <w:szCs w:val="24"/>
        </w:rPr>
      </w:pPr>
      <w:r w:rsidRPr="0032589E">
        <w:rPr>
          <w:rFonts w:ascii="Times New Roman" w:hAnsi="Times New Roman" w:cs="Times New Roman"/>
          <w:sz w:val="24"/>
          <w:szCs w:val="24"/>
        </w:rPr>
        <w:t>Positive Psychology (PERMA) interventions have potential to enhance psychological wellbeing of elderly in care homes. Through building positive emotion, involvement, relations, and meaning, the care professionals can greatly help increase the life satisfaction by alleviating the loneliness or hopelessness feelings. Although such obstacles as lack of motivation to engage may become apparent, specific interventions and individualised care can overcome these challenges so that all residents can enjoy the concept of a Positive Psychology.</w:t>
      </w:r>
    </w:p>
    <w:p w14:paraId="38EB4541" w14:textId="77777777" w:rsidR="0065230B" w:rsidRPr="0032589E" w:rsidRDefault="0065230B" w:rsidP="0032589E">
      <w:pPr>
        <w:spacing w:line="360" w:lineRule="auto"/>
        <w:jc w:val="both"/>
        <w:rPr>
          <w:rFonts w:ascii="Times New Roman" w:hAnsi="Times New Roman" w:cs="Times New Roman"/>
          <w:sz w:val="24"/>
          <w:szCs w:val="24"/>
        </w:rPr>
      </w:pPr>
    </w:p>
    <w:p w14:paraId="2B0554B3" w14:textId="77777777" w:rsidR="0065230B" w:rsidRPr="0032589E" w:rsidRDefault="0065230B" w:rsidP="0032589E">
      <w:pPr>
        <w:spacing w:line="360" w:lineRule="auto"/>
        <w:jc w:val="both"/>
        <w:rPr>
          <w:rFonts w:ascii="Times New Roman" w:hAnsi="Times New Roman" w:cs="Times New Roman"/>
          <w:sz w:val="24"/>
          <w:szCs w:val="24"/>
        </w:rPr>
      </w:pPr>
    </w:p>
    <w:p w14:paraId="3EC86105" w14:textId="77777777" w:rsidR="0065230B" w:rsidRPr="0032589E" w:rsidRDefault="0065230B" w:rsidP="0032589E">
      <w:pPr>
        <w:spacing w:line="360" w:lineRule="auto"/>
        <w:jc w:val="both"/>
        <w:rPr>
          <w:rFonts w:ascii="Times New Roman" w:hAnsi="Times New Roman" w:cs="Times New Roman"/>
          <w:sz w:val="24"/>
          <w:szCs w:val="24"/>
        </w:rPr>
      </w:pPr>
    </w:p>
    <w:p w14:paraId="11BBBD01" w14:textId="77777777" w:rsidR="0065230B" w:rsidRPr="0032589E" w:rsidRDefault="0065230B" w:rsidP="0032589E">
      <w:pPr>
        <w:spacing w:line="360" w:lineRule="auto"/>
        <w:jc w:val="both"/>
        <w:rPr>
          <w:rFonts w:ascii="Times New Roman" w:hAnsi="Times New Roman" w:cs="Times New Roman"/>
          <w:sz w:val="24"/>
          <w:szCs w:val="24"/>
        </w:rPr>
      </w:pPr>
    </w:p>
    <w:p w14:paraId="607A09BA" w14:textId="77777777" w:rsidR="0065230B" w:rsidRPr="0032589E" w:rsidRDefault="0065230B" w:rsidP="0032589E">
      <w:pPr>
        <w:spacing w:line="360" w:lineRule="auto"/>
        <w:jc w:val="both"/>
        <w:rPr>
          <w:rFonts w:ascii="Times New Roman" w:hAnsi="Times New Roman" w:cs="Times New Roman"/>
          <w:sz w:val="24"/>
          <w:szCs w:val="24"/>
        </w:rPr>
      </w:pPr>
    </w:p>
    <w:p w14:paraId="136C587A" w14:textId="77777777" w:rsidR="0065230B" w:rsidRPr="0032589E" w:rsidRDefault="0065230B" w:rsidP="0032589E">
      <w:pPr>
        <w:spacing w:line="360" w:lineRule="auto"/>
        <w:jc w:val="both"/>
        <w:rPr>
          <w:rFonts w:ascii="Times New Roman" w:hAnsi="Times New Roman" w:cs="Times New Roman"/>
          <w:sz w:val="24"/>
          <w:szCs w:val="24"/>
        </w:rPr>
      </w:pPr>
    </w:p>
    <w:p w14:paraId="72E2F459" w14:textId="77777777" w:rsidR="0065230B" w:rsidRPr="0032589E" w:rsidRDefault="0065230B" w:rsidP="0032589E">
      <w:pPr>
        <w:spacing w:line="360" w:lineRule="auto"/>
        <w:jc w:val="both"/>
        <w:rPr>
          <w:rFonts w:ascii="Times New Roman" w:hAnsi="Times New Roman" w:cs="Times New Roman"/>
          <w:sz w:val="24"/>
          <w:szCs w:val="24"/>
        </w:rPr>
      </w:pPr>
    </w:p>
    <w:p w14:paraId="2A702FA8" w14:textId="77777777" w:rsidR="0065230B" w:rsidRPr="0032589E" w:rsidRDefault="0065230B" w:rsidP="0032589E">
      <w:pPr>
        <w:spacing w:line="360" w:lineRule="auto"/>
        <w:jc w:val="both"/>
        <w:rPr>
          <w:rFonts w:ascii="Times New Roman" w:hAnsi="Times New Roman" w:cs="Times New Roman"/>
          <w:sz w:val="24"/>
          <w:szCs w:val="24"/>
        </w:rPr>
      </w:pPr>
    </w:p>
    <w:p w14:paraId="50688BAD" w14:textId="77777777" w:rsidR="0065230B" w:rsidRPr="0032589E" w:rsidRDefault="0065230B" w:rsidP="0032589E">
      <w:pPr>
        <w:spacing w:line="360" w:lineRule="auto"/>
        <w:jc w:val="both"/>
        <w:rPr>
          <w:rFonts w:ascii="Times New Roman" w:hAnsi="Times New Roman" w:cs="Times New Roman"/>
          <w:sz w:val="24"/>
          <w:szCs w:val="24"/>
        </w:rPr>
      </w:pPr>
    </w:p>
    <w:p w14:paraId="42AAFC33" w14:textId="77777777" w:rsidR="0065230B" w:rsidRPr="0032589E" w:rsidRDefault="0065230B" w:rsidP="0032589E">
      <w:pPr>
        <w:spacing w:line="360" w:lineRule="auto"/>
        <w:jc w:val="both"/>
        <w:rPr>
          <w:rFonts w:ascii="Times New Roman" w:hAnsi="Times New Roman" w:cs="Times New Roman"/>
          <w:sz w:val="24"/>
          <w:szCs w:val="24"/>
        </w:rPr>
      </w:pPr>
    </w:p>
    <w:p w14:paraId="15082443" w14:textId="77777777" w:rsidR="0065230B" w:rsidRPr="0032589E" w:rsidRDefault="0065230B" w:rsidP="0032589E">
      <w:pPr>
        <w:spacing w:line="360" w:lineRule="auto"/>
        <w:jc w:val="both"/>
        <w:rPr>
          <w:rFonts w:ascii="Times New Roman" w:hAnsi="Times New Roman" w:cs="Times New Roman"/>
          <w:sz w:val="24"/>
          <w:szCs w:val="24"/>
        </w:rPr>
      </w:pPr>
    </w:p>
    <w:p w14:paraId="36945828" w14:textId="77777777" w:rsidR="0065230B" w:rsidRPr="0032589E" w:rsidRDefault="0065230B" w:rsidP="0032589E">
      <w:pPr>
        <w:spacing w:line="360" w:lineRule="auto"/>
        <w:jc w:val="both"/>
        <w:rPr>
          <w:rFonts w:ascii="Times New Roman" w:hAnsi="Times New Roman" w:cs="Times New Roman"/>
          <w:sz w:val="24"/>
          <w:szCs w:val="24"/>
        </w:rPr>
      </w:pPr>
    </w:p>
    <w:p w14:paraId="5232D458" w14:textId="77777777" w:rsidR="0065230B" w:rsidRPr="0032589E" w:rsidRDefault="0065230B" w:rsidP="0032589E">
      <w:pPr>
        <w:spacing w:line="360" w:lineRule="auto"/>
        <w:jc w:val="both"/>
        <w:rPr>
          <w:rFonts w:ascii="Times New Roman" w:hAnsi="Times New Roman" w:cs="Times New Roman"/>
          <w:sz w:val="24"/>
          <w:szCs w:val="24"/>
        </w:rPr>
      </w:pPr>
    </w:p>
    <w:p w14:paraId="17F643FC" w14:textId="77777777" w:rsidR="0065230B" w:rsidRPr="0065230B" w:rsidRDefault="0065230B" w:rsidP="0032589E">
      <w:pPr>
        <w:spacing w:line="360" w:lineRule="auto"/>
        <w:jc w:val="both"/>
        <w:rPr>
          <w:rFonts w:ascii="Times New Roman" w:hAnsi="Times New Roman" w:cs="Times New Roman"/>
          <w:b/>
          <w:bCs/>
          <w:sz w:val="24"/>
          <w:szCs w:val="24"/>
        </w:rPr>
      </w:pPr>
      <w:r w:rsidRPr="0065230B">
        <w:rPr>
          <w:rFonts w:ascii="Times New Roman" w:hAnsi="Times New Roman" w:cs="Times New Roman"/>
          <w:b/>
          <w:bCs/>
          <w:sz w:val="24"/>
          <w:szCs w:val="24"/>
        </w:rPr>
        <w:lastRenderedPageBreak/>
        <w:t>References</w:t>
      </w:r>
    </w:p>
    <w:p w14:paraId="5D9AEB05" w14:textId="77777777" w:rsidR="0065230B" w:rsidRPr="0065230B" w:rsidRDefault="0065230B" w:rsidP="0032589E">
      <w:pPr>
        <w:spacing w:line="360" w:lineRule="auto"/>
        <w:jc w:val="both"/>
        <w:rPr>
          <w:rFonts w:ascii="Times New Roman" w:hAnsi="Times New Roman" w:cs="Times New Roman"/>
          <w:sz w:val="24"/>
          <w:szCs w:val="24"/>
        </w:rPr>
      </w:pPr>
      <w:r w:rsidRPr="0065230B">
        <w:rPr>
          <w:rFonts w:ascii="Times New Roman" w:hAnsi="Times New Roman" w:cs="Times New Roman"/>
          <w:sz w:val="24"/>
          <w:szCs w:val="24"/>
        </w:rPr>
        <w:t xml:space="preserve">Abbasi, M., Radfar, M., Hossein Jafarizadeh, &amp; Hamidreza Khalkhali. (2024). Does life story work based on Erikson’s theory enhance psychological well-being in elderly residents of nursing homes? A randomized controlled trial. </w:t>
      </w:r>
      <w:r w:rsidRPr="0065230B">
        <w:rPr>
          <w:rFonts w:ascii="Times New Roman" w:hAnsi="Times New Roman" w:cs="Times New Roman"/>
          <w:i/>
          <w:iCs/>
          <w:sz w:val="24"/>
          <w:szCs w:val="24"/>
        </w:rPr>
        <w:t>Geriatric Nursing</w:t>
      </w:r>
      <w:r w:rsidRPr="0065230B">
        <w:rPr>
          <w:rFonts w:ascii="Times New Roman" w:hAnsi="Times New Roman" w:cs="Times New Roman"/>
          <w:sz w:val="24"/>
          <w:szCs w:val="24"/>
        </w:rPr>
        <w:t xml:space="preserve">, </w:t>
      </w:r>
      <w:r w:rsidRPr="0065230B">
        <w:rPr>
          <w:rFonts w:ascii="Times New Roman" w:hAnsi="Times New Roman" w:cs="Times New Roman"/>
          <w:i/>
          <w:iCs/>
          <w:sz w:val="24"/>
          <w:szCs w:val="24"/>
        </w:rPr>
        <w:t>61</w:t>
      </w:r>
      <w:r w:rsidRPr="0065230B">
        <w:rPr>
          <w:rFonts w:ascii="Times New Roman" w:hAnsi="Times New Roman" w:cs="Times New Roman"/>
          <w:sz w:val="24"/>
          <w:szCs w:val="24"/>
        </w:rPr>
        <w:t>, 140–148. https://doi.org/10.1016/j.gerinurse.2024.10.066</w:t>
      </w:r>
    </w:p>
    <w:p w14:paraId="1B36FBCE" w14:textId="77777777" w:rsidR="0065230B" w:rsidRPr="0065230B" w:rsidRDefault="0065230B" w:rsidP="0032589E">
      <w:pPr>
        <w:spacing w:line="360" w:lineRule="auto"/>
        <w:jc w:val="both"/>
        <w:rPr>
          <w:rFonts w:ascii="Times New Roman" w:hAnsi="Times New Roman" w:cs="Times New Roman"/>
          <w:sz w:val="24"/>
          <w:szCs w:val="24"/>
        </w:rPr>
      </w:pPr>
      <w:r w:rsidRPr="0065230B">
        <w:rPr>
          <w:rFonts w:ascii="Times New Roman" w:hAnsi="Times New Roman" w:cs="Times New Roman"/>
          <w:sz w:val="24"/>
          <w:szCs w:val="24"/>
        </w:rPr>
        <w:t xml:space="preserve">Karina, V. (2022). Subjective well-being in older adults. </w:t>
      </w:r>
      <w:r w:rsidRPr="0065230B">
        <w:rPr>
          <w:rFonts w:ascii="Times New Roman" w:hAnsi="Times New Roman" w:cs="Times New Roman"/>
          <w:i/>
          <w:iCs/>
          <w:sz w:val="24"/>
          <w:szCs w:val="24"/>
        </w:rPr>
        <w:t>Journal of Positive Psychology and Wellbeing</w:t>
      </w:r>
      <w:r w:rsidRPr="0065230B">
        <w:rPr>
          <w:rFonts w:ascii="Times New Roman" w:hAnsi="Times New Roman" w:cs="Times New Roman"/>
          <w:sz w:val="24"/>
          <w:szCs w:val="24"/>
        </w:rPr>
        <w:t xml:space="preserve">, </w:t>
      </w:r>
      <w:r w:rsidRPr="0065230B">
        <w:rPr>
          <w:rFonts w:ascii="Times New Roman" w:hAnsi="Times New Roman" w:cs="Times New Roman"/>
          <w:i/>
          <w:iCs/>
          <w:sz w:val="24"/>
          <w:szCs w:val="24"/>
        </w:rPr>
        <w:t>6</w:t>
      </w:r>
      <w:r w:rsidRPr="0065230B">
        <w:rPr>
          <w:rFonts w:ascii="Times New Roman" w:hAnsi="Times New Roman" w:cs="Times New Roman"/>
          <w:sz w:val="24"/>
          <w:szCs w:val="24"/>
        </w:rPr>
        <w:t>(1), 3065–30753065–3075. https://journalppw.com/index.php/jppw/article/view/4796</w:t>
      </w:r>
    </w:p>
    <w:p w14:paraId="2766D146" w14:textId="77777777" w:rsidR="0065230B" w:rsidRPr="0065230B" w:rsidRDefault="0065230B" w:rsidP="0032589E">
      <w:pPr>
        <w:spacing w:line="360" w:lineRule="auto"/>
        <w:jc w:val="both"/>
        <w:rPr>
          <w:rFonts w:ascii="Times New Roman" w:hAnsi="Times New Roman" w:cs="Times New Roman"/>
          <w:sz w:val="24"/>
          <w:szCs w:val="24"/>
        </w:rPr>
      </w:pPr>
      <w:r w:rsidRPr="0065230B">
        <w:rPr>
          <w:rFonts w:ascii="Times New Roman" w:hAnsi="Times New Roman" w:cs="Times New Roman"/>
          <w:sz w:val="24"/>
          <w:szCs w:val="24"/>
        </w:rPr>
        <w:t xml:space="preserve">Konstantina </w:t>
      </w:r>
      <w:proofErr w:type="spellStart"/>
      <w:r w:rsidRPr="0065230B">
        <w:rPr>
          <w:rFonts w:ascii="Times New Roman" w:hAnsi="Times New Roman" w:cs="Times New Roman"/>
          <w:sz w:val="24"/>
          <w:szCs w:val="24"/>
        </w:rPr>
        <w:t>Tsiflikioti</w:t>
      </w:r>
      <w:proofErr w:type="spellEnd"/>
      <w:r w:rsidRPr="0065230B">
        <w:rPr>
          <w:rFonts w:ascii="Times New Roman" w:hAnsi="Times New Roman" w:cs="Times New Roman"/>
          <w:sz w:val="24"/>
          <w:szCs w:val="24"/>
        </w:rPr>
        <w:t xml:space="preserve">, </w:t>
      </w:r>
      <w:proofErr w:type="spellStart"/>
      <w:r w:rsidRPr="0065230B">
        <w:rPr>
          <w:rFonts w:ascii="Times New Roman" w:hAnsi="Times New Roman" w:cs="Times New Roman"/>
          <w:sz w:val="24"/>
          <w:szCs w:val="24"/>
        </w:rPr>
        <w:t>Μoraitou</w:t>
      </w:r>
      <w:proofErr w:type="spellEnd"/>
      <w:r w:rsidRPr="0065230B">
        <w:rPr>
          <w:rFonts w:ascii="Times New Roman" w:hAnsi="Times New Roman" w:cs="Times New Roman"/>
          <w:sz w:val="24"/>
          <w:szCs w:val="24"/>
        </w:rPr>
        <w:t xml:space="preserve">, D., Christos </w:t>
      </w:r>
      <w:proofErr w:type="spellStart"/>
      <w:r w:rsidRPr="0065230B">
        <w:rPr>
          <w:rFonts w:ascii="Times New Roman" w:hAnsi="Times New Roman" w:cs="Times New Roman"/>
          <w:sz w:val="24"/>
          <w:szCs w:val="24"/>
        </w:rPr>
        <w:t>Pezirkianidis</w:t>
      </w:r>
      <w:proofErr w:type="spellEnd"/>
      <w:r w:rsidRPr="0065230B">
        <w:rPr>
          <w:rFonts w:ascii="Times New Roman" w:hAnsi="Times New Roman" w:cs="Times New Roman"/>
          <w:sz w:val="24"/>
          <w:szCs w:val="24"/>
        </w:rPr>
        <w:t xml:space="preserve">, </w:t>
      </w:r>
      <w:proofErr w:type="spellStart"/>
      <w:r w:rsidRPr="0065230B">
        <w:rPr>
          <w:rFonts w:ascii="Times New Roman" w:hAnsi="Times New Roman" w:cs="Times New Roman"/>
          <w:sz w:val="24"/>
          <w:szCs w:val="24"/>
        </w:rPr>
        <w:t>Γεωργί</w:t>
      </w:r>
      <w:proofErr w:type="spellEnd"/>
      <w:r w:rsidRPr="0065230B">
        <w:rPr>
          <w:rFonts w:ascii="Times New Roman" w:hAnsi="Times New Roman" w:cs="Times New Roman"/>
          <w:sz w:val="24"/>
          <w:szCs w:val="24"/>
        </w:rPr>
        <w:t>α Παπα</w:t>
      </w:r>
      <w:proofErr w:type="spellStart"/>
      <w:r w:rsidRPr="0065230B">
        <w:rPr>
          <w:rFonts w:ascii="Times New Roman" w:hAnsi="Times New Roman" w:cs="Times New Roman"/>
          <w:sz w:val="24"/>
          <w:szCs w:val="24"/>
        </w:rPr>
        <w:t>ντωνίου</w:t>
      </w:r>
      <w:proofErr w:type="spellEnd"/>
      <w:r w:rsidRPr="0065230B">
        <w:rPr>
          <w:rFonts w:ascii="Times New Roman" w:hAnsi="Times New Roman" w:cs="Times New Roman"/>
          <w:sz w:val="24"/>
          <w:szCs w:val="24"/>
        </w:rPr>
        <w:t xml:space="preserve">, </w:t>
      </w:r>
      <w:proofErr w:type="spellStart"/>
      <w:r w:rsidRPr="0065230B">
        <w:rPr>
          <w:rFonts w:ascii="Times New Roman" w:hAnsi="Times New Roman" w:cs="Times New Roman"/>
          <w:sz w:val="24"/>
          <w:szCs w:val="24"/>
        </w:rPr>
        <w:t>Sofologi</w:t>
      </w:r>
      <w:proofErr w:type="spellEnd"/>
      <w:r w:rsidRPr="0065230B">
        <w:rPr>
          <w:rFonts w:ascii="Times New Roman" w:hAnsi="Times New Roman" w:cs="Times New Roman"/>
          <w:sz w:val="24"/>
          <w:szCs w:val="24"/>
        </w:rPr>
        <w:t xml:space="preserve">, M., </w:t>
      </w:r>
      <w:proofErr w:type="spellStart"/>
      <w:r w:rsidRPr="0065230B">
        <w:rPr>
          <w:rFonts w:ascii="Times New Roman" w:hAnsi="Times New Roman" w:cs="Times New Roman"/>
          <w:sz w:val="24"/>
          <w:szCs w:val="24"/>
        </w:rPr>
        <w:t>Kougioumtzis</w:t>
      </w:r>
      <w:proofErr w:type="spellEnd"/>
      <w:r w:rsidRPr="0065230B">
        <w:rPr>
          <w:rFonts w:ascii="Times New Roman" w:hAnsi="Times New Roman" w:cs="Times New Roman"/>
          <w:sz w:val="24"/>
          <w:szCs w:val="24"/>
        </w:rPr>
        <w:t xml:space="preserve">, G. A., &amp; Tsolaki, M. (2023). Enhancing Subjective Wellbeing in Older Individuals with Amnestic Mild Cognitive Impairment: A Randomized Trial of a Positive Psychology Intervention. </w:t>
      </w:r>
      <w:proofErr w:type="spellStart"/>
      <w:r w:rsidRPr="0065230B">
        <w:rPr>
          <w:rFonts w:ascii="Times New Roman" w:hAnsi="Times New Roman" w:cs="Times New Roman"/>
          <w:i/>
          <w:iCs/>
          <w:sz w:val="24"/>
          <w:szCs w:val="24"/>
        </w:rPr>
        <w:t>Behavioral</w:t>
      </w:r>
      <w:proofErr w:type="spellEnd"/>
      <w:r w:rsidRPr="0065230B">
        <w:rPr>
          <w:rFonts w:ascii="Times New Roman" w:hAnsi="Times New Roman" w:cs="Times New Roman"/>
          <w:i/>
          <w:iCs/>
          <w:sz w:val="24"/>
          <w:szCs w:val="24"/>
        </w:rPr>
        <w:t xml:space="preserve"> Sciences</w:t>
      </w:r>
      <w:r w:rsidRPr="0065230B">
        <w:rPr>
          <w:rFonts w:ascii="Times New Roman" w:hAnsi="Times New Roman" w:cs="Times New Roman"/>
          <w:sz w:val="24"/>
          <w:szCs w:val="24"/>
        </w:rPr>
        <w:t xml:space="preserve">, </w:t>
      </w:r>
      <w:r w:rsidRPr="0065230B">
        <w:rPr>
          <w:rFonts w:ascii="Times New Roman" w:hAnsi="Times New Roman" w:cs="Times New Roman"/>
          <w:i/>
          <w:iCs/>
          <w:sz w:val="24"/>
          <w:szCs w:val="24"/>
        </w:rPr>
        <w:t>13</w:t>
      </w:r>
      <w:r w:rsidRPr="0065230B">
        <w:rPr>
          <w:rFonts w:ascii="Times New Roman" w:hAnsi="Times New Roman" w:cs="Times New Roman"/>
          <w:sz w:val="24"/>
          <w:szCs w:val="24"/>
        </w:rPr>
        <w:t>(10), 838–838. https://doi.org/10.3390/bs13100838</w:t>
      </w:r>
    </w:p>
    <w:p w14:paraId="2E773030" w14:textId="4C64C178" w:rsidR="0065230B" w:rsidRDefault="0065230B" w:rsidP="0032589E">
      <w:pPr>
        <w:spacing w:line="360" w:lineRule="auto"/>
        <w:jc w:val="both"/>
        <w:rPr>
          <w:rFonts w:ascii="Times New Roman" w:hAnsi="Times New Roman" w:cs="Times New Roman"/>
          <w:sz w:val="24"/>
          <w:szCs w:val="24"/>
        </w:rPr>
      </w:pPr>
      <w:r w:rsidRPr="0065230B">
        <w:rPr>
          <w:rFonts w:ascii="Times New Roman" w:hAnsi="Times New Roman" w:cs="Times New Roman"/>
          <w:sz w:val="24"/>
          <w:szCs w:val="24"/>
        </w:rPr>
        <w:t xml:space="preserve">Platts, L. G., </w:t>
      </w:r>
      <w:proofErr w:type="spellStart"/>
      <w:r w:rsidRPr="0065230B">
        <w:rPr>
          <w:rFonts w:ascii="Times New Roman" w:hAnsi="Times New Roman" w:cs="Times New Roman"/>
          <w:sz w:val="24"/>
          <w:szCs w:val="24"/>
        </w:rPr>
        <w:t>Alm</w:t>
      </w:r>
      <w:proofErr w:type="spellEnd"/>
      <w:r w:rsidRPr="0065230B">
        <w:rPr>
          <w:rFonts w:ascii="Times New Roman" w:hAnsi="Times New Roman" w:cs="Times New Roman"/>
          <w:sz w:val="24"/>
          <w:szCs w:val="24"/>
        </w:rPr>
        <w:t xml:space="preserve"> </w:t>
      </w:r>
      <w:proofErr w:type="spellStart"/>
      <w:r w:rsidRPr="0065230B">
        <w:rPr>
          <w:rFonts w:ascii="Times New Roman" w:hAnsi="Times New Roman" w:cs="Times New Roman"/>
          <w:sz w:val="24"/>
          <w:szCs w:val="24"/>
        </w:rPr>
        <w:t>Norbrian</w:t>
      </w:r>
      <w:proofErr w:type="spellEnd"/>
      <w:r w:rsidRPr="0065230B">
        <w:rPr>
          <w:rFonts w:ascii="Times New Roman" w:hAnsi="Times New Roman" w:cs="Times New Roman"/>
          <w:sz w:val="24"/>
          <w:szCs w:val="24"/>
        </w:rPr>
        <w:t xml:space="preserve">, A., &amp; Frick, M. A. (2022). Attachment in older adults is stably associated with health and quality of life: findings from a 14-year follow-up of the Whitehall II study. </w:t>
      </w:r>
      <w:r w:rsidRPr="0065230B">
        <w:rPr>
          <w:rFonts w:ascii="Times New Roman" w:hAnsi="Times New Roman" w:cs="Times New Roman"/>
          <w:i/>
          <w:iCs/>
          <w:sz w:val="24"/>
          <w:szCs w:val="24"/>
        </w:rPr>
        <w:t>Aging &amp; Mental Health</w:t>
      </w:r>
      <w:r w:rsidRPr="0065230B">
        <w:rPr>
          <w:rFonts w:ascii="Times New Roman" w:hAnsi="Times New Roman" w:cs="Times New Roman"/>
          <w:sz w:val="24"/>
          <w:szCs w:val="24"/>
        </w:rPr>
        <w:t xml:space="preserve">, </w:t>
      </w:r>
      <w:r w:rsidRPr="0065230B">
        <w:rPr>
          <w:rFonts w:ascii="Times New Roman" w:hAnsi="Times New Roman" w:cs="Times New Roman"/>
          <w:i/>
          <w:iCs/>
          <w:sz w:val="24"/>
          <w:szCs w:val="24"/>
        </w:rPr>
        <w:t>27</w:t>
      </w:r>
      <w:r w:rsidRPr="0065230B">
        <w:rPr>
          <w:rFonts w:ascii="Times New Roman" w:hAnsi="Times New Roman" w:cs="Times New Roman"/>
          <w:sz w:val="24"/>
          <w:szCs w:val="24"/>
        </w:rPr>
        <w:t xml:space="preserve">(9), 1–8. </w:t>
      </w:r>
      <w:hyperlink r:id="rId12" w:history="1">
        <w:r w:rsidR="007358FB" w:rsidRPr="001908FB">
          <w:rPr>
            <w:rStyle w:val="Hyperlink"/>
            <w:rFonts w:ascii="Times New Roman" w:hAnsi="Times New Roman" w:cs="Times New Roman"/>
            <w:sz w:val="24"/>
            <w:szCs w:val="24"/>
          </w:rPr>
          <w:t>https://doi.org/10.1080/13607863.2022.2148157</w:t>
        </w:r>
      </w:hyperlink>
    </w:p>
    <w:p w14:paraId="3D148AB7" w14:textId="127CB5D8" w:rsidR="007358FB" w:rsidRDefault="007358FB" w:rsidP="007358FB">
      <w:pPr>
        <w:spacing w:line="360" w:lineRule="auto"/>
        <w:jc w:val="both"/>
        <w:rPr>
          <w:rFonts w:ascii="Times New Roman" w:hAnsi="Times New Roman" w:cs="Times New Roman"/>
          <w:sz w:val="24"/>
          <w:szCs w:val="24"/>
        </w:rPr>
      </w:pPr>
      <w:r w:rsidRPr="007358FB">
        <w:rPr>
          <w:rFonts w:ascii="Times New Roman" w:hAnsi="Times New Roman" w:cs="Times New Roman"/>
          <w:sz w:val="24"/>
          <w:szCs w:val="24"/>
        </w:rPr>
        <w:t>Seligman, M. E. P. (2011). </w:t>
      </w:r>
      <w:r>
        <w:rPr>
          <w:rFonts w:ascii="Times New Roman" w:hAnsi="Times New Roman" w:cs="Times New Roman"/>
          <w:i/>
          <w:iCs/>
          <w:sz w:val="24"/>
          <w:szCs w:val="24"/>
        </w:rPr>
        <w:t xml:space="preserve"> </w:t>
      </w:r>
      <w:hyperlink r:id="rId13" w:history="1">
        <w:r w:rsidRPr="007358FB">
          <w:rPr>
            <w:rStyle w:val="Hyperlink"/>
            <w:rFonts w:ascii="Times New Roman" w:hAnsi="Times New Roman" w:cs="Times New Roman"/>
            <w:i/>
            <w:iCs/>
            <w:sz w:val="24"/>
            <w:szCs w:val="24"/>
          </w:rPr>
          <w:t>Flourish: A visionary new understanding of happiness and well-being</w:t>
        </w:r>
      </w:hyperlink>
      <w:r w:rsidRPr="007358FB">
        <w:rPr>
          <w:rFonts w:ascii="Times New Roman" w:hAnsi="Times New Roman" w:cs="Times New Roman"/>
          <w:sz w:val="24"/>
          <w:szCs w:val="24"/>
        </w:rPr>
        <w:t>. Free Press. </w:t>
      </w:r>
    </w:p>
    <w:p w14:paraId="09DFA860" w14:textId="77777777" w:rsidR="00B27F26" w:rsidRPr="00B27F26" w:rsidRDefault="00B27F26" w:rsidP="00B27F26">
      <w:pPr>
        <w:spacing w:line="360" w:lineRule="auto"/>
        <w:jc w:val="both"/>
        <w:rPr>
          <w:rFonts w:ascii="Times New Roman" w:hAnsi="Times New Roman" w:cs="Times New Roman"/>
          <w:i/>
          <w:iCs/>
          <w:sz w:val="24"/>
          <w:szCs w:val="24"/>
        </w:rPr>
      </w:pPr>
      <w:proofErr w:type="spellStart"/>
      <w:r w:rsidRPr="00B27F26">
        <w:rPr>
          <w:rFonts w:ascii="Times New Roman" w:hAnsi="Times New Roman" w:cs="Times New Roman"/>
          <w:i/>
          <w:iCs/>
          <w:sz w:val="24"/>
          <w:szCs w:val="24"/>
        </w:rPr>
        <w:t>Venage</w:t>
      </w:r>
      <w:proofErr w:type="spellEnd"/>
      <w:r w:rsidRPr="00B27F26">
        <w:rPr>
          <w:rFonts w:ascii="Times New Roman" w:hAnsi="Times New Roman" w:cs="Times New Roman"/>
          <w:i/>
          <w:iCs/>
          <w:sz w:val="24"/>
          <w:szCs w:val="24"/>
        </w:rPr>
        <w:t xml:space="preserve"> (2019). </w:t>
      </w:r>
      <w:proofErr w:type="spellStart"/>
      <w:r w:rsidRPr="00B27F26">
        <w:rPr>
          <w:rFonts w:ascii="Times New Roman" w:hAnsi="Times New Roman" w:cs="Times New Roman"/>
          <w:i/>
          <w:iCs/>
          <w:sz w:val="24"/>
          <w:szCs w:val="24"/>
        </w:rPr>
        <w:t>Venage</w:t>
      </w:r>
      <w:proofErr w:type="spellEnd"/>
      <w:r w:rsidRPr="00B27F26">
        <w:rPr>
          <w:rFonts w:ascii="Times New Roman" w:hAnsi="Times New Roman" w:cs="Times New Roman"/>
          <w:i/>
          <w:iCs/>
          <w:sz w:val="24"/>
          <w:szCs w:val="24"/>
        </w:rPr>
        <w:t xml:space="preserve">. [online] </w:t>
      </w:r>
      <w:proofErr w:type="spellStart"/>
      <w:r w:rsidRPr="00B27F26">
        <w:rPr>
          <w:rFonts w:ascii="Times New Roman" w:hAnsi="Times New Roman" w:cs="Times New Roman"/>
          <w:i/>
          <w:iCs/>
          <w:sz w:val="24"/>
          <w:szCs w:val="24"/>
        </w:rPr>
        <w:t>Venage</w:t>
      </w:r>
      <w:proofErr w:type="spellEnd"/>
      <w:r w:rsidRPr="00B27F26">
        <w:rPr>
          <w:rFonts w:ascii="Times New Roman" w:hAnsi="Times New Roman" w:cs="Times New Roman"/>
          <w:i/>
          <w:iCs/>
          <w:sz w:val="24"/>
          <w:szCs w:val="24"/>
        </w:rPr>
        <w:t>. Available at: https://www.venage.com/ [Accessed 17 Mar. 2026].</w:t>
      </w:r>
    </w:p>
    <w:p w14:paraId="0ED946B0" w14:textId="77777777" w:rsidR="00B27F26" w:rsidRPr="007358FB" w:rsidRDefault="00B27F26" w:rsidP="007358FB">
      <w:pPr>
        <w:spacing w:line="360" w:lineRule="auto"/>
        <w:jc w:val="both"/>
        <w:rPr>
          <w:rFonts w:ascii="Times New Roman" w:hAnsi="Times New Roman" w:cs="Times New Roman"/>
          <w:i/>
          <w:iCs/>
          <w:sz w:val="24"/>
          <w:szCs w:val="24"/>
        </w:rPr>
      </w:pPr>
    </w:p>
    <w:p w14:paraId="0DB12C62" w14:textId="77777777" w:rsidR="0065230B" w:rsidRPr="0032589E" w:rsidRDefault="0065230B" w:rsidP="0032589E">
      <w:pPr>
        <w:spacing w:line="360" w:lineRule="auto"/>
        <w:jc w:val="both"/>
        <w:rPr>
          <w:rFonts w:ascii="Times New Roman" w:hAnsi="Times New Roman" w:cs="Times New Roman"/>
          <w:sz w:val="24"/>
          <w:szCs w:val="24"/>
        </w:rPr>
      </w:pPr>
    </w:p>
    <w:p w14:paraId="0B597841" w14:textId="77777777" w:rsidR="0065230B" w:rsidRPr="0032589E" w:rsidRDefault="0065230B" w:rsidP="0032589E">
      <w:pPr>
        <w:spacing w:line="360" w:lineRule="auto"/>
        <w:jc w:val="both"/>
        <w:rPr>
          <w:rFonts w:ascii="Times New Roman" w:hAnsi="Times New Roman" w:cs="Times New Roman"/>
          <w:sz w:val="24"/>
          <w:szCs w:val="24"/>
        </w:rPr>
      </w:pPr>
    </w:p>
    <w:p w14:paraId="4513F1B1" w14:textId="77777777" w:rsidR="0065230B" w:rsidRPr="0032589E" w:rsidRDefault="0065230B" w:rsidP="0032589E">
      <w:pPr>
        <w:spacing w:line="360" w:lineRule="auto"/>
        <w:jc w:val="both"/>
        <w:rPr>
          <w:rFonts w:ascii="Times New Roman" w:hAnsi="Times New Roman" w:cs="Times New Roman"/>
          <w:sz w:val="24"/>
          <w:szCs w:val="24"/>
        </w:rPr>
      </w:pPr>
    </w:p>
    <w:p w14:paraId="16467A78" w14:textId="77777777" w:rsidR="0065230B" w:rsidRPr="00C70318" w:rsidRDefault="0065230B" w:rsidP="0032589E">
      <w:pPr>
        <w:spacing w:line="360" w:lineRule="auto"/>
        <w:jc w:val="both"/>
        <w:rPr>
          <w:rFonts w:ascii="Times New Roman" w:hAnsi="Times New Roman" w:cs="Times New Roman"/>
          <w:sz w:val="24"/>
          <w:szCs w:val="24"/>
        </w:rPr>
      </w:pPr>
    </w:p>
    <w:p w14:paraId="6DAE8E64" w14:textId="77777777" w:rsidR="00383A37" w:rsidRPr="0032589E" w:rsidRDefault="00383A37" w:rsidP="0032589E">
      <w:pPr>
        <w:spacing w:line="360" w:lineRule="auto"/>
        <w:jc w:val="both"/>
        <w:rPr>
          <w:rFonts w:ascii="Times New Roman" w:hAnsi="Times New Roman" w:cs="Times New Roman"/>
          <w:sz w:val="24"/>
          <w:szCs w:val="24"/>
        </w:rPr>
      </w:pPr>
    </w:p>
    <w:sectPr w:rsidR="00383A37" w:rsidRPr="0032589E" w:rsidSect="00805D6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C14338" w14:textId="77777777" w:rsidR="003A7750" w:rsidRDefault="003A7750" w:rsidP="0032589E">
      <w:pPr>
        <w:spacing w:after="0" w:line="240" w:lineRule="auto"/>
      </w:pPr>
      <w:r>
        <w:separator/>
      </w:r>
    </w:p>
  </w:endnote>
  <w:endnote w:type="continuationSeparator" w:id="0">
    <w:p w14:paraId="7541AF0E" w14:textId="77777777" w:rsidR="003A7750" w:rsidRDefault="003A7750" w:rsidP="00325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2562092"/>
      <w:docPartObj>
        <w:docPartGallery w:val="Page Numbers (Bottom of Page)"/>
        <w:docPartUnique/>
      </w:docPartObj>
    </w:sdtPr>
    <w:sdtEndPr/>
    <w:sdtContent>
      <w:p w14:paraId="364B1EDA" w14:textId="32F4DB46" w:rsidR="0032589E" w:rsidRDefault="0032589E">
        <w:pPr>
          <w:pStyle w:val="Footer"/>
          <w:jc w:val="right"/>
        </w:pPr>
        <w:r>
          <w:fldChar w:fldCharType="begin"/>
        </w:r>
        <w:r>
          <w:instrText>PAGE   \* MERGEFORMAT</w:instrText>
        </w:r>
        <w:r>
          <w:fldChar w:fldCharType="separate"/>
        </w:r>
        <w:r w:rsidR="00AC06FF">
          <w:rPr>
            <w:noProof/>
          </w:rPr>
          <w:t>1</w:t>
        </w:r>
        <w:r>
          <w:fldChar w:fldCharType="end"/>
        </w:r>
      </w:p>
    </w:sdtContent>
  </w:sdt>
  <w:p w14:paraId="0E0173D5" w14:textId="77777777" w:rsidR="0032589E" w:rsidRDefault="003258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EE4B28" w14:textId="77777777" w:rsidR="003A7750" w:rsidRDefault="003A7750" w:rsidP="0032589E">
      <w:pPr>
        <w:spacing w:after="0" w:line="240" w:lineRule="auto"/>
      </w:pPr>
      <w:r>
        <w:separator/>
      </w:r>
    </w:p>
  </w:footnote>
  <w:footnote w:type="continuationSeparator" w:id="0">
    <w:p w14:paraId="796A80FA" w14:textId="77777777" w:rsidR="003A7750" w:rsidRDefault="003A7750" w:rsidP="00325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235292"/>
      <w:docPartObj>
        <w:docPartGallery w:val="Page Numbers (Top of Page)"/>
        <w:docPartUnique/>
      </w:docPartObj>
    </w:sdtPr>
    <w:sdtEndPr/>
    <w:sdtContent>
      <w:p w14:paraId="11448806" w14:textId="1422CEC6" w:rsidR="0032589E" w:rsidRDefault="0032589E">
        <w:pPr>
          <w:pStyle w:val="Header"/>
          <w:jc w:val="right"/>
        </w:pPr>
        <w:r>
          <w:fldChar w:fldCharType="begin"/>
        </w:r>
        <w:r>
          <w:instrText>PAGE   \* MERGEFORMAT</w:instrText>
        </w:r>
        <w:r>
          <w:fldChar w:fldCharType="separate"/>
        </w:r>
        <w:r w:rsidR="00AC06FF">
          <w:rPr>
            <w:noProof/>
          </w:rPr>
          <w:t>1</w:t>
        </w:r>
        <w:r>
          <w:fldChar w:fldCharType="end"/>
        </w:r>
      </w:p>
    </w:sdtContent>
  </w:sdt>
  <w:p w14:paraId="30A72409" w14:textId="77777777" w:rsidR="0032589E" w:rsidRDefault="003258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318"/>
    <w:rsid w:val="00030BE1"/>
    <w:rsid w:val="002041B6"/>
    <w:rsid w:val="002A0BA2"/>
    <w:rsid w:val="002C3531"/>
    <w:rsid w:val="0032589E"/>
    <w:rsid w:val="00366A84"/>
    <w:rsid w:val="00383A37"/>
    <w:rsid w:val="003A7750"/>
    <w:rsid w:val="003D276E"/>
    <w:rsid w:val="00443475"/>
    <w:rsid w:val="005A0F0F"/>
    <w:rsid w:val="0065230B"/>
    <w:rsid w:val="006C2616"/>
    <w:rsid w:val="006D2FF9"/>
    <w:rsid w:val="007358FB"/>
    <w:rsid w:val="00805D68"/>
    <w:rsid w:val="008E53BA"/>
    <w:rsid w:val="00AC06FF"/>
    <w:rsid w:val="00B27F26"/>
    <w:rsid w:val="00B77927"/>
    <w:rsid w:val="00BF4102"/>
    <w:rsid w:val="00C6644A"/>
    <w:rsid w:val="00C70318"/>
    <w:rsid w:val="00CB3841"/>
    <w:rsid w:val="00CC3951"/>
    <w:rsid w:val="00D44507"/>
    <w:rsid w:val="00E77151"/>
    <w:rsid w:val="00FC5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A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line="259" w:lineRule="auto"/>
    </w:pPr>
  </w:style>
  <w:style w:type="paragraph" w:styleId="Heading1">
    <w:name w:val="heading 1"/>
    <w:basedOn w:val="Normal"/>
    <w:next w:val="Normal"/>
    <w:link w:val="Heading1Char"/>
    <w:autoRedefine/>
    <w:uiPriority w:val="9"/>
    <w:qFormat/>
    <w:rsid w:val="0032589E"/>
    <w:pPr>
      <w:keepNext/>
      <w:keepLines/>
      <w:widowControl w:val="0"/>
      <w:autoSpaceDE w:val="0"/>
      <w:autoSpaceDN w:val="0"/>
      <w:spacing w:before="240"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A0F0F"/>
    <w:pPr>
      <w:keepNext/>
      <w:keepLines/>
      <w:widowControl w:val="0"/>
      <w:autoSpaceDE w:val="0"/>
      <w:autoSpaceDN w:val="0"/>
      <w:spacing w:after="12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C703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3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3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3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3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3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3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89E"/>
    <w:rPr>
      <w:rFonts w:ascii="Times New Roman" w:eastAsiaTheme="majorEastAsia" w:hAnsi="Times New Roman" w:cstheme="majorBidi"/>
      <w:b/>
      <w:sz w:val="28"/>
      <w:szCs w:val="32"/>
    </w:rPr>
  </w:style>
  <w:style w:type="paragraph" w:styleId="ListParagraph">
    <w:name w:val="List Paragraph"/>
    <w:basedOn w:val="Normal"/>
    <w:autoRedefine/>
    <w:uiPriority w:val="1"/>
    <w:qFormat/>
    <w:rsid w:val="006C2616"/>
    <w:pPr>
      <w:widowControl w:val="0"/>
      <w:autoSpaceDE w:val="0"/>
      <w:autoSpaceDN w:val="0"/>
      <w:spacing w:after="0" w:line="240" w:lineRule="auto"/>
    </w:pPr>
    <w:rPr>
      <w:rFonts w:ascii="Times New Roman" w:eastAsia="Arial MT" w:hAnsi="Times New Roman" w:cs="Arial MT"/>
      <w:b/>
      <w:sz w:val="24"/>
      <w:lang w:val="en-US"/>
      <w14:ligatures w14:val="none"/>
    </w:rPr>
  </w:style>
  <w:style w:type="character" w:customStyle="1" w:styleId="Heading2Char">
    <w:name w:val="Heading 2 Char"/>
    <w:basedOn w:val="DefaultParagraphFont"/>
    <w:link w:val="Heading2"/>
    <w:uiPriority w:val="9"/>
    <w:rsid w:val="005A0F0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3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3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3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3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3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3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318"/>
    <w:rPr>
      <w:rFonts w:eastAsiaTheme="majorEastAsia" w:cstheme="majorBidi"/>
      <w:color w:val="272727" w:themeColor="text1" w:themeTint="D8"/>
    </w:rPr>
  </w:style>
  <w:style w:type="paragraph" w:styleId="Title">
    <w:name w:val="Title"/>
    <w:basedOn w:val="Normal"/>
    <w:next w:val="Normal"/>
    <w:link w:val="TitleChar"/>
    <w:uiPriority w:val="10"/>
    <w:qFormat/>
    <w:rsid w:val="00C70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3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3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0318"/>
    <w:rPr>
      <w:i/>
      <w:iCs/>
      <w:color w:val="404040" w:themeColor="text1" w:themeTint="BF"/>
    </w:rPr>
  </w:style>
  <w:style w:type="character" w:styleId="IntenseEmphasis">
    <w:name w:val="Intense Emphasis"/>
    <w:basedOn w:val="DefaultParagraphFont"/>
    <w:uiPriority w:val="21"/>
    <w:qFormat/>
    <w:rsid w:val="00C70318"/>
    <w:rPr>
      <w:i/>
      <w:iCs/>
      <w:color w:val="0F4761" w:themeColor="accent1" w:themeShade="BF"/>
    </w:rPr>
  </w:style>
  <w:style w:type="paragraph" w:styleId="IntenseQuote">
    <w:name w:val="Intense Quote"/>
    <w:basedOn w:val="Normal"/>
    <w:next w:val="Normal"/>
    <w:link w:val="IntenseQuoteChar"/>
    <w:uiPriority w:val="30"/>
    <w:qFormat/>
    <w:rsid w:val="00C70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318"/>
    <w:rPr>
      <w:i/>
      <w:iCs/>
      <w:color w:val="0F4761" w:themeColor="accent1" w:themeShade="BF"/>
    </w:rPr>
  </w:style>
  <w:style w:type="character" w:styleId="IntenseReference">
    <w:name w:val="Intense Reference"/>
    <w:basedOn w:val="DefaultParagraphFont"/>
    <w:uiPriority w:val="32"/>
    <w:qFormat/>
    <w:rsid w:val="00C70318"/>
    <w:rPr>
      <w:b/>
      <w:bCs/>
      <w:smallCaps/>
      <w:color w:val="0F4761" w:themeColor="accent1" w:themeShade="BF"/>
      <w:spacing w:val="5"/>
    </w:rPr>
  </w:style>
  <w:style w:type="character" w:styleId="Hyperlink">
    <w:name w:val="Hyperlink"/>
    <w:basedOn w:val="DefaultParagraphFont"/>
    <w:uiPriority w:val="99"/>
    <w:unhideWhenUsed/>
    <w:rsid w:val="00C70318"/>
    <w:rPr>
      <w:color w:val="467886" w:themeColor="hyperlink"/>
      <w:u w:val="single"/>
    </w:rPr>
  </w:style>
  <w:style w:type="character" w:customStyle="1" w:styleId="UnresolvedMention">
    <w:name w:val="Unresolved Mention"/>
    <w:basedOn w:val="DefaultParagraphFont"/>
    <w:uiPriority w:val="99"/>
    <w:semiHidden/>
    <w:unhideWhenUsed/>
    <w:rsid w:val="00C70318"/>
    <w:rPr>
      <w:color w:val="605E5C"/>
      <w:shd w:val="clear" w:color="auto" w:fill="E1DFDD"/>
    </w:rPr>
  </w:style>
  <w:style w:type="paragraph" w:styleId="Header">
    <w:name w:val="header"/>
    <w:basedOn w:val="Normal"/>
    <w:link w:val="HeaderChar"/>
    <w:uiPriority w:val="99"/>
    <w:unhideWhenUsed/>
    <w:rsid w:val="00325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89E"/>
  </w:style>
  <w:style w:type="paragraph" w:styleId="Footer">
    <w:name w:val="footer"/>
    <w:basedOn w:val="Normal"/>
    <w:link w:val="FooterChar"/>
    <w:uiPriority w:val="99"/>
    <w:unhideWhenUsed/>
    <w:rsid w:val="00325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89E"/>
  </w:style>
  <w:style w:type="paragraph" w:styleId="BalloonText">
    <w:name w:val="Balloon Text"/>
    <w:basedOn w:val="Normal"/>
    <w:link w:val="BalloonTextChar"/>
    <w:uiPriority w:val="99"/>
    <w:semiHidden/>
    <w:unhideWhenUsed/>
    <w:rsid w:val="004434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4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line="259" w:lineRule="auto"/>
    </w:pPr>
  </w:style>
  <w:style w:type="paragraph" w:styleId="Heading1">
    <w:name w:val="heading 1"/>
    <w:basedOn w:val="Normal"/>
    <w:next w:val="Normal"/>
    <w:link w:val="Heading1Char"/>
    <w:autoRedefine/>
    <w:uiPriority w:val="9"/>
    <w:qFormat/>
    <w:rsid w:val="0032589E"/>
    <w:pPr>
      <w:keepNext/>
      <w:keepLines/>
      <w:widowControl w:val="0"/>
      <w:autoSpaceDE w:val="0"/>
      <w:autoSpaceDN w:val="0"/>
      <w:spacing w:before="240" w:after="0" w:line="24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5A0F0F"/>
    <w:pPr>
      <w:keepNext/>
      <w:keepLines/>
      <w:widowControl w:val="0"/>
      <w:autoSpaceDE w:val="0"/>
      <w:autoSpaceDN w:val="0"/>
      <w:spacing w:after="120" w:line="24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C703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3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3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3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3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3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3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89E"/>
    <w:rPr>
      <w:rFonts w:ascii="Times New Roman" w:eastAsiaTheme="majorEastAsia" w:hAnsi="Times New Roman" w:cstheme="majorBidi"/>
      <w:b/>
      <w:sz w:val="28"/>
      <w:szCs w:val="32"/>
    </w:rPr>
  </w:style>
  <w:style w:type="paragraph" w:styleId="ListParagraph">
    <w:name w:val="List Paragraph"/>
    <w:basedOn w:val="Normal"/>
    <w:autoRedefine/>
    <w:uiPriority w:val="1"/>
    <w:qFormat/>
    <w:rsid w:val="006C2616"/>
    <w:pPr>
      <w:widowControl w:val="0"/>
      <w:autoSpaceDE w:val="0"/>
      <w:autoSpaceDN w:val="0"/>
      <w:spacing w:after="0" w:line="240" w:lineRule="auto"/>
    </w:pPr>
    <w:rPr>
      <w:rFonts w:ascii="Times New Roman" w:eastAsia="Arial MT" w:hAnsi="Times New Roman" w:cs="Arial MT"/>
      <w:b/>
      <w:sz w:val="24"/>
      <w:lang w:val="en-US"/>
      <w14:ligatures w14:val="none"/>
    </w:rPr>
  </w:style>
  <w:style w:type="character" w:customStyle="1" w:styleId="Heading2Char">
    <w:name w:val="Heading 2 Char"/>
    <w:basedOn w:val="DefaultParagraphFont"/>
    <w:link w:val="Heading2"/>
    <w:uiPriority w:val="9"/>
    <w:rsid w:val="005A0F0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C703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3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3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3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3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3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318"/>
    <w:rPr>
      <w:rFonts w:eastAsiaTheme="majorEastAsia" w:cstheme="majorBidi"/>
      <w:color w:val="272727" w:themeColor="text1" w:themeTint="D8"/>
    </w:rPr>
  </w:style>
  <w:style w:type="paragraph" w:styleId="Title">
    <w:name w:val="Title"/>
    <w:basedOn w:val="Normal"/>
    <w:next w:val="Normal"/>
    <w:link w:val="TitleChar"/>
    <w:uiPriority w:val="10"/>
    <w:qFormat/>
    <w:rsid w:val="00C70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3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3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0318"/>
    <w:rPr>
      <w:i/>
      <w:iCs/>
      <w:color w:val="404040" w:themeColor="text1" w:themeTint="BF"/>
    </w:rPr>
  </w:style>
  <w:style w:type="character" w:styleId="IntenseEmphasis">
    <w:name w:val="Intense Emphasis"/>
    <w:basedOn w:val="DefaultParagraphFont"/>
    <w:uiPriority w:val="21"/>
    <w:qFormat/>
    <w:rsid w:val="00C70318"/>
    <w:rPr>
      <w:i/>
      <w:iCs/>
      <w:color w:val="0F4761" w:themeColor="accent1" w:themeShade="BF"/>
    </w:rPr>
  </w:style>
  <w:style w:type="paragraph" w:styleId="IntenseQuote">
    <w:name w:val="Intense Quote"/>
    <w:basedOn w:val="Normal"/>
    <w:next w:val="Normal"/>
    <w:link w:val="IntenseQuoteChar"/>
    <w:uiPriority w:val="30"/>
    <w:qFormat/>
    <w:rsid w:val="00C70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318"/>
    <w:rPr>
      <w:i/>
      <w:iCs/>
      <w:color w:val="0F4761" w:themeColor="accent1" w:themeShade="BF"/>
    </w:rPr>
  </w:style>
  <w:style w:type="character" w:styleId="IntenseReference">
    <w:name w:val="Intense Reference"/>
    <w:basedOn w:val="DefaultParagraphFont"/>
    <w:uiPriority w:val="32"/>
    <w:qFormat/>
    <w:rsid w:val="00C70318"/>
    <w:rPr>
      <w:b/>
      <w:bCs/>
      <w:smallCaps/>
      <w:color w:val="0F4761" w:themeColor="accent1" w:themeShade="BF"/>
      <w:spacing w:val="5"/>
    </w:rPr>
  </w:style>
  <w:style w:type="character" w:styleId="Hyperlink">
    <w:name w:val="Hyperlink"/>
    <w:basedOn w:val="DefaultParagraphFont"/>
    <w:uiPriority w:val="99"/>
    <w:unhideWhenUsed/>
    <w:rsid w:val="00C70318"/>
    <w:rPr>
      <w:color w:val="467886" w:themeColor="hyperlink"/>
      <w:u w:val="single"/>
    </w:rPr>
  </w:style>
  <w:style w:type="character" w:customStyle="1" w:styleId="UnresolvedMention">
    <w:name w:val="Unresolved Mention"/>
    <w:basedOn w:val="DefaultParagraphFont"/>
    <w:uiPriority w:val="99"/>
    <w:semiHidden/>
    <w:unhideWhenUsed/>
    <w:rsid w:val="00C70318"/>
    <w:rPr>
      <w:color w:val="605E5C"/>
      <w:shd w:val="clear" w:color="auto" w:fill="E1DFDD"/>
    </w:rPr>
  </w:style>
  <w:style w:type="paragraph" w:styleId="Header">
    <w:name w:val="header"/>
    <w:basedOn w:val="Normal"/>
    <w:link w:val="HeaderChar"/>
    <w:uiPriority w:val="99"/>
    <w:unhideWhenUsed/>
    <w:rsid w:val="003258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89E"/>
  </w:style>
  <w:style w:type="paragraph" w:styleId="Footer">
    <w:name w:val="footer"/>
    <w:basedOn w:val="Normal"/>
    <w:link w:val="FooterChar"/>
    <w:uiPriority w:val="99"/>
    <w:unhideWhenUsed/>
    <w:rsid w:val="00325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89E"/>
  </w:style>
  <w:style w:type="paragraph" w:styleId="BalloonText">
    <w:name w:val="Balloon Text"/>
    <w:basedOn w:val="Normal"/>
    <w:link w:val="BalloonTextChar"/>
    <w:uiPriority w:val="99"/>
    <w:semiHidden/>
    <w:unhideWhenUsed/>
    <w:rsid w:val="004434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4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gerinurse.2024.10.066" TargetMode="External"/><Relationship Id="rId13" Type="http://schemas.openxmlformats.org/officeDocument/2006/relationships/hyperlink" Target="https://www.google.com/search?q=flourish:+a+visionary+new+understanding+of+happiness+and+well-being&amp;kgmid=/g/12bq6n21s&amp;sa=X&amp;ved=2ahUKEwivnu7Wr6eTAxXEdaQEHXHPAOQQ3egRegYIAQgEEA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0/13607863.2022.2148157"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doi.org/10.1080/13607863.2022.214815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3390/bs13100838" TargetMode="External"/><Relationship Id="rId4" Type="http://schemas.openxmlformats.org/officeDocument/2006/relationships/webSettings" Target="webSettings.xml"/><Relationship Id="rId9" Type="http://schemas.openxmlformats.org/officeDocument/2006/relationships/hyperlink" Target="https://journalppw.com/index.php/jppw/article/view/479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10</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Kuch Bhi</dc:creator>
  <cp:keywords/>
  <dc:description/>
  <cp:lastModifiedBy>SHAHBAZ COM</cp:lastModifiedBy>
  <cp:revision>9</cp:revision>
  <dcterms:created xsi:type="dcterms:W3CDTF">2026-03-05T14:31:00Z</dcterms:created>
  <dcterms:modified xsi:type="dcterms:W3CDTF">2026-03-19T11:31:00Z</dcterms:modified>
</cp:coreProperties>
</file>