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49"/>
        <w:gridCol w:w="3893"/>
      </w:tblGrid>
      <w:tr w:rsidR="00602C4B" w:rsidRPr="0033091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rsidR="00A60F09" w:rsidRPr="000A7D84" w:rsidRDefault="00602C4B" w:rsidP="00A60F09">
            <w:pPr>
              <w:rPr>
                <w:rFonts w:cs="Times New Roman"/>
                <w:b/>
                <w:bCs/>
                <w:i/>
                <w:iCs/>
                <w:color w:val="BFBFBF" w:themeColor="background1" w:themeShade="BF"/>
              </w:rPr>
            </w:pPr>
            <w:r w:rsidRPr="000A7D84">
              <w:rPr>
                <w:rFonts w:eastAsia="Times New Roman" w:cs="Times New Roman"/>
                <w:b/>
                <w:bCs/>
                <w:color w:val="auto"/>
                <w:sz w:val="22"/>
              </w:rPr>
              <w:t>Student Name:</w:t>
            </w:r>
            <w:r w:rsidR="00A77C6B">
              <w:rPr>
                <w:rFonts w:eastAsia="Times New Roman" w:cs="Times New Roman"/>
                <w:b/>
                <w:bCs/>
                <w:color w:val="auto"/>
                <w:sz w:val="22"/>
              </w:rPr>
              <w:t xml:space="preserve"> Alina Pandrea</w:t>
            </w:r>
          </w:p>
          <w:p w:rsidR="00602C4B" w:rsidRPr="000A7D84" w:rsidRDefault="00602C4B" w:rsidP="00675DCB">
            <w:pPr>
              <w:keepNext/>
              <w:spacing w:before="120" w:after="0" w:line="276" w:lineRule="auto"/>
              <w:rPr>
                <w:rFonts w:cs="Times New Roman"/>
                <w:b/>
                <w:bCs/>
                <w:noProof/>
                <w:lang w:eastAsia="en-GB"/>
              </w:rPr>
            </w:pPr>
            <w:r w:rsidRPr="000A7D84">
              <w:rPr>
                <w:rFonts w:eastAsia="Times New Roman" w:cs="Times New Roman"/>
                <w:b/>
                <w:bCs/>
                <w:color w:val="auto"/>
                <w:sz w:val="22"/>
                <w:lang w:val="en-AU"/>
              </w:rPr>
              <w:t>Student ID:</w:t>
            </w:r>
            <w:r w:rsidR="00A77C6B">
              <w:rPr>
                <w:rFonts w:eastAsia="Times New Roman" w:cs="Times New Roman"/>
                <w:b/>
                <w:bCs/>
                <w:color w:val="auto"/>
                <w:sz w:val="22"/>
                <w:lang w:val="en-AU"/>
              </w:rPr>
              <w:t>2226713</w:t>
            </w:r>
          </w:p>
          <w:p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Module Title:</w:t>
            </w:r>
            <w:r w:rsidR="00634E85">
              <w:rPr>
                <w:rFonts w:eastAsia="Times New Roman" w:cs="Times New Roman"/>
                <w:b/>
                <w:bCs/>
                <w:color w:val="auto"/>
                <w:sz w:val="22"/>
                <w:lang w:val="en-AU"/>
              </w:rPr>
              <w:t xml:space="preserve"> </w:t>
            </w:r>
            <w:r w:rsidR="00A77C6B">
              <w:rPr>
                <w:rFonts w:eastAsia="Times New Roman" w:cs="Times New Roman"/>
                <w:b/>
                <w:bCs/>
                <w:color w:val="auto"/>
                <w:sz w:val="22"/>
                <w:lang w:val="en-AU"/>
              </w:rPr>
              <w:t xml:space="preserve">Foreign languages and Cultural </w:t>
            </w:r>
            <w:r w:rsidR="00634E85">
              <w:rPr>
                <w:rFonts w:eastAsia="Times New Roman" w:cs="Times New Roman"/>
                <w:b/>
                <w:bCs/>
                <w:color w:val="auto"/>
                <w:sz w:val="22"/>
                <w:lang w:val="en-AU"/>
              </w:rPr>
              <w:t>Awareness</w:t>
            </w:r>
          </w:p>
          <w:p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Module Code:</w:t>
            </w:r>
            <w:r w:rsidR="00634E85">
              <w:rPr>
                <w:rFonts w:eastAsia="Times New Roman" w:cs="Times New Roman"/>
                <w:b/>
                <w:bCs/>
                <w:color w:val="auto"/>
                <w:sz w:val="22"/>
                <w:lang w:val="en-AU"/>
              </w:rPr>
              <w:t xml:space="preserve"> </w:t>
            </w:r>
            <w:r w:rsidR="00A77C6B">
              <w:rPr>
                <w:rFonts w:eastAsia="Times New Roman" w:cs="Times New Roman"/>
                <w:b/>
                <w:bCs/>
                <w:color w:val="auto"/>
                <w:sz w:val="22"/>
                <w:lang w:val="en-AU"/>
              </w:rPr>
              <w:t>BMIH5003</w:t>
            </w:r>
          </w:p>
          <w:p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Lecturer</w:t>
            </w:r>
            <w:r w:rsidR="00634E85">
              <w:rPr>
                <w:rFonts w:eastAsia="Times New Roman" w:cs="Times New Roman"/>
                <w:b/>
                <w:bCs/>
                <w:color w:val="auto"/>
                <w:sz w:val="22"/>
                <w:lang w:val="en-AU"/>
              </w:rPr>
              <w:t>: Heidi Prosser</w:t>
            </w:r>
          </w:p>
          <w:p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A77C6B">
              <w:rPr>
                <w:rFonts w:cs="Times New Roman"/>
                <w:b/>
                <w:bCs/>
                <w:noProof/>
                <w:sz w:val="22"/>
              </w:rPr>
              <w:t>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eastAsia="en-GB"/>
              </w:rPr>
              <w:drawing>
                <wp:anchor distT="0" distB="0" distL="114300" distR="114300" simplePos="0" relativeHeight="251661312" behindDoc="0" locked="0" layoutInCell="1" allowOverlap="1">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anchor>
              </w:drawing>
            </w:r>
          </w:p>
        </w:tc>
      </w:tr>
      <w:tr w:rsidR="00910929" w:rsidRPr="0033091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rsidR="00910929" w:rsidRDefault="00910929" w:rsidP="00910929">
            <w:pPr>
              <w:keepNext/>
              <w:spacing w:before="120" w:after="0" w:line="276" w:lineRule="auto"/>
              <w:rPr>
                <w:b/>
                <w:bCs/>
                <w:noProof/>
                <w:sz w:val="36"/>
                <w:szCs w:val="32"/>
              </w:rPr>
            </w:pPr>
          </w:p>
          <w:p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rsidR="003164B2" w:rsidRPr="00675DCB" w:rsidRDefault="003164B2" w:rsidP="00910929">
            <w:pPr>
              <w:keepNext/>
              <w:spacing w:before="120" w:after="0" w:line="276" w:lineRule="auto"/>
              <w:jc w:val="center"/>
              <w:rPr>
                <w:b/>
                <w:bCs/>
                <w:noProof/>
              </w:rPr>
            </w:pPr>
          </w:p>
        </w:tc>
      </w:tr>
      <w:tr w:rsidR="007C2128" w:rsidRPr="0033091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rsidR="007C2128" w:rsidRDefault="007C2128" w:rsidP="007C2128">
            <w:pPr>
              <w:rPr>
                <w:b/>
                <w:bCs/>
                <w:sz w:val="28"/>
                <w:szCs w:val="24"/>
              </w:rPr>
            </w:pPr>
          </w:p>
          <w:p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sidR="00373FD2">
              <w:rPr>
                <w:b/>
                <w:bCs/>
                <w:sz w:val="28"/>
                <w:szCs w:val="24"/>
              </w:rPr>
              <w:t>(</w:t>
            </w:r>
            <w:r>
              <w:rPr>
                <w:b/>
                <w:bCs/>
                <w:sz w:val="28"/>
                <w:szCs w:val="24"/>
              </w:rPr>
              <w:t>500 words +/- 10%</w:t>
            </w:r>
            <w:r w:rsidR="00373FD2">
              <w:rPr>
                <w:b/>
                <w:bCs/>
                <w:sz w:val="28"/>
                <w:szCs w:val="24"/>
              </w:rPr>
              <w:t>)</w:t>
            </w:r>
          </w:p>
          <w:p w:rsidR="007C2128" w:rsidRDefault="007C2128" w:rsidP="007C2128">
            <w:pPr>
              <w:spacing w:after="0" w:line="240" w:lineRule="auto"/>
              <w:rPr>
                <w:rFonts w:eastAsia="Carlito" w:cs="Times New Roman"/>
                <w:b/>
                <w:color w:val="auto"/>
                <w:sz w:val="28"/>
                <w:szCs w:val="28"/>
                <w:lang w:val="en-US"/>
              </w:rPr>
            </w:pPr>
          </w:p>
          <w:p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rsidR="0064455E" w:rsidRDefault="007F0F44" w:rsidP="007F0F44">
            <w:pPr>
              <w:spacing w:before="200" w:after="200" w:line="360" w:lineRule="auto"/>
              <w:jc w:val="both"/>
              <w:rPr>
                <w:rFonts w:eastAsia="Times New Roman" w:cs="Times New Roman"/>
                <w:color w:val="000000"/>
                <w:szCs w:val="24"/>
              </w:rPr>
            </w:pPr>
            <w:r w:rsidRPr="007F0F44">
              <w:rPr>
                <w:rFonts w:eastAsia="Times New Roman" w:cs="Times New Roman"/>
                <w:color w:val="000000"/>
                <w:szCs w:val="24"/>
              </w:rPr>
              <w:t xml:space="preserve">Cultural Misunderstanding can be referred to as one of the prolonged problems faced by employees working in the hospitality industry (Christiansen </w:t>
            </w:r>
            <w:r w:rsidRPr="007F0F44">
              <w:rPr>
                <w:rFonts w:eastAsia="Times New Roman" w:cs="Times New Roman"/>
                <w:i/>
                <w:color w:val="000000"/>
                <w:szCs w:val="24"/>
              </w:rPr>
              <w:t>et al</w:t>
            </w:r>
            <w:r w:rsidRPr="007F0F44">
              <w:rPr>
                <w:rFonts w:eastAsia="Times New Roman" w:cs="Times New Roman"/>
                <w:color w:val="000000"/>
                <w:szCs w:val="24"/>
              </w:rPr>
              <w:t>., 2020). A similar case study can be incorporated where the F&amp;B employee has to deal with a guest who understands the French language. However, the employee can be able to understand French language but he cannot be able to speak the language. As a result, the F&amp;B employee was not able to fulfil the needs and queries of the guest and the guest also left the hotel and found another hotel.</w:t>
            </w:r>
          </w:p>
          <w:p w:rsidR="007F0F44" w:rsidRDefault="007F0F44" w:rsidP="007F0F44">
            <w:pPr>
              <w:spacing w:before="200" w:after="200" w:line="360" w:lineRule="auto"/>
              <w:jc w:val="both"/>
              <w:rPr>
                <w:rFonts w:eastAsia="Times New Roman" w:cs="Times New Roman"/>
                <w:color w:val="000000"/>
                <w:szCs w:val="24"/>
              </w:rPr>
            </w:pPr>
            <w:r w:rsidRPr="007F0F44">
              <w:rPr>
                <w:rFonts w:eastAsia="Times New Roman" w:cs="Times New Roman"/>
                <w:color w:val="000000"/>
                <w:szCs w:val="24"/>
              </w:rPr>
              <w:t>In a competitive sector like the Hospitality industry, there can be various cultural misunderstandings among employees in the respective Hotel Environment. Based on this write-up process, one of the chosen examples of cultural misunderstanding is Language Differences or Barriers. I have learned that apart from language differences, there are a set of cultural misunderstandings such as Dietary Restrictions, Communication Problems, Inactive Body Language and others. Language Barriers mainly occur when the employee is not aware of some of the frequently used languages which are spoken all over the world (Maheshkar and Sharma, 2018). While deriving the case study, the same instance can be mentioned where the employee of F&amp;B can understand French but does not know how to communicate in</w:t>
            </w:r>
            <w:r>
              <w:rPr>
                <w:rFonts w:eastAsia="Times New Roman" w:cs="Times New Roman"/>
                <w:color w:val="000000"/>
                <w:szCs w:val="24"/>
              </w:rPr>
              <w:t xml:space="preserve"> </w:t>
            </w:r>
            <w:r w:rsidRPr="007F0F44">
              <w:rPr>
                <w:rFonts w:eastAsia="Times New Roman" w:cs="Times New Roman"/>
                <w:color w:val="000000"/>
                <w:szCs w:val="24"/>
              </w:rPr>
              <w:lastRenderedPageBreak/>
              <w:t>French Language. Hence, the employee has successfully figured out the issues and queries of the customer but he is not being able to propose effective solutions against those identified challenges and situations. I have also obtained that lack of training and developing sessions can be measured as another source of the language barrier as the French Speaking Course is assumed to be included in a majority of the Hospitality Courses to deal with international clients. In my opinion, there are more languages offered through some of the courses and those generally have a high price range. However, I can say that, though those are comparatively high in price, still they are found to be very useful in the long-term perspective.</w:t>
            </w:r>
          </w:p>
          <w:p w:rsidR="007F0F44" w:rsidRPr="007F0F44" w:rsidRDefault="007F0F44" w:rsidP="007F0F44">
            <w:pPr>
              <w:spacing w:before="200" w:after="200" w:line="360" w:lineRule="auto"/>
              <w:jc w:val="both"/>
              <w:rPr>
                <w:rFonts w:eastAsia="Times New Roman" w:cs="Times New Roman"/>
                <w:color w:val="000000"/>
                <w:szCs w:val="24"/>
              </w:rPr>
            </w:pPr>
            <w:r w:rsidRPr="007F0F44">
              <w:rPr>
                <w:rFonts w:eastAsia="Times New Roman" w:cs="Times New Roman"/>
                <w:color w:val="000000"/>
                <w:szCs w:val="24"/>
              </w:rPr>
              <w:t xml:space="preserve">I can say that there are different types of recommendations which could be provided for efficient and effective dealing with similar types of situations if it happens again in future. According to me, frequent arrangement of learning and development would be one of the effective solutions to language barrier issues where the employees need to be upskilled with some of the commonly used languages throughout the hospitality industry. The hotel administration needs to include French as a compulsory language to be acquired by every individual. As per Abramson and Moran (2018), another type of mitigation strategy would be encouraging positive interactions among high-level employees and also low-level employees. The hotel organisation is very much needed to promote positive interactions between all the employees. It would encourage and motivate the majority of the employees to perceive the company's objective more seriously and transparently and work further to achieve those objectives. </w:t>
            </w:r>
          </w:p>
          <w:p w:rsidR="007F0F44" w:rsidRPr="007F0F44" w:rsidRDefault="007F0F44" w:rsidP="007F0F44">
            <w:pPr>
              <w:rPr>
                <w:rFonts w:ascii="Arial" w:eastAsia="Calibri" w:hAnsi="Arial" w:cs="Arial"/>
                <w:b/>
                <w:bCs/>
                <w:color w:val="000000"/>
                <w:sz w:val="20"/>
                <w:szCs w:val="20"/>
              </w:rPr>
            </w:pPr>
            <w:r w:rsidRPr="007F0F44">
              <w:rPr>
                <w:rFonts w:ascii="Arial" w:eastAsia="Calibri" w:hAnsi="Arial" w:cs="Arial"/>
                <w:b/>
                <w:bCs/>
                <w:color w:val="000000"/>
                <w:sz w:val="20"/>
                <w:szCs w:val="20"/>
              </w:rPr>
              <w:t>References:</w:t>
            </w:r>
          </w:p>
          <w:p w:rsidR="007F0F44" w:rsidRPr="007F0F44"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t>Abramson, N.R. and Moran, R., 2018. Managing Cultural Differences: Global Leadership for the 21st Century. 10th Ed. Abingdon: Routledge.</w:t>
            </w:r>
          </w:p>
          <w:p w:rsidR="007F0F44" w:rsidRPr="007F0F44"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t>Maheshkar, C. and Sharma, V., 2018. Handbook of Research on Cross-Cultural Business Education. Hershey: IGI Global.</w:t>
            </w:r>
          </w:p>
          <w:p w:rsidR="007F0F44" w:rsidRPr="007F0F44"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t>Christiansen, B., Branch, J.D. and Karmowska, J. 2020. Cultural Factors and Performance in 21st Century Businesses. Hershey : IGI Global.</w:t>
            </w:r>
          </w:p>
          <w:p w:rsidR="007F0F44" w:rsidRPr="007F0F44" w:rsidRDefault="007F0F44" w:rsidP="007F0F44">
            <w:pPr>
              <w:spacing w:before="200" w:after="200" w:line="360" w:lineRule="auto"/>
              <w:jc w:val="both"/>
              <w:rPr>
                <w:rFonts w:eastAsia="Times New Roman" w:cs="Times New Roman"/>
                <w:color w:val="000000"/>
                <w:szCs w:val="24"/>
              </w:rPr>
            </w:pPr>
          </w:p>
          <w:p w:rsidR="007F0F44" w:rsidRDefault="007F0F44" w:rsidP="007F0F44">
            <w:pPr>
              <w:spacing w:before="200" w:after="200" w:line="360" w:lineRule="auto"/>
              <w:jc w:val="both"/>
              <w:rPr>
                <w:b/>
                <w:bCs/>
                <w:sz w:val="28"/>
                <w:szCs w:val="24"/>
              </w:rPr>
            </w:pPr>
          </w:p>
          <w:p w:rsidR="0064455E" w:rsidRDefault="0064455E" w:rsidP="007C2128">
            <w:pPr>
              <w:rPr>
                <w:b/>
                <w:bCs/>
                <w:sz w:val="28"/>
                <w:szCs w:val="24"/>
              </w:rPr>
            </w:pPr>
          </w:p>
          <w:p w:rsidR="00DA485D" w:rsidRDefault="00DA485D" w:rsidP="007C2128">
            <w:pPr>
              <w:rPr>
                <w:b/>
                <w:bCs/>
                <w:sz w:val="28"/>
                <w:szCs w:val="24"/>
              </w:rPr>
            </w:pPr>
          </w:p>
        </w:tc>
      </w:tr>
      <w:tr w:rsidR="006C0FE2" w:rsidRPr="0033091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rsidR="007F0F44" w:rsidRDefault="007F0F44" w:rsidP="006C0FE2">
            <w:pPr>
              <w:rPr>
                <w:b/>
                <w:bCs/>
                <w:sz w:val="28"/>
                <w:szCs w:val="24"/>
              </w:rPr>
            </w:pPr>
          </w:p>
          <w:p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rsidR="006C0FE2" w:rsidRDefault="006C0FE2" w:rsidP="006C0FE2">
            <w:pPr>
              <w:spacing w:after="0" w:line="240" w:lineRule="auto"/>
              <w:rPr>
                <w:rFonts w:eastAsia="Carlito" w:cs="Times New Roman"/>
                <w:b/>
                <w:color w:val="auto"/>
                <w:sz w:val="28"/>
                <w:szCs w:val="28"/>
                <w:lang w:val="en-US"/>
              </w:rPr>
            </w:pPr>
          </w:p>
          <w:p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rsidR="006C0FE2" w:rsidRDefault="006C0FE2" w:rsidP="007C2128">
            <w:pPr>
              <w:rPr>
                <w:b/>
                <w:bCs/>
                <w:sz w:val="28"/>
                <w:szCs w:val="24"/>
              </w:rPr>
            </w:pPr>
          </w:p>
        </w:tc>
      </w:tr>
      <w:tr w:rsidR="005C77A4" w:rsidRPr="0033091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rsidR="007F0F44" w:rsidRDefault="00723301" w:rsidP="007F0F44">
            <w:pPr>
              <w:rPr>
                <w:b/>
                <w:bCs/>
                <w:sz w:val="28"/>
                <w:szCs w:val="24"/>
              </w:rPr>
            </w:pPr>
            <w:r>
              <w:rPr>
                <w:b/>
                <w:bCs/>
                <w:sz w:val="28"/>
                <w:szCs w:val="24"/>
              </w:rPr>
              <w:t>Training plan (Why/What</w:t>
            </w:r>
            <w:r w:rsidR="00A135A5">
              <w:rPr>
                <w:b/>
                <w:bCs/>
                <w:sz w:val="28"/>
                <w:szCs w:val="24"/>
              </w:rPr>
              <w:t>/</w:t>
            </w:r>
            <w:r>
              <w:rPr>
                <w:b/>
                <w:bCs/>
                <w:sz w:val="28"/>
                <w:szCs w:val="24"/>
              </w:rPr>
              <w:t>/Who/Where/When):</w:t>
            </w:r>
          </w:p>
          <w:p w:rsidR="007F0F44" w:rsidRPr="007F0F44" w:rsidRDefault="007F0F44" w:rsidP="007F0F44">
            <w:pPr>
              <w:rPr>
                <w:b/>
                <w:bCs/>
                <w:i/>
                <w:iCs/>
                <w:color w:val="BFBFBF" w:themeColor="background1" w:themeShade="BF"/>
                <w:sz w:val="28"/>
                <w:szCs w:val="24"/>
              </w:rPr>
            </w:pPr>
            <w:r w:rsidRPr="00142580">
              <w:rPr>
                <w:rFonts w:ascii="Arial" w:eastAsia="Times New Roman" w:hAnsi="Arial" w:cs="Arial"/>
                <w:sz w:val="20"/>
                <w:szCs w:val="20"/>
              </w:rPr>
              <w:t>The Training Plan is estimated to be effective for undertaking different skills needed to obtain for developing weak factors into strengthening factors. There are different sets of skills which are integrated under the training plan and a specific time slot is also allocated to ensure that the training sessions are executed in the desired time while having more effectiveness. The below-mentioned table would clarify the further description of the training plan;</w:t>
            </w:r>
          </w:p>
          <w:tbl>
            <w:tblPr>
              <w:tblW w:w="91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784"/>
              <w:gridCol w:w="1528"/>
              <w:gridCol w:w="1507"/>
              <w:gridCol w:w="1390"/>
              <w:gridCol w:w="1485"/>
              <w:gridCol w:w="1156"/>
              <w:gridCol w:w="1156"/>
            </w:tblGrid>
            <w:tr w:rsidR="007F0F44" w:rsidRPr="00142580" w:rsidTr="007F0F44">
              <w:trPr>
                <w:trHeight w:val="500"/>
              </w:trPr>
              <w:tc>
                <w:tcPr>
                  <w:tcW w:w="936"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p>
              </w:tc>
              <w:tc>
                <w:tcPr>
                  <w:tcW w:w="1528"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t>Training and Development Goals</w:t>
                  </w:r>
                </w:p>
              </w:tc>
              <w:tc>
                <w:tcPr>
                  <w:tcW w:w="1507"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t xml:space="preserve">Competencies or </w:t>
                  </w:r>
                </w:p>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t>Skills to be acquired</w:t>
                  </w:r>
                </w:p>
              </w:tc>
              <w:tc>
                <w:tcPr>
                  <w:tcW w:w="1390"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t>Action Step of the employee's</w:t>
                  </w:r>
                </w:p>
              </w:tc>
              <w:tc>
                <w:tcPr>
                  <w:tcW w:w="1485"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t>Resource Need</w:t>
                  </w:r>
                </w:p>
              </w:tc>
              <w:tc>
                <w:tcPr>
                  <w:tcW w:w="2312" w:type="dxa"/>
                  <w:gridSpan w:val="2"/>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t>Allocated Time-Frame (Start Date and Completion Date)</w:t>
                  </w:r>
                </w:p>
              </w:tc>
            </w:tr>
            <w:tr w:rsidR="007F0F44" w:rsidRPr="00142580" w:rsidTr="007F0F44">
              <w:trPr>
                <w:trHeight w:val="3598"/>
              </w:trPr>
              <w:tc>
                <w:tcPr>
                  <w:tcW w:w="936"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t>Short-Range</w:t>
                  </w:r>
                </w:p>
              </w:tc>
              <w:tc>
                <w:tcPr>
                  <w:tcW w:w="1528"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Communication Development and gaining interpersonal skills</w:t>
                  </w:r>
                </w:p>
              </w:tc>
              <w:tc>
                <w:tcPr>
                  <w:tcW w:w="1507"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 xml:space="preserve">Active Listening Skills, Adopting different communication types. </w:t>
                  </w:r>
                </w:p>
              </w:tc>
              <w:tc>
                <w:tcPr>
                  <w:tcW w:w="1390"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 xml:space="preserve">Internationally putting into similar situations and finding out areas for improvement. </w:t>
                  </w:r>
                </w:p>
              </w:tc>
              <w:tc>
                <w:tcPr>
                  <w:tcW w:w="1485"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Short-term communication Courses, Time-period and others.</w:t>
                  </w:r>
                </w:p>
              </w:tc>
              <w:tc>
                <w:tcPr>
                  <w:tcW w:w="1156"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01/02/2024</w:t>
                  </w:r>
                </w:p>
              </w:tc>
              <w:tc>
                <w:tcPr>
                  <w:tcW w:w="1156"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29/02/2024</w:t>
                  </w:r>
                </w:p>
              </w:tc>
            </w:tr>
          </w:tbl>
          <w:p w:rsidR="00A135A5" w:rsidRPr="00E95FE6" w:rsidRDefault="00A135A5" w:rsidP="00A135A5">
            <w:pPr>
              <w:rPr>
                <w:b/>
                <w:bCs/>
                <w:i/>
                <w:iCs/>
                <w:color w:val="BFBFBF" w:themeColor="background1" w:themeShade="BF"/>
                <w:sz w:val="28"/>
                <w:szCs w:val="24"/>
              </w:rPr>
            </w:pPr>
          </w:p>
          <w:p w:rsidR="00B3346C" w:rsidRDefault="00B3346C" w:rsidP="005C77A4">
            <w:pPr>
              <w:rPr>
                <w:b/>
                <w:bCs/>
                <w:sz w:val="28"/>
                <w:szCs w:val="24"/>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832"/>
              <w:gridCol w:w="1194"/>
              <w:gridCol w:w="1501"/>
              <w:gridCol w:w="1546"/>
              <w:gridCol w:w="1546"/>
              <w:gridCol w:w="1205"/>
              <w:gridCol w:w="1205"/>
            </w:tblGrid>
            <w:tr w:rsidR="007F0F44" w:rsidRPr="00142580" w:rsidTr="00BE416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lastRenderedPageBreak/>
                    <w:t>Mid-Range</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Mental Strength Sessions</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Problem-solving, Emotional Intelligence, Multitasking, Adaptability.</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 xml:space="preserve">The employee would try to produce effective solutions for any single problem and the most desirable solution would be chosen. </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Idea about customer needs, Teamwork motivation and others.</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01/03/2024</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15/04/2023</w:t>
                  </w:r>
                </w:p>
              </w:tc>
            </w:tr>
            <w:tr w:rsidR="007F0F44" w:rsidRPr="00142580" w:rsidTr="00BE416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b/>
                      <w:sz w:val="20"/>
                      <w:szCs w:val="20"/>
                    </w:rPr>
                  </w:pPr>
                  <w:r w:rsidRPr="00142580">
                    <w:rPr>
                      <w:rFonts w:ascii="Arial" w:eastAsia="Times New Roman" w:hAnsi="Arial" w:cs="Arial"/>
                      <w:b/>
                      <w:sz w:val="20"/>
                      <w:szCs w:val="20"/>
                    </w:rPr>
                    <w:t>Long-Range</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 xml:space="preserve">Multiple Language Awareness </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Active Listening Skills, Decent Understanding Ability and others.</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The employee must be able to understand the basic communication strategies of different languages.</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Spoken Courses, Book on overcoming communication barriers and others.</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16/04/2023</w:t>
                  </w:r>
                </w:p>
              </w:tc>
              <w:tc>
                <w:tcPr>
                  <w:tcW w:w="1289" w:type="dxa"/>
                  <w:shd w:val="clear" w:color="auto" w:fill="auto"/>
                  <w:tcMar>
                    <w:top w:w="100" w:type="dxa"/>
                    <w:left w:w="100" w:type="dxa"/>
                    <w:bottom w:w="100" w:type="dxa"/>
                    <w:right w:w="100" w:type="dxa"/>
                  </w:tcMar>
                </w:tcPr>
                <w:p w:rsidR="007F0F44" w:rsidRPr="00142580" w:rsidRDefault="007F0F44" w:rsidP="00BE416C">
                  <w:pPr>
                    <w:widowControl w:val="0"/>
                    <w:pBdr>
                      <w:top w:val="nil"/>
                      <w:left w:val="nil"/>
                      <w:bottom w:val="nil"/>
                      <w:right w:val="nil"/>
                      <w:between w:val="nil"/>
                    </w:pBdr>
                    <w:spacing w:before="200" w:after="200" w:line="360" w:lineRule="auto"/>
                    <w:jc w:val="both"/>
                    <w:rPr>
                      <w:rFonts w:ascii="Arial" w:eastAsia="Times New Roman" w:hAnsi="Arial" w:cs="Arial"/>
                      <w:sz w:val="20"/>
                      <w:szCs w:val="20"/>
                    </w:rPr>
                  </w:pPr>
                  <w:r w:rsidRPr="00142580">
                    <w:rPr>
                      <w:rFonts w:ascii="Arial" w:eastAsia="Times New Roman" w:hAnsi="Arial" w:cs="Arial"/>
                      <w:sz w:val="20"/>
                      <w:szCs w:val="20"/>
                    </w:rPr>
                    <w:t>15/06/2024</w:t>
                  </w:r>
                </w:p>
              </w:tc>
            </w:tr>
          </w:tbl>
          <w:p w:rsidR="007F0F44" w:rsidRPr="007F0F44" w:rsidRDefault="007F0F44" w:rsidP="007F0F44">
            <w:pPr>
              <w:spacing w:before="200" w:after="200" w:line="360" w:lineRule="auto"/>
              <w:jc w:val="center"/>
              <w:rPr>
                <w:rFonts w:ascii="Arial" w:eastAsia="Times New Roman" w:hAnsi="Arial" w:cs="Arial"/>
                <w:b/>
                <w:color w:val="000000"/>
                <w:sz w:val="20"/>
                <w:szCs w:val="20"/>
              </w:rPr>
            </w:pPr>
            <w:r w:rsidRPr="007F0F44">
              <w:rPr>
                <w:rFonts w:ascii="Arial" w:eastAsia="Times New Roman" w:hAnsi="Arial" w:cs="Arial"/>
                <w:b/>
                <w:color w:val="000000"/>
                <w:sz w:val="20"/>
                <w:szCs w:val="20"/>
              </w:rPr>
              <w:t>Table 1: Training Plan for Employees</w:t>
            </w:r>
          </w:p>
          <w:p w:rsidR="007F0F44" w:rsidRPr="007F0F44" w:rsidRDefault="007F0F44" w:rsidP="007F0F44">
            <w:pPr>
              <w:spacing w:before="200" w:after="200" w:line="360" w:lineRule="auto"/>
              <w:jc w:val="center"/>
              <w:rPr>
                <w:rFonts w:ascii="Arial" w:eastAsia="Times New Roman" w:hAnsi="Arial" w:cs="Arial"/>
                <w:color w:val="000000"/>
                <w:sz w:val="20"/>
                <w:szCs w:val="20"/>
              </w:rPr>
            </w:pPr>
            <w:r w:rsidRPr="007F0F44">
              <w:rPr>
                <w:rFonts w:ascii="Arial" w:eastAsia="Times New Roman" w:hAnsi="Arial" w:cs="Arial"/>
                <w:color w:val="000000"/>
                <w:sz w:val="20"/>
                <w:szCs w:val="20"/>
              </w:rPr>
              <w:t>(Source: Created by the learner)</w:t>
            </w:r>
          </w:p>
          <w:p w:rsidR="007F0F44"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t xml:space="preserve">From the upper-mentioned Table 1, it can be identified that the whole training plan for the employees has been conducted for approximately four and a half months starting from 01/02/2024 and ending on 15/06/2024. Three types of activities or training and development activities will be conducted here which have been categorised as Short-term, Medium terms and Long-term period. In terms of short-term objectives, developing communication and interpersonal skills has been chosen as the area of improvement. For this, different types of skills need to be acquired such as understanding different communication styles, active listening skills and many more of the others. </w:t>
            </w:r>
          </w:p>
          <w:p w:rsidR="007F0F44" w:rsidRPr="007F0F44"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t>There are also different types of resources which are needed to acquire here such as proper time, short-term communication courses and many more of other instances (DeVito, 2019). Now, in terms of mid-term objectives, this session is based on improving the mental strength of the employees. For this particular objective, things skills like problem-solving skills, emotional intelligence, adaptability skills and many more of the other skills are required. However, in terms of long-term objectives, this is mainly based on acquiring the idea of multiple languages where training and development sessions</w:t>
            </w:r>
          </w:p>
          <w:p w:rsidR="007F0F44" w:rsidRPr="007F0F44"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lastRenderedPageBreak/>
              <w:t xml:space="preserve">should be introduced to have the required knowledge about different training sessions and the overall development period (Van den Bergh </w:t>
            </w:r>
            <w:r w:rsidRPr="007F0F44">
              <w:rPr>
                <w:rFonts w:ascii="Arial" w:eastAsia="Times New Roman" w:hAnsi="Arial" w:cs="Arial"/>
                <w:i/>
                <w:color w:val="000000"/>
                <w:sz w:val="20"/>
                <w:szCs w:val="20"/>
              </w:rPr>
              <w:t>et al</w:t>
            </w:r>
            <w:r w:rsidRPr="007F0F44">
              <w:rPr>
                <w:rFonts w:ascii="Arial" w:eastAsia="Times New Roman" w:hAnsi="Arial" w:cs="Arial"/>
                <w:color w:val="000000"/>
                <w:sz w:val="20"/>
                <w:szCs w:val="20"/>
              </w:rPr>
              <w:t>., 2020). For this specific objective, skills like active listening skills, adaptability skills, and pronunciation skills would be very much required by the employees or working individuals. In terms of the proposed action for fulfilling this particular objective, the employees would be required to learn basic communication strategies and techniques for understanding the types of communication at the time of communicating with different languages (Bogdashina, 2022). Hence, those are some of the strategies which have been incorporated into the desired Training Plan.</w:t>
            </w:r>
          </w:p>
          <w:p w:rsidR="007F0F44" w:rsidRPr="007F0F44" w:rsidRDefault="007F0F44" w:rsidP="007F0F44">
            <w:pPr>
              <w:tabs>
                <w:tab w:val="left" w:pos="8340"/>
              </w:tabs>
              <w:rPr>
                <w:rFonts w:eastAsia="Calibri" w:cs="Times New Roman"/>
                <w:b/>
                <w:bCs/>
                <w:color w:val="000000"/>
                <w:sz w:val="28"/>
                <w:szCs w:val="28"/>
              </w:rPr>
            </w:pPr>
            <w:r w:rsidRPr="007F0F44">
              <w:rPr>
                <w:rFonts w:eastAsia="Calibri" w:cs="Times New Roman"/>
                <w:b/>
                <w:bCs/>
                <w:color w:val="000000"/>
                <w:sz w:val="28"/>
                <w:szCs w:val="28"/>
              </w:rPr>
              <w:t>References:</w:t>
            </w:r>
            <w:r w:rsidRPr="007F0F44">
              <w:rPr>
                <w:rFonts w:eastAsia="Calibri" w:cs="Times New Roman"/>
                <w:b/>
                <w:bCs/>
                <w:color w:val="000000"/>
                <w:sz w:val="28"/>
                <w:szCs w:val="28"/>
              </w:rPr>
              <w:tab/>
            </w:r>
          </w:p>
          <w:p w:rsidR="00C37040"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t>Bogdashina, O., 2022. Communication issues in autism and Asperger syndrome: Do we speak the same language?. Jessica Kingsley Publishers.</w:t>
            </w:r>
          </w:p>
          <w:p w:rsidR="007F0F44" w:rsidRPr="007F0F44"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t>DeVito, J.A., 2019. The interpersonal communication book. Instructor, 1, p.18.</w:t>
            </w:r>
          </w:p>
          <w:p w:rsidR="007F0F44" w:rsidRPr="007F0F44" w:rsidRDefault="007F0F44" w:rsidP="007F0F44">
            <w:pPr>
              <w:spacing w:before="200" w:after="200" w:line="360" w:lineRule="auto"/>
              <w:jc w:val="both"/>
              <w:rPr>
                <w:rFonts w:ascii="Arial" w:eastAsia="Times New Roman" w:hAnsi="Arial" w:cs="Arial"/>
                <w:color w:val="000000"/>
                <w:sz w:val="20"/>
                <w:szCs w:val="20"/>
              </w:rPr>
            </w:pPr>
            <w:r w:rsidRPr="007F0F44">
              <w:rPr>
                <w:rFonts w:ascii="Arial" w:eastAsia="Times New Roman" w:hAnsi="Arial" w:cs="Arial"/>
                <w:color w:val="000000"/>
                <w:sz w:val="20"/>
                <w:szCs w:val="20"/>
              </w:rPr>
              <w:t xml:space="preserve">Van den Bergh, B.R., van den Heuvel, M.I., Lahti, M., Braeken, M., de Rooij, S.R., Entringer, S., Hoyer, D., Roseboom, T., Räikkönen, K., King, S. and Schwab, M., 2020. Prenatal developmental origins of behavior and mental health: The influence of maternal stress in pregnancy. </w:t>
            </w:r>
            <w:r w:rsidRPr="007F0F44">
              <w:rPr>
                <w:rFonts w:ascii="Arial" w:eastAsia="Times New Roman" w:hAnsi="Arial" w:cs="Arial"/>
                <w:i/>
                <w:color w:val="000000"/>
                <w:sz w:val="20"/>
                <w:szCs w:val="20"/>
              </w:rPr>
              <w:t>Neuroscience &amp;Biobehavioral Reviews, 117</w:t>
            </w:r>
            <w:r w:rsidRPr="007F0F44">
              <w:rPr>
                <w:rFonts w:ascii="Arial" w:eastAsia="Times New Roman" w:hAnsi="Arial" w:cs="Arial"/>
                <w:color w:val="000000"/>
                <w:sz w:val="20"/>
                <w:szCs w:val="20"/>
              </w:rPr>
              <w:t>, pp.26-64.</w:t>
            </w:r>
          </w:p>
          <w:p w:rsidR="007F0F44" w:rsidRDefault="007F0F44" w:rsidP="005C77A4">
            <w:pPr>
              <w:rPr>
                <w:b/>
                <w:bCs/>
                <w:sz w:val="28"/>
                <w:szCs w:val="24"/>
              </w:rPr>
            </w:pPr>
          </w:p>
          <w:p w:rsidR="005C77A4" w:rsidRDefault="005C77A4" w:rsidP="005C77A4">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tc>
      </w:tr>
      <w:tr w:rsidR="005C77A4" w:rsidRPr="0033091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rsidR="00C91424" w:rsidRDefault="00C91424" w:rsidP="005C77A4">
            <w:pPr>
              <w:rPr>
                <w:b/>
                <w:bCs/>
                <w:sz w:val="28"/>
                <w:szCs w:val="24"/>
              </w:rPr>
            </w:pPr>
          </w:p>
          <w:p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sidRPr="005C77A4">
              <w:rPr>
                <w:b/>
                <w:bCs/>
                <w:i/>
                <w:iCs/>
                <w:sz w:val="28"/>
                <w:szCs w:val="24"/>
              </w:rPr>
              <w:t>Student Self-Reflection</w:t>
            </w:r>
            <w:r>
              <w:rPr>
                <w:b/>
                <w:bCs/>
                <w:sz w:val="28"/>
                <w:szCs w:val="24"/>
              </w:rPr>
              <w:t>(500 words +/- 10%)</w:t>
            </w:r>
          </w:p>
          <w:p w:rsidR="005C77A4" w:rsidRDefault="005C77A4" w:rsidP="005C77A4">
            <w:pPr>
              <w:spacing w:after="0" w:line="240" w:lineRule="auto"/>
              <w:rPr>
                <w:rFonts w:eastAsia="Carlito" w:cs="Times New Roman"/>
                <w:b/>
                <w:color w:val="auto"/>
                <w:sz w:val="28"/>
                <w:szCs w:val="28"/>
                <w:lang w:val="en-US"/>
              </w:rPr>
            </w:pPr>
          </w:p>
          <w:p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rsidR="00506CB3" w:rsidRPr="00506CB3" w:rsidRDefault="00506CB3" w:rsidP="00506CB3">
            <w:pPr>
              <w:spacing w:before="200" w:after="200" w:line="360" w:lineRule="auto"/>
              <w:jc w:val="both"/>
              <w:rPr>
                <w:rFonts w:eastAsia="Times New Roman" w:cs="Times New Roman"/>
                <w:color w:val="000000"/>
                <w:szCs w:val="24"/>
              </w:rPr>
            </w:pPr>
            <w:r w:rsidRPr="00506CB3">
              <w:rPr>
                <w:rFonts w:eastAsia="Times New Roman" w:cs="Times New Roman"/>
                <w:color w:val="000000"/>
                <w:szCs w:val="24"/>
              </w:rPr>
              <w:t>This individual section will be described using the Gibbs Reflective Model while incorporating all the required steps under this specific framework. I would try to demonstrate the concept of importance for cultural awareness in a competitive sector like the Hospitality Industry.</w:t>
            </w:r>
          </w:p>
          <w:p w:rsidR="00506CB3" w:rsidRPr="00506CB3" w:rsidRDefault="00506CB3" w:rsidP="00506CB3">
            <w:pPr>
              <w:spacing w:before="200" w:after="200" w:line="360" w:lineRule="auto"/>
              <w:jc w:val="both"/>
              <w:rPr>
                <w:rFonts w:eastAsia="Times New Roman" w:cs="Times New Roman"/>
                <w:color w:val="000000"/>
                <w:szCs w:val="24"/>
              </w:rPr>
            </w:pPr>
            <w:r w:rsidRPr="00506CB3">
              <w:rPr>
                <w:rFonts w:eastAsia="Times New Roman" w:cs="Times New Roman"/>
                <w:color w:val="000000"/>
                <w:szCs w:val="24"/>
              </w:rPr>
              <w:t xml:space="preserve">In the description stage, I can say that cultural differences can be identified by evaluating the cultural differences and similarities while using that sensitivity to create inclusive facilities and communication. I can state that it includes the customer traditions of guests such as classroom arrangements, religious practices, dietary restrictions and also many more of other aspects. Cultural differences become more significant in the hospitality industry for the sake of understanding different behavioural perspectives of different customers and based on the understanding, providing the best possible solutions. </w:t>
            </w:r>
          </w:p>
          <w:p w:rsidR="005C77A4" w:rsidRDefault="00506CB3" w:rsidP="00506CB3">
            <w:pPr>
              <w:spacing w:before="200" w:after="200" w:line="360" w:lineRule="auto"/>
              <w:jc w:val="both"/>
              <w:rPr>
                <w:rFonts w:eastAsia="Times New Roman" w:cs="Times New Roman"/>
                <w:color w:val="000000"/>
                <w:szCs w:val="24"/>
              </w:rPr>
            </w:pPr>
            <w:r w:rsidRPr="00506CB3">
              <w:rPr>
                <w:rFonts w:eastAsia="Times New Roman" w:cs="Times New Roman"/>
                <w:color w:val="000000"/>
                <w:szCs w:val="24"/>
              </w:rPr>
              <w:t xml:space="preserve">In terms of the feeling stage, I would try to portray my personal feelings about the same instinct. As per the statement of Shepherd (2019), cultural awareness becomes very crucial for the hospitality sector as it permits employees to govern and function successfully among diverse cultures. As a result, the working individuals in the sector become more conscious of the needs and requirements of different customers based on their cultural backgrounds and ethnicity. In my opinion, another significance of cultural awareness in the hospitality industry can be determined by building more rapport among the employees and even among the customers or guests. </w:t>
            </w:r>
          </w:p>
          <w:p w:rsidR="00506CB3" w:rsidRPr="00506CB3" w:rsidRDefault="00506CB3" w:rsidP="00506CB3">
            <w:pPr>
              <w:spacing w:before="200" w:after="200" w:line="360" w:lineRule="auto"/>
              <w:jc w:val="both"/>
              <w:rPr>
                <w:rFonts w:eastAsia="Times New Roman" w:cs="Times New Roman"/>
                <w:color w:val="000000"/>
                <w:szCs w:val="24"/>
              </w:rPr>
            </w:pPr>
            <w:r w:rsidRPr="00506CB3">
              <w:rPr>
                <w:rFonts w:eastAsia="Times New Roman" w:cs="Times New Roman"/>
                <w:color w:val="000000"/>
                <w:szCs w:val="24"/>
              </w:rPr>
              <w:t xml:space="preserve">Regarding evolution, the evolution of the students would be tried to develop while investigating different types of positive as well as negative consequences (Pieper </w:t>
            </w:r>
            <w:r w:rsidRPr="00506CB3">
              <w:rPr>
                <w:rFonts w:eastAsia="Times New Roman" w:cs="Times New Roman"/>
                <w:i/>
                <w:color w:val="000000"/>
                <w:szCs w:val="24"/>
              </w:rPr>
              <w:t>et al</w:t>
            </w:r>
            <w:r w:rsidRPr="00506CB3">
              <w:rPr>
                <w:rFonts w:eastAsia="Times New Roman" w:cs="Times New Roman"/>
                <w:color w:val="000000"/>
                <w:szCs w:val="24"/>
              </w:rPr>
              <w:t xml:space="preserve">., 2021). I have understood that the concept of cultural awareness has changed over different </w:t>
            </w:r>
            <w:r w:rsidRPr="00506CB3">
              <w:rPr>
                <w:rFonts w:eastAsia="Times New Roman" w:cs="Times New Roman"/>
                <w:color w:val="000000"/>
                <w:szCs w:val="24"/>
              </w:rPr>
              <w:lastRenderedPageBreak/>
              <w:t>periods as the needs and requirements of the customers have also changed over a large period. For example, in the early ages, not all customers having different cultural backgrounds were allowed to acquire hotel accommodation services. However, in the modern age, almost every employee based on a different cultural background or ethnicity is allowed</w:t>
            </w:r>
            <w:r>
              <w:rPr>
                <w:rFonts w:eastAsia="Times New Roman" w:cs="Times New Roman"/>
                <w:color w:val="000000"/>
                <w:szCs w:val="24"/>
              </w:rPr>
              <w:t xml:space="preserve"> </w:t>
            </w:r>
            <w:r w:rsidRPr="00506CB3">
              <w:rPr>
                <w:rFonts w:eastAsia="Times New Roman" w:cs="Times New Roman"/>
                <w:color w:val="000000"/>
                <w:szCs w:val="24"/>
              </w:rPr>
              <w:t>to get accommodation services.</w:t>
            </w:r>
          </w:p>
          <w:p w:rsidR="00506CB3" w:rsidRPr="00506CB3" w:rsidRDefault="00506CB3" w:rsidP="00506CB3">
            <w:pPr>
              <w:spacing w:before="200" w:after="200" w:line="360" w:lineRule="auto"/>
              <w:jc w:val="both"/>
              <w:rPr>
                <w:rFonts w:eastAsia="Times New Roman" w:cs="Times New Roman"/>
                <w:color w:val="000000"/>
                <w:szCs w:val="24"/>
              </w:rPr>
            </w:pPr>
            <w:r w:rsidRPr="00506CB3">
              <w:rPr>
                <w:rFonts w:eastAsia="Times New Roman" w:cs="Times New Roman"/>
                <w:color w:val="000000"/>
                <w:szCs w:val="24"/>
              </w:rPr>
              <w:t xml:space="preserve">In terms of conclusion, the decision-making perspective would be represented here for more of efficiency and transparency. While going through the cultural awareness module, I have learned that for a competitive sector like the hospitality industry, it becomes very crucial to understand different levels of cultural awareness for handling different types of customers having different behavioural aspects and measurement procedures. It increases the overall brand reputation of the hospitality organisation where the services of the same organisation get the desired acceptability all over the world (Williams </w:t>
            </w:r>
            <w:r w:rsidRPr="00506CB3">
              <w:rPr>
                <w:rFonts w:eastAsia="Times New Roman" w:cs="Times New Roman"/>
                <w:i/>
                <w:color w:val="000000"/>
                <w:szCs w:val="24"/>
              </w:rPr>
              <w:t>et al</w:t>
            </w:r>
            <w:r w:rsidRPr="00506CB3">
              <w:rPr>
                <w:rFonts w:eastAsia="Times New Roman" w:cs="Times New Roman"/>
                <w:color w:val="000000"/>
                <w:szCs w:val="24"/>
              </w:rPr>
              <w:t xml:space="preserve">., 2020). </w:t>
            </w:r>
          </w:p>
          <w:p w:rsidR="00506CB3" w:rsidRDefault="00506CB3" w:rsidP="00506CB3">
            <w:pPr>
              <w:spacing w:before="200" w:after="200" w:line="360" w:lineRule="auto"/>
              <w:jc w:val="both"/>
              <w:rPr>
                <w:rFonts w:eastAsia="Times New Roman" w:cs="Times New Roman"/>
                <w:color w:val="000000"/>
                <w:szCs w:val="24"/>
              </w:rPr>
            </w:pPr>
            <w:r w:rsidRPr="00506CB3">
              <w:rPr>
                <w:rFonts w:eastAsia="Times New Roman" w:cs="Times New Roman"/>
                <w:color w:val="000000"/>
                <w:szCs w:val="24"/>
              </w:rPr>
              <w:t xml:space="preserve">Lastly, an action plan would provide ideas about different actions based on the identified challenges or the respective issues. I have accomplished that the concept of cultural awareness is important for enhancing customer satisfaction where customers or consumers are generally provided with the set of their requirements and overall needs. Hence, I can say that hospitality organisations become more acceptable through worldwide perspectives as there are different international standards which are being maintained and cross-checked based on individual perceptions and individual perspectives. </w:t>
            </w:r>
          </w:p>
          <w:p w:rsidR="00506CB3" w:rsidRPr="00506CB3" w:rsidRDefault="00506CB3" w:rsidP="00506CB3">
            <w:pPr>
              <w:rPr>
                <w:rFonts w:eastAsia="Calibri" w:cs="Times New Roman"/>
                <w:b/>
                <w:bCs/>
                <w:color w:val="000000"/>
                <w:sz w:val="28"/>
                <w:szCs w:val="24"/>
              </w:rPr>
            </w:pPr>
            <w:r w:rsidRPr="00506CB3">
              <w:rPr>
                <w:rFonts w:eastAsia="Calibri" w:cs="Times New Roman"/>
                <w:b/>
                <w:bCs/>
                <w:color w:val="000000"/>
                <w:sz w:val="28"/>
                <w:szCs w:val="24"/>
              </w:rPr>
              <w:t>References:</w:t>
            </w:r>
          </w:p>
          <w:p w:rsidR="00506CB3" w:rsidRPr="00506CB3" w:rsidRDefault="00506CB3" w:rsidP="00506CB3">
            <w:pPr>
              <w:spacing w:before="200" w:after="200" w:line="360" w:lineRule="auto"/>
              <w:jc w:val="both"/>
              <w:rPr>
                <w:rFonts w:ascii="Arial" w:eastAsia="Times New Roman" w:hAnsi="Arial" w:cs="Arial"/>
                <w:color w:val="000000"/>
                <w:sz w:val="20"/>
                <w:szCs w:val="20"/>
              </w:rPr>
            </w:pPr>
            <w:r w:rsidRPr="00506CB3">
              <w:rPr>
                <w:rFonts w:ascii="Arial" w:eastAsia="Times New Roman" w:hAnsi="Arial" w:cs="Arial"/>
                <w:color w:val="000000"/>
                <w:sz w:val="20"/>
                <w:szCs w:val="20"/>
              </w:rPr>
              <w:t>Pieper, M., Roelle, J., vom Hofe, R., Salle, A. and Berthold, K., 2021. Feedback in reflective journals fosters reflection skills of student teachers.</w:t>
            </w:r>
            <w:r w:rsidRPr="00506CB3">
              <w:rPr>
                <w:rFonts w:ascii="Arial" w:eastAsia="Times New Roman" w:hAnsi="Arial" w:cs="Arial"/>
                <w:i/>
                <w:color w:val="000000"/>
                <w:sz w:val="20"/>
                <w:szCs w:val="20"/>
              </w:rPr>
              <w:t xml:space="preserve"> Psychology Learning &amp; Teaching, 20</w:t>
            </w:r>
            <w:r w:rsidRPr="00506CB3">
              <w:rPr>
                <w:rFonts w:ascii="Arial" w:eastAsia="Times New Roman" w:hAnsi="Arial" w:cs="Arial"/>
                <w:color w:val="000000"/>
                <w:sz w:val="20"/>
                <w:szCs w:val="20"/>
              </w:rPr>
              <w:t>(1), pp.107-127.</w:t>
            </w:r>
          </w:p>
          <w:p w:rsidR="00506CB3" w:rsidRPr="00506CB3" w:rsidRDefault="00506CB3" w:rsidP="00506CB3">
            <w:pPr>
              <w:spacing w:before="200" w:after="200" w:line="360" w:lineRule="auto"/>
              <w:jc w:val="both"/>
              <w:rPr>
                <w:rFonts w:ascii="Arial" w:eastAsia="Times New Roman" w:hAnsi="Arial" w:cs="Arial"/>
                <w:color w:val="000000"/>
                <w:sz w:val="20"/>
                <w:szCs w:val="20"/>
              </w:rPr>
            </w:pPr>
            <w:r w:rsidRPr="00506CB3">
              <w:rPr>
                <w:rFonts w:ascii="Arial" w:eastAsia="Times New Roman" w:hAnsi="Arial" w:cs="Arial"/>
                <w:color w:val="000000"/>
                <w:sz w:val="20"/>
                <w:szCs w:val="20"/>
              </w:rPr>
              <w:t xml:space="preserve">Shepherd, S.M., 2019. Cultural awareness workshops: limitations and practical consequences. </w:t>
            </w:r>
            <w:r w:rsidRPr="00506CB3">
              <w:rPr>
                <w:rFonts w:ascii="Arial" w:eastAsia="Times New Roman" w:hAnsi="Arial" w:cs="Arial"/>
                <w:i/>
                <w:color w:val="000000"/>
                <w:sz w:val="20"/>
                <w:szCs w:val="20"/>
              </w:rPr>
              <w:t>BMC medical education, 19</w:t>
            </w:r>
            <w:r w:rsidRPr="00506CB3">
              <w:rPr>
                <w:rFonts w:ascii="Arial" w:eastAsia="Times New Roman" w:hAnsi="Arial" w:cs="Arial"/>
                <w:color w:val="000000"/>
                <w:sz w:val="20"/>
                <w:szCs w:val="20"/>
              </w:rPr>
              <w:t>(1), pp.1-10.</w:t>
            </w:r>
          </w:p>
          <w:p w:rsidR="00506CB3" w:rsidRPr="00506CB3" w:rsidRDefault="00506CB3" w:rsidP="00506CB3">
            <w:pPr>
              <w:spacing w:before="200" w:after="200" w:line="360" w:lineRule="auto"/>
              <w:jc w:val="both"/>
              <w:rPr>
                <w:rFonts w:eastAsia="Times New Roman" w:cs="Times New Roman"/>
                <w:color w:val="000000"/>
                <w:szCs w:val="24"/>
              </w:rPr>
            </w:pPr>
            <w:r w:rsidRPr="00506CB3">
              <w:rPr>
                <w:rFonts w:ascii="Arial" w:eastAsia="Times New Roman" w:hAnsi="Arial" w:cs="Arial"/>
                <w:color w:val="000000"/>
                <w:sz w:val="20"/>
                <w:szCs w:val="20"/>
              </w:rPr>
              <w:t>Williams, K., Woolliams, M. and Spiro, J., 2020. Reflective writing. Bloomsbury Publishing</w:t>
            </w:r>
          </w:p>
          <w:p w:rsidR="00506CB3" w:rsidRDefault="00506CB3" w:rsidP="00506CB3">
            <w:pPr>
              <w:spacing w:before="200" w:after="200" w:line="360" w:lineRule="auto"/>
              <w:jc w:val="both"/>
              <w:rPr>
                <w:rFonts w:eastAsia="Times New Roman" w:cs="Times New Roman"/>
                <w:color w:val="000000"/>
                <w:szCs w:val="24"/>
              </w:rPr>
            </w:pPr>
          </w:p>
          <w:p w:rsidR="00506CB3" w:rsidRPr="00506CB3" w:rsidRDefault="00506CB3" w:rsidP="00506CB3">
            <w:pPr>
              <w:spacing w:before="200" w:after="200" w:line="360" w:lineRule="auto"/>
              <w:jc w:val="both"/>
              <w:rPr>
                <w:rFonts w:eastAsia="Times New Roman" w:cs="Times New Roman"/>
                <w:color w:val="000000"/>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Default="005C77A4" w:rsidP="005C77A4">
            <w:pPr>
              <w:rPr>
                <w:b/>
                <w:bCs/>
                <w:sz w:val="28"/>
                <w:szCs w:val="24"/>
              </w:rPr>
            </w:pPr>
          </w:p>
          <w:p w:rsidR="005C77A4" w:rsidRPr="00FA18FF" w:rsidRDefault="005C77A4" w:rsidP="005C77A4">
            <w:pPr>
              <w:rPr>
                <w:b/>
                <w:bCs/>
                <w:sz w:val="28"/>
                <w:szCs w:val="24"/>
              </w:rPr>
            </w:pPr>
          </w:p>
        </w:tc>
      </w:tr>
      <w:tr w:rsidR="005C77A4" w:rsidRPr="0033091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rsidR="00C91424" w:rsidRDefault="00C91424" w:rsidP="005C77A4">
            <w:pPr>
              <w:rPr>
                <w:b/>
                <w:bCs/>
                <w:sz w:val="28"/>
                <w:szCs w:val="24"/>
              </w:rPr>
            </w:pPr>
          </w:p>
          <w:p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sidRPr="005C77A4">
              <w:rPr>
                <w:b/>
                <w:bCs/>
                <w:i/>
                <w:iCs/>
                <w:sz w:val="28"/>
                <w:szCs w:val="24"/>
              </w:rPr>
              <w:t>Training</w:t>
            </w:r>
            <w:r>
              <w:rPr>
                <w:b/>
                <w:bCs/>
                <w:i/>
                <w:iCs/>
                <w:sz w:val="28"/>
                <w:szCs w:val="24"/>
              </w:rPr>
              <w:t xml:space="preserve"> Presentation</w:t>
            </w:r>
            <w:r w:rsidRPr="005C77A4">
              <w:rPr>
                <w:b/>
                <w:bCs/>
                <w:sz w:val="28"/>
                <w:szCs w:val="24"/>
              </w:rPr>
              <w:t>(6 Slides)</w:t>
            </w:r>
          </w:p>
          <w:p w:rsidR="005C77A4" w:rsidRDefault="005C77A4" w:rsidP="005C77A4">
            <w:pPr>
              <w:spacing w:after="0" w:line="240" w:lineRule="auto"/>
              <w:rPr>
                <w:rFonts w:eastAsia="Carlito" w:cs="Times New Roman"/>
                <w:b/>
                <w:color w:val="auto"/>
                <w:sz w:val="28"/>
                <w:szCs w:val="28"/>
                <w:lang w:val="en-US"/>
              </w:rPr>
            </w:pPr>
          </w:p>
          <w:p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E73500" w:rsidRDefault="00506CB3" w:rsidP="006C0FE2">
            <w:pPr>
              <w:rPr>
                <w:b/>
                <w:bCs/>
                <w:sz w:val="28"/>
                <w:szCs w:val="24"/>
              </w:rPr>
            </w:pPr>
            <w:r w:rsidRPr="00506CB3">
              <w:rPr>
                <w:b/>
                <w:bCs/>
                <w:i/>
                <w:iCs/>
                <w:noProof/>
                <w:color w:val="BFBFBF" w:themeColor="background1" w:themeShade="BF"/>
                <w:sz w:val="28"/>
                <w:szCs w:val="24"/>
                <w:lang w:eastAsia="en-GB"/>
              </w:rPr>
              <w:lastRenderedPageBreak/>
              <w:drawing>
                <wp:inline distT="0" distB="0" distL="0" distR="0">
                  <wp:extent cx="5731510" cy="3225800"/>
                  <wp:effectExtent l="0" t="0" r="2540" b="0"/>
                  <wp:docPr id="1445414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14321" name=""/>
                          <pic:cNvPicPr/>
                        </pic:nvPicPr>
                        <pic:blipFill>
                          <a:blip r:embed="rId7"/>
                          <a:stretch>
                            <a:fillRect/>
                          </a:stretch>
                        </pic:blipFill>
                        <pic:spPr>
                          <a:xfrm>
                            <a:off x="0" y="0"/>
                            <a:ext cx="5731510" cy="3225800"/>
                          </a:xfrm>
                          <a:prstGeom prst="rect">
                            <a:avLst/>
                          </a:prstGeom>
                        </pic:spPr>
                      </pic:pic>
                    </a:graphicData>
                  </a:graphic>
                </wp:inline>
              </w:drawing>
            </w:r>
          </w:p>
        </w:tc>
      </w:tr>
      <w:tr w:rsidR="003164B2" w:rsidRPr="0033091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3164B2" w:rsidRDefault="00506CB3" w:rsidP="003164B2">
            <w:pPr>
              <w:rPr>
                <w:b/>
                <w:bCs/>
                <w:sz w:val="28"/>
                <w:szCs w:val="24"/>
              </w:rPr>
            </w:pPr>
            <w:r w:rsidRPr="00506CB3">
              <w:rPr>
                <w:b/>
                <w:bCs/>
                <w:i/>
                <w:iCs/>
                <w:noProof/>
                <w:color w:val="BFBFBF" w:themeColor="background1" w:themeShade="BF"/>
                <w:sz w:val="28"/>
                <w:szCs w:val="24"/>
                <w:lang w:eastAsia="en-GB"/>
              </w:rPr>
              <w:drawing>
                <wp:inline distT="0" distB="0" distL="0" distR="0">
                  <wp:extent cx="5731510" cy="3223895"/>
                  <wp:effectExtent l="0" t="0" r="2540" b="0"/>
                  <wp:docPr id="17213461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346133" name=""/>
                          <pic:cNvPicPr/>
                        </pic:nvPicPr>
                        <pic:blipFill>
                          <a:blip r:embed="rId8" cstate="print">
                            <a:extLst>
                              <a:ext uri="{96DAC541-7B7A-43D3-8B79-37D633B846F1}">
                                <asvg:svgBlip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rsidR="003164B2" w:rsidRPr="00E73500" w:rsidRDefault="003164B2" w:rsidP="006C0FE2">
            <w:pPr>
              <w:rPr>
                <w:b/>
                <w:bCs/>
                <w:i/>
                <w:iCs/>
                <w:color w:val="BFBFBF" w:themeColor="background1" w:themeShade="BF"/>
                <w:sz w:val="28"/>
                <w:szCs w:val="24"/>
              </w:rPr>
            </w:pPr>
          </w:p>
        </w:tc>
      </w:tr>
      <w:tr w:rsidR="003164B2" w:rsidRPr="0033091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3164B2" w:rsidRDefault="00506CB3" w:rsidP="003164B2">
            <w:pPr>
              <w:rPr>
                <w:b/>
                <w:bCs/>
                <w:sz w:val="28"/>
                <w:szCs w:val="24"/>
              </w:rPr>
            </w:pPr>
            <w:r w:rsidRPr="00506CB3">
              <w:rPr>
                <w:b/>
                <w:bCs/>
                <w:i/>
                <w:iCs/>
                <w:noProof/>
                <w:color w:val="BFBFBF" w:themeColor="background1" w:themeShade="BF"/>
                <w:sz w:val="28"/>
                <w:szCs w:val="24"/>
                <w:lang w:eastAsia="en-GB"/>
              </w:rPr>
              <w:lastRenderedPageBreak/>
              <w:drawing>
                <wp:inline distT="0" distB="0" distL="0" distR="0">
                  <wp:extent cx="5731510" cy="3223895"/>
                  <wp:effectExtent l="0" t="0" r="2540" b="0"/>
                  <wp:docPr id="8291143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114390" name=""/>
                          <pic:cNvPicPr/>
                        </pic:nvPicPr>
                        <pic:blipFill>
                          <a:blip r:embed="rId12" cstate="print">
                            <a:extLst>
                              <a:ext uri="{96DAC541-7B7A-43D3-8B79-37D633B846F1}">
                                <asvg:svgBlip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Pr="00506CB3">
              <w:rPr>
                <w:b/>
                <w:bCs/>
                <w:i/>
                <w:iCs/>
                <w:color w:val="BFBFBF" w:themeColor="background1" w:themeShade="BF"/>
                <w:sz w:val="28"/>
                <w:szCs w:val="24"/>
              </w:rPr>
              <w:t xml:space="preserve"> </w:t>
            </w:r>
            <w:r w:rsidRPr="00506CB3">
              <w:rPr>
                <w:b/>
                <w:bCs/>
                <w:i/>
                <w:iCs/>
                <w:noProof/>
                <w:color w:val="BFBFBF" w:themeColor="background1" w:themeShade="BF"/>
                <w:sz w:val="28"/>
                <w:szCs w:val="24"/>
                <w:lang w:eastAsia="en-GB"/>
              </w:rPr>
              <w:drawing>
                <wp:inline distT="0" distB="0" distL="0" distR="0">
                  <wp:extent cx="5731510" cy="3223895"/>
                  <wp:effectExtent l="0" t="0" r="2540" b="0"/>
                  <wp:docPr id="4169546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954688" name=""/>
                          <pic:cNvPicPr/>
                        </pic:nvPicPr>
                        <pic:blipFill>
                          <a:blip r:embed="rId14" cstate="print">
                            <a:extLst>
                              <a:ext uri="{96DAC541-7B7A-43D3-8B79-37D633B846F1}">
                                <asvg:svgBlip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rsidR="003164B2" w:rsidRDefault="003164B2" w:rsidP="003164B2">
            <w:pPr>
              <w:rPr>
                <w:b/>
                <w:bCs/>
                <w:i/>
                <w:iCs/>
                <w:color w:val="BFBFBF" w:themeColor="background1" w:themeShade="BF"/>
                <w:sz w:val="28"/>
                <w:szCs w:val="24"/>
              </w:rPr>
            </w:pPr>
          </w:p>
        </w:tc>
      </w:tr>
      <w:tr w:rsidR="003164B2" w:rsidRPr="0033091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3164B2" w:rsidRDefault="00506CB3" w:rsidP="003164B2">
            <w:pPr>
              <w:rPr>
                <w:b/>
                <w:bCs/>
                <w:sz w:val="28"/>
                <w:szCs w:val="24"/>
              </w:rPr>
            </w:pPr>
            <w:r w:rsidRPr="00506CB3">
              <w:rPr>
                <w:b/>
                <w:bCs/>
                <w:i/>
                <w:iCs/>
                <w:noProof/>
                <w:color w:val="BFBFBF" w:themeColor="background1" w:themeShade="BF"/>
                <w:sz w:val="28"/>
                <w:szCs w:val="24"/>
                <w:lang w:eastAsia="en-GB"/>
              </w:rPr>
              <w:lastRenderedPageBreak/>
              <w:drawing>
                <wp:inline distT="0" distB="0" distL="0" distR="0">
                  <wp:extent cx="5731510" cy="3223895"/>
                  <wp:effectExtent l="0" t="0" r="2540" b="0"/>
                  <wp:docPr id="13430064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06421" name=""/>
                          <pic:cNvPicPr/>
                        </pic:nvPicPr>
                        <pic:blipFill>
                          <a:blip r:embed="rId16" cstate="print">
                            <a:extLst>
                              <a:ext uri="{96DAC541-7B7A-43D3-8B79-37D633B846F1}">
                                <asvg:svgBlip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rsidR="003164B2" w:rsidRDefault="003164B2" w:rsidP="003164B2">
            <w:pPr>
              <w:rPr>
                <w:b/>
                <w:bCs/>
                <w:i/>
                <w:iCs/>
                <w:color w:val="BFBFBF" w:themeColor="background1" w:themeShade="BF"/>
                <w:sz w:val="28"/>
                <w:szCs w:val="24"/>
              </w:rPr>
            </w:pPr>
          </w:p>
        </w:tc>
      </w:tr>
      <w:tr w:rsidR="003164B2" w:rsidRPr="0033091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rsidR="003164B2" w:rsidRDefault="00506CB3" w:rsidP="003164B2">
            <w:pPr>
              <w:rPr>
                <w:b/>
                <w:bCs/>
                <w:sz w:val="28"/>
                <w:szCs w:val="24"/>
              </w:rPr>
            </w:pPr>
            <w:r w:rsidRPr="00506CB3">
              <w:rPr>
                <w:b/>
                <w:bCs/>
                <w:i/>
                <w:iCs/>
                <w:noProof/>
                <w:color w:val="BFBFBF" w:themeColor="background1" w:themeShade="BF"/>
                <w:sz w:val="28"/>
                <w:szCs w:val="24"/>
                <w:lang w:eastAsia="en-GB"/>
              </w:rPr>
              <w:drawing>
                <wp:inline distT="0" distB="0" distL="0" distR="0">
                  <wp:extent cx="5731510" cy="3223895"/>
                  <wp:effectExtent l="0" t="0" r="2540" b="0"/>
                  <wp:docPr id="4100938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93860" name=""/>
                          <pic:cNvPicPr/>
                        </pic:nvPicPr>
                        <pic:blipFill>
                          <a:blip r:embed="rId18" cstate="print">
                            <a:extLst>
                              <a:ext uri="{96DAC541-7B7A-43D3-8B79-37D633B846F1}">
                                <asvg:svgBlip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rsidR="003164B2" w:rsidRDefault="003164B2" w:rsidP="003164B2">
            <w:pPr>
              <w:rPr>
                <w:b/>
                <w:bCs/>
                <w:i/>
                <w:iCs/>
                <w:color w:val="BFBFBF" w:themeColor="background1" w:themeShade="BF"/>
                <w:sz w:val="28"/>
                <w:szCs w:val="24"/>
              </w:rPr>
            </w:pPr>
          </w:p>
        </w:tc>
      </w:tr>
      <w:tr w:rsidR="003164B2" w:rsidRPr="0033091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rsidR="003164B2" w:rsidRPr="003164B2" w:rsidRDefault="003164B2" w:rsidP="006C0FE2">
            <w:pPr>
              <w:rPr>
                <w:b/>
                <w:bCs/>
                <w:sz w:val="28"/>
                <w:szCs w:val="24"/>
              </w:rPr>
            </w:pPr>
          </w:p>
        </w:tc>
      </w:tr>
      <w:tr w:rsidR="006C0FE2" w:rsidRPr="0033091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rsidR="00506CB3" w:rsidRPr="00506CB3" w:rsidRDefault="00506CB3" w:rsidP="00506CB3">
            <w:pPr>
              <w:rPr>
                <w:rFonts w:ascii="Arial" w:eastAsia="Calibri" w:hAnsi="Arial" w:cs="Arial"/>
                <w:color w:val="000000"/>
                <w:sz w:val="20"/>
                <w:szCs w:val="20"/>
              </w:rPr>
            </w:pPr>
            <w:r w:rsidRPr="00506CB3">
              <w:rPr>
                <w:rFonts w:ascii="Arial" w:eastAsia="Calibri" w:hAnsi="Arial" w:cs="Arial"/>
                <w:color w:val="000000"/>
                <w:sz w:val="20"/>
                <w:szCs w:val="20"/>
              </w:rPr>
              <w:t>Benzehaf, B., 2023. Multilingualism and its role in identity construction: a study of English students’ perceptions. International Journal of Multilingualism, 20(3), pp.1145-1163.</w:t>
            </w:r>
          </w:p>
          <w:p w:rsidR="00506CB3" w:rsidRPr="00506CB3" w:rsidRDefault="00506CB3" w:rsidP="00506CB3">
            <w:pPr>
              <w:spacing w:before="200" w:after="200" w:line="360" w:lineRule="auto"/>
              <w:jc w:val="both"/>
              <w:rPr>
                <w:rFonts w:ascii="Arial" w:eastAsia="Times New Roman" w:hAnsi="Arial" w:cs="Arial"/>
                <w:color w:val="000000"/>
                <w:sz w:val="20"/>
                <w:szCs w:val="20"/>
              </w:rPr>
            </w:pPr>
            <w:r w:rsidRPr="00506CB3">
              <w:rPr>
                <w:rFonts w:ascii="Arial" w:eastAsia="Times New Roman" w:hAnsi="Arial" w:cs="Arial"/>
                <w:color w:val="000000"/>
                <w:sz w:val="20"/>
                <w:szCs w:val="20"/>
              </w:rPr>
              <w:t>de Bot, K., 2019. Defining and assessing multilingualism. The handbook of the neuroscience of multilingualism, pp.1-18.</w:t>
            </w:r>
          </w:p>
          <w:p w:rsidR="00506CB3" w:rsidRPr="00506CB3" w:rsidRDefault="00506CB3" w:rsidP="00506CB3">
            <w:pPr>
              <w:spacing w:before="200" w:after="200" w:line="360" w:lineRule="auto"/>
              <w:jc w:val="both"/>
              <w:rPr>
                <w:rFonts w:ascii="Arial" w:eastAsia="Times New Roman" w:hAnsi="Arial" w:cs="Arial"/>
                <w:color w:val="000000"/>
                <w:sz w:val="20"/>
                <w:szCs w:val="20"/>
              </w:rPr>
            </w:pPr>
            <w:r w:rsidRPr="00506CB3">
              <w:rPr>
                <w:rFonts w:ascii="Arial" w:eastAsia="Times New Roman" w:hAnsi="Arial" w:cs="Arial"/>
                <w:color w:val="000000"/>
                <w:sz w:val="20"/>
                <w:szCs w:val="20"/>
              </w:rPr>
              <w:t xml:space="preserve">Iris, Ç. and Lam, J.S.L., 2019. A review of energy efficiency in ports: Operational strategies, technologies and energy management systems. </w:t>
            </w:r>
            <w:r w:rsidRPr="00506CB3">
              <w:rPr>
                <w:rFonts w:ascii="Arial" w:eastAsia="Times New Roman" w:hAnsi="Arial" w:cs="Arial"/>
                <w:i/>
                <w:color w:val="000000"/>
                <w:sz w:val="20"/>
                <w:szCs w:val="20"/>
              </w:rPr>
              <w:t>Renewable and Sustainable Energy Reviews, 112</w:t>
            </w:r>
            <w:r w:rsidRPr="00506CB3">
              <w:rPr>
                <w:rFonts w:ascii="Arial" w:eastAsia="Times New Roman" w:hAnsi="Arial" w:cs="Arial"/>
                <w:color w:val="000000"/>
                <w:sz w:val="20"/>
                <w:szCs w:val="20"/>
              </w:rPr>
              <w:t>, pp.170-182.</w:t>
            </w:r>
          </w:p>
          <w:p w:rsidR="00506CB3" w:rsidRPr="00506CB3" w:rsidRDefault="00506CB3" w:rsidP="00506CB3">
            <w:pPr>
              <w:spacing w:before="200" w:after="200" w:line="360" w:lineRule="auto"/>
              <w:jc w:val="both"/>
              <w:rPr>
                <w:rFonts w:ascii="Arial" w:eastAsia="Times New Roman" w:hAnsi="Arial" w:cs="Arial"/>
                <w:color w:val="000000"/>
                <w:sz w:val="20"/>
                <w:szCs w:val="20"/>
              </w:rPr>
            </w:pPr>
            <w:r w:rsidRPr="00506CB3">
              <w:rPr>
                <w:rFonts w:ascii="Arial" w:eastAsia="Times New Roman" w:hAnsi="Arial" w:cs="Arial"/>
                <w:color w:val="000000"/>
                <w:sz w:val="20"/>
                <w:szCs w:val="20"/>
              </w:rPr>
              <w:t xml:space="preserve">Kim, Y.H., 2020. Willingness to engage: the importance of what learners bring to pair work. </w:t>
            </w:r>
            <w:r w:rsidRPr="00506CB3">
              <w:rPr>
                <w:rFonts w:ascii="Arial" w:eastAsia="Times New Roman" w:hAnsi="Arial" w:cs="Arial"/>
                <w:i/>
                <w:color w:val="000000"/>
                <w:sz w:val="20"/>
                <w:szCs w:val="20"/>
              </w:rPr>
              <w:t>Language awareness, 29</w:t>
            </w:r>
            <w:r w:rsidRPr="00506CB3">
              <w:rPr>
                <w:rFonts w:ascii="Arial" w:eastAsia="Times New Roman" w:hAnsi="Arial" w:cs="Arial"/>
                <w:color w:val="000000"/>
                <w:sz w:val="20"/>
                <w:szCs w:val="20"/>
              </w:rPr>
              <w:t>(2), pp.134-154.</w:t>
            </w:r>
          </w:p>
          <w:p w:rsidR="00506CB3" w:rsidRPr="00506CB3" w:rsidRDefault="00506CB3" w:rsidP="00506CB3">
            <w:pPr>
              <w:rPr>
                <w:rFonts w:ascii="Arial" w:eastAsia="Calibri" w:hAnsi="Arial" w:cs="Arial"/>
                <w:color w:val="000000"/>
                <w:sz w:val="20"/>
                <w:szCs w:val="20"/>
              </w:rPr>
            </w:pPr>
            <w:r w:rsidRPr="00506CB3">
              <w:rPr>
                <w:rFonts w:ascii="Arial" w:eastAsia="Calibri" w:hAnsi="Arial" w:cs="Arial"/>
                <w:color w:val="000000"/>
                <w:sz w:val="20"/>
                <w:szCs w:val="20"/>
              </w:rPr>
              <w:t xml:space="preserve">Loh, E.K.Y., Liao, X., Leung, S.O. and Tam, L.C.W., 2021. How do Chinese as a second language (CSL) learners acquire orthographic knowledge: component, structure and position regularity. </w:t>
            </w:r>
            <w:r w:rsidRPr="00506CB3">
              <w:rPr>
                <w:rFonts w:ascii="Arial" w:eastAsia="Calibri" w:hAnsi="Arial" w:cs="Arial"/>
                <w:i/>
                <w:iCs/>
                <w:color w:val="000000"/>
                <w:sz w:val="20"/>
                <w:szCs w:val="20"/>
              </w:rPr>
              <w:t>Language awareness, 30</w:t>
            </w:r>
            <w:r w:rsidRPr="00506CB3">
              <w:rPr>
                <w:rFonts w:ascii="Arial" w:eastAsia="Calibri" w:hAnsi="Arial" w:cs="Arial"/>
                <w:color w:val="000000"/>
                <w:sz w:val="20"/>
                <w:szCs w:val="20"/>
              </w:rPr>
              <w:t>(3), pp.297-316.</w:t>
            </w:r>
          </w:p>
          <w:p w:rsidR="00506CB3" w:rsidRPr="00506CB3" w:rsidRDefault="00506CB3" w:rsidP="00506CB3">
            <w:pPr>
              <w:rPr>
                <w:rFonts w:eastAsia="Calibri" w:cs="Times New Roman"/>
                <w:b/>
                <w:bCs/>
                <w:color w:val="000000"/>
                <w:sz w:val="28"/>
                <w:szCs w:val="24"/>
              </w:rPr>
            </w:pPr>
          </w:p>
          <w:p w:rsidR="00506CB3" w:rsidRDefault="00506CB3" w:rsidP="003164B2">
            <w:pPr>
              <w:rPr>
                <w:b/>
                <w:bCs/>
                <w:sz w:val="28"/>
                <w:szCs w:val="24"/>
              </w:rPr>
            </w:pPr>
          </w:p>
          <w:p w:rsidR="006C0FE2" w:rsidRDefault="006C0FE2"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3164B2" w:rsidRDefault="003164B2" w:rsidP="006C0FE2">
            <w:pPr>
              <w:rPr>
                <w:b/>
                <w:bCs/>
                <w:sz w:val="28"/>
                <w:szCs w:val="24"/>
              </w:rPr>
            </w:pPr>
          </w:p>
          <w:p w:rsidR="003164B2" w:rsidRDefault="003164B2"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5C77A4" w:rsidRDefault="005C77A4"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p w:rsidR="0064455E" w:rsidRDefault="0064455E" w:rsidP="006C0FE2">
            <w:pPr>
              <w:rPr>
                <w:b/>
                <w:bCs/>
                <w:sz w:val="28"/>
                <w:szCs w:val="24"/>
              </w:rPr>
            </w:pPr>
          </w:p>
        </w:tc>
      </w:tr>
    </w:tbl>
    <w:p w:rsidR="00091775" w:rsidRDefault="00091775"/>
    <w:sectPr w:rsidR="00091775" w:rsidSect="002A03FD">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81EBD" w:rsidRDefault="00B81EBD" w:rsidP="007C2128">
      <w:pPr>
        <w:spacing w:after="0" w:line="240" w:lineRule="auto"/>
      </w:pPr>
      <w:r>
        <w:separator/>
      </w:r>
    </w:p>
  </w:endnote>
  <w:endnote w:type="continuationSeparator" w:id="1">
    <w:p w:rsidR="00B81EBD" w:rsidRDefault="00B81EBD" w:rsidP="007C212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63538851"/>
      <w:docPartObj>
        <w:docPartGallery w:val="Page Numbers (Bottom of Page)"/>
        <w:docPartUnique/>
      </w:docPartObj>
    </w:sdtPr>
    <w:sdtEndPr>
      <w:rPr>
        <w:color w:val="7F7F7F" w:themeColor="background1" w:themeShade="7F"/>
        <w:spacing w:val="60"/>
      </w:rPr>
    </w:sdtEndPr>
    <w:sdtContent>
      <w:p w:rsidR="007C2128" w:rsidRDefault="005273E3">
        <w:pPr>
          <w:pStyle w:val="Footer"/>
          <w:pBdr>
            <w:top w:val="single" w:sz="4" w:space="1" w:color="D9D9D9" w:themeColor="background1" w:themeShade="D9"/>
          </w:pBdr>
          <w:jc w:val="right"/>
        </w:pPr>
        <w:r>
          <w:fldChar w:fldCharType="begin"/>
        </w:r>
        <w:r w:rsidR="007C2128">
          <w:instrText xml:space="preserve"> PAGE   \* MERGEFORMAT </w:instrText>
        </w:r>
        <w:r>
          <w:fldChar w:fldCharType="separate"/>
        </w:r>
        <w:r w:rsidR="00634E85">
          <w:rPr>
            <w:noProof/>
          </w:rPr>
          <w:t>1</w:t>
        </w:r>
        <w:r>
          <w:rPr>
            <w:noProof/>
          </w:rPr>
          <w:fldChar w:fldCharType="end"/>
        </w:r>
        <w:r w:rsidR="007C2128">
          <w:t xml:space="preserve"> | </w:t>
        </w:r>
        <w:r w:rsidR="007C2128">
          <w:rPr>
            <w:color w:val="7F7F7F" w:themeColor="background1" w:themeShade="7F"/>
            <w:spacing w:val="60"/>
          </w:rPr>
          <w:t>Page</w:t>
        </w:r>
      </w:p>
    </w:sdtContent>
  </w:sdt>
  <w:p w:rsidR="007C2128" w:rsidRDefault="007C212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81EBD" w:rsidRDefault="00B81EBD" w:rsidP="007C2128">
      <w:pPr>
        <w:spacing w:after="0" w:line="240" w:lineRule="auto"/>
      </w:pPr>
      <w:r>
        <w:separator/>
      </w:r>
    </w:p>
  </w:footnote>
  <w:footnote w:type="continuationSeparator" w:id="1">
    <w:p w:rsidR="00B81EBD" w:rsidRDefault="00B81EBD" w:rsidP="007C212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7C2128"/>
    <w:rsid w:val="000544C5"/>
    <w:rsid w:val="00085A4E"/>
    <w:rsid w:val="00091775"/>
    <w:rsid w:val="000A23B0"/>
    <w:rsid w:val="000A7D84"/>
    <w:rsid w:val="00120E2C"/>
    <w:rsid w:val="00136D1F"/>
    <w:rsid w:val="001C05B9"/>
    <w:rsid w:val="002871E6"/>
    <w:rsid w:val="002A03FD"/>
    <w:rsid w:val="002F762E"/>
    <w:rsid w:val="003164B2"/>
    <w:rsid w:val="003439EA"/>
    <w:rsid w:val="00373FD2"/>
    <w:rsid w:val="003A304F"/>
    <w:rsid w:val="004156C8"/>
    <w:rsid w:val="00452F90"/>
    <w:rsid w:val="004F3356"/>
    <w:rsid w:val="00506CB3"/>
    <w:rsid w:val="005273E3"/>
    <w:rsid w:val="005671B3"/>
    <w:rsid w:val="0059363C"/>
    <w:rsid w:val="005C77A4"/>
    <w:rsid w:val="00602C4B"/>
    <w:rsid w:val="00634E85"/>
    <w:rsid w:val="0064455E"/>
    <w:rsid w:val="00675DCB"/>
    <w:rsid w:val="00682F4B"/>
    <w:rsid w:val="00686745"/>
    <w:rsid w:val="006B575E"/>
    <w:rsid w:val="006C0FE2"/>
    <w:rsid w:val="006D765B"/>
    <w:rsid w:val="006E2904"/>
    <w:rsid w:val="00723301"/>
    <w:rsid w:val="00792CDA"/>
    <w:rsid w:val="007A0095"/>
    <w:rsid w:val="007C2128"/>
    <w:rsid w:val="007F0F44"/>
    <w:rsid w:val="00833B1F"/>
    <w:rsid w:val="00834656"/>
    <w:rsid w:val="00847B3C"/>
    <w:rsid w:val="008C0A30"/>
    <w:rsid w:val="00903A18"/>
    <w:rsid w:val="00910929"/>
    <w:rsid w:val="009C5BA7"/>
    <w:rsid w:val="009E74DD"/>
    <w:rsid w:val="00A00C6C"/>
    <w:rsid w:val="00A135A5"/>
    <w:rsid w:val="00A423CF"/>
    <w:rsid w:val="00A60F09"/>
    <w:rsid w:val="00A77C6B"/>
    <w:rsid w:val="00AA645D"/>
    <w:rsid w:val="00B3346C"/>
    <w:rsid w:val="00B54CE3"/>
    <w:rsid w:val="00B81EBD"/>
    <w:rsid w:val="00BC1453"/>
    <w:rsid w:val="00C37040"/>
    <w:rsid w:val="00C91424"/>
    <w:rsid w:val="00C974B9"/>
    <w:rsid w:val="00D43E6B"/>
    <w:rsid w:val="00DA485D"/>
    <w:rsid w:val="00E73500"/>
    <w:rsid w:val="00E77FD2"/>
    <w:rsid w:val="00E87061"/>
    <w:rsid w:val="00E95FE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2128"/>
    <w:rPr>
      <w:rFonts w:ascii="Times New Roman" w:eastAsiaTheme="minorHAnsi" w:hAnsi="Times New Roman"/>
      <w:color w:val="000000" w:themeColor="text1"/>
      <w:kern w:val="0"/>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paragraph" w:styleId="BalloonText">
    <w:name w:val="Balloon Text"/>
    <w:basedOn w:val="Normal"/>
    <w:link w:val="BalloonTextChar"/>
    <w:uiPriority w:val="99"/>
    <w:semiHidden/>
    <w:unhideWhenUsed/>
    <w:rsid w:val="00506C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6CB3"/>
    <w:rPr>
      <w:rFonts w:ascii="Tahoma" w:eastAsiaTheme="minorHAnsi" w:hAnsi="Tahoma" w:cs="Tahoma"/>
      <w:color w:val="000000" w:themeColor="text1"/>
      <w:kern w:val="0"/>
      <w:sz w:val="16"/>
      <w:szCs w:val="16"/>
      <w:lang w:eastAsia="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svg"/><Relationship Id="rId18" Type="http://schemas.openxmlformats.org/officeDocument/2006/relationships/image" Target="media/image7.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image" Target="media/image10.svg"/><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svg"/><Relationship Id="rId5" Type="http://schemas.openxmlformats.org/officeDocument/2006/relationships/endnotes" Target="endnotes.xml"/><Relationship Id="rId15" Type="http://schemas.openxmlformats.org/officeDocument/2006/relationships/image" Target="media/image8.svg"/><Relationship Id="rId19" Type="http://schemas.openxmlformats.org/officeDocument/2006/relationships/image" Target="media/image12.svg"/><Relationship Id="rId4"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13</Pages>
  <Words>1942</Words>
  <Characters>11076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pandelu</cp:lastModifiedBy>
  <cp:revision>45</cp:revision>
  <dcterms:created xsi:type="dcterms:W3CDTF">2023-12-20T11:14:00Z</dcterms:created>
  <dcterms:modified xsi:type="dcterms:W3CDTF">2024-02-09T20:10:00Z</dcterms:modified>
</cp:coreProperties>
</file>