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18FD87" w14:textId="77777777" w:rsidR="00696C01" w:rsidRPr="00696C01" w:rsidRDefault="00696C01" w:rsidP="00696C01">
      <w:pPr>
        <w:pStyle w:val="Header"/>
        <w:rPr>
          <w:rFonts w:ascii="Arial" w:hAnsi="Arial" w:cs="Arial"/>
          <w:b/>
          <w:bCs/>
          <w:sz w:val="24"/>
          <w:szCs w:val="24"/>
          <w:lang w:val="en-US"/>
        </w:rPr>
      </w:pPr>
      <w:r w:rsidRPr="00696C01">
        <w:rPr>
          <w:rFonts w:ascii="Arial" w:hAnsi="Arial" w:cs="Arial"/>
          <w:b/>
          <w:bCs/>
          <w:sz w:val="24"/>
          <w:szCs w:val="24"/>
          <w:lang w:val="en-US"/>
        </w:rPr>
        <w:t xml:space="preserve">Critical commentary on the </w:t>
      </w:r>
      <w:r w:rsidRPr="00696C01">
        <w:rPr>
          <w:rFonts w:ascii="Arial" w:hAnsi="Arial" w:cs="Arial"/>
          <w:b/>
          <w:bCs/>
          <w:i/>
          <w:iCs/>
          <w:sz w:val="24"/>
          <w:szCs w:val="24"/>
          <w:lang w:val="en-US"/>
        </w:rPr>
        <w:t xml:space="preserve">Deidamia Achilli </w:t>
      </w:r>
      <w:r w:rsidRPr="00696C01">
        <w:rPr>
          <w:rFonts w:ascii="Arial" w:hAnsi="Arial" w:cs="Arial"/>
          <w:b/>
          <w:bCs/>
          <w:sz w:val="24"/>
          <w:szCs w:val="24"/>
          <w:lang w:val="en-US"/>
        </w:rPr>
        <w:t>51-94.</w:t>
      </w:r>
    </w:p>
    <w:p w14:paraId="5FD1748D" w14:textId="13C3EAF3" w:rsidR="0068532C" w:rsidRPr="0068532C" w:rsidRDefault="00F31A8C" w:rsidP="00B808E9">
      <w:pPr>
        <w:spacing w:before="240" w:line="360" w:lineRule="auto"/>
        <w:rPr>
          <w:rFonts w:ascii="Arial" w:hAnsi="Arial" w:cs="Arial"/>
          <w:sz w:val="24"/>
          <w:szCs w:val="24"/>
        </w:rPr>
      </w:pPr>
      <w:r w:rsidRPr="00E86761">
        <w:rPr>
          <w:rFonts w:ascii="Arial" w:hAnsi="Arial" w:cs="Arial"/>
          <w:sz w:val="24"/>
          <w:szCs w:val="24"/>
        </w:rPr>
        <w:t xml:space="preserve">Composed in the style of a letter or </w:t>
      </w:r>
      <w:r w:rsidRPr="00E86761">
        <w:rPr>
          <w:rFonts w:ascii="Arial" w:hAnsi="Arial" w:cs="Arial"/>
          <w:i/>
          <w:iCs/>
          <w:sz w:val="24"/>
          <w:szCs w:val="24"/>
        </w:rPr>
        <w:t>epist</w:t>
      </w:r>
      <w:r w:rsidR="006A3C69">
        <w:rPr>
          <w:rFonts w:ascii="Arial" w:hAnsi="Arial" w:cs="Arial"/>
          <w:i/>
          <w:iCs/>
          <w:sz w:val="24"/>
          <w:szCs w:val="24"/>
        </w:rPr>
        <w:t>u</w:t>
      </w:r>
      <w:r w:rsidRPr="00E86761">
        <w:rPr>
          <w:rFonts w:ascii="Arial" w:hAnsi="Arial" w:cs="Arial"/>
          <w:i/>
          <w:iCs/>
          <w:sz w:val="24"/>
          <w:szCs w:val="24"/>
        </w:rPr>
        <w:t>lae</w:t>
      </w:r>
      <w:r w:rsidRPr="00E86761">
        <w:rPr>
          <w:rFonts w:ascii="Arial" w:hAnsi="Arial" w:cs="Arial"/>
          <w:sz w:val="24"/>
          <w:szCs w:val="24"/>
        </w:rPr>
        <w:t xml:space="preserve"> between Deidamia and Achilles, the anonymous </w:t>
      </w:r>
      <w:r w:rsidR="00752BE8">
        <w:rPr>
          <w:rFonts w:ascii="Arial" w:hAnsi="Arial" w:cs="Arial"/>
          <w:sz w:val="24"/>
          <w:szCs w:val="24"/>
        </w:rPr>
        <w:t>eleventh</w:t>
      </w:r>
      <w:r w:rsidRPr="00E86761">
        <w:rPr>
          <w:rFonts w:ascii="Arial" w:hAnsi="Arial" w:cs="Arial"/>
          <w:sz w:val="24"/>
          <w:szCs w:val="24"/>
        </w:rPr>
        <w:t xml:space="preserve">-century writer of the </w:t>
      </w:r>
      <w:r w:rsidRPr="00E86761">
        <w:rPr>
          <w:rFonts w:ascii="Arial" w:hAnsi="Arial" w:cs="Arial"/>
          <w:i/>
          <w:iCs/>
          <w:sz w:val="24"/>
          <w:szCs w:val="24"/>
        </w:rPr>
        <w:t xml:space="preserve">Deidamia Achilli </w:t>
      </w:r>
      <w:r w:rsidRPr="00E86761">
        <w:rPr>
          <w:rFonts w:ascii="Arial" w:hAnsi="Arial" w:cs="Arial"/>
          <w:sz w:val="24"/>
          <w:szCs w:val="24"/>
        </w:rPr>
        <w:t xml:space="preserve">draws upon the work of numerous classical writers, particularly the work of Ovid’s </w:t>
      </w:r>
      <w:r w:rsidRPr="00E86761">
        <w:rPr>
          <w:rFonts w:ascii="Arial" w:hAnsi="Arial" w:cs="Arial"/>
          <w:i/>
          <w:iCs/>
          <w:sz w:val="24"/>
          <w:szCs w:val="24"/>
        </w:rPr>
        <w:t>Heroides</w:t>
      </w:r>
      <w:r w:rsidRPr="00E86761">
        <w:rPr>
          <w:rFonts w:ascii="Arial" w:hAnsi="Arial" w:cs="Arial"/>
          <w:sz w:val="24"/>
          <w:szCs w:val="24"/>
        </w:rPr>
        <w:t>.</w:t>
      </w:r>
      <w:r w:rsidR="005505BC" w:rsidRPr="00E86761">
        <w:rPr>
          <w:rStyle w:val="FootnoteReference"/>
          <w:rFonts w:ascii="Arial" w:hAnsi="Arial" w:cs="Arial"/>
          <w:sz w:val="24"/>
          <w:szCs w:val="24"/>
        </w:rPr>
        <w:footnoteReference w:id="1"/>
      </w:r>
      <w:r w:rsidR="005505BC" w:rsidRPr="00E86761">
        <w:rPr>
          <w:rFonts w:ascii="Arial" w:hAnsi="Arial" w:cs="Arial"/>
          <w:sz w:val="24"/>
          <w:szCs w:val="24"/>
        </w:rPr>
        <w:t xml:space="preserve"> </w:t>
      </w:r>
      <w:r w:rsidR="009F30E8" w:rsidRPr="00E86761">
        <w:rPr>
          <w:rFonts w:ascii="Arial" w:hAnsi="Arial" w:cs="Arial"/>
          <w:sz w:val="24"/>
          <w:szCs w:val="24"/>
        </w:rPr>
        <w:t xml:space="preserve">The letter itself details the tragic longing of Achilles’ wife Deidamia concerning the presence of the captive </w:t>
      </w:r>
      <w:r w:rsidR="002A0D92" w:rsidRPr="00E86761">
        <w:rPr>
          <w:rFonts w:ascii="Arial" w:hAnsi="Arial" w:cs="Arial"/>
          <w:sz w:val="24"/>
          <w:szCs w:val="24"/>
        </w:rPr>
        <w:t xml:space="preserve">slave </w:t>
      </w:r>
      <w:r w:rsidR="009F30E8" w:rsidRPr="00E86761">
        <w:rPr>
          <w:rFonts w:ascii="Arial" w:hAnsi="Arial" w:cs="Arial"/>
          <w:sz w:val="24"/>
          <w:szCs w:val="24"/>
        </w:rPr>
        <w:t>Briseis</w:t>
      </w:r>
      <w:r w:rsidR="002A0D92" w:rsidRPr="00E86761">
        <w:rPr>
          <w:rFonts w:ascii="Arial" w:hAnsi="Arial" w:cs="Arial"/>
          <w:sz w:val="24"/>
          <w:szCs w:val="24"/>
        </w:rPr>
        <w:t xml:space="preserve"> in the Aegean camp, being the cause of a rift between Greek commander Agamemnon and Achilles, who according to Homer’s the </w:t>
      </w:r>
      <w:r w:rsidR="002A0D92" w:rsidRPr="00E86761">
        <w:rPr>
          <w:rFonts w:ascii="Arial" w:hAnsi="Arial" w:cs="Arial"/>
          <w:i/>
          <w:iCs/>
          <w:sz w:val="24"/>
          <w:szCs w:val="24"/>
        </w:rPr>
        <w:t>Iliad</w:t>
      </w:r>
      <w:r w:rsidR="002A0D92" w:rsidRPr="00E86761">
        <w:rPr>
          <w:rFonts w:ascii="Arial" w:hAnsi="Arial" w:cs="Arial"/>
          <w:sz w:val="24"/>
          <w:szCs w:val="24"/>
        </w:rPr>
        <w:t xml:space="preserve"> was at this point abstaining from fighting due to the theft of Briseis.</w:t>
      </w:r>
      <w:r w:rsidR="002A0D92" w:rsidRPr="00E86761">
        <w:rPr>
          <w:rStyle w:val="FootnoteReference"/>
          <w:rFonts w:ascii="Arial" w:hAnsi="Arial" w:cs="Arial"/>
          <w:sz w:val="24"/>
          <w:szCs w:val="24"/>
        </w:rPr>
        <w:footnoteReference w:id="2"/>
      </w:r>
      <w:r w:rsidR="005A0DB8" w:rsidRPr="00E86761">
        <w:rPr>
          <w:rFonts w:ascii="Arial" w:hAnsi="Arial" w:cs="Arial"/>
          <w:sz w:val="24"/>
          <w:szCs w:val="24"/>
        </w:rPr>
        <w:t xml:space="preserve"> </w:t>
      </w:r>
      <w:r w:rsidR="0068532C">
        <w:rPr>
          <w:rFonts w:ascii="Arial" w:hAnsi="Arial" w:cs="Arial"/>
          <w:sz w:val="24"/>
          <w:szCs w:val="24"/>
        </w:rPr>
        <w:t xml:space="preserve">It becomes clear that the </w:t>
      </w:r>
      <w:r w:rsidR="0068532C">
        <w:rPr>
          <w:rFonts w:ascii="Arial" w:hAnsi="Arial" w:cs="Arial"/>
          <w:i/>
          <w:iCs/>
          <w:sz w:val="24"/>
          <w:szCs w:val="24"/>
        </w:rPr>
        <w:t xml:space="preserve">Deidamia Achilli </w:t>
      </w:r>
      <w:r w:rsidR="0068532C">
        <w:rPr>
          <w:rFonts w:ascii="Arial" w:hAnsi="Arial" w:cs="Arial"/>
          <w:sz w:val="24"/>
          <w:szCs w:val="24"/>
        </w:rPr>
        <w:t xml:space="preserve">benefitted greatly from the works of ancient scholars, although whether the author would have had access to a complete translation </w:t>
      </w:r>
      <w:r w:rsidR="0040586B">
        <w:rPr>
          <w:rFonts w:ascii="Arial" w:hAnsi="Arial" w:cs="Arial"/>
          <w:sz w:val="24"/>
          <w:szCs w:val="24"/>
        </w:rPr>
        <w:t xml:space="preserve">of sources like Homer </w:t>
      </w:r>
      <w:r w:rsidR="0068532C">
        <w:rPr>
          <w:rFonts w:ascii="Arial" w:hAnsi="Arial" w:cs="Arial"/>
          <w:sz w:val="24"/>
          <w:szCs w:val="24"/>
        </w:rPr>
        <w:t xml:space="preserve">is </w:t>
      </w:r>
      <w:r w:rsidR="0040586B">
        <w:rPr>
          <w:rFonts w:ascii="Arial" w:hAnsi="Arial" w:cs="Arial"/>
          <w:sz w:val="24"/>
          <w:szCs w:val="24"/>
        </w:rPr>
        <w:t xml:space="preserve">highly debated. </w:t>
      </w:r>
    </w:p>
    <w:p w14:paraId="2F588A17" w14:textId="587A9A1B" w:rsidR="00E83C5E" w:rsidRPr="00E86761" w:rsidRDefault="00E83C5E" w:rsidP="00B808E9">
      <w:pPr>
        <w:spacing w:line="360" w:lineRule="auto"/>
        <w:rPr>
          <w:rFonts w:ascii="Arial" w:hAnsi="Arial" w:cs="Arial"/>
          <w:sz w:val="24"/>
          <w:szCs w:val="24"/>
        </w:rPr>
      </w:pPr>
      <w:r w:rsidRPr="00E86761">
        <w:rPr>
          <w:rFonts w:ascii="Arial" w:hAnsi="Arial" w:cs="Arial"/>
          <w:sz w:val="24"/>
          <w:szCs w:val="24"/>
        </w:rPr>
        <w:t>One of the most prominent misunderstandings of the D</w:t>
      </w:r>
      <w:r w:rsidRPr="00E86761">
        <w:rPr>
          <w:rFonts w:ascii="Arial" w:hAnsi="Arial" w:cs="Arial"/>
          <w:i/>
          <w:iCs/>
          <w:sz w:val="24"/>
          <w:szCs w:val="24"/>
        </w:rPr>
        <w:t xml:space="preserve">eidamia Achilli </w:t>
      </w:r>
      <w:r w:rsidRPr="00E86761">
        <w:rPr>
          <w:rFonts w:ascii="Arial" w:hAnsi="Arial" w:cs="Arial"/>
          <w:sz w:val="24"/>
          <w:szCs w:val="24"/>
        </w:rPr>
        <w:t xml:space="preserve">is the dramatic timing through which it becomes clear that the author of the work must not have had accessibility to the works of Homer, in particular the </w:t>
      </w:r>
      <w:r w:rsidRPr="00E86761">
        <w:rPr>
          <w:rFonts w:ascii="Arial" w:hAnsi="Arial" w:cs="Arial"/>
          <w:i/>
          <w:iCs/>
          <w:sz w:val="24"/>
          <w:szCs w:val="24"/>
        </w:rPr>
        <w:t>Iliad</w:t>
      </w:r>
      <w:r w:rsidRPr="00E86761">
        <w:rPr>
          <w:rFonts w:ascii="Arial" w:hAnsi="Arial" w:cs="Arial"/>
          <w:sz w:val="24"/>
          <w:szCs w:val="24"/>
        </w:rPr>
        <w:t xml:space="preserve"> in which vital information is given concerning Achilles. The </w:t>
      </w:r>
      <w:r w:rsidRPr="00E86761">
        <w:rPr>
          <w:rFonts w:ascii="Arial" w:hAnsi="Arial" w:cs="Arial"/>
          <w:i/>
          <w:iCs/>
          <w:sz w:val="24"/>
          <w:szCs w:val="24"/>
        </w:rPr>
        <w:t xml:space="preserve">Deidamia Achilli </w:t>
      </w:r>
      <w:r w:rsidR="00334846" w:rsidRPr="00E86761">
        <w:rPr>
          <w:rFonts w:ascii="Arial" w:hAnsi="Arial" w:cs="Arial"/>
          <w:sz w:val="24"/>
          <w:szCs w:val="24"/>
        </w:rPr>
        <w:t xml:space="preserve">appears to be written four years after the start of the Trojan War in comparison to Homer’s </w:t>
      </w:r>
      <w:r w:rsidR="00334846" w:rsidRPr="00E86761">
        <w:rPr>
          <w:rFonts w:ascii="Arial" w:hAnsi="Arial" w:cs="Arial"/>
          <w:i/>
          <w:iCs/>
          <w:sz w:val="24"/>
          <w:szCs w:val="24"/>
        </w:rPr>
        <w:t>Iliad</w:t>
      </w:r>
      <w:r w:rsidR="006953B2" w:rsidRPr="00E86761">
        <w:rPr>
          <w:rFonts w:ascii="Arial" w:hAnsi="Arial" w:cs="Arial"/>
          <w:sz w:val="24"/>
          <w:szCs w:val="24"/>
        </w:rPr>
        <w:t xml:space="preserve"> which starts in the tenth and final year of fighting. </w:t>
      </w:r>
      <w:r w:rsidR="005A7505">
        <w:rPr>
          <w:rFonts w:ascii="Arial" w:hAnsi="Arial" w:cs="Arial"/>
          <w:sz w:val="24"/>
          <w:szCs w:val="24"/>
        </w:rPr>
        <w:t xml:space="preserve">The confusion concerning the length of time through which the Trojan War took place, contributes also to the dramatic irony of the poem whether intentional or not. </w:t>
      </w:r>
      <w:r w:rsidR="007C2DD7" w:rsidRPr="00E86761">
        <w:rPr>
          <w:rFonts w:ascii="Arial" w:hAnsi="Arial" w:cs="Arial"/>
          <w:sz w:val="24"/>
          <w:szCs w:val="24"/>
        </w:rPr>
        <w:t xml:space="preserve">In the second book of Homer’s </w:t>
      </w:r>
      <w:r w:rsidR="007C2DD7" w:rsidRPr="00E86761">
        <w:rPr>
          <w:rFonts w:ascii="Arial" w:hAnsi="Arial" w:cs="Arial"/>
          <w:i/>
          <w:iCs/>
          <w:sz w:val="24"/>
          <w:szCs w:val="24"/>
        </w:rPr>
        <w:t>Iliad</w:t>
      </w:r>
      <w:r w:rsidR="007C2DD7" w:rsidRPr="00E86761">
        <w:rPr>
          <w:rFonts w:ascii="Arial" w:hAnsi="Arial" w:cs="Arial"/>
          <w:sz w:val="24"/>
          <w:szCs w:val="24"/>
        </w:rPr>
        <w:t xml:space="preserve"> the Greek soothsayer Calchas describes the events of a divinely inspired prophecy, that a serpent consumed a sparrow and her eight chicks representative of the nine years already fought, and “so shall we war there for as many years, but in the tenth we shall take the broad-wayed city.”</w:t>
      </w:r>
      <w:r w:rsidR="007C2DD7" w:rsidRPr="00E86761">
        <w:rPr>
          <w:rStyle w:val="FootnoteReference"/>
          <w:rFonts w:ascii="Arial" w:hAnsi="Arial" w:cs="Arial"/>
          <w:sz w:val="24"/>
          <w:szCs w:val="24"/>
        </w:rPr>
        <w:footnoteReference w:id="3"/>
      </w:r>
      <w:r w:rsidR="007C2DD7" w:rsidRPr="00E86761">
        <w:rPr>
          <w:rFonts w:ascii="Arial" w:hAnsi="Arial" w:cs="Arial"/>
          <w:sz w:val="24"/>
          <w:szCs w:val="24"/>
        </w:rPr>
        <w:t xml:space="preserve"> </w:t>
      </w:r>
      <w:r w:rsidR="006953B2" w:rsidRPr="00E86761">
        <w:rPr>
          <w:rFonts w:ascii="Arial" w:hAnsi="Arial" w:cs="Arial"/>
          <w:sz w:val="24"/>
          <w:szCs w:val="24"/>
        </w:rPr>
        <w:t xml:space="preserve">Although not within the given passage of the </w:t>
      </w:r>
      <w:r w:rsidR="006953B2" w:rsidRPr="00E86761">
        <w:rPr>
          <w:rFonts w:ascii="Arial" w:hAnsi="Arial" w:cs="Arial"/>
          <w:i/>
          <w:iCs/>
          <w:sz w:val="24"/>
          <w:szCs w:val="24"/>
        </w:rPr>
        <w:t>Deidamia Achilli</w:t>
      </w:r>
      <w:r w:rsidR="00DA06CC" w:rsidRPr="00E86761">
        <w:rPr>
          <w:rFonts w:ascii="Arial" w:hAnsi="Arial" w:cs="Arial"/>
          <w:sz w:val="24"/>
          <w:szCs w:val="24"/>
        </w:rPr>
        <w:t>, the apparent narrator Deidamia states that ‘now the fifth sun renews the year which has been completed four times’.</w:t>
      </w:r>
      <w:r w:rsidR="00DA06CC" w:rsidRPr="00E86761">
        <w:rPr>
          <w:rStyle w:val="FootnoteReference"/>
          <w:rFonts w:ascii="Arial" w:hAnsi="Arial" w:cs="Arial"/>
          <w:sz w:val="24"/>
          <w:szCs w:val="24"/>
        </w:rPr>
        <w:footnoteReference w:id="4"/>
      </w:r>
      <w:r w:rsidR="00DA06CC" w:rsidRPr="00E86761">
        <w:rPr>
          <w:rFonts w:ascii="Arial" w:hAnsi="Arial" w:cs="Arial"/>
          <w:sz w:val="24"/>
          <w:szCs w:val="24"/>
        </w:rPr>
        <w:t xml:space="preserve"> The confusion over the period of time during the Trojan War in which the events concerning Achilles’ acquisition and then loss of Briseis, presents the idea that although the majority of the mythological content is similar, the conti</w:t>
      </w:r>
      <w:r w:rsidR="005A7505">
        <w:rPr>
          <w:rFonts w:ascii="Arial" w:hAnsi="Arial" w:cs="Arial"/>
          <w:sz w:val="24"/>
          <w:szCs w:val="24"/>
        </w:rPr>
        <w:t>n</w:t>
      </w:r>
      <w:r w:rsidR="00DA06CC" w:rsidRPr="00E86761">
        <w:rPr>
          <w:rFonts w:ascii="Arial" w:hAnsi="Arial" w:cs="Arial"/>
          <w:sz w:val="24"/>
          <w:szCs w:val="24"/>
        </w:rPr>
        <w:t xml:space="preserve">uity between ancient Greek texts does not feature. </w:t>
      </w:r>
    </w:p>
    <w:p w14:paraId="0887539E" w14:textId="42D91F7A" w:rsidR="00F3115C" w:rsidRDefault="00B233D6" w:rsidP="00B808E9">
      <w:pPr>
        <w:spacing w:line="360" w:lineRule="auto"/>
        <w:rPr>
          <w:rFonts w:ascii="Arial" w:hAnsi="Arial" w:cs="Arial"/>
          <w:sz w:val="24"/>
          <w:szCs w:val="24"/>
        </w:rPr>
      </w:pPr>
      <w:r w:rsidRPr="00E86761">
        <w:rPr>
          <w:rFonts w:ascii="Arial" w:hAnsi="Arial" w:cs="Arial"/>
          <w:sz w:val="24"/>
          <w:szCs w:val="24"/>
        </w:rPr>
        <w:lastRenderedPageBreak/>
        <w:t xml:space="preserve">There are obvious geographical limitations to the Deidamia presented in the </w:t>
      </w:r>
      <w:r w:rsidRPr="00E86761">
        <w:rPr>
          <w:rFonts w:ascii="Arial" w:hAnsi="Arial" w:cs="Arial"/>
          <w:i/>
          <w:iCs/>
          <w:sz w:val="24"/>
          <w:szCs w:val="24"/>
        </w:rPr>
        <w:t xml:space="preserve">Deidamia Achilli </w:t>
      </w:r>
      <w:r w:rsidRPr="00E86761">
        <w:rPr>
          <w:rFonts w:ascii="Arial" w:hAnsi="Arial" w:cs="Arial"/>
          <w:sz w:val="24"/>
          <w:szCs w:val="24"/>
        </w:rPr>
        <w:t xml:space="preserve">as opposed to </w:t>
      </w:r>
      <w:r w:rsidR="00EF3F1E" w:rsidRPr="00E86761">
        <w:rPr>
          <w:rFonts w:ascii="Arial" w:hAnsi="Arial" w:cs="Arial"/>
          <w:sz w:val="24"/>
          <w:szCs w:val="24"/>
        </w:rPr>
        <w:t>the Deidamia</w:t>
      </w:r>
      <w:r w:rsidRPr="00E86761">
        <w:rPr>
          <w:rFonts w:ascii="Arial" w:hAnsi="Arial" w:cs="Arial"/>
          <w:sz w:val="24"/>
          <w:szCs w:val="24"/>
        </w:rPr>
        <w:t xml:space="preserve"> of ancient texts, </w:t>
      </w:r>
      <w:r w:rsidR="00EF3F1E" w:rsidRPr="00E86761">
        <w:rPr>
          <w:rFonts w:ascii="Arial" w:hAnsi="Arial" w:cs="Arial"/>
          <w:sz w:val="24"/>
          <w:szCs w:val="24"/>
        </w:rPr>
        <w:t>most significantly the process through which Deidamia receives her knowledge of the Trojan War. It becomes clear that the information Deidamia presents in her epistle to Achilles is perhaps delayed, stating that “rumour has come into the troubled palace of Lycomedes” of the presence of Briseis in the Achaean camp.</w:t>
      </w:r>
      <w:r w:rsidR="00EF3F1E" w:rsidRPr="00E86761">
        <w:rPr>
          <w:rStyle w:val="FootnoteReference"/>
          <w:rFonts w:ascii="Arial" w:hAnsi="Arial" w:cs="Arial"/>
          <w:sz w:val="24"/>
          <w:szCs w:val="24"/>
        </w:rPr>
        <w:footnoteReference w:id="5"/>
      </w:r>
      <w:r w:rsidR="00EF3F1E" w:rsidRPr="00E86761">
        <w:rPr>
          <w:rFonts w:ascii="Arial" w:hAnsi="Arial" w:cs="Arial"/>
          <w:sz w:val="24"/>
          <w:szCs w:val="24"/>
        </w:rPr>
        <w:t xml:space="preserve"> It could be argued that the reason for Deidamia’s delayed knowledge and confusion concerning the period of time during which the Trojan War was taking place could be attributed to the lack of translated editions of ancient Greek texts until the later medieval period. This is therefore considered to be the author’s use of dramatic irony, with Briseis’ address of Achilles in </w:t>
      </w:r>
      <w:r w:rsidR="00EF3F1E" w:rsidRPr="00E86761">
        <w:rPr>
          <w:rFonts w:ascii="Arial" w:hAnsi="Arial" w:cs="Arial"/>
          <w:i/>
          <w:iCs/>
          <w:sz w:val="24"/>
          <w:szCs w:val="24"/>
        </w:rPr>
        <w:t xml:space="preserve">Heroides Three </w:t>
      </w:r>
      <w:r w:rsidR="00EF3F1E" w:rsidRPr="00E86761">
        <w:rPr>
          <w:rFonts w:ascii="Arial" w:hAnsi="Arial" w:cs="Arial"/>
          <w:sz w:val="24"/>
          <w:szCs w:val="24"/>
        </w:rPr>
        <w:t>being more contemporary with the events concerning the dispute between Achilles and Agamemnon.</w:t>
      </w:r>
      <w:r w:rsidR="00BE1A4B" w:rsidRPr="00E86761">
        <w:rPr>
          <w:rFonts w:ascii="Arial" w:hAnsi="Arial" w:cs="Arial"/>
          <w:sz w:val="24"/>
          <w:szCs w:val="24"/>
        </w:rPr>
        <w:t xml:space="preserve"> </w:t>
      </w:r>
      <w:r w:rsidR="00D50E57" w:rsidRPr="00E86761">
        <w:rPr>
          <w:rFonts w:ascii="Arial" w:hAnsi="Arial" w:cs="Arial"/>
          <w:sz w:val="24"/>
          <w:szCs w:val="24"/>
        </w:rPr>
        <w:t xml:space="preserve">Furthermore, the Deidamia presented by the </w:t>
      </w:r>
      <w:r w:rsidR="00D50E57" w:rsidRPr="00E86761">
        <w:rPr>
          <w:rFonts w:ascii="Arial" w:hAnsi="Arial" w:cs="Arial"/>
          <w:i/>
          <w:iCs/>
          <w:sz w:val="24"/>
          <w:szCs w:val="24"/>
        </w:rPr>
        <w:t>Deidamia Achilli s</w:t>
      </w:r>
      <w:r w:rsidR="00D50E57" w:rsidRPr="00E86761">
        <w:rPr>
          <w:rFonts w:ascii="Arial" w:hAnsi="Arial" w:cs="Arial"/>
          <w:sz w:val="24"/>
          <w:szCs w:val="24"/>
        </w:rPr>
        <w:t xml:space="preserve">eemingly knows very little of the dispute within the Greek force, with the line “she is said to have been the cause of a quarrel” although very little information is seemingly known about the disagreement, continuing further the idea that the author of the </w:t>
      </w:r>
      <w:r w:rsidR="00D50E57" w:rsidRPr="00E86761">
        <w:rPr>
          <w:rFonts w:ascii="Arial" w:hAnsi="Arial" w:cs="Arial"/>
          <w:i/>
          <w:iCs/>
          <w:sz w:val="24"/>
          <w:szCs w:val="24"/>
        </w:rPr>
        <w:t xml:space="preserve">Deidamia Achilli </w:t>
      </w:r>
      <w:r w:rsidR="00D50E57" w:rsidRPr="00E86761">
        <w:rPr>
          <w:rFonts w:ascii="Arial" w:hAnsi="Arial" w:cs="Arial"/>
          <w:sz w:val="24"/>
          <w:szCs w:val="24"/>
        </w:rPr>
        <w:t>would have had little access to versions of Homer and other ancient Greek sources.</w:t>
      </w:r>
      <w:r w:rsidR="00D50E57" w:rsidRPr="00E86761">
        <w:rPr>
          <w:rStyle w:val="FootnoteReference"/>
          <w:rFonts w:ascii="Arial" w:hAnsi="Arial" w:cs="Arial"/>
          <w:sz w:val="24"/>
          <w:szCs w:val="24"/>
        </w:rPr>
        <w:footnoteReference w:id="6"/>
      </w:r>
      <w:r w:rsidR="00634204">
        <w:rPr>
          <w:rFonts w:ascii="Arial" w:hAnsi="Arial" w:cs="Arial"/>
          <w:sz w:val="24"/>
          <w:szCs w:val="24"/>
        </w:rPr>
        <w:t xml:space="preserve"> </w:t>
      </w:r>
    </w:p>
    <w:p w14:paraId="13AFFEFB" w14:textId="5ED7D409" w:rsidR="00470340" w:rsidRPr="00803372" w:rsidRDefault="00F3115C" w:rsidP="00B808E9">
      <w:pPr>
        <w:spacing w:line="360" w:lineRule="auto"/>
        <w:rPr>
          <w:rFonts w:ascii="Arial" w:hAnsi="Arial" w:cs="Arial"/>
          <w:sz w:val="24"/>
          <w:szCs w:val="24"/>
        </w:rPr>
      </w:pPr>
      <w:r>
        <w:rPr>
          <w:rFonts w:ascii="Arial" w:hAnsi="Arial" w:cs="Arial"/>
          <w:sz w:val="24"/>
          <w:szCs w:val="24"/>
        </w:rPr>
        <w:t xml:space="preserve">Throughout the </w:t>
      </w:r>
      <w:r>
        <w:rPr>
          <w:rFonts w:ascii="Arial" w:hAnsi="Arial" w:cs="Arial"/>
          <w:i/>
          <w:iCs/>
          <w:sz w:val="24"/>
          <w:szCs w:val="24"/>
        </w:rPr>
        <w:t xml:space="preserve">Deidamia Achilli </w:t>
      </w:r>
      <w:r>
        <w:rPr>
          <w:rFonts w:ascii="Arial" w:hAnsi="Arial" w:cs="Arial"/>
          <w:sz w:val="24"/>
          <w:szCs w:val="24"/>
        </w:rPr>
        <w:t xml:space="preserve">it becomes obvious that the medieval composition of the poem has influenced the nature of marriage between Deidamia and Achilles, </w:t>
      </w:r>
      <w:r w:rsidR="00D77F60">
        <w:rPr>
          <w:rFonts w:ascii="Arial" w:hAnsi="Arial" w:cs="Arial"/>
          <w:sz w:val="24"/>
          <w:szCs w:val="24"/>
        </w:rPr>
        <w:t xml:space="preserve">also significant when considering the </w:t>
      </w:r>
      <w:r w:rsidR="00810D1A">
        <w:rPr>
          <w:rFonts w:ascii="Arial" w:hAnsi="Arial" w:cs="Arial"/>
          <w:sz w:val="24"/>
          <w:szCs w:val="24"/>
        </w:rPr>
        <w:t xml:space="preserve">nature of marriage within Ovid’s </w:t>
      </w:r>
      <w:r w:rsidR="00810D1A">
        <w:rPr>
          <w:rFonts w:ascii="Arial" w:hAnsi="Arial" w:cs="Arial"/>
          <w:i/>
          <w:iCs/>
          <w:sz w:val="24"/>
          <w:szCs w:val="24"/>
        </w:rPr>
        <w:t>Heroides</w:t>
      </w:r>
      <w:r w:rsidR="00810D1A">
        <w:rPr>
          <w:rFonts w:ascii="Arial" w:hAnsi="Arial" w:cs="Arial"/>
          <w:sz w:val="24"/>
          <w:szCs w:val="24"/>
        </w:rPr>
        <w:t xml:space="preserve">. Deidamia appeals to Achilles, opening the poem with </w:t>
      </w:r>
      <w:r>
        <w:rPr>
          <w:rFonts w:ascii="Arial" w:hAnsi="Arial" w:cs="Arial"/>
          <w:sz w:val="24"/>
          <w:szCs w:val="24"/>
        </w:rPr>
        <w:t xml:space="preserve">“If it is right for a lawful wife to be called a mistress, / a chaste mistress sends these words to you, her husband.” </w:t>
      </w:r>
      <w:r>
        <w:rPr>
          <w:rStyle w:val="FootnoteReference"/>
          <w:rFonts w:ascii="Arial" w:hAnsi="Arial" w:cs="Arial"/>
          <w:sz w:val="24"/>
          <w:szCs w:val="24"/>
        </w:rPr>
        <w:footnoteReference w:id="7"/>
      </w:r>
      <w:r w:rsidR="00E62DB8">
        <w:rPr>
          <w:rFonts w:ascii="Arial" w:hAnsi="Arial" w:cs="Arial"/>
          <w:sz w:val="24"/>
          <w:szCs w:val="24"/>
        </w:rPr>
        <w:t xml:space="preserve"> </w:t>
      </w:r>
      <w:r w:rsidR="00261B62">
        <w:rPr>
          <w:rFonts w:ascii="Arial" w:hAnsi="Arial" w:cs="Arial"/>
          <w:sz w:val="24"/>
          <w:szCs w:val="24"/>
        </w:rPr>
        <w:t xml:space="preserve">Furthermore, the poet continues to emphasise the emotive nature of Deidamia’s address, </w:t>
      </w:r>
      <w:r>
        <w:rPr>
          <w:rFonts w:ascii="Arial" w:hAnsi="Arial" w:cs="Arial"/>
          <w:sz w:val="24"/>
          <w:szCs w:val="24"/>
        </w:rPr>
        <w:t>“I am joined to you as my only, not my first husband!”</w:t>
      </w:r>
      <w:r w:rsidR="00261B62">
        <w:rPr>
          <w:rFonts w:ascii="Arial" w:hAnsi="Arial" w:cs="Arial"/>
          <w:sz w:val="24"/>
          <w:szCs w:val="24"/>
        </w:rPr>
        <w:t xml:space="preserve"> </w:t>
      </w:r>
      <w:r w:rsidR="00A866CB">
        <w:rPr>
          <w:rFonts w:ascii="Arial" w:hAnsi="Arial" w:cs="Arial"/>
          <w:sz w:val="24"/>
          <w:szCs w:val="24"/>
        </w:rPr>
        <w:t>highlighting the longing of Deidamia and her disgust at the presence of Briseis.</w:t>
      </w:r>
      <w:r>
        <w:rPr>
          <w:rStyle w:val="FootnoteReference"/>
          <w:rFonts w:ascii="Arial" w:hAnsi="Arial" w:cs="Arial"/>
          <w:sz w:val="24"/>
          <w:szCs w:val="24"/>
        </w:rPr>
        <w:footnoteReference w:id="8"/>
      </w:r>
      <w:r w:rsidR="00A866CB">
        <w:rPr>
          <w:rFonts w:ascii="Arial" w:hAnsi="Arial" w:cs="Arial"/>
          <w:sz w:val="24"/>
          <w:szCs w:val="24"/>
        </w:rPr>
        <w:t xml:space="preserve"> </w:t>
      </w:r>
      <w:r w:rsidR="00EE6257">
        <w:rPr>
          <w:rFonts w:ascii="Arial" w:hAnsi="Arial" w:cs="Arial"/>
          <w:sz w:val="24"/>
          <w:szCs w:val="24"/>
        </w:rPr>
        <w:t xml:space="preserve">In Suzanne Hagedorn’s </w:t>
      </w:r>
      <w:r w:rsidR="00EE6257">
        <w:rPr>
          <w:rFonts w:ascii="Arial" w:hAnsi="Arial" w:cs="Arial"/>
          <w:i/>
          <w:iCs/>
          <w:sz w:val="24"/>
          <w:szCs w:val="24"/>
        </w:rPr>
        <w:t>Abandoned Women</w:t>
      </w:r>
      <w:r w:rsidR="00EE6257">
        <w:rPr>
          <w:rFonts w:ascii="Arial" w:hAnsi="Arial" w:cs="Arial"/>
          <w:sz w:val="24"/>
          <w:szCs w:val="24"/>
        </w:rPr>
        <w:t xml:space="preserve">, it becomes clear that the nature of marriage in the </w:t>
      </w:r>
      <w:r w:rsidR="00EE6257">
        <w:rPr>
          <w:rFonts w:ascii="Arial" w:hAnsi="Arial" w:cs="Arial"/>
          <w:i/>
          <w:iCs/>
          <w:sz w:val="24"/>
          <w:szCs w:val="24"/>
        </w:rPr>
        <w:t xml:space="preserve">Deidamia Achilli </w:t>
      </w:r>
      <w:r w:rsidR="00470340">
        <w:rPr>
          <w:rFonts w:ascii="Arial" w:hAnsi="Arial" w:cs="Arial"/>
          <w:sz w:val="24"/>
          <w:szCs w:val="24"/>
        </w:rPr>
        <w:t xml:space="preserve">is aimed at medieval contemporary chaste marital love. </w:t>
      </w:r>
      <w:r w:rsidR="00AE1275">
        <w:rPr>
          <w:rFonts w:ascii="Arial" w:hAnsi="Arial" w:cs="Arial"/>
          <w:sz w:val="24"/>
          <w:szCs w:val="24"/>
        </w:rPr>
        <w:t xml:space="preserve">Hagedorn </w:t>
      </w:r>
      <w:r w:rsidR="005B2392">
        <w:rPr>
          <w:rFonts w:ascii="Arial" w:hAnsi="Arial" w:cs="Arial"/>
          <w:sz w:val="24"/>
          <w:szCs w:val="24"/>
        </w:rPr>
        <w:t>examines</w:t>
      </w:r>
      <w:r w:rsidR="00AE1275">
        <w:rPr>
          <w:rFonts w:ascii="Arial" w:hAnsi="Arial" w:cs="Arial"/>
          <w:sz w:val="24"/>
          <w:szCs w:val="24"/>
        </w:rPr>
        <w:t xml:space="preserve"> the presence of ca</w:t>
      </w:r>
      <w:r w:rsidR="00AE1275">
        <w:rPr>
          <w:rFonts w:ascii="Arial" w:hAnsi="Arial" w:cs="Arial"/>
          <w:i/>
          <w:iCs/>
          <w:sz w:val="24"/>
          <w:szCs w:val="24"/>
        </w:rPr>
        <w:t>stus amor</w:t>
      </w:r>
      <w:r w:rsidR="005B2392">
        <w:rPr>
          <w:rFonts w:ascii="Arial" w:hAnsi="Arial" w:cs="Arial"/>
          <w:i/>
          <w:iCs/>
          <w:sz w:val="24"/>
          <w:szCs w:val="24"/>
        </w:rPr>
        <w:t xml:space="preserve"> </w:t>
      </w:r>
      <w:r w:rsidR="005B2392">
        <w:rPr>
          <w:rFonts w:ascii="Arial" w:hAnsi="Arial" w:cs="Arial"/>
          <w:sz w:val="24"/>
          <w:szCs w:val="24"/>
        </w:rPr>
        <w:t xml:space="preserve">within the medieval poem, and while exploring the undeniable links between the </w:t>
      </w:r>
      <w:r w:rsidR="005B2392">
        <w:rPr>
          <w:rFonts w:ascii="Arial" w:hAnsi="Arial" w:cs="Arial"/>
          <w:i/>
          <w:iCs/>
          <w:sz w:val="24"/>
          <w:szCs w:val="24"/>
        </w:rPr>
        <w:t xml:space="preserve">Deidamia Achilli </w:t>
      </w:r>
      <w:r w:rsidR="005B2392">
        <w:rPr>
          <w:rFonts w:ascii="Arial" w:hAnsi="Arial" w:cs="Arial"/>
          <w:sz w:val="24"/>
          <w:szCs w:val="24"/>
        </w:rPr>
        <w:t>and the works of Ovid and Statius, the medieval</w:t>
      </w:r>
      <w:r w:rsidR="00ED4DD3">
        <w:rPr>
          <w:rFonts w:ascii="Arial" w:hAnsi="Arial" w:cs="Arial"/>
          <w:sz w:val="24"/>
          <w:szCs w:val="24"/>
        </w:rPr>
        <w:t xml:space="preserve"> influence of chaste love and marriage reflects upon the </w:t>
      </w:r>
      <w:r w:rsidR="00ED4DD3">
        <w:rPr>
          <w:rFonts w:ascii="Arial" w:hAnsi="Arial" w:cs="Arial"/>
          <w:sz w:val="24"/>
          <w:szCs w:val="24"/>
        </w:rPr>
        <w:lastRenderedPageBreak/>
        <w:t xml:space="preserve">intended audience and society. Hagedorn notes that within the </w:t>
      </w:r>
      <w:r w:rsidR="00ED4DD3">
        <w:rPr>
          <w:rFonts w:ascii="Arial" w:hAnsi="Arial" w:cs="Arial"/>
          <w:i/>
          <w:iCs/>
          <w:sz w:val="24"/>
          <w:szCs w:val="24"/>
        </w:rPr>
        <w:t xml:space="preserve">Deidamia Achilli </w:t>
      </w:r>
      <w:r w:rsidR="00470340">
        <w:rPr>
          <w:rFonts w:ascii="Arial" w:hAnsi="Arial" w:cs="Arial"/>
          <w:sz w:val="24"/>
          <w:szCs w:val="24"/>
        </w:rPr>
        <w:t>“there lurks a more serious message about the value of fidelity and marriage”</w:t>
      </w:r>
      <w:r w:rsidR="00ED4DD3">
        <w:rPr>
          <w:rFonts w:ascii="Arial" w:hAnsi="Arial" w:cs="Arial"/>
          <w:sz w:val="24"/>
          <w:szCs w:val="24"/>
        </w:rPr>
        <w:t xml:space="preserve"> a reflection that also applies to </w:t>
      </w:r>
      <w:r w:rsidR="00803372">
        <w:rPr>
          <w:rFonts w:ascii="Arial" w:hAnsi="Arial" w:cs="Arial"/>
          <w:sz w:val="24"/>
          <w:szCs w:val="24"/>
        </w:rPr>
        <w:t xml:space="preserve">the Deidamia presented in both Ovid’s </w:t>
      </w:r>
      <w:r w:rsidR="00803372">
        <w:rPr>
          <w:rFonts w:ascii="Arial" w:hAnsi="Arial" w:cs="Arial"/>
          <w:i/>
          <w:iCs/>
          <w:sz w:val="24"/>
          <w:szCs w:val="24"/>
        </w:rPr>
        <w:t xml:space="preserve">Heroides </w:t>
      </w:r>
      <w:r w:rsidR="00803372">
        <w:rPr>
          <w:rFonts w:ascii="Arial" w:hAnsi="Arial" w:cs="Arial"/>
          <w:sz w:val="24"/>
          <w:szCs w:val="24"/>
        </w:rPr>
        <w:t xml:space="preserve">and Statius’ </w:t>
      </w:r>
      <w:r w:rsidR="00803372">
        <w:rPr>
          <w:rFonts w:ascii="Arial" w:hAnsi="Arial" w:cs="Arial"/>
          <w:i/>
          <w:iCs/>
          <w:sz w:val="24"/>
          <w:szCs w:val="24"/>
        </w:rPr>
        <w:t>Achilleid</w:t>
      </w:r>
      <w:r w:rsidR="00803372">
        <w:rPr>
          <w:rFonts w:ascii="Arial" w:hAnsi="Arial" w:cs="Arial"/>
          <w:sz w:val="24"/>
          <w:szCs w:val="24"/>
        </w:rPr>
        <w:t>.</w:t>
      </w:r>
      <w:r w:rsidR="00470340">
        <w:rPr>
          <w:rStyle w:val="FootnoteReference"/>
          <w:rFonts w:ascii="Arial" w:hAnsi="Arial" w:cs="Arial"/>
          <w:sz w:val="24"/>
          <w:szCs w:val="24"/>
        </w:rPr>
        <w:footnoteReference w:id="9"/>
      </w:r>
      <w:r w:rsidR="00803372">
        <w:rPr>
          <w:rFonts w:ascii="Arial" w:hAnsi="Arial" w:cs="Arial"/>
          <w:sz w:val="24"/>
          <w:szCs w:val="24"/>
        </w:rPr>
        <w:t xml:space="preserve"> </w:t>
      </w:r>
    </w:p>
    <w:p w14:paraId="7C716DDC" w14:textId="0C5D91E4" w:rsidR="0022278C" w:rsidRPr="00E86761" w:rsidRDefault="00305F64" w:rsidP="00B808E9">
      <w:pPr>
        <w:spacing w:line="360" w:lineRule="auto"/>
        <w:rPr>
          <w:rFonts w:ascii="Arial" w:hAnsi="Arial" w:cs="Arial"/>
          <w:sz w:val="24"/>
          <w:szCs w:val="24"/>
        </w:rPr>
      </w:pPr>
      <w:r w:rsidRPr="00E86761">
        <w:rPr>
          <w:rFonts w:ascii="Arial" w:hAnsi="Arial" w:cs="Arial"/>
          <w:sz w:val="24"/>
          <w:szCs w:val="24"/>
        </w:rPr>
        <w:t xml:space="preserve">Furthermore, the emotive nature of the </w:t>
      </w:r>
      <w:r w:rsidRPr="00E86761">
        <w:rPr>
          <w:rFonts w:ascii="Arial" w:hAnsi="Arial" w:cs="Arial"/>
          <w:i/>
          <w:iCs/>
          <w:sz w:val="24"/>
          <w:szCs w:val="24"/>
        </w:rPr>
        <w:t xml:space="preserve">Deidamia Achilli </w:t>
      </w:r>
      <w:r w:rsidRPr="00E86761">
        <w:rPr>
          <w:rFonts w:ascii="Arial" w:hAnsi="Arial" w:cs="Arial"/>
          <w:sz w:val="24"/>
          <w:szCs w:val="24"/>
        </w:rPr>
        <w:t xml:space="preserve">draws parallels with earlier classical texts, in </w:t>
      </w:r>
      <w:r w:rsidR="0022278C" w:rsidRPr="00E86761">
        <w:rPr>
          <w:rFonts w:ascii="Arial" w:hAnsi="Arial" w:cs="Arial"/>
          <w:sz w:val="24"/>
          <w:szCs w:val="24"/>
        </w:rPr>
        <w:t xml:space="preserve">particular the longing of Odysseus’ wife Penelope in the </w:t>
      </w:r>
      <w:r w:rsidR="0022278C" w:rsidRPr="00E86761">
        <w:rPr>
          <w:rFonts w:ascii="Arial" w:hAnsi="Arial" w:cs="Arial"/>
          <w:i/>
          <w:iCs/>
          <w:sz w:val="24"/>
          <w:szCs w:val="24"/>
        </w:rPr>
        <w:t>Odyssey</w:t>
      </w:r>
      <w:r w:rsidR="0022278C" w:rsidRPr="00E86761">
        <w:rPr>
          <w:rFonts w:ascii="Arial" w:hAnsi="Arial" w:cs="Arial"/>
          <w:sz w:val="24"/>
          <w:szCs w:val="24"/>
        </w:rPr>
        <w:t xml:space="preserve">. In the given section of the </w:t>
      </w:r>
      <w:r w:rsidR="0022278C" w:rsidRPr="00E86761">
        <w:rPr>
          <w:rFonts w:ascii="Arial" w:hAnsi="Arial" w:cs="Arial"/>
          <w:i/>
          <w:iCs/>
          <w:sz w:val="24"/>
          <w:szCs w:val="24"/>
        </w:rPr>
        <w:t>Deidamia Achilli</w:t>
      </w:r>
      <w:r w:rsidR="0022278C" w:rsidRPr="00E86761">
        <w:rPr>
          <w:rFonts w:ascii="Arial" w:hAnsi="Arial" w:cs="Arial"/>
          <w:sz w:val="24"/>
          <w:szCs w:val="24"/>
        </w:rPr>
        <w:t>, whilst expressing her disgust at the presence of Briseis within the Aegean tent of Achilles, Deidamia presents the desperation and longing for her husband so far as to say that “Deidamia lies in a widowed bed</w:t>
      </w:r>
      <w:r w:rsidR="0087324A" w:rsidRPr="00E86761">
        <w:rPr>
          <w:rFonts w:ascii="Arial" w:hAnsi="Arial" w:cs="Arial"/>
          <w:sz w:val="24"/>
          <w:szCs w:val="24"/>
        </w:rPr>
        <w:t>.</w:t>
      </w:r>
      <w:r w:rsidR="0022278C" w:rsidRPr="00E86761">
        <w:rPr>
          <w:rFonts w:ascii="Arial" w:hAnsi="Arial" w:cs="Arial"/>
          <w:sz w:val="24"/>
          <w:szCs w:val="24"/>
        </w:rPr>
        <w:t>”</w:t>
      </w:r>
      <w:r w:rsidR="0087324A" w:rsidRPr="00E86761">
        <w:rPr>
          <w:rStyle w:val="FootnoteReference"/>
          <w:rFonts w:ascii="Arial" w:hAnsi="Arial" w:cs="Arial"/>
          <w:sz w:val="24"/>
          <w:szCs w:val="24"/>
        </w:rPr>
        <w:footnoteReference w:id="10"/>
      </w:r>
      <w:r w:rsidR="0022278C" w:rsidRPr="00E86761">
        <w:rPr>
          <w:rFonts w:ascii="Arial" w:hAnsi="Arial" w:cs="Arial"/>
          <w:sz w:val="24"/>
          <w:szCs w:val="24"/>
        </w:rPr>
        <w:t xml:space="preserve"> </w:t>
      </w:r>
      <w:r w:rsidR="0087324A" w:rsidRPr="00E86761">
        <w:rPr>
          <w:rFonts w:ascii="Arial" w:hAnsi="Arial" w:cs="Arial"/>
          <w:sz w:val="24"/>
          <w:szCs w:val="24"/>
        </w:rPr>
        <w:t xml:space="preserve">The emotive mention of Deidamia being widowed by Achilles’ acceptance of the captive Briseis truly emphasises </w:t>
      </w:r>
      <w:r w:rsidR="005C188A" w:rsidRPr="00E86761">
        <w:rPr>
          <w:rFonts w:ascii="Arial" w:hAnsi="Arial" w:cs="Arial"/>
          <w:sz w:val="24"/>
          <w:szCs w:val="24"/>
        </w:rPr>
        <w:t xml:space="preserve">the tragic nature of the betrayal, similar to the desperation of Penelope in the </w:t>
      </w:r>
      <w:r w:rsidR="005C188A" w:rsidRPr="00E86761">
        <w:rPr>
          <w:rFonts w:ascii="Arial" w:hAnsi="Arial" w:cs="Arial"/>
          <w:i/>
          <w:iCs/>
          <w:sz w:val="24"/>
          <w:szCs w:val="24"/>
        </w:rPr>
        <w:t>Odyssey</w:t>
      </w:r>
      <w:r w:rsidR="005C188A" w:rsidRPr="00E86761">
        <w:rPr>
          <w:rFonts w:ascii="Arial" w:hAnsi="Arial" w:cs="Arial"/>
          <w:sz w:val="24"/>
          <w:szCs w:val="24"/>
        </w:rPr>
        <w:t xml:space="preserve">, in which she emphasises the ever increasing number of suitors waiting to take her hand if Odysseus did not return to her following the twenty years since he departed for the Trojan War. </w:t>
      </w:r>
      <w:r w:rsidR="00212367" w:rsidRPr="00E86761">
        <w:rPr>
          <w:rFonts w:ascii="Arial" w:hAnsi="Arial" w:cs="Arial"/>
          <w:sz w:val="24"/>
          <w:szCs w:val="24"/>
        </w:rPr>
        <w:t xml:space="preserve">The emotive tone of the </w:t>
      </w:r>
      <w:r w:rsidR="00212367" w:rsidRPr="00E86761">
        <w:rPr>
          <w:rFonts w:ascii="Arial" w:hAnsi="Arial" w:cs="Arial"/>
          <w:i/>
          <w:sz w:val="24"/>
          <w:szCs w:val="24"/>
        </w:rPr>
        <w:t>Deidamia Achilli</w:t>
      </w:r>
      <w:r w:rsidR="00212367" w:rsidRPr="00E86761">
        <w:rPr>
          <w:rFonts w:ascii="Arial" w:hAnsi="Arial" w:cs="Arial"/>
          <w:sz w:val="24"/>
          <w:szCs w:val="24"/>
        </w:rPr>
        <w:t xml:space="preserve"> reflects the authors use of both the works of Ovid and Statius, most prominent through stylistic features that indicate the </w:t>
      </w:r>
      <w:r w:rsidR="00752BE8">
        <w:rPr>
          <w:rFonts w:ascii="Arial" w:hAnsi="Arial" w:cs="Arial"/>
          <w:sz w:val="24"/>
          <w:szCs w:val="24"/>
        </w:rPr>
        <w:t>eleventh</w:t>
      </w:r>
      <w:r w:rsidR="00212367" w:rsidRPr="00E86761">
        <w:rPr>
          <w:rFonts w:ascii="Arial" w:hAnsi="Arial" w:cs="Arial"/>
          <w:sz w:val="24"/>
          <w:szCs w:val="24"/>
        </w:rPr>
        <w:t xml:space="preserve">-century comprehension of ancient texts. Ruth Parkes makes mention of this is in an article concerning the </w:t>
      </w:r>
      <w:r w:rsidR="00212367" w:rsidRPr="00E86761">
        <w:rPr>
          <w:rFonts w:ascii="Arial" w:hAnsi="Arial" w:cs="Arial"/>
          <w:i/>
          <w:iCs/>
          <w:sz w:val="24"/>
          <w:szCs w:val="24"/>
        </w:rPr>
        <w:t xml:space="preserve">Deidamia Achilli </w:t>
      </w:r>
      <w:r w:rsidR="00212367" w:rsidRPr="00E86761">
        <w:rPr>
          <w:rFonts w:ascii="Arial" w:hAnsi="Arial" w:cs="Arial"/>
          <w:sz w:val="24"/>
          <w:szCs w:val="24"/>
        </w:rPr>
        <w:t xml:space="preserve">in which </w:t>
      </w:r>
      <w:r w:rsidR="000B79F8" w:rsidRPr="00E86761">
        <w:rPr>
          <w:rFonts w:ascii="Arial" w:hAnsi="Arial" w:cs="Arial"/>
          <w:sz w:val="24"/>
          <w:szCs w:val="24"/>
        </w:rPr>
        <w:t xml:space="preserve">the apparent voice of Deidamia through her epistle mimics Ovid’s tradition of giving voices to women, in particular that of Briseis in </w:t>
      </w:r>
      <w:r w:rsidR="000B79F8" w:rsidRPr="00E86761">
        <w:rPr>
          <w:rFonts w:ascii="Arial" w:hAnsi="Arial" w:cs="Arial"/>
          <w:i/>
          <w:iCs/>
          <w:sz w:val="24"/>
          <w:szCs w:val="24"/>
        </w:rPr>
        <w:t>Heroides Three</w:t>
      </w:r>
      <w:r w:rsidR="000B79F8" w:rsidRPr="00E86761">
        <w:rPr>
          <w:rFonts w:ascii="Arial" w:hAnsi="Arial" w:cs="Arial"/>
          <w:sz w:val="24"/>
          <w:szCs w:val="24"/>
        </w:rPr>
        <w:t>.</w:t>
      </w:r>
      <w:r w:rsidR="000B79F8" w:rsidRPr="00E86761">
        <w:rPr>
          <w:rStyle w:val="FootnoteReference"/>
          <w:rFonts w:ascii="Arial" w:hAnsi="Arial" w:cs="Arial"/>
          <w:sz w:val="24"/>
          <w:szCs w:val="24"/>
        </w:rPr>
        <w:footnoteReference w:id="11"/>
      </w:r>
    </w:p>
    <w:p w14:paraId="0BF0EC00" w14:textId="12B0B440" w:rsidR="00803372" w:rsidRDefault="00F75DD9" w:rsidP="00B808E9">
      <w:pPr>
        <w:spacing w:line="360" w:lineRule="auto"/>
        <w:rPr>
          <w:rFonts w:ascii="Arial" w:hAnsi="Arial" w:cs="Arial"/>
          <w:sz w:val="24"/>
          <w:szCs w:val="24"/>
        </w:rPr>
      </w:pPr>
      <w:r w:rsidRPr="00E86761">
        <w:rPr>
          <w:rFonts w:ascii="Arial" w:hAnsi="Arial" w:cs="Arial"/>
          <w:sz w:val="24"/>
          <w:szCs w:val="24"/>
        </w:rPr>
        <w:t>It becomes clear throughout the D</w:t>
      </w:r>
      <w:r w:rsidRPr="00E86761">
        <w:rPr>
          <w:rFonts w:ascii="Arial" w:hAnsi="Arial" w:cs="Arial"/>
          <w:i/>
          <w:iCs/>
          <w:sz w:val="24"/>
          <w:szCs w:val="24"/>
        </w:rPr>
        <w:t xml:space="preserve">eidamia Achilli </w:t>
      </w:r>
      <w:r w:rsidRPr="00E86761">
        <w:rPr>
          <w:rFonts w:ascii="Arial" w:hAnsi="Arial" w:cs="Arial"/>
          <w:sz w:val="24"/>
          <w:szCs w:val="24"/>
        </w:rPr>
        <w:t xml:space="preserve">that the author wished to emphasise the foreign nature of Briseis in comparison to Deidamia, something that draws parallels with many ancient sources, particularly </w:t>
      </w:r>
      <w:r w:rsidRPr="00E86761">
        <w:rPr>
          <w:rFonts w:ascii="Arial" w:hAnsi="Arial" w:cs="Arial"/>
          <w:i/>
          <w:iCs/>
          <w:sz w:val="24"/>
          <w:szCs w:val="24"/>
        </w:rPr>
        <w:t>Heroides Five</w:t>
      </w:r>
      <w:r w:rsidRPr="00E86761">
        <w:rPr>
          <w:rFonts w:ascii="Arial" w:hAnsi="Arial" w:cs="Arial"/>
          <w:sz w:val="24"/>
          <w:szCs w:val="24"/>
        </w:rPr>
        <w:t xml:space="preserve">. </w:t>
      </w:r>
      <w:r w:rsidR="00CE05CB">
        <w:rPr>
          <w:rFonts w:ascii="Arial" w:hAnsi="Arial" w:cs="Arial"/>
          <w:sz w:val="24"/>
          <w:szCs w:val="24"/>
        </w:rPr>
        <w:t xml:space="preserve">Deidamia regards Achilles’ ownership of Briseis as a captive relationship, stating </w:t>
      </w:r>
      <w:r w:rsidRPr="00E86761">
        <w:rPr>
          <w:rFonts w:ascii="Arial" w:hAnsi="Arial" w:cs="Arial"/>
          <w:sz w:val="24"/>
          <w:szCs w:val="24"/>
        </w:rPr>
        <w:t>“</w:t>
      </w:r>
      <w:r w:rsidR="00E86761" w:rsidRPr="00E86761">
        <w:rPr>
          <w:rFonts w:ascii="Arial" w:hAnsi="Arial" w:cs="Arial"/>
          <w:sz w:val="24"/>
          <w:szCs w:val="24"/>
        </w:rPr>
        <w:t>nor would a foreign cow seize my bull</w:t>
      </w:r>
      <w:r w:rsidR="00CE05CB">
        <w:rPr>
          <w:rFonts w:ascii="Arial" w:hAnsi="Arial" w:cs="Arial"/>
          <w:sz w:val="24"/>
          <w:szCs w:val="24"/>
        </w:rPr>
        <w:t>.</w:t>
      </w:r>
      <w:r w:rsidR="00E86761" w:rsidRPr="00E86761">
        <w:rPr>
          <w:rFonts w:ascii="Arial" w:hAnsi="Arial" w:cs="Arial"/>
          <w:sz w:val="24"/>
          <w:szCs w:val="24"/>
        </w:rPr>
        <w:t>”</w:t>
      </w:r>
      <w:r w:rsidR="00E86761" w:rsidRPr="00E86761">
        <w:rPr>
          <w:rStyle w:val="FootnoteReference"/>
          <w:rFonts w:ascii="Arial" w:hAnsi="Arial" w:cs="Arial"/>
          <w:sz w:val="24"/>
          <w:szCs w:val="24"/>
        </w:rPr>
        <w:footnoteReference w:id="12"/>
      </w:r>
      <w:r w:rsidR="00CE05CB">
        <w:rPr>
          <w:rFonts w:ascii="Arial" w:hAnsi="Arial" w:cs="Arial"/>
          <w:sz w:val="24"/>
          <w:szCs w:val="24"/>
        </w:rPr>
        <w:t xml:space="preserve"> Moreover, within the given passage of the D</w:t>
      </w:r>
      <w:r w:rsidR="00CE05CB">
        <w:rPr>
          <w:rFonts w:ascii="Arial" w:hAnsi="Arial" w:cs="Arial"/>
          <w:i/>
          <w:iCs/>
          <w:sz w:val="24"/>
          <w:szCs w:val="24"/>
        </w:rPr>
        <w:t>eidamia Achilli</w:t>
      </w:r>
      <w:r w:rsidR="00CE05CB">
        <w:rPr>
          <w:rFonts w:ascii="Arial" w:hAnsi="Arial" w:cs="Arial"/>
          <w:sz w:val="24"/>
          <w:szCs w:val="24"/>
        </w:rPr>
        <w:t xml:space="preserve">, the author further confirms the disgust of Deidamia towards Briseis, directing Achilles to </w:t>
      </w:r>
      <w:r w:rsidR="00E86761" w:rsidRPr="00E86761">
        <w:rPr>
          <w:rFonts w:ascii="Arial" w:hAnsi="Arial" w:cs="Arial"/>
          <w:sz w:val="24"/>
          <w:szCs w:val="24"/>
        </w:rPr>
        <w:t xml:space="preserve">“shake your free neck from the shameful yoke!” </w:t>
      </w:r>
      <w:r w:rsidR="00CE05CB">
        <w:rPr>
          <w:rFonts w:ascii="Arial" w:hAnsi="Arial" w:cs="Arial"/>
          <w:sz w:val="24"/>
          <w:szCs w:val="24"/>
        </w:rPr>
        <w:t>as well as referring to Briseis as a “</w:t>
      </w:r>
      <w:r w:rsidR="00CE05CB" w:rsidRPr="00E86761">
        <w:rPr>
          <w:rFonts w:ascii="Arial" w:hAnsi="Arial" w:cs="Arial"/>
          <w:sz w:val="24"/>
          <w:szCs w:val="24"/>
        </w:rPr>
        <w:t>barbarian mistress</w:t>
      </w:r>
      <w:r w:rsidR="00CE05CB">
        <w:rPr>
          <w:rFonts w:ascii="Arial" w:hAnsi="Arial" w:cs="Arial"/>
          <w:sz w:val="24"/>
          <w:szCs w:val="24"/>
        </w:rPr>
        <w:t>.</w:t>
      </w:r>
      <w:r w:rsidR="00CE05CB">
        <w:rPr>
          <w:rStyle w:val="FootnoteReference"/>
          <w:rFonts w:ascii="Arial" w:hAnsi="Arial" w:cs="Arial"/>
          <w:sz w:val="24"/>
          <w:szCs w:val="24"/>
          <w:vertAlign w:val="baseline"/>
        </w:rPr>
        <w:t>”</w:t>
      </w:r>
      <w:r w:rsidR="00E86761" w:rsidRPr="00E86761">
        <w:rPr>
          <w:rStyle w:val="FootnoteReference"/>
          <w:rFonts w:ascii="Arial" w:hAnsi="Arial" w:cs="Arial"/>
          <w:sz w:val="24"/>
          <w:szCs w:val="24"/>
        </w:rPr>
        <w:footnoteReference w:id="13"/>
      </w:r>
      <w:r w:rsidR="00CE05CB">
        <w:rPr>
          <w:rStyle w:val="FootnoteReference"/>
          <w:rFonts w:ascii="Arial" w:hAnsi="Arial" w:cs="Arial"/>
          <w:sz w:val="24"/>
          <w:szCs w:val="24"/>
          <w:vertAlign w:val="baseline"/>
        </w:rPr>
        <w:t xml:space="preserve"> </w:t>
      </w:r>
      <w:r w:rsidR="005A62BE">
        <w:rPr>
          <w:rFonts w:ascii="Arial" w:hAnsi="Arial" w:cs="Arial"/>
          <w:sz w:val="24"/>
          <w:szCs w:val="24"/>
        </w:rPr>
        <w:t xml:space="preserve">The author’s constant reference to Briseis’ </w:t>
      </w:r>
      <w:r w:rsidR="005A62BE">
        <w:rPr>
          <w:rFonts w:ascii="Arial" w:hAnsi="Arial" w:cs="Arial"/>
          <w:sz w:val="24"/>
          <w:szCs w:val="24"/>
        </w:rPr>
        <w:lastRenderedPageBreak/>
        <w:t xml:space="preserve">capture of Achilles appears to be another example of dramatic irony, considering Briseis was taken captive from her father and then again by Agamemnon. </w:t>
      </w:r>
      <w:r w:rsidR="006A3C69">
        <w:rPr>
          <w:rFonts w:ascii="Arial" w:hAnsi="Arial" w:cs="Arial"/>
          <w:sz w:val="24"/>
          <w:szCs w:val="24"/>
        </w:rPr>
        <w:t xml:space="preserve">The </w:t>
      </w:r>
      <w:r w:rsidR="006A3C69" w:rsidRPr="006A3C69">
        <w:rPr>
          <w:rFonts w:ascii="Arial" w:hAnsi="Arial" w:cs="Arial"/>
          <w:i/>
          <w:iCs/>
          <w:sz w:val="24"/>
          <w:szCs w:val="24"/>
        </w:rPr>
        <w:t>D</w:t>
      </w:r>
      <w:r w:rsidR="006A3C69">
        <w:rPr>
          <w:rFonts w:ascii="Arial" w:hAnsi="Arial" w:cs="Arial"/>
          <w:i/>
          <w:iCs/>
          <w:sz w:val="24"/>
          <w:szCs w:val="24"/>
        </w:rPr>
        <w:t xml:space="preserve">eidamia Achilli </w:t>
      </w:r>
      <w:r w:rsidR="006A3C69">
        <w:rPr>
          <w:rFonts w:ascii="Arial" w:hAnsi="Arial" w:cs="Arial"/>
          <w:sz w:val="24"/>
          <w:szCs w:val="24"/>
        </w:rPr>
        <w:t xml:space="preserve">shows clear influence from Ovid’s series of Latin </w:t>
      </w:r>
      <w:r w:rsidR="006A3C69" w:rsidRPr="006A3C69">
        <w:rPr>
          <w:rFonts w:ascii="Arial" w:hAnsi="Arial" w:cs="Arial"/>
          <w:sz w:val="24"/>
          <w:szCs w:val="24"/>
        </w:rPr>
        <w:t>epistulae</w:t>
      </w:r>
      <w:r w:rsidR="006A3C69">
        <w:rPr>
          <w:rFonts w:ascii="Arial" w:hAnsi="Arial" w:cs="Arial"/>
          <w:sz w:val="24"/>
          <w:szCs w:val="24"/>
        </w:rPr>
        <w:t xml:space="preserve">, particularly </w:t>
      </w:r>
      <w:r w:rsidR="00E86761" w:rsidRPr="006A3C69">
        <w:rPr>
          <w:rFonts w:ascii="Arial" w:hAnsi="Arial" w:cs="Arial"/>
          <w:i/>
          <w:iCs/>
          <w:sz w:val="24"/>
          <w:szCs w:val="24"/>
        </w:rPr>
        <w:t>Heroides Five</w:t>
      </w:r>
      <w:r w:rsidR="00E86761">
        <w:rPr>
          <w:rFonts w:ascii="Arial" w:hAnsi="Arial" w:cs="Arial"/>
          <w:sz w:val="24"/>
          <w:szCs w:val="24"/>
        </w:rPr>
        <w:t xml:space="preserve">, </w:t>
      </w:r>
      <w:r w:rsidR="006A3C69">
        <w:rPr>
          <w:rFonts w:ascii="Arial" w:hAnsi="Arial" w:cs="Arial"/>
          <w:sz w:val="24"/>
          <w:szCs w:val="24"/>
        </w:rPr>
        <w:t xml:space="preserve">an address by </w:t>
      </w:r>
      <w:r w:rsidR="00862294">
        <w:rPr>
          <w:rFonts w:ascii="Arial" w:hAnsi="Arial" w:cs="Arial"/>
          <w:sz w:val="24"/>
          <w:szCs w:val="24"/>
        </w:rPr>
        <w:t xml:space="preserve">Oenone to her husband Paris who left for Sparta and took Helen as his wife. Directly quoted within the epistle is the premonition of Cassandra who warned Oenone that </w:t>
      </w:r>
      <w:r w:rsidR="001A643A">
        <w:rPr>
          <w:rFonts w:ascii="Arial" w:hAnsi="Arial" w:cs="Arial"/>
          <w:sz w:val="24"/>
          <w:szCs w:val="24"/>
        </w:rPr>
        <w:t>“</w:t>
      </w:r>
      <w:r w:rsidR="00862294">
        <w:rPr>
          <w:rFonts w:ascii="Arial" w:hAnsi="Arial" w:cs="Arial"/>
          <w:sz w:val="24"/>
          <w:szCs w:val="24"/>
        </w:rPr>
        <w:t>a</w:t>
      </w:r>
      <w:r w:rsidR="001A643A">
        <w:rPr>
          <w:rFonts w:ascii="Arial" w:hAnsi="Arial" w:cs="Arial"/>
          <w:sz w:val="24"/>
          <w:szCs w:val="24"/>
        </w:rPr>
        <w:t xml:space="preserve"> Greek heifer is on the way, to ruin thee, thy home-land, and thy house!”</w:t>
      </w:r>
      <w:r w:rsidR="001A643A">
        <w:rPr>
          <w:rStyle w:val="FootnoteReference"/>
          <w:rFonts w:ascii="Arial" w:hAnsi="Arial" w:cs="Arial"/>
          <w:sz w:val="24"/>
          <w:szCs w:val="24"/>
        </w:rPr>
        <w:footnoteReference w:id="14"/>
      </w:r>
      <w:r w:rsidR="001A643A">
        <w:rPr>
          <w:rFonts w:ascii="Arial" w:hAnsi="Arial" w:cs="Arial"/>
          <w:sz w:val="24"/>
          <w:szCs w:val="24"/>
        </w:rPr>
        <w:t xml:space="preserve"> </w:t>
      </w:r>
      <w:r w:rsidR="005A62BE">
        <w:rPr>
          <w:rFonts w:ascii="Arial" w:hAnsi="Arial" w:cs="Arial"/>
          <w:sz w:val="24"/>
          <w:szCs w:val="24"/>
        </w:rPr>
        <w:t xml:space="preserve">Medieval works of this nature are often considered to be </w:t>
      </w:r>
      <w:r w:rsidR="00321AEF">
        <w:rPr>
          <w:rFonts w:ascii="Arial" w:hAnsi="Arial" w:cs="Arial"/>
          <w:sz w:val="24"/>
          <w:szCs w:val="24"/>
        </w:rPr>
        <w:t xml:space="preserve">those of ‘pseudo-ovidiana’ with scholars such as Suzanne Hagedorn stating that the author of the </w:t>
      </w:r>
      <w:r w:rsidR="00321AEF">
        <w:rPr>
          <w:rFonts w:ascii="Arial" w:hAnsi="Arial" w:cs="Arial"/>
          <w:i/>
          <w:iCs/>
          <w:sz w:val="24"/>
          <w:szCs w:val="24"/>
        </w:rPr>
        <w:t xml:space="preserve">Deidamia Achilli </w:t>
      </w:r>
      <w:r w:rsidR="00C349F7">
        <w:rPr>
          <w:rFonts w:ascii="Arial" w:hAnsi="Arial" w:cs="Arial"/>
          <w:sz w:val="24"/>
          <w:szCs w:val="24"/>
        </w:rPr>
        <w:t>“sometimes even seems to be trying to out-Ovid Ovid.”</w:t>
      </w:r>
      <w:r w:rsidR="00C349F7">
        <w:rPr>
          <w:rStyle w:val="FootnoteReference"/>
          <w:rFonts w:ascii="Arial" w:hAnsi="Arial" w:cs="Arial"/>
          <w:sz w:val="24"/>
          <w:szCs w:val="24"/>
        </w:rPr>
        <w:footnoteReference w:id="15"/>
      </w:r>
    </w:p>
    <w:p w14:paraId="2107E176" w14:textId="6740B0DE" w:rsidR="00F10E4B" w:rsidRDefault="008A600C" w:rsidP="00B808E9">
      <w:pPr>
        <w:spacing w:line="360" w:lineRule="auto"/>
        <w:rPr>
          <w:rFonts w:ascii="Arial" w:hAnsi="Arial" w:cs="Arial"/>
          <w:sz w:val="24"/>
          <w:szCs w:val="24"/>
        </w:rPr>
      </w:pPr>
      <w:r>
        <w:rPr>
          <w:rFonts w:ascii="Arial" w:hAnsi="Arial" w:cs="Arial"/>
          <w:sz w:val="24"/>
          <w:szCs w:val="24"/>
        </w:rPr>
        <w:t xml:space="preserve">Lastly, the classical literary influence on the </w:t>
      </w:r>
      <w:r>
        <w:rPr>
          <w:rFonts w:ascii="Arial" w:hAnsi="Arial" w:cs="Arial"/>
          <w:i/>
          <w:iCs/>
          <w:sz w:val="24"/>
          <w:szCs w:val="24"/>
        </w:rPr>
        <w:t>Deidamia Achilli</w:t>
      </w:r>
      <w:r w:rsidR="004A09A8">
        <w:rPr>
          <w:rFonts w:ascii="Arial" w:hAnsi="Arial" w:cs="Arial"/>
          <w:i/>
          <w:iCs/>
          <w:sz w:val="24"/>
          <w:szCs w:val="24"/>
        </w:rPr>
        <w:t xml:space="preserve"> </w:t>
      </w:r>
      <w:r w:rsidR="00FC01E1">
        <w:rPr>
          <w:rFonts w:ascii="Arial" w:hAnsi="Arial" w:cs="Arial"/>
          <w:sz w:val="24"/>
          <w:szCs w:val="24"/>
        </w:rPr>
        <w:t>is highly visible in the frequent use of vivid imagery and metaphors, particularly Deidamia’s frequent reference to unfavourable winds and seas that shipwreck vessels. Within the passage</w:t>
      </w:r>
      <w:r w:rsidR="00DF6882">
        <w:rPr>
          <w:rFonts w:ascii="Arial" w:hAnsi="Arial" w:cs="Arial"/>
          <w:sz w:val="24"/>
          <w:szCs w:val="24"/>
        </w:rPr>
        <w:t xml:space="preserve">, Deidamia describes Achilles’ acceptance of the captive Briseis, and his subsequent neglect and betrayal as </w:t>
      </w:r>
      <w:r w:rsidR="004A664B">
        <w:rPr>
          <w:rFonts w:ascii="Arial" w:hAnsi="Arial" w:cs="Arial"/>
          <w:sz w:val="24"/>
          <w:szCs w:val="24"/>
        </w:rPr>
        <w:t>“and favouring winds have deserted me / and in the middle of the seas shipwrecked sails drink!”</w:t>
      </w:r>
      <w:r w:rsidR="00DF6882">
        <w:rPr>
          <w:rStyle w:val="FootnoteReference"/>
          <w:rFonts w:ascii="Arial" w:hAnsi="Arial" w:cs="Arial"/>
          <w:sz w:val="24"/>
          <w:szCs w:val="24"/>
        </w:rPr>
        <w:footnoteReference w:id="16"/>
      </w:r>
      <w:r w:rsidR="00FD0414">
        <w:rPr>
          <w:rFonts w:ascii="Arial" w:hAnsi="Arial" w:cs="Arial"/>
          <w:sz w:val="24"/>
          <w:szCs w:val="24"/>
        </w:rPr>
        <w:t xml:space="preserve"> </w:t>
      </w:r>
      <w:r w:rsidR="00F10E4B">
        <w:rPr>
          <w:rFonts w:ascii="Arial" w:hAnsi="Arial" w:cs="Arial"/>
          <w:sz w:val="24"/>
          <w:szCs w:val="24"/>
        </w:rPr>
        <w:t>This imagery appears numerous times throughout the poem</w:t>
      </w:r>
      <w:r w:rsidR="00DB2184">
        <w:rPr>
          <w:rFonts w:ascii="Arial" w:hAnsi="Arial" w:cs="Arial"/>
          <w:sz w:val="24"/>
          <w:szCs w:val="24"/>
        </w:rPr>
        <w:t xml:space="preserve"> </w:t>
      </w:r>
      <w:r w:rsidR="00F10E4B">
        <w:rPr>
          <w:rFonts w:ascii="Arial" w:hAnsi="Arial" w:cs="Arial"/>
          <w:sz w:val="24"/>
          <w:szCs w:val="24"/>
        </w:rPr>
        <w:t xml:space="preserve">and contributes to the emotive tone of the </w:t>
      </w:r>
      <w:r w:rsidR="004E206D">
        <w:rPr>
          <w:rFonts w:ascii="Arial" w:hAnsi="Arial" w:cs="Arial"/>
          <w:sz w:val="24"/>
          <w:szCs w:val="24"/>
        </w:rPr>
        <w:t>epistle</w:t>
      </w:r>
      <w:r w:rsidR="00DB2184">
        <w:rPr>
          <w:rFonts w:ascii="Arial" w:hAnsi="Arial" w:cs="Arial"/>
          <w:sz w:val="24"/>
          <w:szCs w:val="24"/>
        </w:rPr>
        <w:t xml:space="preserve">, </w:t>
      </w:r>
      <w:r w:rsidR="00976C15">
        <w:rPr>
          <w:rFonts w:ascii="Arial" w:hAnsi="Arial" w:cs="Arial"/>
          <w:sz w:val="24"/>
          <w:szCs w:val="24"/>
        </w:rPr>
        <w:t xml:space="preserve">with the tragic nature of Achilles’ ownership of Briseis </w:t>
      </w:r>
      <w:r w:rsidR="00C76B6E">
        <w:rPr>
          <w:rFonts w:ascii="Arial" w:hAnsi="Arial" w:cs="Arial"/>
          <w:sz w:val="24"/>
          <w:szCs w:val="24"/>
        </w:rPr>
        <w:t>transitioning from classical myth to the Middle Ages.</w:t>
      </w:r>
      <w:r w:rsidR="00F148D3">
        <w:rPr>
          <w:rFonts w:ascii="Arial" w:hAnsi="Arial" w:cs="Arial"/>
          <w:sz w:val="24"/>
          <w:szCs w:val="24"/>
        </w:rPr>
        <w:t xml:space="preserve"> </w:t>
      </w:r>
      <w:r w:rsidR="005505BC" w:rsidRPr="00E86761">
        <w:rPr>
          <w:rFonts w:ascii="Arial" w:hAnsi="Arial" w:cs="Arial"/>
          <w:sz w:val="24"/>
          <w:szCs w:val="24"/>
        </w:rPr>
        <w:t>It can therefore be seen that</w:t>
      </w:r>
      <w:r w:rsidR="00F10E4B" w:rsidRPr="00E86761">
        <w:rPr>
          <w:rFonts w:ascii="Arial" w:hAnsi="Arial" w:cs="Arial"/>
          <w:sz w:val="24"/>
          <w:szCs w:val="24"/>
        </w:rPr>
        <w:t xml:space="preserve"> throughout the </w:t>
      </w:r>
      <w:r w:rsidR="00F10E4B" w:rsidRPr="00E86761">
        <w:rPr>
          <w:rFonts w:ascii="Arial" w:hAnsi="Arial" w:cs="Arial"/>
          <w:i/>
          <w:iCs/>
          <w:sz w:val="24"/>
          <w:szCs w:val="24"/>
        </w:rPr>
        <w:t>Deidamia</w:t>
      </w:r>
      <w:r w:rsidR="00F10E4B" w:rsidRPr="00E86761">
        <w:rPr>
          <w:rFonts w:ascii="Arial" w:hAnsi="Arial" w:cs="Arial"/>
          <w:sz w:val="24"/>
          <w:szCs w:val="24"/>
        </w:rPr>
        <w:t xml:space="preserve"> </w:t>
      </w:r>
      <w:r w:rsidR="00F10E4B" w:rsidRPr="00E86761">
        <w:rPr>
          <w:rFonts w:ascii="Arial" w:hAnsi="Arial" w:cs="Arial"/>
          <w:i/>
          <w:iCs/>
          <w:sz w:val="24"/>
          <w:szCs w:val="24"/>
        </w:rPr>
        <w:t>Achilli</w:t>
      </w:r>
      <w:r w:rsidR="00F10E4B" w:rsidRPr="00E86761">
        <w:rPr>
          <w:rFonts w:ascii="Arial" w:hAnsi="Arial" w:cs="Arial"/>
          <w:sz w:val="24"/>
          <w:szCs w:val="24"/>
        </w:rPr>
        <w:t xml:space="preserve"> there are obvious hinderances to using the medieval source alone for understanding Deidamia’s lament for Achilles, from which it can be deciphered that ancient sources must be used to understand the context and timing of the medieval work of poetry.</w:t>
      </w:r>
      <w:r w:rsidR="00696C01">
        <w:rPr>
          <w:rFonts w:ascii="Arial" w:hAnsi="Arial" w:cs="Arial"/>
          <w:sz w:val="24"/>
          <w:szCs w:val="24"/>
        </w:rPr>
        <w:t xml:space="preserve"> </w:t>
      </w:r>
    </w:p>
    <w:p w14:paraId="19E14A94" w14:textId="115D6E94" w:rsidR="00E07944" w:rsidRDefault="00E07944" w:rsidP="00F10E4B">
      <w:pPr>
        <w:rPr>
          <w:rFonts w:ascii="Arial" w:hAnsi="Arial" w:cs="Arial"/>
          <w:sz w:val="24"/>
          <w:szCs w:val="24"/>
        </w:rPr>
      </w:pPr>
    </w:p>
    <w:p w14:paraId="4867E5ED" w14:textId="54EC9DD9" w:rsidR="00E07944" w:rsidRDefault="00E07944" w:rsidP="00F10E4B">
      <w:pPr>
        <w:rPr>
          <w:rFonts w:ascii="Arial" w:hAnsi="Arial" w:cs="Arial"/>
          <w:sz w:val="24"/>
          <w:szCs w:val="24"/>
        </w:rPr>
      </w:pPr>
    </w:p>
    <w:p w14:paraId="14706520" w14:textId="36E4478E" w:rsidR="00E07944" w:rsidRDefault="00E07944" w:rsidP="00F10E4B">
      <w:pPr>
        <w:rPr>
          <w:rFonts w:ascii="Arial" w:hAnsi="Arial" w:cs="Arial"/>
          <w:sz w:val="24"/>
          <w:szCs w:val="24"/>
        </w:rPr>
      </w:pPr>
    </w:p>
    <w:p w14:paraId="6E99DEA3" w14:textId="1FFEFB11" w:rsidR="00E07944" w:rsidRDefault="00E07944" w:rsidP="00F10E4B">
      <w:pPr>
        <w:rPr>
          <w:rFonts w:ascii="Arial" w:hAnsi="Arial" w:cs="Arial"/>
          <w:sz w:val="24"/>
          <w:szCs w:val="24"/>
        </w:rPr>
      </w:pPr>
    </w:p>
    <w:p w14:paraId="13F28BBA" w14:textId="5AE71C29" w:rsidR="00E07944" w:rsidRDefault="00E07944" w:rsidP="00F10E4B">
      <w:pPr>
        <w:rPr>
          <w:rFonts w:ascii="Arial" w:hAnsi="Arial" w:cs="Arial"/>
          <w:sz w:val="24"/>
          <w:szCs w:val="24"/>
        </w:rPr>
      </w:pPr>
    </w:p>
    <w:p w14:paraId="6F303692" w14:textId="27AA6B89" w:rsidR="00E07944" w:rsidRDefault="00E07944" w:rsidP="00F10E4B">
      <w:pPr>
        <w:rPr>
          <w:rFonts w:ascii="Arial" w:hAnsi="Arial" w:cs="Arial"/>
          <w:sz w:val="24"/>
          <w:szCs w:val="24"/>
        </w:rPr>
      </w:pPr>
    </w:p>
    <w:p w14:paraId="2575CB27" w14:textId="77777777" w:rsidR="00192B0D" w:rsidRDefault="00192B0D" w:rsidP="00F10E4B">
      <w:pPr>
        <w:rPr>
          <w:rFonts w:ascii="Arial" w:hAnsi="Arial" w:cs="Arial"/>
          <w:sz w:val="24"/>
          <w:szCs w:val="24"/>
        </w:rPr>
      </w:pPr>
    </w:p>
    <w:p w14:paraId="254634EB" w14:textId="32FF5163" w:rsidR="00E07944" w:rsidRDefault="00CA43E1" w:rsidP="00F10E4B">
      <w:pPr>
        <w:rPr>
          <w:rFonts w:ascii="Arial" w:hAnsi="Arial" w:cs="Arial"/>
          <w:b/>
          <w:bCs/>
          <w:sz w:val="24"/>
          <w:szCs w:val="24"/>
        </w:rPr>
      </w:pPr>
      <w:bookmarkStart w:id="1" w:name="_GoBack"/>
      <w:bookmarkEnd w:id="1"/>
      <w:r>
        <w:rPr>
          <w:rFonts w:ascii="Arial" w:hAnsi="Arial" w:cs="Arial"/>
          <w:b/>
          <w:bCs/>
          <w:sz w:val="24"/>
          <w:szCs w:val="24"/>
        </w:rPr>
        <w:lastRenderedPageBreak/>
        <w:t xml:space="preserve">Bibliography </w:t>
      </w:r>
    </w:p>
    <w:p w14:paraId="4187E21A" w14:textId="14BFC448" w:rsidR="00917819" w:rsidRPr="00917819" w:rsidRDefault="00917819" w:rsidP="00CA43E1">
      <w:pPr>
        <w:rPr>
          <w:rFonts w:ascii="Arial" w:hAnsi="Arial" w:cs="Arial"/>
          <w:b/>
          <w:bCs/>
          <w:sz w:val="24"/>
          <w:szCs w:val="24"/>
          <w:lang w:val="en-US"/>
        </w:rPr>
      </w:pPr>
      <w:r w:rsidRPr="00917819">
        <w:rPr>
          <w:rFonts w:ascii="Arial" w:hAnsi="Arial" w:cs="Arial"/>
          <w:b/>
          <w:bCs/>
          <w:sz w:val="24"/>
          <w:szCs w:val="24"/>
          <w:lang w:val="en-US"/>
        </w:rPr>
        <w:t xml:space="preserve">Ancient Sources </w:t>
      </w:r>
    </w:p>
    <w:p w14:paraId="5EE79AA7" w14:textId="3F716DD9" w:rsidR="00A707DC" w:rsidRPr="00EE306A" w:rsidRDefault="00917819" w:rsidP="00917819">
      <w:pPr>
        <w:rPr>
          <w:rFonts w:ascii="Arial" w:hAnsi="Arial" w:cs="Arial"/>
          <w:sz w:val="24"/>
          <w:szCs w:val="24"/>
        </w:rPr>
      </w:pPr>
      <w:r w:rsidRPr="00EE306A">
        <w:rPr>
          <w:rFonts w:ascii="Arial" w:hAnsi="Arial" w:cs="Arial"/>
          <w:sz w:val="24"/>
          <w:szCs w:val="24"/>
        </w:rPr>
        <w:t>Ov</w:t>
      </w:r>
      <w:r w:rsidR="00A707DC" w:rsidRPr="00EE306A">
        <w:rPr>
          <w:rFonts w:ascii="Arial" w:hAnsi="Arial" w:cs="Arial"/>
          <w:sz w:val="24"/>
          <w:szCs w:val="24"/>
        </w:rPr>
        <w:t xml:space="preserve">id, </w:t>
      </w:r>
      <w:r w:rsidR="00A707DC" w:rsidRPr="00EE306A">
        <w:rPr>
          <w:rFonts w:ascii="Arial" w:hAnsi="Arial" w:cs="Arial"/>
          <w:i/>
          <w:iCs/>
          <w:sz w:val="24"/>
          <w:szCs w:val="24"/>
        </w:rPr>
        <w:t>Heroides</w:t>
      </w:r>
      <w:r w:rsidR="00A707DC" w:rsidRPr="00EE306A">
        <w:rPr>
          <w:rFonts w:ascii="Arial" w:hAnsi="Arial" w:cs="Arial"/>
          <w:sz w:val="24"/>
          <w:szCs w:val="24"/>
        </w:rPr>
        <w:t xml:space="preserve">. </w:t>
      </w:r>
      <w:r w:rsidR="00097DAE" w:rsidRPr="00EE306A">
        <w:rPr>
          <w:rFonts w:ascii="Arial" w:hAnsi="Arial" w:cs="Arial"/>
          <w:sz w:val="24"/>
          <w:szCs w:val="24"/>
        </w:rPr>
        <w:t xml:space="preserve">Grant Showerman (trans.). Loeb Classical Library 41. 1914. Cambridge, MA: Harvard University Press. </w:t>
      </w:r>
    </w:p>
    <w:p w14:paraId="1BD9C6B0" w14:textId="10E0E816" w:rsidR="00917819" w:rsidRPr="00EE306A" w:rsidRDefault="00A707DC" w:rsidP="00CA43E1">
      <w:pPr>
        <w:rPr>
          <w:rFonts w:ascii="Arial" w:hAnsi="Arial" w:cs="Arial"/>
          <w:sz w:val="24"/>
          <w:szCs w:val="24"/>
          <w:lang w:val="en-US"/>
        </w:rPr>
      </w:pPr>
      <w:r w:rsidRPr="00EE306A">
        <w:rPr>
          <w:rFonts w:ascii="Arial" w:hAnsi="Arial" w:cs="Arial"/>
          <w:sz w:val="24"/>
          <w:szCs w:val="24"/>
          <w:lang w:val="en-US"/>
        </w:rPr>
        <w:t xml:space="preserve">Homer, </w:t>
      </w:r>
      <w:r w:rsidRPr="00EE306A">
        <w:rPr>
          <w:rFonts w:ascii="Arial" w:hAnsi="Arial" w:cs="Arial"/>
          <w:i/>
          <w:iCs/>
          <w:sz w:val="24"/>
          <w:szCs w:val="24"/>
          <w:lang w:val="en-US"/>
        </w:rPr>
        <w:t>Iliad</w:t>
      </w:r>
      <w:r w:rsidR="00097DAE" w:rsidRPr="00EE306A">
        <w:rPr>
          <w:rFonts w:ascii="Arial" w:hAnsi="Arial" w:cs="Arial"/>
          <w:i/>
          <w:iCs/>
          <w:sz w:val="24"/>
          <w:szCs w:val="24"/>
          <w:lang w:val="en-US"/>
        </w:rPr>
        <w:t>, Volume I: Books 1-12</w:t>
      </w:r>
      <w:r w:rsidR="00097DAE" w:rsidRPr="00EE306A">
        <w:rPr>
          <w:rFonts w:ascii="Arial" w:hAnsi="Arial" w:cs="Arial"/>
          <w:sz w:val="24"/>
          <w:szCs w:val="24"/>
          <w:lang w:val="en-US"/>
        </w:rPr>
        <w:t xml:space="preserve">. </w:t>
      </w:r>
      <w:r w:rsidR="00EE306A" w:rsidRPr="00EE306A">
        <w:rPr>
          <w:rFonts w:ascii="Arial" w:hAnsi="Arial" w:cs="Arial"/>
          <w:sz w:val="24"/>
          <w:szCs w:val="24"/>
          <w:lang w:val="en-US"/>
        </w:rPr>
        <w:t xml:space="preserve">A. T. Murray (trans.). Loeb Classical Library 170. 1924. Cambridge, MA: Harvard University Press. </w:t>
      </w:r>
    </w:p>
    <w:p w14:paraId="3967E517" w14:textId="784138CD" w:rsidR="00A707DC" w:rsidRDefault="00A707DC" w:rsidP="00CA43E1">
      <w:pPr>
        <w:rPr>
          <w:rFonts w:ascii="Arial" w:hAnsi="Arial" w:cs="Arial"/>
          <w:sz w:val="24"/>
          <w:szCs w:val="24"/>
          <w:lang w:val="en-US"/>
        </w:rPr>
      </w:pPr>
      <w:r>
        <w:rPr>
          <w:rFonts w:ascii="Arial" w:hAnsi="Arial" w:cs="Arial"/>
          <w:sz w:val="24"/>
          <w:szCs w:val="24"/>
          <w:lang w:val="en-US"/>
        </w:rPr>
        <w:t>Deidamia Achilli</w:t>
      </w:r>
      <w:r w:rsidR="00EE306A">
        <w:rPr>
          <w:rFonts w:ascii="Arial" w:hAnsi="Arial" w:cs="Arial"/>
          <w:sz w:val="24"/>
          <w:szCs w:val="24"/>
          <w:lang w:val="en-US"/>
        </w:rPr>
        <w:t xml:space="preserve">. Ruth Parkes (trans.). 2011. </w:t>
      </w:r>
    </w:p>
    <w:p w14:paraId="290DDA59" w14:textId="137E4CBF" w:rsidR="00917819" w:rsidRDefault="00917819" w:rsidP="00CA43E1">
      <w:pPr>
        <w:rPr>
          <w:rFonts w:ascii="Arial" w:hAnsi="Arial" w:cs="Arial"/>
          <w:sz w:val="24"/>
          <w:szCs w:val="24"/>
          <w:lang w:val="en-US"/>
        </w:rPr>
      </w:pPr>
    </w:p>
    <w:p w14:paraId="6F52E8A4" w14:textId="4F7ADE63" w:rsidR="00917819" w:rsidRPr="00917819" w:rsidRDefault="00917819" w:rsidP="00CA43E1">
      <w:pPr>
        <w:rPr>
          <w:rFonts w:ascii="Arial" w:hAnsi="Arial" w:cs="Arial"/>
          <w:b/>
          <w:bCs/>
          <w:sz w:val="24"/>
          <w:szCs w:val="24"/>
          <w:lang w:val="en-US"/>
        </w:rPr>
      </w:pPr>
      <w:r w:rsidRPr="00917819">
        <w:rPr>
          <w:rFonts w:ascii="Arial" w:hAnsi="Arial" w:cs="Arial"/>
          <w:b/>
          <w:bCs/>
          <w:sz w:val="24"/>
          <w:szCs w:val="24"/>
          <w:lang w:val="en-US"/>
        </w:rPr>
        <w:t>Secondary Sources</w:t>
      </w:r>
    </w:p>
    <w:p w14:paraId="544C3065" w14:textId="1A87C866" w:rsidR="00CA43E1" w:rsidRDefault="00CA43E1" w:rsidP="00CA43E1">
      <w:pPr>
        <w:rPr>
          <w:rFonts w:ascii="Arial" w:hAnsi="Arial" w:cs="Arial"/>
          <w:sz w:val="24"/>
          <w:szCs w:val="24"/>
        </w:rPr>
      </w:pPr>
      <w:r w:rsidRPr="00CA43E1">
        <w:rPr>
          <w:rFonts w:ascii="Arial" w:hAnsi="Arial" w:cs="Arial"/>
          <w:sz w:val="24"/>
          <w:szCs w:val="24"/>
          <w:lang w:val="en-US"/>
        </w:rPr>
        <w:t>Hagedorn</w:t>
      </w:r>
      <w:r w:rsidR="00EC5EBF">
        <w:rPr>
          <w:rFonts w:ascii="Arial" w:hAnsi="Arial" w:cs="Arial"/>
          <w:sz w:val="24"/>
          <w:szCs w:val="24"/>
          <w:lang w:val="en-US"/>
        </w:rPr>
        <w:t xml:space="preserve">, </w:t>
      </w:r>
      <w:r w:rsidR="00EC5EBF" w:rsidRPr="00CA43E1">
        <w:rPr>
          <w:rFonts w:ascii="Arial" w:hAnsi="Arial" w:cs="Arial"/>
          <w:sz w:val="24"/>
          <w:szCs w:val="24"/>
          <w:lang w:val="en-US"/>
        </w:rPr>
        <w:t>S</w:t>
      </w:r>
      <w:r w:rsidR="00EC5EBF">
        <w:rPr>
          <w:rFonts w:ascii="Arial" w:hAnsi="Arial" w:cs="Arial"/>
          <w:sz w:val="24"/>
          <w:szCs w:val="24"/>
          <w:lang w:val="en-US"/>
        </w:rPr>
        <w:t xml:space="preserve">. (2004) </w:t>
      </w:r>
      <w:r w:rsidRPr="00CA43E1">
        <w:rPr>
          <w:rFonts w:ascii="Arial" w:hAnsi="Arial" w:cs="Arial"/>
          <w:i/>
          <w:iCs/>
          <w:sz w:val="24"/>
          <w:szCs w:val="24"/>
        </w:rPr>
        <w:t>Abandoned women: rewriting the classics in Dante, Boccaccio, &amp; Chaucer</w:t>
      </w:r>
      <w:r w:rsidR="00EC5EBF">
        <w:rPr>
          <w:rFonts w:ascii="Arial" w:hAnsi="Arial" w:cs="Arial"/>
          <w:sz w:val="24"/>
          <w:szCs w:val="24"/>
        </w:rPr>
        <w:t>. MI: University of Michigan Press.</w:t>
      </w:r>
    </w:p>
    <w:p w14:paraId="661FBAC8" w14:textId="0DCE88ED" w:rsidR="00EE306A" w:rsidRPr="00F148D3" w:rsidRDefault="00EE306A" w:rsidP="00CA43E1">
      <w:pPr>
        <w:rPr>
          <w:rFonts w:ascii="Arial" w:hAnsi="Arial" w:cs="Arial"/>
          <w:sz w:val="24"/>
          <w:szCs w:val="24"/>
        </w:rPr>
      </w:pPr>
      <w:r>
        <w:rPr>
          <w:rFonts w:ascii="Arial" w:hAnsi="Arial" w:cs="Arial"/>
          <w:sz w:val="24"/>
          <w:szCs w:val="24"/>
        </w:rPr>
        <w:t>Hexter, R. J. (2002) ‘Ovid in the Middle Ages: Exile, Mythographer, and Lover’</w:t>
      </w:r>
      <w:r w:rsidR="00F148D3">
        <w:rPr>
          <w:rFonts w:ascii="Arial" w:hAnsi="Arial" w:cs="Arial"/>
          <w:sz w:val="24"/>
          <w:szCs w:val="24"/>
        </w:rPr>
        <w:t xml:space="preserve">. </w:t>
      </w:r>
      <w:r w:rsidR="00F148D3">
        <w:rPr>
          <w:rFonts w:ascii="Arial" w:hAnsi="Arial" w:cs="Arial"/>
          <w:i/>
          <w:iCs/>
          <w:sz w:val="24"/>
          <w:szCs w:val="24"/>
        </w:rPr>
        <w:t>Brill’s Companion to Ovid</w:t>
      </w:r>
      <w:r w:rsidR="00F148D3">
        <w:rPr>
          <w:rFonts w:ascii="Arial" w:hAnsi="Arial" w:cs="Arial"/>
          <w:sz w:val="24"/>
          <w:szCs w:val="24"/>
        </w:rPr>
        <w:t xml:space="preserve">. W Boyd (trans.). Leiden. 413-42. </w:t>
      </w:r>
    </w:p>
    <w:p w14:paraId="439606E3" w14:textId="19E8FEE8" w:rsidR="00EC5EBF" w:rsidRDefault="00EC5EBF" w:rsidP="00CA43E1">
      <w:pPr>
        <w:rPr>
          <w:rFonts w:ascii="Arial" w:hAnsi="Arial" w:cs="Arial"/>
          <w:i/>
          <w:iCs/>
          <w:sz w:val="24"/>
          <w:szCs w:val="24"/>
        </w:rPr>
      </w:pPr>
      <w:r>
        <w:rPr>
          <w:rFonts w:ascii="Arial" w:hAnsi="Arial" w:cs="Arial"/>
          <w:sz w:val="24"/>
          <w:szCs w:val="24"/>
        </w:rPr>
        <w:t>Parkes, R. (</w:t>
      </w:r>
      <w:r w:rsidR="00037BE4">
        <w:rPr>
          <w:rFonts w:ascii="Arial" w:hAnsi="Arial" w:cs="Arial"/>
          <w:sz w:val="24"/>
          <w:szCs w:val="24"/>
        </w:rPr>
        <w:t xml:space="preserve">2011) ‘The ‘Deidamia Achilli’: An Eleventh Century Statian-Ovidian Epistle’ in </w:t>
      </w:r>
      <w:r w:rsidR="00037BE4">
        <w:rPr>
          <w:rFonts w:ascii="Arial" w:hAnsi="Arial" w:cs="Arial"/>
          <w:i/>
          <w:iCs/>
          <w:sz w:val="24"/>
          <w:szCs w:val="24"/>
        </w:rPr>
        <w:t>International Journal of the Classical Tradition</w:t>
      </w:r>
      <w:r w:rsidR="00EE306A">
        <w:rPr>
          <w:rFonts w:ascii="Arial" w:hAnsi="Arial" w:cs="Arial"/>
          <w:sz w:val="24"/>
          <w:szCs w:val="24"/>
        </w:rPr>
        <w:t xml:space="preserve"> 18.1. 19-35. </w:t>
      </w:r>
      <w:r w:rsidR="00037BE4">
        <w:rPr>
          <w:rFonts w:ascii="Arial" w:hAnsi="Arial" w:cs="Arial"/>
          <w:i/>
          <w:iCs/>
          <w:sz w:val="24"/>
          <w:szCs w:val="24"/>
        </w:rPr>
        <w:t xml:space="preserve"> </w:t>
      </w:r>
    </w:p>
    <w:p w14:paraId="0DB6E53C" w14:textId="77777777" w:rsidR="00A707DC" w:rsidRPr="00CA43E1" w:rsidRDefault="00A707DC" w:rsidP="00CA43E1">
      <w:pPr>
        <w:rPr>
          <w:rFonts w:ascii="Arial" w:hAnsi="Arial" w:cs="Arial"/>
          <w:sz w:val="24"/>
          <w:szCs w:val="24"/>
          <w:lang w:val="en-US"/>
        </w:rPr>
      </w:pPr>
    </w:p>
    <w:p w14:paraId="39E311A8" w14:textId="77777777" w:rsidR="00CA43E1" w:rsidRPr="00CA43E1" w:rsidRDefault="00CA43E1" w:rsidP="00F10E4B">
      <w:pPr>
        <w:rPr>
          <w:rFonts w:ascii="Arial" w:hAnsi="Arial" w:cs="Arial"/>
          <w:sz w:val="24"/>
          <w:szCs w:val="24"/>
        </w:rPr>
      </w:pPr>
    </w:p>
    <w:p w14:paraId="0CD9F7E6" w14:textId="77777777" w:rsidR="00F10E4B" w:rsidRPr="00E86761" w:rsidRDefault="00F10E4B">
      <w:pPr>
        <w:rPr>
          <w:rFonts w:ascii="Arial" w:hAnsi="Arial" w:cs="Arial"/>
          <w:sz w:val="24"/>
          <w:szCs w:val="24"/>
        </w:rPr>
      </w:pPr>
    </w:p>
    <w:sectPr w:rsidR="00F10E4B" w:rsidRPr="00E867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BFE237" w14:textId="77777777" w:rsidR="006B73EC" w:rsidRDefault="006B73EC" w:rsidP="00FF3986">
      <w:pPr>
        <w:spacing w:after="0" w:line="240" w:lineRule="auto"/>
      </w:pPr>
      <w:r>
        <w:separator/>
      </w:r>
    </w:p>
  </w:endnote>
  <w:endnote w:type="continuationSeparator" w:id="0">
    <w:p w14:paraId="1DFD9AC6" w14:textId="77777777" w:rsidR="006B73EC" w:rsidRDefault="006B73EC" w:rsidP="00FF39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99B7FF" w14:textId="77777777" w:rsidR="006B73EC" w:rsidRDefault="006B73EC" w:rsidP="00FF3986">
      <w:pPr>
        <w:spacing w:after="0" w:line="240" w:lineRule="auto"/>
      </w:pPr>
      <w:r>
        <w:separator/>
      </w:r>
    </w:p>
  </w:footnote>
  <w:footnote w:type="continuationSeparator" w:id="0">
    <w:p w14:paraId="283BB1F0" w14:textId="77777777" w:rsidR="006B73EC" w:rsidRDefault="006B73EC" w:rsidP="00FF3986">
      <w:pPr>
        <w:spacing w:after="0" w:line="240" w:lineRule="auto"/>
      </w:pPr>
      <w:r>
        <w:continuationSeparator/>
      </w:r>
    </w:p>
  </w:footnote>
  <w:footnote w:id="1">
    <w:p w14:paraId="2A1655B8" w14:textId="501CF836" w:rsidR="005505BC" w:rsidRPr="00A340FA" w:rsidRDefault="005505BC">
      <w:pPr>
        <w:pStyle w:val="FootnoteText"/>
        <w:rPr>
          <w:rFonts w:ascii="Arial" w:hAnsi="Arial" w:cs="Arial"/>
          <w:lang w:val="en-US"/>
        </w:rPr>
      </w:pPr>
      <w:r w:rsidRPr="00A340FA">
        <w:rPr>
          <w:rStyle w:val="FootnoteReference"/>
          <w:rFonts w:ascii="Arial" w:hAnsi="Arial" w:cs="Arial"/>
        </w:rPr>
        <w:footnoteRef/>
      </w:r>
      <w:r w:rsidRPr="00A340FA">
        <w:rPr>
          <w:rFonts w:ascii="Arial" w:hAnsi="Arial" w:cs="Arial"/>
        </w:rPr>
        <w:t xml:space="preserve"> </w:t>
      </w:r>
      <w:r w:rsidR="00CA43E1" w:rsidRPr="00A340FA">
        <w:rPr>
          <w:rFonts w:ascii="Arial" w:hAnsi="Arial" w:cs="Arial"/>
          <w:lang w:val="en-US"/>
        </w:rPr>
        <w:t xml:space="preserve">Parkes, 2011, </w:t>
      </w:r>
      <w:r w:rsidR="000077E3" w:rsidRPr="00A340FA">
        <w:rPr>
          <w:rFonts w:ascii="Arial" w:hAnsi="Arial" w:cs="Arial"/>
          <w:lang w:val="en-US"/>
        </w:rPr>
        <w:t xml:space="preserve">p19. </w:t>
      </w:r>
    </w:p>
  </w:footnote>
  <w:footnote w:id="2">
    <w:p w14:paraId="50456118" w14:textId="081F8501" w:rsidR="002A0D92" w:rsidRPr="00A340FA" w:rsidRDefault="002A0D92">
      <w:pPr>
        <w:pStyle w:val="FootnoteText"/>
        <w:rPr>
          <w:rFonts w:ascii="Arial" w:hAnsi="Arial" w:cs="Arial"/>
          <w:lang w:val="en-US"/>
        </w:rPr>
      </w:pPr>
      <w:r w:rsidRPr="00A340FA">
        <w:rPr>
          <w:rStyle w:val="FootnoteReference"/>
          <w:rFonts w:ascii="Arial" w:hAnsi="Arial" w:cs="Arial"/>
        </w:rPr>
        <w:footnoteRef/>
      </w:r>
      <w:r w:rsidRPr="00A340FA">
        <w:rPr>
          <w:rFonts w:ascii="Arial" w:hAnsi="Arial" w:cs="Arial"/>
        </w:rPr>
        <w:t xml:space="preserve"> </w:t>
      </w:r>
      <w:r w:rsidR="00F67ED4">
        <w:rPr>
          <w:rFonts w:ascii="Arial" w:hAnsi="Arial" w:cs="Arial"/>
        </w:rPr>
        <w:t xml:space="preserve">Hom. </w:t>
      </w:r>
      <w:r w:rsidRPr="00BF60A4">
        <w:rPr>
          <w:rFonts w:ascii="Arial" w:hAnsi="Arial" w:cs="Arial"/>
          <w:i/>
          <w:iCs/>
        </w:rPr>
        <w:t>Iliad</w:t>
      </w:r>
      <w:r w:rsidR="00BF60A4">
        <w:rPr>
          <w:rFonts w:ascii="Arial" w:hAnsi="Arial" w:cs="Arial"/>
        </w:rPr>
        <w:t>.</w:t>
      </w:r>
    </w:p>
  </w:footnote>
  <w:footnote w:id="3">
    <w:p w14:paraId="43A6F33E" w14:textId="72154917" w:rsidR="007C2DD7" w:rsidRPr="00A340FA" w:rsidRDefault="007C2DD7" w:rsidP="007C2DD7">
      <w:pPr>
        <w:pStyle w:val="FootnoteText"/>
        <w:rPr>
          <w:rFonts w:ascii="Arial" w:hAnsi="Arial" w:cs="Arial"/>
          <w:lang w:val="en-US"/>
        </w:rPr>
      </w:pPr>
      <w:r w:rsidRPr="00A340FA">
        <w:rPr>
          <w:rStyle w:val="FootnoteReference"/>
          <w:rFonts w:ascii="Arial" w:hAnsi="Arial" w:cs="Arial"/>
        </w:rPr>
        <w:footnoteRef/>
      </w:r>
      <w:r w:rsidRPr="00A340FA">
        <w:rPr>
          <w:rFonts w:ascii="Arial" w:hAnsi="Arial" w:cs="Arial"/>
        </w:rPr>
        <w:t xml:space="preserve"> </w:t>
      </w:r>
      <w:r w:rsidR="00F67ED4">
        <w:rPr>
          <w:rFonts w:ascii="Arial" w:hAnsi="Arial" w:cs="Arial"/>
        </w:rPr>
        <w:t xml:space="preserve">Hom. </w:t>
      </w:r>
      <w:r w:rsidRPr="00BF60A4">
        <w:rPr>
          <w:rFonts w:ascii="Arial" w:hAnsi="Arial" w:cs="Arial"/>
          <w:i/>
          <w:iCs/>
          <w:lang w:val="en-US"/>
        </w:rPr>
        <w:t>Iliad</w:t>
      </w:r>
      <w:r w:rsidR="00BF60A4">
        <w:rPr>
          <w:rFonts w:ascii="Arial" w:hAnsi="Arial" w:cs="Arial"/>
          <w:lang w:val="en-US"/>
        </w:rPr>
        <w:t>.</w:t>
      </w:r>
      <w:r w:rsidRPr="00A340FA">
        <w:rPr>
          <w:rFonts w:ascii="Arial" w:hAnsi="Arial" w:cs="Arial"/>
          <w:lang w:val="en-US"/>
        </w:rPr>
        <w:t xml:space="preserve"> 2</w:t>
      </w:r>
      <w:r w:rsidR="00BF60A4">
        <w:rPr>
          <w:rFonts w:ascii="Arial" w:hAnsi="Arial" w:cs="Arial"/>
          <w:lang w:val="en-US"/>
        </w:rPr>
        <w:t>.</w:t>
      </w:r>
      <w:r w:rsidRPr="00A340FA">
        <w:rPr>
          <w:rFonts w:ascii="Arial" w:hAnsi="Arial" w:cs="Arial"/>
          <w:lang w:val="en-US"/>
        </w:rPr>
        <w:t>328-329</w:t>
      </w:r>
      <w:r w:rsidR="00BF60A4">
        <w:rPr>
          <w:rFonts w:ascii="Arial" w:hAnsi="Arial" w:cs="Arial"/>
          <w:lang w:val="en-US"/>
        </w:rPr>
        <w:t xml:space="preserve">. </w:t>
      </w:r>
    </w:p>
  </w:footnote>
  <w:footnote w:id="4">
    <w:p w14:paraId="3F1CC4CE" w14:textId="35A1DC49" w:rsidR="00DA06CC" w:rsidRPr="00A340FA" w:rsidRDefault="00DA06CC">
      <w:pPr>
        <w:pStyle w:val="FootnoteText"/>
        <w:rPr>
          <w:rFonts w:ascii="Arial" w:hAnsi="Arial" w:cs="Arial"/>
          <w:lang w:val="en-US"/>
        </w:rPr>
      </w:pPr>
      <w:r w:rsidRPr="00A340FA">
        <w:rPr>
          <w:rStyle w:val="FootnoteReference"/>
          <w:rFonts w:ascii="Arial" w:hAnsi="Arial" w:cs="Arial"/>
        </w:rPr>
        <w:footnoteRef/>
      </w:r>
      <w:r w:rsidRPr="00A340FA">
        <w:rPr>
          <w:rFonts w:ascii="Arial" w:hAnsi="Arial" w:cs="Arial"/>
        </w:rPr>
        <w:t xml:space="preserve"> </w:t>
      </w:r>
      <w:r w:rsidR="00BF60A4">
        <w:rPr>
          <w:rFonts w:ascii="Arial" w:hAnsi="Arial" w:cs="Arial"/>
          <w:i/>
          <w:iCs/>
          <w:lang w:val="en-US"/>
        </w:rPr>
        <w:t>Deidamia Achilli</w:t>
      </w:r>
      <w:r w:rsidR="00BF60A4">
        <w:rPr>
          <w:rFonts w:ascii="Arial" w:hAnsi="Arial" w:cs="Arial"/>
          <w:lang w:val="en-US"/>
        </w:rPr>
        <w:t>.</w:t>
      </w:r>
      <w:r w:rsidRPr="00A340FA">
        <w:rPr>
          <w:rFonts w:ascii="Arial" w:hAnsi="Arial" w:cs="Arial"/>
          <w:lang w:val="en-US"/>
        </w:rPr>
        <w:t xml:space="preserve"> 9</w:t>
      </w:r>
      <w:r w:rsidR="00BF60A4">
        <w:rPr>
          <w:rFonts w:ascii="Arial" w:hAnsi="Arial" w:cs="Arial"/>
          <w:lang w:val="en-US"/>
        </w:rPr>
        <w:t xml:space="preserve">. </w:t>
      </w:r>
    </w:p>
  </w:footnote>
  <w:footnote w:id="5">
    <w:p w14:paraId="465767BE" w14:textId="6860297A" w:rsidR="00EF3F1E" w:rsidRPr="00A340FA" w:rsidRDefault="00EF3F1E">
      <w:pPr>
        <w:pStyle w:val="FootnoteText"/>
        <w:rPr>
          <w:rFonts w:ascii="Arial" w:hAnsi="Arial" w:cs="Arial"/>
          <w:lang w:val="en-US"/>
        </w:rPr>
      </w:pPr>
      <w:r w:rsidRPr="00A340FA">
        <w:rPr>
          <w:rStyle w:val="FootnoteReference"/>
          <w:rFonts w:ascii="Arial" w:hAnsi="Arial" w:cs="Arial"/>
        </w:rPr>
        <w:footnoteRef/>
      </w:r>
      <w:r w:rsidRPr="00A340FA">
        <w:rPr>
          <w:rFonts w:ascii="Arial" w:hAnsi="Arial" w:cs="Arial"/>
        </w:rPr>
        <w:t xml:space="preserve"> </w:t>
      </w:r>
      <w:r w:rsidR="00BF60A4">
        <w:rPr>
          <w:rFonts w:ascii="Arial" w:hAnsi="Arial" w:cs="Arial"/>
          <w:i/>
          <w:iCs/>
          <w:lang w:val="en-US"/>
        </w:rPr>
        <w:t xml:space="preserve">Deidamia </w:t>
      </w:r>
      <w:r w:rsidR="00BF60A4" w:rsidRPr="00BF60A4">
        <w:rPr>
          <w:rFonts w:ascii="Arial" w:hAnsi="Arial" w:cs="Arial"/>
          <w:i/>
          <w:iCs/>
          <w:lang w:val="en-US"/>
        </w:rPr>
        <w:t>Achilli</w:t>
      </w:r>
      <w:r w:rsidR="00BF60A4">
        <w:rPr>
          <w:rFonts w:ascii="Arial" w:hAnsi="Arial" w:cs="Arial"/>
          <w:lang w:val="en-US"/>
        </w:rPr>
        <w:t xml:space="preserve">. </w:t>
      </w:r>
      <w:r w:rsidRPr="00BF60A4">
        <w:rPr>
          <w:rFonts w:ascii="Arial" w:hAnsi="Arial" w:cs="Arial"/>
          <w:lang w:val="en-US"/>
        </w:rPr>
        <w:t>65</w:t>
      </w:r>
      <w:r w:rsidR="00BF60A4">
        <w:rPr>
          <w:rFonts w:ascii="Arial" w:hAnsi="Arial" w:cs="Arial"/>
          <w:lang w:val="en-US"/>
        </w:rPr>
        <w:t xml:space="preserve">. </w:t>
      </w:r>
      <w:r w:rsidRPr="00A340FA">
        <w:rPr>
          <w:rFonts w:ascii="Arial" w:hAnsi="Arial" w:cs="Arial"/>
          <w:lang w:val="en-US"/>
        </w:rPr>
        <w:t xml:space="preserve"> </w:t>
      </w:r>
    </w:p>
  </w:footnote>
  <w:footnote w:id="6">
    <w:p w14:paraId="174F902A" w14:textId="4C240955" w:rsidR="00D50E57" w:rsidRPr="00D50E57" w:rsidRDefault="00D50E57">
      <w:pPr>
        <w:pStyle w:val="FootnoteText"/>
        <w:rPr>
          <w:lang w:val="en-US"/>
        </w:rPr>
      </w:pPr>
      <w:r w:rsidRPr="00A340FA">
        <w:rPr>
          <w:rStyle w:val="FootnoteReference"/>
          <w:rFonts w:ascii="Arial" w:hAnsi="Arial" w:cs="Arial"/>
        </w:rPr>
        <w:footnoteRef/>
      </w:r>
      <w:r w:rsidRPr="00A340FA">
        <w:rPr>
          <w:rFonts w:ascii="Arial" w:hAnsi="Arial" w:cs="Arial"/>
        </w:rPr>
        <w:t xml:space="preserve"> </w:t>
      </w:r>
      <w:r w:rsidR="00BF60A4">
        <w:rPr>
          <w:rFonts w:ascii="Arial" w:hAnsi="Arial" w:cs="Arial"/>
          <w:i/>
          <w:iCs/>
          <w:lang w:val="en-US"/>
        </w:rPr>
        <w:t xml:space="preserve">Deidamia </w:t>
      </w:r>
      <w:r w:rsidR="00BF60A4" w:rsidRPr="00BF60A4">
        <w:rPr>
          <w:rFonts w:ascii="Arial" w:hAnsi="Arial" w:cs="Arial"/>
          <w:i/>
          <w:iCs/>
          <w:lang w:val="en-US"/>
        </w:rPr>
        <w:t>Achilli</w:t>
      </w:r>
      <w:r w:rsidR="00BF60A4">
        <w:rPr>
          <w:rFonts w:ascii="Arial" w:hAnsi="Arial" w:cs="Arial"/>
          <w:lang w:val="en-US"/>
        </w:rPr>
        <w:t xml:space="preserve">. </w:t>
      </w:r>
      <w:r w:rsidRPr="00BF60A4">
        <w:rPr>
          <w:rFonts w:ascii="Arial" w:hAnsi="Arial" w:cs="Arial"/>
          <w:lang w:val="en-US"/>
        </w:rPr>
        <w:t>71</w:t>
      </w:r>
      <w:r w:rsidR="00BF60A4">
        <w:rPr>
          <w:rFonts w:ascii="Arial" w:hAnsi="Arial" w:cs="Arial"/>
          <w:lang w:val="en-US"/>
        </w:rPr>
        <w:t>.</w:t>
      </w:r>
    </w:p>
  </w:footnote>
  <w:footnote w:id="7">
    <w:p w14:paraId="08C213C3" w14:textId="10C09F78" w:rsidR="00F3115C" w:rsidRPr="00A340FA" w:rsidRDefault="00F3115C">
      <w:pPr>
        <w:pStyle w:val="FootnoteText"/>
        <w:rPr>
          <w:rFonts w:ascii="Arial" w:hAnsi="Arial" w:cs="Arial"/>
          <w:lang w:val="en-US"/>
        </w:rPr>
      </w:pPr>
      <w:r w:rsidRPr="00A340FA">
        <w:rPr>
          <w:rStyle w:val="FootnoteReference"/>
          <w:rFonts w:ascii="Arial" w:hAnsi="Arial" w:cs="Arial"/>
        </w:rPr>
        <w:footnoteRef/>
      </w:r>
      <w:r w:rsidRPr="00A340FA">
        <w:rPr>
          <w:rFonts w:ascii="Arial" w:hAnsi="Arial" w:cs="Arial"/>
        </w:rPr>
        <w:t xml:space="preserve"> </w:t>
      </w:r>
      <w:r w:rsidR="00BF60A4" w:rsidRPr="00917819">
        <w:rPr>
          <w:rFonts w:ascii="Arial" w:hAnsi="Arial" w:cs="Arial"/>
          <w:i/>
          <w:iCs/>
          <w:lang w:val="en-US"/>
        </w:rPr>
        <w:t>De</w:t>
      </w:r>
      <w:r w:rsidR="00BF60A4">
        <w:rPr>
          <w:rFonts w:ascii="Arial" w:hAnsi="Arial" w:cs="Arial"/>
          <w:i/>
          <w:iCs/>
          <w:lang w:val="en-US"/>
        </w:rPr>
        <w:t>idamia Achilli</w:t>
      </w:r>
      <w:r w:rsidR="00BF60A4">
        <w:rPr>
          <w:rFonts w:ascii="Arial" w:hAnsi="Arial" w:cs="Arial"/>
          <w:lang w:val="en-US"/>
        </w:rPr>
        <w:t>. 1</w:t>
      </w:r>
      <w:r w:rsidRPr="00A340FA">
        <w:rPr>
          <w:rFonts w:ascii="Arial" w:hAnsi="Arial" w:cs="Arial"/>
          <w:lang w:val="en-US"/>
        </w:rPr>
        <w:t>-2</w:t>
      </w:r>
      <w:r w:rsidR="00BF60A4">
        <w:rPr>
          <w:rFonts w:ascii="Arial" w:hAnsi="Arial" w:cs="Arial"/>
          <w:lang w:val="en-US"/>
        </w:rPr>
        <w:t xml:space="preserve">. </w:t>
      </w:r>
    </w:p>
  </w:footnote>
  <w:footnote w:id="8">
    <w:p w14:paraId="4B74C2FA" w14:textId="28B2C9E9" w:rsidR="00F3115C" w:rsidRPr="00A340FA" w:rsidRDefault="00F3115C">
      <w:pPr>
        <w:pStyle w:val="FootnoteText"/>
        <w:rPr>
          <w:rFonts w:ascii="Arial" w:hAnsi="Arial" w:cs="Arial"/>
          <w:lang w:val="en-US"/>
        </w:rPr>
      </w:pPr>
      <w:r w:rsidRPr="00A340FA">
        <w:rPr>
          <w:rStyle w:val="FootnoteReference"/>
          <w:rFonts w:ascii="Arial" w:hAnsi="Arial" w:cs="Arial"/>
        </w:rPr>
        <w:footnoteRef/>
      </w:r>
      <w:r w:rsidRPr="00A340FA">
        <w:rPr>
          <w:rFonts w:ascii="Arial" w:hAnsi="Arial" w:cs="Arial"/>
        </w:rPr>
        <w:t xml:space="preserve"> </w:t>
      </w:r>
      <w:r w:rsidR="00917819" w:rsidRPr="00917819">
        <w:rPr>
          <w:rFonts w:ascii="Arial" w:hAnsi="Arial" w:cs="Arial"/>
          <w:i/>
          <w:iCs/>
          <w:lang w:val="en-US"/>
        </w:rPr>
        <w:t>De</w:t>
      </w:r>
      <w:r w:rsidR="00917819">
        <w:rPr>
          <w:rFonts w:ascii="Arial" w:hAnsi="Arial" w:cs="Arial"/>
          <w:i/>
          <w:iCs/>
          <w:lang w:val="en-US"/>
        </w:rPr>
        <w:t>idamia Achilli</w:t>
      </w:r>
      <w:r w:rsidR="00917819">
        <w:rPr>
          <w:rFonts w:ascii="Arial" w:hAnsi="Arial" w:cs="Arial"/>
          <w:lang w:val="en-US"/>
        </w:rPr>
        <w:t xml:space="preserve">. </w:t>
      </w:r>
      <w:r w:rsidRPr="00A340FA">
        <w:rPr>
          <w:rFonts w:ascii="Arial" w:hAnsi="Arial" w:cs="Arial"/>
          <w:lang w:val="en-US"/>
        </w:rPr>
        <w:t>78</w:t>
      </w:r>
      <w:r w:rsidR="00917819">
        <w:rPr>
          <w:rFonts w:ascii="Arial" w:hAnsi="Arial" w:cs="Arial"/>
          <w:lang w:val="en-US"/>
        </w:rPr>
        <w:t>.</w:t>
      </w:r>
    </w:p>
  </w:footnote>
  <w:footnote w:id="9">
    <w:p w14:paraId="5EB4360B" w14:textId="75AC0938" w:rsidR="00470340" w:rsidRPr="00A340FA" w:rsidRDefault="00470340">
      <w:pPr>
        <w:pStyle w:val="FootnoteText"/>
        <w:rPr>
          <w:rFonts w:ascii="Arial" w:hAnsi="Arial" w:cs="Arial"/>
          <w:lang w:val="en-US"/>
        </w:rPr>
      </w:pPr>
      <w:r w:rsidRPr="00A340FA">
        <w:rPr>
          <w:rStyle w:val="FootnoteReference"/>
          <w:rFonts w:ascii="Arial" w:hAnsi="Arial" w:cs="Arial"/>
        </w:rPr>
        <w:footnoteRef/>
      </w:r>
      <w:r w:rsidRPr="00A340FA">
        <w:rPr>
          <w:rFonts w:ascii="Arial" w:hAnsi="Arial" w:cs="Arial"/>
        </w:rPr>
        <w:t xml:space="preserve"> </w:t>
      </w:r>
      <w:bookmarkStart w:id="0" w:name="_Hlk30433691"/>
      <w:r w:rsidRPr="00A340FA">
        <w:rPr>
          <w:rFonts w:ascii="Arial" w:hAnsi="Arial" w:cs="Arial"/>
          <w:lang w:val="en-US"/>
        </w:rPr>
        <w:t>Hagedorn</w:t>
      </w:r>
      <w:r w:rsidR="00CA43E1" w:rsidRPr="00A340FA">
        <w:rPr>
          <w:rFonts w:ascii="Arial" w:hAnsi="Arial" w:cs="Arial"/>
          <w:lang w:val="en-US"/>
        </w:rPr>
        <w:t>, 2004,</w:t>
      </w:r>
      <w:r w:rsidR="00CA43E1" w:rsidRPr="00A340FA">
        <w:rPr>
          <w:rFonts w:ascii="Arial" w:hAnsi="Arial" w:cs="Arial"/>
          <w:i/>
          <w:iCs/>
        </w:rPr>
        <w:t xml:space="preserve"> </w:t>
      </w:r>
      <w:r w:rsidRPr="00A340FA">
        <w:rPr>
          <w:rFonts w:ascii="Arial" w:hAnsi="Arial" w:cs="Arial"/>
          <w:lang w:val="en-US"/>
        </w:rPr>
        <w:t>p45</w:t>
      </w:r>
      <w:r w:rsidR="00CA43E1" w:rsidRPr="00A340FA">
        <w:rPr>
          <w:rFonts w:ascii="Arial" w:hAnsi="Arial" w:cs="Arial"/>
          <w:lang w:val="en-US"/>
        </w:rPr>
        <w:t xml:space="preserve">. </w:t>
      </w:r>
    </w:p>
    <w:bookmarkEnd w:id="0"/>
  </w:footnote>
  <w:footnote w:id="10">
    <w:p w14:paraId="16822E24" w14:textId="623950B2" w:rsidR="0087324A" w:rsidRPr="00A340FA" w:rsidRDefault="0087324A">
      <w:pPr>
        <w:pStyle w:val="FootnoteText"/>
        <w:rPr>
          <w:rFonts w:ascii="Arial" w:hAnsi="Arial" w:cs="Arial"/>
          <w:lang w:val="en-US"/>
        </w:rPr>
      </w:pPr>
      <w:r w:rsidRPr="00A340FA">
        <w:rPr>
          <w:rStyle w:val="FootnoteReference"/>
          <w:rFonts w:ascii="Arial" w:hAnsi="Arial" w:cs="Arial"/>
        </w:rPr>
        <w:footnoteRef/>
      </w:r>
      <w:r w:rsidR="00917819">
        <w:rPr>
          <w:rFonts w:ascii="Arial" w:hAnsi="Arial" w:cs="Arial"/>
        </w:rPr>
        <w:t xml:space="preserve"> </w:t>
      </w:r>
      <w:r w:rsidR="00917819" w:rsidRPr="00917819">
        <w:rPr>
          <w:rFonts w:ascii="Arial" w:hAnsi="Arial" w:cs="Arial"/>
          <w:i/>
          <w:iCs/>
          <w:lang w:val="en-US"/>
        </w:rPr>
        <w:t>De</w:t>
      </w:r>
      <w:r w:rsidR="00917819">
        <w:rPr>
          <w:rFonts w:ascii="Arial" w:hAnsi="Arial" w:cs="Arial"/>
          <w:i/>
          <w:iCs/>
          <w:lang w:val="en-US"/>
        </w:rPr>
        <w:t>idamia Achilli</w:t>
      </w:r>
      <w:r w:rsidR="00917819">
        <w:rPr>
          <w:rFonts w:ascii="Arial" w:hAnsi="Arial" w:cs="Arial"/>
          <w:lang w:val="en-US"/>
        </w:rPr>
        <w:t xml:space="preserve">. </w:t>
      </w:r>
      <w:r w:rsidRPr="00A340FA">
        <w:rPr>
          <w:rFonts w:ascii="Arial" w:hAnsi="Arial" w:cs="Arial"/>
          <w:lang w:val="en-US"/>
        </w:rPr>
        <w:t>82</w:t>
      </w:r>
      <w:r w:rsidR="00917819">
        <w:rPr>
          <w:rFonts w:ascii="Arial" w:hAnsi="Arial" w:cs="Arial"/>
          <w:lang w:val="en-US"/>
        </w:rPr>
        <w:t>.</w:t>
      </w:r>
    </w:p>
  </w:footnote>
  <w:footnote w:id="11">
    <w:p w14:paraId="03E121FD" w14:textId="18D46577" w:rsidR="000B79F8" w:rsidRPr="00A340FA" w:rsidRDefault="000B79F8">
      <w:pPr>
        <w:pStyle w:val="FootnoteText"/>
        <w:rPr>
          <w:rFonts w:ascii="Arial" w:hAnsi="Arial" w:cs="Arial"/>
          <w:lang w:val="en-US"/>
        </w:rPr>
      </w:pPr>
      <w:r w:rsidRPr="00A340FA">
        <w:rPr>
          <w:rStyle w:val="FootnoteReference"/>
          <w:rFonts w:ascii="Arial" w:hAnsi="Arial" w:cs="Arial"/>
        </w:rPr>
        <w:footnoteRef/>
      </w:r>
      <w:r w:rsidRPr="00A340FA">
        <w:rPr>
          <w:rFonts w:ascii="Arial" w:hAnsi="Arial" w:cs="Arial"/>
        </w:rPr>
        <w:t xml:space="preserve"> </w:t>
      </w:r>
      <w:r w:rsidR="00A340FA" w:rsidRPr="00A340FA">
        <w:rPr>
          <w:rFonts w:ascii="Arial" w:hAnsi="Arial" w:cs="Arial"/>
          <w:lang w:val="en-US"/>
        </w:rPr>
        <w:t xml:space="preserve">Parkes, 2011, </w:t>
      </w:r>
      <w:r w:rsidRPr="00A340FA">
        <w:rPr>
          <w:rFonts w:ascii="Arial" w:hAnsi="Arial" w:cs="Arial"/>
          <w:lang w:val="en-US"/>
        </w:rPr>
        <w:t>p23</w:t>
      </w:r>
      <w:r w:rsidR="00A340FA" w:rsidRPr="00A340FA">
        <w:rPr>
          <w:rFonts w:ascii="Arial" w:hAnsi="Arial" w:cs="Arial"/>
          <w:lang w:val="en-US"/>
        </w:rPr>
        <w:t>.</w:t>
      </w:r>
    </w:p>
  </w:footnote>
  <w:footnote w:id="12">
    <w:p w14:paraId="302D1A39" w14:textId="75E8125B" w:rsidR="00E86761" w:rsidRPr="00E86761" w:rsidRDefault="00E86761">
      <w:pPr>
        <w:pStyle w:val="FootnoteText"/>
        <w:rPr>
          <w:lang w:val="en-US"/>
        </w:rPr>
      </w:pPr>
      <w:r w:rsidRPr="00A340FA">
        <w:rPr>
          <w:rStyle w:val="FootnoteReference"/>
          <w:rFonts w:ascii="Arial" w:hAnsi="Arial" w:cs="Arial"/>
        </w:rPr>
        <w:footnoteRef/>
      </w:r>
      <w:r w:rsidRPr="00A340FA">
        <w:rPr>
          <w:rFonts w:ascii="Arial" w:hAnsi="Arial" w:cs="Arial"/>
        </w:rPr>
        <w:t xml:space="preserve"> </w:t>
      </w:r>
      <w:r w:rsidR="00917819" w:rsidRPr="00917819">
        <w:rPr>
          <w:rFonts w:ascii="Arial" w:hAnsi="Arial" w:cs="Arial"/>
          <w:i/>
          <w:iCs/>
          <w:lang w:val="en-US"/>
        </w:rPr>
        <w:t>De</w:t>
      </w:r>
      <w:r w:rsidR="00917819">
        <w:rPr>
          <w:rFonts w:ascii="Arial" w:hAnsi="Arial" w:cs="Arial"/>
          <w:i/>
          <w:iCs/>
          <w:lang w:val="en-US"/>
        </w:rPr>
        <w:t>idamia Achilli</w:t>
      </w:r>
      <w:r w:rsidR="00917819">
        <w:rPr>
          <w:rFonts w:ascii="Arial" w:hAnsi="Arial" w:cs="Arial"/>
          <w:lang w:val="en-US"/>
        </w:rPr>
        <w:t xml:space="preserve">. </w:t>
      </w:r>
      <w:r w:rsidRPr="00A340FA">
        <w:rPr>
          <w:rFonts w:ascii="Arial" w:hAnsi="Arial" w:cs="Arial"/>
          <w:lang w:val="en-US"/>
        </w:rPr>
        <w:t>52</w:t>
      </w:r>
      <w:r w:rsidR="00917819">
        <w:rPr>
          <w:rFonts w:ascii="Arial" w:hAnsi="Arial" w:cs="Arial"/>
          <w:lang w:val="en-US"/>
        </w:rPr>
        <w:t xml:space="preserve">. </w:t>
      </w:r>
    </w:p>
  </w:footnote>
  <w:footnote w:id="13">
    <w:p w14:paraId="1E566354" w14:textId="77777777" w:rsidR="00917819" w:rsidRDefault="00E86761">
      <w:pPr>
        <w:pStyle w:val="FootnoteText"/>
        <w:rPr>
          <w:rFonts w:ascii="Arial" w:hAnsi="Arial" w:cs="Arial"/>
          <w:lang w:val="en-US"/>
        </w:rPr>
      </w:pPr>
      <w:r w:rsidRPr="00A340FA">
        <w:rPr>
          <w:rStyle w:val="FootnoteReference"/>
          <w:rFonts w:ascii="Arial" w:hAnsi="Arial" w:cs="Arial"/>
        </w:rPr>
        <w:footnoteRef/>
      </w:r>
      <w:r w:rsidRPr="00A340FA">
        <w:rPr>
          <w:rFonts w:ascii="Arial" w:hAnsi="Arial" w:cs="Arial"/>
        </w:rPr>
        <w:t xml:space="preserve"> </w:t>
      </w:r>
      <w:r w:rsidR="00917819" w:rsidRPr="00917819">
        <w:rPr>
          <w:rFonts w:ascii="Arial" w:hAnsi="Arial" w:cs="Arial"/>
          <w:i/>
          <w:iCs/>
          <w:lang w:val="en-US"/>
        </w:rPr>
        <w:t>De</w:t>
      </w:r>
      <w:r w:rsidR="00917819">
        <w:rPr>
          <w:rFonts w:ascii="Arial" w:hAnsi="Arial" w:cs="Arial"/>
          <w:i/>
          <w:iCs/>
          <w:lang w:val="en-US"/>
        </w:rPr>
        <w:t>idamia Achilli</w:t>
      </w:r>
      <w:r w:rsidR="00917819">
        <w:rPr>
          <w:rFonts w:ascii="Arial" w:hAnsi="Arial" w:cs="Arial"/>
          <w:lang w:val="en-US"/>
        </w:rPr>
        <w:t xml:space="preserve">. </w:t>
      </w:r>
      <w:r w:rsidRPr="00A340FA">
        <w:rPr>
          <w:rFonts w:ascii="Arial" w:hAnsi="Arial" w:cs="Arial"/>
          <w:lang w:val="en-US"/>
        </w:rPr>
        <w:t>94</w:t>
      </w:r>
    </w:p>
    <w:p w14:paraId="08414BBC" w14:textId="732D433D" w:rsidR="00E86761" w:rsidRPr="00A340FA" w:rsidRDefault="00917819">
      <w:pPr>
        <w:pStyle w:val="FootnoteText"/>
        <w:rPr>
          <w:rFonts w:ascii="Arial" w:hAnsi="Arial" w:cs="Arial"/>
          <w:lang w:val="en-US"/>
        </w:rPr>
      </w:pPr>
      <w:r w:rsidRPr="00917819">
        <w:rPr>
          <w:rFonts w:ascii="Arial" w:hAnsi="Arial" w:cs="Arial"/>
          <w:i/>
          <w:iCs/>
          <w:lang w:val="en-US"/>
        </w:rPr>
        <w:t>De</w:t>
      </w:r>
      <w:r>
        <w:rPr>
          <w:rFonts w:ascii="Arial" w:hAnsi="Arial" w:cs="Arial"/>
          <w:i/>
          <w:iCs/>
          <w:lang w:val="en-US"/>
        </w:rPr>
        <w:t>idamia Achilli</w:t>
      </w:r>
      <w:r>
        <w:rPr>
          <w:rFonts w:ascii="Arial" w:hAnsi="Arial" w:cs="Arial"/>
          <w:lang w:val="en-US"/>
        </w:rPr>
        <w:t xml:space="preserve">. </w:t>
      </w:r>
      <w:r w:rsidR="00CE05CB" w:rsidRPr="00A340FA">
        <w:rPr>
          <w:rFonts w:ascii="Arial" w:hAnsi="Arial" w:cs="Arial"/>
          <w:lang w:val="en-US"/>
        </w:rPr>
        <w:t>126</w:t>
      </w:r>
      <w:r>
        <w:rPr>
          <w:rFonts w:ascii="Arial" w:hAnsi="Arial" w:cs="Arial"/>
          <w:lang w:val="en-US"/>
        </w:rPr>
        <w:t xml:space="preserve">. </w:t>
      </w:r>
    </w:p>
  </w:footnote>
  <w:footnote w:id="14">
    <w:p w14:paraId="7F5C28ED" w14:textId="3E799D5F" w:rsidR="001A643A" w:rsidRPr="00A340FA" w:rsidRDefault="001A643A">
      <w:pPr>
        <w:pStyle w:val="FootnoteText"/>
        <w:rPr>
          <w:rFonts w:ascii="Arial" w:hAnsi="Arial" w:cs="Arial"/>
          <w:lang w:val="en-US"/>
        </w:rPr>
      </w:pPr>
      <w:r w:rsidRPr="00A340FA">
        <w:rPr>
          <w:rStyle w:val="FootnoteReference"/>
          <w:rFonts w:ascii="Arial" w:hAnsi="Arial" w:cs="Arial"/>
        </w:rPr>
        <w:footnoteRef/>
      </w:r>
      <w:r w:rsidRPr="00A340FA">
        <w:rPr>
          <w:rFonts w:ascii="Arial" w:hAnsi="Arial" w:cs="Arial"/>
        </w:rPr>
        <w:t xml:space="preserve"> </w:t>
      </w:r>
      <w:r w:rsidR="00165339">
        <w:rPr>
          <w:rFonts w:ascii="Arial" w:hAnsi="Arial" w:cs="Arial"/>
        </w:rPr>
        <w:t xml:space="preserve">Ov. </w:t>
      </w:r>
      <w:r w:rsidRPr="00165339">
        <w:rPr>
          <w:rFonts w:ascii="Arial" w:hAnsi="Arial" w:cs="Arial"/>
          <w:i/>
          <w:iCs/>
          <w:lang w:val="en-US"/>
        </w:rPr>
        <w:t>Heroides</w:t>
      </w:r>
      <w:r w:rsidR="00165339">
        <w:rPr>
          <w:rFonts w:ascii="Arial" w:hAnsi="Arial" w:cs="Arial"/>
          <w:lang w:val="en-US"/>
        </w:rPr>
        <w:t>. 5.</w:t>
      </w:r>
      <w:r w:rsidRPr="00A340FA">
        <w:rPr>
          <w:rFonts w:ascii="Arial" w:hAnsi="Arial" w:cs="Arial"/>
          <w:lang w:val="en-US"/>
        </w:rPr>
        <w:t>117-118</w:t>
      </w:r>
      <w:r w:rsidR="00165339">
        <w:rPr>
          <w:rFonts w:ascii="Arial" w:hAnsi="Arial" w:cs="Arial"/>
          <w:lang w:val="en-US"/>
        </w:rPr>
        <w:t xml:space="preserve">. </w:t>
      </w:r>
    </w:p>
  </w:footnote>
  <w:footnote w:id="15">
    <w:p w14:paraId="65AEF330" w14:textId="228F4A28" w:rsidR="00C349F7" w:rsidRPr="00A340FA" w:rsidRDefault="00C349F7">
      <w:pPr>
        <w:pStyle w:val="FootnoteText"/>
        <w:rPr>
          <w:rFonts w:ascii="Arial" w:hAnsi="Arial" w:cs="Arial"/>
          <w:lang w:val="en-US"/>
        </w:rPr>
      </w:pPr>
      <w:r w:rsidRPr="00A340FA">
        <w:rPr>
          <w:rStyle w:val="FootnoteReference"/>
          <w:rFonts w:ascii="Arial" w:hAnsi="Arial" w:cs="Arial"/>
        </w:rPr>
        <w:footnoteRef/>
      </w:r>
      <w:r w:rsidRPr="00A340FA">
        <w:rPr>
          <w:rFonts w:ascii="Arial" w:hAnsi="Arial" w:cs="Arial"/>
        </w:rPr>
        <w:t xml:space="preserve"> </w:t>
      </w:r>
      <w:r w:rsidRPr="00A340FA">
        <w:rPr>
          <w:rFonts w:ascii="Arial" w:hAnsi="Arial" w:cs="Arial"/>
          <w:lang w:val="en-US"/>
        </w:rPr>
        <w:t>Hagedorn</w:t>
      </w:r>
      <w:r w:rsidR="000077E3" w:rsidRPr="00A340FA">
        <w:rPr>
          <w:rFonts w:ascii="Arial" w:hAnsi="Arial" w:cs="Arial"/>
          <w:lang w:val="en-US"/>
        </w:rPr>
        <w:t xml:space="preserve">, 2004, </w:t>
      </w:r>
      <w:r w:rsidRPr="00A340FA">
        <w:rPr>
          <w:rFonts w:ascii="Arial" w:hAnsi="Arial" w:cs="Arial"/>
          <w:lang w:val="en-US"/>
        </w:rPr>
        <w:t>p44</w:t>
      </w:r>
      <w:r w:rsidR="000077E3" w:rsidRPr="00A340FA">
        <w:rPr>
          <w:rFonts w:ascii="Arial" w:hAnsi="Arial" w:cs="Arial"/>
          <w:lang w:val="en-US"/>
        </w:rPr>
        <w:t xml:space="preserve">. </w:t>
      </w:r>
      <w:r w:rsidRPr="00A340FA">
        <w:rPr>
          <w:rFonts w:ascii="Arial" w:hAnsi="Arial" w:cs="Arial"/>
          <w:lang w:val="en-US"/>
        </w:rPr>
        <w:t xml:space="preserve"> </w:t>
      </w:r>
    </w:p>
  </w:footnote>
  <w:footnote w:id="16">
    <w:p w14:paraId="77CACE74" w14:textId="487145AF" w:rsidR="00DF6882" w:rsidRPr="00DF6882" w:rsidRDefault="00DF6882">
      <w:pPr>
        <w:pStyle w:val="FootnoteText"/>
        <w:rPr>
          <w:lang w:val="en-US"/>
        </w:rPr>
      </w:pPr>
      <w:r w:rsidRPr="00A340FA">
        <w:rPr>
          <w:rStyle w:val="FootnoteReference"/>
          <w:rFonts w:ascii="Arial" w:hAnsi="Arial" w:cs="Arial"/>
        </w:rPr>
        <w:footnoteRef/>
      </w:r>
      <w:r w:rsidRPr="00A340FA">
        <w:rPr>
          <w:rFonts w:ascii="Arial" w:hAnsi="Arial" w:cs="Arial"/>
        </w:rPr>
        <w:t xml:space="preserve"> </w:t>
      </w:r>
      <w:r w:rsidR="00917819" w:rsidRPr="00917819">
        <w:rPr>
          <w:rFonts w:ascii="Arial" w:hAnsi="Arial" w:cs="Arial"/>
          <w:i/>
          <w:iCs/>
          <w:lang w:val="en-US"/>
        </w:rPr>
        <w:t>De</w:t>
      </w:r>
      <w:r w:rsidR="00917819">
        <w:rPr>
          <w:rFonts w:ascii="Arial" w:hAnsi="Arial" w:cs="Arial"/>
          <w:i/>
          <w:iCs/>
          <w:lang w:val="en-US"/>
        </w:rPr>
        <w:t>idamia Achilli</w:t>
      </w:r>
      <w:r w:rsidR="00917819">
        <w:rPr>
          <w:rFonts w:ascii="Arial" w:hAnsi="Arial" w:cs="Arial"/>
          <w:lang w:val="en-US"/>
        </w:rPr>
        <w:t xml:space="preserve">. </w:t>
      </w:r>
      <w:r w:rsidRPr="00A340FA">
        <w:rPr>
          <w:rFonts w:ascii="Arial" w:hAnsi="Arial" w:cs="Arial"/>
          <w:lang w:val="en-US"/>
        </w:rPr>
        <w:t>53-54</w:t>
      </w:r>
      <w:r w:rsidR="00917819">
        <w:rPr>
          <w:rFonts w:ascii="Arial" w:hAnsi="Arial" w:cs="Arial"/>
          <w:lang w:val="en-US"/>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8A791E"/>
    <w:multiLevelType w:val="multilevel"/>
    <w:tmpl w:val="79B0D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986"/>
    <w:rsid w:val="000077E3"/>
    <w:rsid w:val="00037BE4"/>
    <w:rsid w:val="00097DAE"/>
    <w:rsid w:val="000A464E"/>
    <w:rsid w:val="000B79F8"/>
    <w:rsid w:val="0012410C"/>
    <w:rsid w:val="00150135"/>
    <w:rsid w:val="00165339"/>
    <w:rsid w:val="00192B0D"/>
    <w:rsid w:val="001A643A"/>
    <w:rsid w:val="00212367"/>
    <w:rsid w:val="0022278C"/>
    <w:rsid w:val="00261B62"/>
    <w:rsid w:val="002A0D92"/>
    <w:rsid w:val="002F3570"/>
    <w:rsid w:val="00305F64"/>
    <w:rsid w:val="00321AEF"/>
    <w:rsid w:val="00334846"/>
    <w:rsid w:val="003E7FB0"/>
    <w:rsid w:val="0040586B"/>
    <w:rsid w:val="004262DA"/>
    <w:rsid w:val="00465F4A"/>
    <w:rsid w:val="00470340"/>
    <w:rsid w:val="004A09A8"/>
    <w:rsid w:val="004A664B"/>
    <w:rsid w:val="004E206D"/>
    <w:rsid w:val="005505BC"/>
    <w:rsid w:val="005A0DB8"/>
    <w:rsid w:val="005A62BE"/>
    <w:rsid w:val="005A7505"/>
    <w:rsid w:val="005B2392"/>
    <w:rsid w:val="005C188A"/>
    <w:rsid w:val="00634204"/>
    <w:rsid w:val="0068532C"/>
    <w:rsid w:val="006953B2"/>
    <w:rsid w:val="00696C01"/>
    <w:rsid w:val="006A3C69"/>
    <w:rsid w:val="006B73EC"/>
    <w:rsid w:val="0072459D"/>
    <w:rsid w:val="00752BE8"/>
    <w:rsid w:val="007C2DD7"/>
    <w:rsid w:val="00803372"/>
    <w:rsid w:val="00810D1A"/>
    <w:rsid w:val="00862294"/>
    <w:rsid w:val="0087324A"/>
    <w:rsid w:val="008A600C"/>
    <w:rsid w:val="008B6B41"/>
    <w:rsid w:val="00917819"/>
    <w:rsid w:val="00976C15"/>
    <w:rsid w:val="009861A1"/>
    <w:rsid w:val="0099626F"/>
    <w:rsid w:val="009F30E8"/>
    <w:rsid w:val="00A340FA"/>
    <w:rsid w:val="00A707DC"/>
    <w:rsid w:val="00A866CB"/>
    <w:rsid w:val="00AE1275"/>
    <w:rsid w:val="00AF0751"/>
    <w:rsid w:val="00B233D6"/>
    <w:rsid w:val="00B808E9"/>
    <w:rsid w:val="00BE1A4B"/>
    <w:rsid w:val="00BF60A4"/>
    <w:rsid w:val="00C349F7"/>
    <w:rsid w:val="00C76B6E"/>
    <w:rsid w:val="00CA43E1"/>
    <w:rsid w:val="00CE05CB"/>
    <w:rsid w:val="00CF743F"/>
    <w:rsid w:val="00D50E57"/>
    <w:rsid w:val="00D773A8"/>
    <w:rsid w:val="00D77F60"/>
    <w:rsid w:val="00DA06CC"/>
    <w:rsid w:val="00DB2184"/>
    <w:rsid w:val="00DF6882"/>
    <w:rsid w:val="00E07944"/>
    <w:rsid w:val="00E62DB8"/>
    <w:rsid w:val="00E83C5E"/>
    <w:rsid w:val="00E86761"/>
    <w:rsid w:val="00EC5EBF"/>
    <w:rsid w:val="00ED4DD3"/>
    <w:rsid w:val="00EE306A"/>
    <w:rsid w:val="00EE6257"/>
    <w:rsid w:val="00EF1DA7"/>
    <w:rsid w:val="00EF3F1E"/>
    <w:rsid w:val="00F10E4B"/>
    <w:rsid w:val="00F148D3"/>
    <w:rsid w:val="00F3115C"/>
    <w:rsid w:val="00F31A8C"/>
    <w:rsid w:val="00F52514"/>
    <w:rsid w:val="00F66BA2"/>
    <w:rsid w:val="00F67ED4"/>
    <w:rsid w:val="00F75DD9"/>
    <w:rsid w:val="00FC01E1"/>
    <w:rsid w:val="00FD0414"/>
    <w:rsid w:val="00FD3A06"/>
    <w:rsid w:val="00FF39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37CBA"/>
  <w15:chartTrackingRefBased/>
  <w15:docId w15:val="{F5E9BF3E-748E-45D5-A46F-0887788628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39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3986"/>
  </w:style>
  <w:style w:type="paragraph" w:styleId="Footer">
    <w:name w:val="footer"/>
    <w:basedOn w:val="Normal"/>
    <w:link w:val="FooterChar"/>
    <w:uiPriority w:val="99"/>
    <w:unhideWhenUsed/>
    <w:rsid w:val="00FF39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3986"/>
  </w:style>
  <w:style w:type="paragraph" w:styleId="FootnoteText">
    <w:name w:val="footnote text"/>
    <w:basedOn w:val="Normal"/>
    <w:link w:val="FootnoteTextChar"/>
    <w:uiPriority w:val="99"/>
    <w:semiHidden/>
    <w:unhideWhenUsed/>
    <w:rsid w:val="005505B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505BC"/>
    <w:rPr>
      <w:sz w:val="20"/>
      <w:szCs w:val="20"/>
    </w:rPr>
  </w:style>
  <w:style w:type="character" w:styleId="FootnoteReference">
    <w:name w:val="footnote reference"/>
    <w:basedOn w:val="DefaultParagraphFont"/>
    <w:uiPriority w:val="99"/>
    <w:semiHidden/>
    <w:unhideWhenUsed/>
    <w:rsid w:val="005505B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6999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A16597-D459-4CD3-955C-75068F8647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2075</TotalTime>
  <Pages>5</Pages>
  <Words>1396</Words>
  <Characters>7962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Hardy</dc:creator>
  <cp:keywords/>
  <dc:description/>
  <cp:lastModifiedBy>Ruth Hardy</cp:lastModifiedBy>
  <cp:revision>16</cp:revision>
  <dcterms:created xsi:type="dcterms:W3CDTF">2020-01-17T14:14:00Z</dcterms:created>
  <dcterms:modified xsi:type="dcterms:W3CDTF">2020-01-20T21:19:00Z</dcterms:modified>
</cp:coreProperties>
</file>