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79357" w14:textId="3BFDB0A9" w:rsidR="00D84CA3" w:rsidRDefault="00B705AF" w:rsidP="00FB1DBA">
      <w:pPr>
        <w:pStyle w:val="Title"/>
        <w:rPr>
          <w:sz w:val="28"/>
          <w:szCs w:val="28"/>
        </w:rPr>
      </w:pPr>
      <w:r>
        <w:rPr>
          <w:noProof/>
        </w:rPr>
        <w:drawing>
          <wp:inline distT="0" distB="0" distL="0" distR="0" wp14:anchorId="0E6F1D29" wp14:editId="57BE7899">
            <wp:extent cx="2397760" cy="1100566"/>
            <wp:effectExtent l="0" t="0" r="2540" b="0"/>
            <wp:docPr id="259434459"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59434459"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2444185" cy="1121875"/>
                    </a:xfrm>
                    <a:prstGeom prst="rect">
                      <a:avLst/>
                    </a:prstGeom>
                    <a:noFill/>
                    <a:ln>
                      <a:noFill/>
                    </a:ln>
                  </pic:spPr>
                </pic:pic>
              </a:graphicData>
            </a:graphic>
          </wp:inline>
        </w:drawing>
      </w:r>
    </w:p>
    <w:p w14:paraId="0A22729E" w14:textId="77777777" w:rsidR="00B705AF" w:rsidRDefault="00B705AF" w:rsidP="00B705AF"/>
    <w:sdt>
      <w:sdtPr>
        <w:rPr>
          <w:rFonts w:asciiTheme="majorHAnsi" w:eastAsiaTheme="majorEastAsia" w:hAnsiTheme="majorHAnsi" w:cstheme="majorBidi"/>
          <w:b/>
          <w:bCs/>
          <w:caps/>
          <w:color w:val="1F497D" w:themeColor="text2"/>
          <w:sz w:val="24"/>
          <w:szCs w:val="24"/>
          <w:lang w:val="en-GB"/>
        </w:rPr>
        <w:alias w:val="Title"/>
        <w:id w:val="797192764"/>
        <w:dataBinding w:prefixMappings="xmlns:ns0='http://purl.org/dc/elements/1.1/' xmlns:ns1='http://schemas.openxmlformats.org/package/2006/metadata/core-properties' " w:xpath="/ns1:coreProperties[1]/ns0:title[1]" w:storeItemID="{6C3C8BC8-F283-45AE-878A-BAB7291924A1}"/>
        <w:text/>
      </w:sdtPr>
      <w:sdtContent>
        <w:p w14:paraId="2A04A956" w14:textId="7D7D251B" w:rsidR="006C7D21" w:rsidRPr="00547BA9" w:rsidRDefault="00465A6F" w:rsidP="006C7D21">
          <w:pPr>
            <w:pStyle w:val="NoSpacing"/>
            <w:rPr>
              <w:rFonts w:asciiTheme="majorHAnsi" w:eastAsiaTheme="majorEastAsia" w:hAnsiTheme="majorHAnsi" w:cstheme="majorBidi"/>
              <w:b/>
              <w:bCs/>
              <w:caps/>
              <w:color w:val="1F497D" w:themeColor="text2"/>
              <w:sz w:val="24"/>
              <w:szCs w:val="24"/>
            </w:rPr>
          </w:pPr>
          <w:r>
            <w:rPr>
              <w:rFonts w:asciiTheme="majorHAnsi" w:eastAsiaTheme="majorEastAsia" w:hAnsiTheme="majorHAnsi" w:cstheme="majorBidi"/>
              <w:b/>
              <w:bCs/>
              <w:caps/>
              <w:color w:val="1F497D" w:themeColor="text2"/>
              <w:sz w:val="24"/>
              <w:szCs w:val="24"/>
              <w:lang w:val="en-GB"/>
            </w:rPr>
            <w:t>Building Services and Energy</w:t>
          </w:r>
        </w:p>
      </w:sdtContent>
    </w:sdt>
    <w:p w14:paraId="0FE10E14" w14:textId="6AB384B8" w:rsidR="006C7D21" w:rsidRPr="008D6D33" w:rsidRDefault="00A908A4" w:rsidP="006C7D21">
      <w:pPr>
        <w:pStyle w:val="NoSpacing"/>
        <w:spacing w:before="120"/>
        <w:rPr>
          <w:rFonts w:asciiTheme="majorHAnsi" w:hAnsiTheme="majorHAnsi"/>
          <w:b/>
          <w:bCs/>
          <w:noProof/>
          <w:color w:val="1F497D" w:themeColor="text2"/>
          <w:sz w:val="24"/>
          <w:szCs w:val="24"/>
        </w:rPr>
      </w:pPr>
      <w:sdt>
        <w:sdtPr>
          <w:rPr>
            <w:rFonts w:asciiTheme="majorHAnsi" w:hAnsiTheme="majorHAnsi"/>
            <w:b/>
            <w:bCs/>
            <w:color w:val="1F497D" w:themeColor="text2"/>
            <w:sz w:val="24"/>
            <w:szCs w:val="24"/>
          </w:rPr>
          <w:alias w:val="Subtitle"/>
          <w:id w:val="2021743002"/>
          <w:dataBinding w:prefixMappings="xmlns:ns0='http://purl.org/dc/elements/1.1/' xmlns:ns1='http://schemas.openxmlformats.org/package/2006/metadata/core-properties' " w:xpath="/ns1:coreProperties[1]/ns0:subject[1]" w:storeItemID="{6C3C8BC8-F283-45AE-878A-BAB7291924A1}"/>
          <w:text/>
        </w:sdtPr>
        <w:sdtContent>
          <w:r w:rsidRPr="008D6D33">
            <w:rPr>
              <w:rFonts w:asciiTheme="majorHAnsi" w:hAnsiTheme="majorHAnsi"/>
              <w:b/>
              <w:bCs/>
              <w:color w:val="1F497D" w:themeColor="text2"/>
              <w:sz w:val="24"/>
              <w:szCs w:val="24"/>
            </w:rPr>
            <w:t>MSc Property and Facilities Management</w:t>
          </w:r>
        </w:sdtContent>
      </w:sdt>
      <w:r w:rsidR="006C7D21" w:rsidRPr="008D6D33">
        <w:rPr>
          <w:rFonts w:asciiTheme="majorHAnsi" w:hAnsiTheme="majorHAnsi"/>
          <w:b/>
          <w:bCs/>
          <w:noProof/>
          <w:color w:val="1F497D" w:themeColor="text2"/>
          <w:sz w:val="24"/>
          <w:szCs w:val="24"/>
        </w:rPr>
        <w:t xml:space="preserve"> </w:t>
      </w:r>
    </w:p>
    <w:p w14:paraId="47E5D3D5" w14:textId="332D7B01" w:rsidR="006C7D21" w:rsidRPr="0051159F" w:rsidRDefault="006C7D21" w:rsidP="006C7D21">
      <w:pPr>
        <w:pStyle w:val="NoSpacing"/>
        <w:spacing w:before="120"/>
        <w:rPr>
          <w:rFonts w:asciiTheme="majorHAnsi" w:hAnsiTheme="majorHAnsi" w:cstheme="majorHAnsi"/>
          <w:b/>
          <w:bCs/>
          <w:color w:val="1F497D" w:themeColor="text2"/>
          <w:sz w:val="24"/>
          <w:szCs w:val="24"/>
        </w:rPr>
      </w:pPr>
      <w:r w:rsidRPr="0051159F">
        <w:rPr>
          <w:rFonts w:asciiTheme="majorHAnsi" w:hAnsiTheme="majorHAnsi" w:cstheme="majorHAnsi"/>
          <w:b/>
          <w:bCs/>
          <w:color w:val="1F497D" w:themeColor="text2"/>
          <w:sz w:val="24"/>
          <w:szCs w:val="24"/>
        </w:rPr>
        <w:t xml:space="preserve">Module: </w:t>
      </w:r>
      <w:r w:rsidR="00F61179" w:rsidRPr="00F61179">
        <w:rPr>
          <w:rFonts w:asciiTheme="majorHAnsi" w:hAnsiTheme="majorHAnsi" w:cstheme="majorHAnsi"/>
          <w:b/>
          <w:bCs/>
          <w:color w:val="1F497D" w:themeColor="text2"/>
          <w:sz w:val="24"/>
          <w:szCs w:val="24"/>
        </w:rPr>
        <w:t>Services &amp; Energy Performance of Buildings</w:t>
      </w:r>
    </w:p>
    <w:p w14:paraId="56FC5F8E" w14:textId="3A309622" w:rsidR="006C7D21" w:rsidRPr="0051159F" w:rsidRDefault="006C7D21" w:rsidP="006C7D21">
      <w:pPr>
        <w:pStyle w:val="NoSpacing"/>
        <w:spacing w:before="120"/>
        <w:rPr>
          <w:rFonts w:asciiTheme="majorHAnsi" w:hAnsiTheme="majorHAnsi" w:cstheme="majorHAnsi"/>
          <w:b/>
          <w:bCs/>
          <w:color w:val="1F497D" w:themeColor="text2"/>
          <w:sz w:val="24"/>
          <w:szCs w:val="24"/>
        </w:rPr>
      </w:pPr>
      <w:r w:rsidRPr="0051159F">
        <w:rPr>
          <w:rFonts w:asciiTheme="majorHAnsi" w:hAnsiTheme="majorHAnsi" w:cstheme="majorHAnsi"/>
          <w:b/>
          <w:bCs/>
          <w:color w:val="1F497D" w:themeColor="text2"/>
          <w:sz w:val="24"/>
          <w:szCs w:val="24"/>
        </w:rPr>
        <w:t xml:space="preserve">Module Code: </w:t>
      </w:r>
      <w:r w:rsidR="00BD2ED6" w:rsidRPr="00BD2ED6">
        <w:rPr>
          <w:rFonts w:asciiTheme="majorHAnsi" w:hAnsiTheme="majorHAnsi" w:cstheme="majorHAnsi"/>
          <w:b/>
          <w:bCs/>
          <w:color w:val="1F497D" w:themeColor="text2"/>
          <w:sz w:val="24"/>
          <w:szCs w:val="24"/>
        </w:rPr>
        <w:t>M7X01813</w:t>
      </w:r>
    </w:p>
    <w:p w14:paraId="2AEAA7E0" w14:textId="3A105DB6" w:rsidR="006C7D21" w:rsidRPr="0051159F" w:rsidRDefault="006C7D21" w:rsidP="006C7D21">
      <w:pPr>
        <w:pStyle w:val="NoSpacing"/>
        <w:spacing w:before="120"/>
        <w:rPr>
          <w:rFonts w:asciiTheme="majorHAnsi" w:hAnsiTheme="majorHAnsi" w:cstheme="majorHAnsi"/>
          <w:b/>
          <w:bCs/>
          <w:color w:val="1F497D" w:themeColor="text2"/>
          <w:sz w:val="24"/>
          <w:szCs w:val="24"/>
        </w:rPr>
      </w:pPr>
      <w:r w:rsidRPr="0051159F">
        <w:rPr>
          <w:rFonts w:asciiTheme="majorHAnsi" w:hAnsiTheme="majorHAnsi" w:cstheme="majorHAnsi"/>
          <w:b/>
          <w:bCs/>
          <w:color w:val="1F497D" w:themeColor="text2"/>
          <w:sz w:val="24"/>
          <w:szCs w:val="24"/>
        </w:rPr>
        <w:t xml:space="preserve">Lecturer: </w:t>
      </w:r>
      <w:r w:rsidR="0034757A" w:rsidRPr="0034757A">
        <w:rPr>
          <w:rFonts w:asciiTheme="majorHAnsi" w:hAnsiTheme="majorHAnsi" w:cstheme="majorHAnsi"/>
          <w:b/>
          <w:bCs/>
          <w:color w:val="1F497D" w:themeColor="text2"/>
          <w:sz w:val="24"/>
          <w:szCs w:val="24"/>
        </w:rPr>
        <w:t>Alun Watkins</w:t>
      </w:r>
    </w:p>
    <w:p w14:paraId="0736F553" w14:textId="77777777" w:rsidR="006C7D21" w:rsidRPr="0051159F" w:rsidRDefault="006C7D21" w:rsidP="006C7D21">
      <w:pPr>
        <w:pStyle w:val="NoSpacing"/>
        <w:spacing w:before="120"/>
        <w:rPr>
          <w:rFonts w:asciiTheme="majorHAnsi" w:hAnsiTheme="majorHAnsi" w:cstheme="majorHAnsi"/>
          <w:b/>
          <w:bCs/>
          <w:color w:val="1F497D" w:themeColor="text2"/>
          <w:sz w:val="24"/>
          <w:szCs w:val="24"/>
        </w:rPr>
      </w:pPr>
      <w:r w:rsidRPr="0051159F">
        <w:rPr>
          <w:rFonts w:asciiTheme="majorHAnsi" w:hAnsiTheme="majorHAnsi" w:cstheme="majorHAnsi"/>
          <w:b/>
          <w:bCs/>
          <w:color w:val="1F497D" w:themeColor="text2"/>
          <w:sz w:val="24"/>
          <w:szCs w:val="24"/>
        </w:rPr>
        <w:t>Student Name: Alvin Nyanga     Student Number: 2023579</w:t>
      </w:r>
    </w:p>
    <w:p w14:paraId="394333DD" w14:textId="4672C002" w:rsidR="007D346F" w:rsidRDefault="007D346F" w:rsidP="00B705AF"/>
    <w:p w14:paraId="2AC3B90F" w14:textId="77777777" w:rsidR="00F305E3" w:rsidRDefault="00F305E3" w:rsidP="00B705AF"/>
    <w:p w14:paraId="47B0B3E0" w14:textId="77777777" w:rsidR="00F305E3" w:rsidRDefault="00F305E3" w:rsidP="00B705AF">
      <w:pPr>
        <w:rPr>
          <w:rFonts w:asciiTheme="majorHAnsi" w:hAnsiTheme="majorHAnsi"/>
          <w:b/>
          <w:bCs/>
          <w:color w:val="1F497D" w:themeColor="text2"/>
          <w:sz w:val="24"/>
          <w:szCs w:val="24"/>
        </w:rPr>
      </w:pPr>
    </w:p>
    <w:p w14:paraId="63CED141" w14:textId="7EBAB311" w:rsidR="001A15B1" w:rsidRPr="00C92944" w:rsidRDefault="001A15B1" w:rsidP="00B705AF">
      <w:pPr>
        <w:rPr>
          <w:rFonts w:asciiTheme="majorHAnsi" w:hAnsiTheme="majorHAnsi"/>
          <w:b/>
          <w:bCs/>
          <w:color w:val="1F497D" w:themeColor="text2"/>
          <w:sz w:val="24"/>
          <w:szCs w:val="24"/>
        </w:rPr>
      </w:pPr>
      <w:r>
        <w:rPr>
          <w:rFonts w:asciiTheme="majorHAnsi" w:hAnsiTheme="majorHAnsi"/>
          <w:b/>
          <w:bCs/>
          <w:color w:val="1F497D" w:themeColor="text2"/>
          <w:sz w:val="24"/>
          <w:szCs w:val="24"/>
        </w:rPr>
        <w:t>Case Study:</w:t>
      </w:r>
      <w:r w:rsidR="00E066CA">
        <w:rPr>
          <w:rFonts w:asciiTheme="majorHAnsi" w:hAnsiTheme="majorHAnsi"/>
          <w:b/>
          <w:bCs/>
          <w:color w:val="1F497D" w:themeColor="text2"/>
          <w:sz w:val="24"/>
          <w:szCs w:val="24"/>
        </w:rPr>
        <w:t xml:space="preserve"> ALEX Building</w:t>
      </w:r>
      <w:r w:rsidR="005E4DBC">
        <w:rPr>
          <w:rFonts w:asciiTheme="majorHAnsi" w:hAnsiTheme="majorHAnsi"/>
          <w:b/>
          <w:bCs/>
          <w:color w:val="1F497D" w:themeColor="text2"/>
          <w:sz w:val="24"/>
          <w:szCs w:val="24"/>
        </w:rPr>
        <w:t xml:space="preserve"> University of Wales Trini</w:t>
      </w:r>
      <w:r w:rsidR="006B1B6D">
        <w:rPr>
          <w:rFonts w:asciiTheme="majorHAnsi" w:hAnsiTheme="majorHAnsi"/>
          <w:b/>
          <w:bCs/>
          <w:color w:val="1F497D" w:themeColor="text2"/>
          <w:sz w:val="24"/>
          <w:szCs w:val="24"/>
        </w:rPr>
        <w:t>ty Saint David</w:t>
      </w:r>
    </w:p>
    <w:p w14:paraId="5BB10D12" w14:textId="6AF88B38" w:rsidR="001B7091" w:rsidRDefault="001B7091" w:rsidP="00456CF4">
      <w:pPr>
        <w:pStyle w:val="Title"/>
        <w:rPr>
          <w:rFonts w:ascii="Times New Roman" w:hAnsi="Times New Roman" w:cs="Times New Roman"/>
          <w:b/>
          <w:bCs/>
          <w:sz w:val="28"/>
          <w:szCs w:val="28"/>
        </w:rPr>
      </w:pPr>
    </w:p>
    <w:p w14:paraId="53EA2732" w14:textId="13F6F23E" w:rsidR="00967DDE" w:rsidRPr="000771AA" w:rsidRDefault="001B7091" w:rsidP="000771AA">
      <w:pPr>
        <w:rPr>
          <w:rFonts w:ascii="Times New Roman" w:eastAsiaTheme="majorEastAsia" w:hAnsi="Times New Roman" w:cs="Times New Roman"/>
          <w:b/>
          <w:bCs/>
          <w:spacing w:val="-10"/>
          <w:kern w:val="28"/>
          <w:sz w:val="28"/>
          <w:szCs w:val="28"/>
        </w:rPr>
      </w:pPr>
      <w:r>
        <w:rPr>
          <w:rFonts w:ascii="Times New Roman" w:hAnsi="Times New Roman" w:cs="Times New Roman"/>
          <w:b/>
          <w:bCs/>
          <w:sz w:val="28"/>
          <w:szCs w:val="28"/>
        </w:rPr>
        <w:br w:type="page"/>
      </w:r>
    </w:p>
    <w:p w14:paraId="715DAEC5" w14:textId="77777777" w:rsidR="00D678CB" w:rsidRDefault="00D678CB">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Contents</w:t>
      </w:r>
    </w:p>
    <w:p w14:paraId="382FF7B9" w14:textId="073C2DE7" w:rsidR="00D678CB" w:rsidRPr="00A140CA" w:rsidRDefault="00D678CB" w:rsidP="00A140CA">
      <w:pPr>
        <w:pStyle w:val="TOC1"/>
        <w:tabs>
          <w:tab w:val="right" w:pos="9016"/>
        </w:tabs>
        <w:spacing w:line="720" w:lineRule="auto"/>
        <w:rPr>
          <w:rFonts w:eastAsiaTheme="minorEastAsia" w:cstheme="minorBidi"/>
          <w:caps w:val="0"/>
          <w:noProof/>
          <w:u w:val="none"/>
          <w:lang w:eastAsia="en-GB"/>
        </w:rPr>
      </w:pPr>
      <w:r>
        <w:rPr>
          <w:rFonts w:ascii="Times New Roman" w:hAnsi="Times New Roman" w:cs="Times New Roman"/>
          <w:b w:val="0"/>
          <w:bCs w:val="0"/>
          <w:sz w:val="28"/>
          <w:szCs w:val="28"/>
        </w:rPr>
        <w:fldChar w:fldCharType="begin"/>
      </w:r>
      <w:r>
        <w:rPr>
          <w:rFonts w:ascii="Times New Roman" w:hAnsi="Times New Roman" w:cs="Times New Roman"/>
          <w:b w:val="0"/>
          <w:bCs w:val="0"/>
          <w:sz w:val="28"/>
          <w:szCs w:val="28"/>
        </w:rPr>
        <w:instrText xml:space="preserve"> TOC \o \h \z \u </w:instrText>
      </w:r>
      <w:r>
        <w:rPr>
          <w:rFonts w:ascii="Times New Roman" w:hAnsi="Times New Roman" w:cs="Times New Roman"/>
          <w:b w:val="0"/>
          <w:bCs w:val="0"/>
          <w:sz w:val="28"/>
          <w:szCs w:val="28"/>
        </w:rPr>
        <w:fldChar w:fldCharType="separate"/>
      </w:r>
      <w:hyperlink w:anchor="_Toc113456088" w:history="1">
        <w:r w:rsidRPr="00A140CA">
          <w:rPr>
            <w:rStyle w:val="Hyperlink"/>
            <w:noProof/>
          </w:rPr>
          <w:t>Introduction</w:t>
        </w:r>
        <w:r w:rsidRPr="00A140CA">
          <w:rPr>
            <w:noProof/>
            <w:webHidden/>
          </w:rPr>
          <w:tab/>
        </w:r>
        <w:r w:rsidRPr="00A140CA">
          <w:rPr>
            <w:noProof/>
            <w:webHidden/>
          </w:rPr>
          <w:fldChar w:fldCharType="begin"/>
        </w:r>
        <w:r w:rsidRPr="00A140CA">
          <w:rPr>
            <w:noProof/>
            <w:webHidden/>
          </w:rPr>
          <w:instrText xml:space="preserve"> PAGEREF _Toc113456088 \h </w:instrText>
        </w:r>
        <w:r w:rsidRPr="00A140CA">
          <w:rPr>
            <w:noProof/>
            <w:webHidden/>
          </w:rPr>
        </w:r>
        <w:r w:rsidRPr="00A140CA">
          <w:rPr>
            <w:noProof/>
            <w:webHidden/>
          </w:rPr>
          <w:fldChar w:fldCharType="separate"/>
        </w:r>
        <w:r w:rsidRPr="00A140CA">
          <w:rPr>
            <w:noProof/>
            <w:webHidden/>
          </w:rPr>
          <w:t>3</w:t>
        </w:r>
        <w:r w:rsidRPr="00A140CA">
          <w:rPr>
            <w:noProof/>
            <w:webHidden/>
          </w:rPr>
          <w:fldChar w:fldCharType="end"/>
        </w:r>
      </w:hyperlink>
    </w:p>
    <w:p w14:paraId="233F4D4D" w14:textId="3CCA57B0" w:rsidR="00D678CB" w:rsidRPr="00A140CA" w:rsidRDefault="00D678CB" w:rsidP="00A140CA">
      <w:pPr>
        <w:pStyle w:val="TOC2"/>
        <w:tabs>
          <w:tab w:val="right" w:pos="9016"/>
        </w:tabs>
        <w:spacing w:line="720" w:lineRule="auto"/>
        <w:rPr>
          <w:rFonts w:eastAsiaTheme="minorEastAsia" w:cstheme="minorBidi"/>
          <w:smallCaps w:val="0"/>
          <w:noProof/>
          <w:lang w:eastAsia="en-GB"/>
        </w:rPr>
      </w:pPr>
      <w:hyperlink w:anchor="_Toc113456089" w:history="1">
        <w:r w:rsidRPr="00A140CA">
          <w:rPr>
            <w:rStyle w:val="Hyperlink"/>
            <w:noProof/>
          </w:rPr>
          <w:t>Thermal comfort strategy</w:t>
        </w:r>
        <w:r w:rsidRPr="00A140CA">
          <w:rPr>
            <w:noProof/>
            <w:webHidden/>
          </w:rPr>
          <w:tab/>
        </w:r>
        <w:r w:rsidRPr="00A140CA">
          <w:rPr>
            <w:noProof/>
            <w:webHidden/>
          </w:rPr>
          <w:fldChar w:fldCharType="begin"/>
        </w:r>
        <w:r w:rsidRPr="00A140CA">
          <w:rPr>
            <w:noProof/>
            <w:webHidden/>
          </w:rPr>
          <w:instrText xml:space="preserve"> PAGEREF _Toc113456089 \h </w:instrText>
        </w:r>
        <w:r w:rsidRPr="00A140CA">
          <w:rPr>
            <w:noProof/>
            <w:webHidden/>
          </w:rPr>
        </w:r>
        <w:r w:rsidRPr="00A140CA">
          <w:rPr>
            <w:noProof/>
            <w:webHidden/>
          </w:rPr>
          <w:fldChar w:fldCharType="separate"/>
        </w:r>
        <w:r w:rsidRPr="00A140CA">
          <w:rPr>
            <w:noProof/>
            <w:webHidden/>
          </w:rPr>
          <w:t>4</w:t>
        </w:r>
        <w:r w:rsidRPr="00A140CA">
          <w:rPr>
            <w:noProof/>
            <w:webHidden/>
          </w:rPr>
          <w:fldChar w:fldCharType="end"/>
        </w:r>
      </w:hyperlink>
    </w:p>
    <w:p w14:paraId="4E853553" w14:textId="4109930F" w:rsidR="00D678CB" w:rsidRPr="00A140CA" w:rsidRDefault="00D678CB" w:rsidP="00A140CA">
      <w:pPr>
        <w:pStyle w:val="TOC3"/>
        <w:tabs>
          <w:tab w:val="right" w:pos="9016"/>
        </w:tabs>
        <w:spacing w:line="720" w:lineRule="auto"/>
        <w:rPr>
          <w:rFonts w:eastAsiaTheme="minorEastAsia" w:cstheme="minorBidi"/>
          <w:b/>
          <w:bCs/>
          <w:smallCaps w:val="0"/>
          <w:noProof/>
          <w:lang w:eastAsia="en-GB"/>
        </w:rPr>
      </w:pPr>
      <w:hyperlink w:anchor="_Toc113456090" w:history="1">
        <w:r w:rsidRPr="00A140CA">
          <w:rPr>
            <w:rStyle w:val="Hyperlink"/>
            <w:b/>
            <w:bCs/>
            <w:noProof/>
          </w:rPr>
          <w:t>Building fabric</w:t>
        </w:r>
        <w:r w:rsidRPr="00A140CA">
          <w:rPr>
            <w:b/>
            <w:bCs/>
            <w:noProof/>
            <w:webHidden/>
          </w:rPr>
          <w:tab/>
        </w:r>
        <w:r w:rsidRPr="00A140CA">
          <w:rPr>
            <w:b/>
            <w:bCs/>
            <w:noProof/>
            <w:webHidden/>
          </w:rPr>
          <w:fldChar w:fldCharType="begin"/>
        </w:r>
        <w:r w:rsidRPr="00A140CA">
          <w:rPr>
            <w:b/>
            <w:bCs/>
            <w:noProof/>
            <w:webHidden/>
          </w:rPr>
          <w:instrText xml:space="preserve"> PAGEREF _Toc113456090 \h </w:instrText>
        </w:r>
        <w:r w:rsidRPr="00A140CA">
          <w:rPr>
            <w:b/>
            <w:bCs/>
            <w:noProof/>
            <w:webHidden/>
          </w:rPr>
        </w:r>
        <w:r w:rsidRPr="00A140CA">
          <w:rPr>
            <w:b/>
            <w:bCs/>
            <w:noProof/>
            <w:webHidden/>
          </w:rPr>
          <w:fldChar w:fldCharType="separate"/>
        </w:r>
        <w:r w:rsidRPr="00A140CA">
          <w:rPr>
            <w:b/>
            <w:bCs/>
            <w:noProof/>
            <w:webHidden/>
          </w:rPr>
          <w:t>6</w:t>
        </w:r>
        <w:r w:rsidRPr="00A140CA">
          <w:rPr>
            <w:b/>
            <w:bCs/>
            <w:noProof/>
            <w:webHidden/>
          </w:rPr>
          <w:fldChar w:fldCharType="end"/>
        </w:r>
      </w:hyperlink>
    </w:p>
    <w:p w14:paraId="675B8D63" w14:textId="20B84753" w:rsidR="00D678CB" w:rsidRPr="00A140CA" w:rsidRDefault="00D678CB" w:rsidP="00A140CA">
      <w:pPr>
        <w:pStyle w:val="TOC4"/>
        <w:tabs>
          <w:tab w:val="right" w:pos="9016"/>
        </w:tabs>
        <w:spacing w:line="720" w:lineRule="auto"/>
        <w:rPr>
          <w:rFonts w:eastAsiaTheme="minorEastAsia" w:cstheme="minorBidi"/>
          <w:b/>
          <w:bCs/>
          <w:noProof/>
          <w:lang w:eastAsia="en-GB"/>
        </w:rPr>
      </w:pPr>
      <w:hyperlink w:anchor="_Toc113456091" w:history="1">
        <w:r w:rsidRPr="00A140CA">
          <w:rPr>
            <w:rStyle w:val="Hyperlink"/>
            <w:b/>
            <w:bCs/>
            <w:noProof/>
          </w:rPr>
          <w:t>How building services interact</w:t>
        </w:r>
        <w:r w:rsidRPr="00A140CA">
          <w:rPr>
            <w:b/>
            <w:bCs/>
            <w:noProof/>
            <w:webHidden/>
          </w:rPr>
          <w:tab/>
        </w:r>
        <w:r w:rsidRPr="00A140CA">
          <w:rPr>
            <w:b/>
            <w:bCs/>
            <w:noProof/>
            <w:webHidden/>
          </w:rPr>
          <w:fldChar w:fldCharType="begin"/>
        </w:r>
        <w:r w:rsidRPr="00A140CA">
          <w:rPr>
            <w:b/>
            <w:bCs/>
            <w:noProof/>
            <w:webHidden/>
          </w:rPr>
          <w:instrText xml:space="preserve"> PAGEREF _Toc113456091 \h </w:instrText>
        </w:r>
        <w:r w:rsidRPr="00A140CA">
          <w:rPr>
            <w:b/>
            <w:bCs/>
            <w:noProof/>
            <w:webHidden/>
          </w:rPr>
        </w:r>
        <w:r w:rsidRPr="00A140CA">
          <w:rPr>
            <w:b/>
            <w:bCs/>
            <w:noProof/>
            <w:webHidden/>
          </w:rPr>
          <w:fldChar w:fldCharType="separate"/>
        </w:r>
        <w:r w:rsidRPr="00A140CA">
          <w:rPr>
            <w:b/>
            <w:bCs/>
            <w:noProof/>
            <w:webHidden/>
          </w:rPr>
          <w:t>8</w:t>
        </w:r>
        <w:r w:rsidRPr="00A140CA">
          <w:rPr>
            <w:b/>
            <w:bCs/>
            <w:noProof/>
            <w:webHidden/>
          </w:rPr>
          <w:fldChar w:fldCharType="end"/>
        </w:r>
      </w:hyperlink>
    </w:p>
    <w:p w14:paraId="3E4BFFCF" w14:textId="06CF560E" w:rsidR="00D678CB" w:rsidRPr="00A140CA" w:rsidRDefault="00D678CB" w:rsidP="00A140CA">
      <w:pPr>
        <w:pStyle w:val="TOC5"/>
        <w:tabs>
          <w:tab w:val="right" w:pos="9016"/>
        </w:tabs>
        <w:spacing w:line="720" w:lineRule="auto"/>
        <w:rPr>
          <w:rFonts w:eastAsiaTheme="minorEastAsia" w:cstheme="minorBidi"/>
          <w:b/>
          <w:bCs/>
          <w:noProof/>
          <w:lang w:eastAsia="en-GB"/>
        </w:rPr>
      </w:pPr>
      <w:hyperlink w:anchor="_Toc113456092" w:history="1">
        <w:r w:rsidRPr="00A140CA">
          <w:rPr>
            <w:rStyle w:val="Hyperlink"/>
            <w:b/>
            <w:bCs/>
            <w:noProof/>
          </w:rPr>
          <w:t>Apparent defects or maintenance issues</w:t>
        </w:r>
        <w:r w:rsidRPr="00A140CA">
          <w:rPr>
            <w:b/>
            <w:bCs/>
            <w:noProof/>
            <w:webHidden/>
          </w:rPr>
          <w:tab/>
        </w:r>
        <w:r w:rsidRPr="00A140CA">
          <w:rPr>
            <w:b/>
            <w:bCs/>
            <w:noProof/>
            <w:webHidden/>
          </w:rPr>
          <w:fldChar w:fldCharType="begin"/>
        </w:r>
        <w:r w:rsidRPr="00A140CA">
          <w:rPr>
            <w:b/>
            <w:bCs/>
            <w:noProof/>
            <w:webHidden/>
          </w:rPr>
          <w:instrText xml:space="preserve"> PAGEREF _Toc113456092 \h </w:instrText>
        </w:r>
        <w:r w:rsidRPr="00A140CA">
          <w:rPr>
            <w:b/>
            <w:bCs/>
            <w:noProof/>
            <w:webHidden/>
          </w:rPr>
        </w:r>
        <w:r w:rsidRPr="00A140CA">
          <w:rPr>
            <w:b/>
            <w:bCs/>
            <w:noProof/>
            <w:webHidden/>
          </w:rPr>
          <w:fldChar w:fldCharType="separate"/>
        </w:r>
        <w:r w:rsidRPr="00A140CA">
          <w:rPr>
            <w:b/>
            <w:bCs/>
            <w:noProof/>
            <w:webHidden/>
          </w:rPr>
          <w:t>9</w:t>
        </w:r>
        <w:r w:rsidRPr="00A140CA">
          <w:rPr>
            <w:b/>
            <w:bCs/>
            <w:noProof/>
            <w:webHidden/>
          </w:rPr>
          <w:fldChar w:fldCharType="end"/>
        </w:r>
      </w:hyperlink>
    </w:p>
    <w:p w14:paraId="04A170CF" w14:textId="4BEBDAC4" w:rsidR="00D678CB" w:rsidRPr="00A140CA" w:rsidRDefault="00D678CB" w:rsidP="00A140CA">
      <w:pPr>
        <w:pStyle w:val="TOC6"/>
        <w:tabs>
          <w:tab w:val="right" w:pos="9016"/>
        </w:tabs>
        <w:spacing w:line="720" w:lineRule="auto"/>
        <w:rPr>
          <w:rFonts w:eastAsiaTheme="minorEastAsia" w:cstheme="minorBidi"/>
          <w:b/>
          <w:bCs/>
          <w:noProof/>
          <w:lang w:eastAsia="en-GB"/>
        </w:rPr>
      </w:pPr>
      <w:hyperlink w:anchor="_Toc113456093" w:history="1">
        <w:r w:rsidRPr="00A140CA">
          <w:rPr>
            <w:rStyle w:val="Hyperlink"/>
            <w:b/>
            <w:bCs/>
            <w:noProof/>
          </w:rPr>
          <w:t>Building energy performance</w:t>
        </w:r>
        <w:r w:rsidRPr="00A140CA">
          <w:rPr>
            <w:b/>
            <w:bCs/>
            <w:noProof/>
            <w:webHidden/>
          </w:rPr>
          <w:tab/>
        </w:r>
        <w:r w:rsidRPr="00A140CA">
          <w:rPr>
            <w:b/>
            <w:bCs/>
            <w:noProof/>
            <w:webHidden/>
          </w:rPr>
          <w:fldChar w:fldCharType="begin"/>
        </w:r>
        <w:r w:rsidRPr="00A140CA">
          <w:rPr>
            <w:b/>
            <w:bCs/>
            <w:noProof/>
            <w:webHidden/>
          </w:rPr>
          <w:instrText xml:space="preserve"> PAGEREF _Toc113456093 \h </w:instrText>
        </w:r>
        <w:r w:rsidRPr="00A140CA">
          <w:rPr>
            <w:b/>
            <w:bCs/>
            <w:noProof/>
            <w:webHidden/>
          </w:rPr>
        </w:r>
        <w:r w:rsidRPr="00A140CA">
          <w:rPr>
            <w:b/>
            <w:bCs/>
            <w:noProof/>
            <w:webHidden/>
          </w:rPr>
          <w:fldChar w:fldCharType="separate"/>
        </w:r>
        <w:r w:rsidRPr="00A140CA">
          <w:rPr>
            <w:b/>
            <w:bCs/>
            <w:noProof/>
            <w:webHidden/>
          </w:rPr>
          <w:t>10</w:t>
        </w:r>
        <w:r w:rsidRPr="00A140CA">
          <w:rPr>
            <w:b/>
            <w:bCs/>
            <w:noProof/>
            <w:webHidden/>
          </w:rPr>
          <w:fldChar w:fldCharType="end"/>
        </w:r>
      </w:hyperlink>
    </w:p>
    <w:p w14:paraId="4071690D" w14:textId="6D28CDEC" w:rsidR="00D678CB" w:rsidRPr="00A140CA" w:rsidRDefault="00D678CB" w:rsidP="00A140CA">
      <w:pPr>
        <w:pStyle w:val="TOC7"/>
        <w:tabs>
          <w:tab w:val="right" w:pos="9016"/>
        </w:tabs>
        <w:spacing w:line="720" w:lineRule="auto"/>
        <w:rPr>
          <w:rFonts w:eastAsiaTheme="minorEastAsia" w:cstheme="minorBidi"/>
          <w:b/>
          <w:bCs/>
          <w:noProof/>
          <w:lang w:eastAsia="en-GB"/>
        </w:rPr>
      </w:pPr>
      <w:hyperlink w:anchor="_Toc113456094" w:history="1">
        <w:r w:rsidRPr="00A140CA">
          <w:rPr>
            <w:rStyle w:val="Hyperlink"/>
            <w:b/>
            <w:bCs/>
            <w:noProof/>
          </w:rPr>
          <w:t>Medium-term retrofit plan</w:t>
        </w:r>
        <w:r w:rsidRPr="00A140CA">
          <w:rPr>
            <w:b/>
            <w:bCs/>
            <w:noProof/>
            <w:webHidden/>
          </w:rPr>
          <w:tab/>
        </w:r>
        <w:r w:rsidRPr="00A140CA">
          <w:rPr>
            <w:b/>
            <w:bCs/>
            <w:noProof/>
            <w:webHidden/>
          </w:rPr>
          <w:fldChar w:fldCharType="begin"/>
        </w:r>
        <w:r w:rsidRPr="00A140CA">
          <w:rPr>
            <w:b/>
            <w:bCs/>
            <w:noProof/>
            <w:webHidden/>
          </w:rPr>
          <w:instrText xml:space="preserve"> PAGEREF _Toc113456094 \h </w:instrText>
        </w:r>
        <w:r w:rsidRPr="00A140CA">
          <w:rPr>
            <w:b/>
            <w:bCs/>
            <w:noProof/>
            <w:webHidden/>
          </w:rPr>
        </w:r>
        <w:r w:rsidRPr="00A140CA">
          <w:rPr>
            <w:b/>
            <w:bCs/>
            <w:noProof/>
            <w:webHidden/>
          </w:rPr>
          <w:fldChar w:fldCharType="separate"/>
        </w:r>
        <w:r w:rsidRPr="00A140CA">
          <w:rPr>
            <w:b/>
            <w:bCs/>
            <w:noProof/>
            <w:webHidden/>
          </w:rPr>
          <w:t>13</w:t>
        </w:r>
        <w:r w:rsidRPr="00A140CA">
          <w:rPr>
            <w:b/>
            <w:bCs/>
            <w:noProof/>
            <w:webHidden/>
          </w:rPr>
          <w:fldChar w:fldCharType="end"/>
        </w:r>
      </w:hyperlink>
    </w:p>
    <w:p w14:paraId="59D7E5DF" w14:textId="4E25763E" w:rsidR="00D678CB" w:rsidRPr="00A140CA" w:rsidRDefault="00D678CB" w:rsidP="00A140CA">
      <w:pPr>
        <w:pStyle w:val="TOC8"/>
        <w:tabs>
          <w:tab w:val="right" w:pos="9016"/>
        </w:tabs>
        <w:spacing w:line="720" w:lineRule="auto"/>
        <w:rPr>
          <w:rFonts w:eastAsiaTheme="minorEastAsia" w:cstheme="minorBidi"/>
          <w:b/>
          <w:bCs/>
          <w:noProof/>
          <w:lang w:eastAsia="en-GB"/>
        </w:rPr>
      </w:pPr>
      <w:hyperlink w:anchor="_Toc113456095" w:history="1">
        <w:r w:rsidRPr="00A140CA">
          <w:rPr>
            <w:rStyle w:val="Hyperlink"/>
            <w:b/>
            <w:bCs/>
            <w:noProof/>
          </w:rPr>
          <w:t>Conclusion</w:t>
        </w:r>
        <w:r w:rsidRPr="00A140CA">
          <w:rPr>
            <w:b/>
            <w:bCs/>
            <w:noProof/>
            <w:webHidden/>
          </w:rPr>
          <w:tab/>
        </w:r>
        <w:r w:rsidRPr="00A140CA">
          <w:rPr>
            <w:b/>
            <w:bCs/>
            <w:noProof/>
            <w:webHidden/>
          </w:rPr>
          <w:fldChar w:fldCharType="begin"/>
        </w:r>
        <w:r w:rsidRPr="00A140CA">
          <w:rPr>
            <w:b/>
            <w:bCs/>
            <w:noProof/>
            <w:webHidden/>
          </w:rPr>
          <w:instrText xml:space="preserve"> PAGEREF _Toc113456095 \h </w:instrText>
        </w:r>
        <w:r w:rsidRPr="00A140CA">
          <w:rPr>
            <w:b/>
            <w:bCs/>
            <w:noProof/>
            <w:webHidden/>
          </w:rPr>
        </w:r>
        <w:r w:rsidRPr="00A140CA">
          <w:rPr>
            <w:b/>
            <w:bCs/>
            <w:noProof/>
            <w:webHidden/>
          </w:rPr>
          <w:fldChar w:fldCharType="separate"/>
        </w:r>
        <w:r w:rsidRPr="00A140CA">
          <w:rPr>
            <w:b/>
            <w:bCs/>
            <w:noProof/>
            <w:webHidden/>
          </w:rPr>
          <w:t>18</w:t>
        </w:r>
        <w:r w:rsidRPr="00A140CA">
          <w:rPr>
            <w:b/>
            <w:bCs/>
            <w:noProof/>
            <w:webHidden/>
          </w:rPr>
          <w:fldChar w:fldCharType="end"/>
        </w:r>
      </w:hyperlink>
    </w:p>
    <w:p w14:paraId="4A9A8729" w14:textId="7C0B5ED4" w:rsidR="00D678CB" w:rsidRDefault="00D678CB" w:rsidP="00A140CA">
      <w:pPr>
        <w:pStyle w:val="TOC9"/>
        <w:tabs>
          <w:tab w:val="right" w:pos="9016"/>
        </w:tabs>
        <w:spacing w:line="720" w:lineRule="auto"/>
        <w:rPr>
          <w:rFonts w:eastAsiaTheme="minorEastAsia" w:cstheme="minorBidi"/>
          <w:noProof/>
          <w:lang w:eastAsia="en-GB"/>
        </w:rPr>
      </w:pPr>
      <w:hyperlink w:anchor="_Toc113456096" w:history="1">
        <w:r w:rsidRPr="00A140CA">
          <w:rPr>
            <w:rStyle w:val="Hyperlink"/>
            <w:rFonts w:ascii="Times New Roman" w:hAnsi="Times New Roman" w:cs="Times New Roman"/>
            <w:b/>
            <w:bCs/>
            <w:noProof/>
          </w:rPr>
          <w:t>Reference list</w:t>
        </w:r>
        <w:r w:rsidRPr="00A140CA">
          <w:rPr>
            <w:b/>
            <w:bCs/>
            <w:noProof/>
            <w:webHidden/>
          </w:rPr>
          <w:tab/>
        </w:r>
        <w:r w:rsidRPr="00A140CA">
          <w:rPr>
            <w:b/>
            <w:bCs/>
            <w:noProof/>
            <w:webHidden/>
          </w:rPr>
          <w:fldChar w:fldCharType="begin"/>
        </w:r>
        <w:r w:rsidRPr="00A140CA">
          <w:rPr>
            <w:b/>
            <w:bCs/>
            <w:noProof/>
            <w:webHidden/>
          </w:rPr>
          <w:instrText xml:space="preserve"> PAGEREF _Toc113456096 \h </w:instrText>
        </w:r>
        <w:r w:rsidRPr="00A140CA">
          <w:rPr>
            <w:b/>
            <w:bCs/>
            <w:noProof/>
            <w:webHidden/>
          </w:rPr>
        </w:r>
        <w:r w:rsidRPr="00A140CA">
          <w:rPr>
            <w:b/>
            <w:bCs/>
            <w:noProof/>
            <w:webHidden/>
          </w:rPr>
          <w:fldChar w:fldCharType="separate"/>
        </w:r>
        <w:r w:rsidRPr="00A140CA">
          <w:rPr>
            <w:b/>
            <w:bCs/>
            <w:noProof/>
            <w:webHidden/>
          </w:rPr>
          <w:t>19</w:t>
        </w:r>
        <w:r w:rsidRPr="00A140CA">
          <w:rPr>
            <w:b/>
            <w:bCs/>
            <w:noProof/>
            <w:webHidden/>
          </w:rPr>
          <w:fldChar w:fldCharType="end"/>
        </w:r>
      </w:hyperlink>
    </w:p>
    <w:p w14:paraId="15C711C9" w14:textId="253FFFFF" w:rsidR="00967DDE" w:rsidRDefault="00D678CB">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fldChar w:fldCharType="end"/>
      </w:r>
      <w:r w:rsidR="00000000">
        <w:rPr>
          <w:rFonts w:ascii="Times New Roman" w:hAnsi="Times New Roman" w:cs="Times New Roman"/>
          <w:b/>
          <w:bCs/>
          <w:sz w:val="28"/>
          <w:szCs w:val="28"/>
        </w:rPr>
        <w:br w:type="page"/>
      </w:r>
    </w:p>
    <w:p w14:paraId="11021A66" w14:textId="4682FD81" w:rsidR="00967DDE" w:rsidRPr="003E1467" w:rsidRDefault="00917972" w:rsidP="00133EB4">
      <w:pPr>
        <w:pStyle w:val="Heading1"/>
        <w:rPr>
          <w:rFonts w:ascii="Times New Roman" w:hAnsi="Times New Roman" w:cs="Times New Roman"/>
          <w:b/>
          <w:bCs/>
          <w:sz w:val="24"/>
          <w:szCs w:val="24"/>
        </w:rPr>
      </w:pPr>
      <w:bookmarkStart w:id="0" w:name="_Toc113454595"/>
      <w:bookmarkStart w:id="1" w:name="_Toc113455774"/>
      <w:bookmarkStart w:id="2" w:name="_Toc113455833"/>
      <w:bookmarkStart w:id="3" w:name="_Toc113455989"/>
      <w:bookmarkStart w:id="4" w:name="_Toc113456088"/>
      <w:r w:rsidRPr="003E1467">
        <w:rPr>
          <w:rFonts w:ascii="Times New Roman" w:hAnsi="Times New Roman" w:cs="Times New Roman"/>
          <w:b/>
          <w:bCs/>
          <w:sz w:val="24"/>
          <w:szCs w:val="24"/>
        </w:rPr>
        <w:lastRenderedPageBreak/>
        <w:t>Introduction</w:t>
      </w:r>
      <w:bookmarkEnd w:id="0"/>
      <w:bookmarkEnd w:id="1"/>
      <w:bookmarkEnd w:id="2"/>
      <w:bookmarkEnd w:id="3"/>
      <w:bookmarkEnd w:id="4"/>
    </w:p>
    <w:p w14:paraId="18BB6E62" w14:textId="0E74929D"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ALEX Building, formally the Swansea Central Library." The building in Swansea city centre on </w:t>
      </w:r>
      <w:r>
        <w:rPr>
          <w:rFonts w:ascii="Times New Roman" w:hAnsi="Times New Roman" w:cs="Times New Roman"/>
          <w:color w:val="FFFFFF"/>
          <w:sz w:val="24"/>
          <w:szCs w:val="24"/>
        </w:rPr>
        <w:t>“</w:t>
      </w:r>
      <w:r>
        <w:rPr>
          <w:rFonts w:ascii="Times New Roman" w:hAnsi="Times New Roman" w:cs="Times New Roman"/>
          <w:sz w:val="24"/>
          <w:szCs w:val="24"/>
        </w:rPr>
        <w:t>Alexandra Road is a Grade II listed 19th-century building</w:t>
      </w:r>
      <w:r>
        <w:rPr>
          <w:rFonts w:ascii="Times New Roman" w:hAnsi="Times New Roman" w:cs="Times New Roman"/>
          <w:color w:val="FFFFFF"/>
          <w:sz w:val="24"/>
          <w:szCs w:val="24"/>
        </w:rPr>
        <w:t>”</w:t>
      </w:r>
      <w:r>
        <w:rPr>
          <w:rFonts w:ascii="Times New Roman" w:hAnsi="Times New Roman" w:cs="Times New Roman"/>
          <w:sz w:val="24"/>
          <w:szCs w:val="24"/>
        </w:rPr>
        <w:t xml:space="preserve"> built by architect </w:t>
      </w:r>
      <w:r>
        <w:rPr>
          <w:rFonts w:ascii="Times New Roman" w:hAnsi="Times New Roman" w:cs="Times New Roman"/>
          <w:color w:val="FFFFFF"/>
          <w:sz w:val="24"/>
          <w:szCs w:val="24"/>
        </w:rPr>
        <w:t>“</w:t>
      </w:r>
      <w:r>
        <w:rPr>
          <w:rFonts w:ascii="Times New Roman" w:hAnsi="Times New Roman" w:cs="Times New Roman"/>
          <w:sz w:val="24"/>
          <w:szCs w:val="24"/>
        </w:rPr>
        <w:t>Henry Holtom of Dewsbury in 1887.</w:t>
      </w:r>
      <w:r>
        <w:rPr>
          <w:rFonts w:ascii="Times New Roman" w:hAnsi="Times New Roman" w:cs="Times New Roman"/>
          <w:color w:val="FFFFFF"/>
          <w:sz w:val="24"/>
          <w:szCs w:val="24"/>
        </w:rPr>
        <w:t xml:space="preserve">” </w:t>
      </w:r>
      <w:r>
        <w:rPr>
          <w:rFonts w:ascii="Times New Roman" w:hAnsi="Times New Roman" w:cs="Times New Roman"/>
          <w:sz w:val="24"/>
          <w:szCs w:val="24"/>
        </w:rPr>
        <w:t xml:space="preserve">Due to the building's historical value is considered a cultural asset and protected as a listed building. A cultural asset is a building that combines formal and technical elements with an immaterial dimension that is highly significant and valuable to the population. (Resende et al., 2022). The first law in Britain to protect historical and archaeological sites was the Ancient Monuments Protection Act, passed in 1882. Buildings and structures that are particularly significant in terms of history, architecture, or culture are protected under the Town and Country Planning Act of 1947. The notion of a listed building was also officially introduced by this Act, and as a result, it is now subject to complete statutory requirements for maintenance and preservation (UK Parliament, 2019). The former library closed in 2007. </w:t>
      </w:r>
      <w:r>
        <w:rPr>
          <w:rFonts w:ascii="Times New Roman" w:hAnsi="Times New Roman" w:cs="Times New Roman"/>
          <w:color w:val="FFFFFF"/>
          <w:sz w:val="24"/>
          <w:szCs w:val="24"/>
        </w:rPr>
        <w:t>“</w:t>
      </w:r>
      <w:r>
        <w:rPr>
          <w:rFonts w:ascii="Times New Roman" w:hAnsi="Times New Roman" w:cs="Times New Roman"/>
          <w:sz w:val="24"/>
          <w:szCs w:val="24"/>
        </w:rPr>
        <w:t>The University of Wales Trinity Saint Davids</w:t>
      </w:r>
      <w:r>
        <w:rPr>
          <w:rFonts w:ascii="Times New Roman" w:hAnsi="Times New Roman" w:cs="Times New Roman"/>
          <w:color w:val="FFFFFF"/>
          <w:sz w:val="24"/>
          <w:szCs w:val="24"/>
        </w:rPr>
        <w:t>”</w:t>
      </w:r>
      <w:r>
        <w:rPr>
          <w:rFonts w:ascii="Times New Roman" w:hAnsi="Times New Roman" w:cs="Times New Roman"/>
          <w:sz w:val="24"/>
          <w:szCs w:val="24"/>
        </w:rPr>
        <w:t xml:space="preserve"> purchased the structure despite its Grade II designation and spent £8 million renovating, restoring, and expanding it. The</w:t>
      </w:r>
      <w:r w:rsidR="00917972">
        <w:rPr>
          <w:rFonts w:ascii="Times New Roman" w:hAnsi="Times New Roman" w:cs="Times New Roman"/>
          <w:sz w:val="24"/>
          <w:szCs w:val="24"/>
        </w:rPr>
        <w:t xml:space="preserve"> building now </w:t>
      </w:r>
      <w:r>
        <w:rPr>
          <w:rFonts w:ascii="Times New Roman" w:hAnsi="Times New Roman" w:cs="Times New Roman"/>
          <w:sz w:val="24"/>
          <w:szCs w:val="24"/>
        </w:rPr>
        <w:t>serv</w:t>
      </w:r>
      <w:r w:rsidR="00917972">
        <w:rPr>
          <w:rFonts w:ascii="Times New Roman" w:hAnsi="Times New Roman" w:cs="Times New Roman"/>
          <w:sz w:val="24"/>
          <w:szCs w:val="24"/>
        </w:rPr>
        <w:t>es</w:t>
      </w:r>
      <w:r>
        <w:rPr>
          <w:rFonts w:ascii="Times New Roman" w:hAnsi="Times New Roman" w:cs="Times New Roman"/>
          <w:sz w:val="24"/>
          <w:szCs w:val="24"/>
        </w:rPr>
        <w:t xml:space="preserve"> as an educational facility that allows students, employees, alumni, and visitors to take advantage of the vibrant creative atmosphere in the centre of the city (WalesOnline, 2016).</w:t>
      </w:r>
    </w:p>
    <w:p w14:paraId="69866956" w14:textId="77777777" w:rsidR="00967DDE" w:rsidRDefault="00967DDE">
      <w:pPr>
        <w:spacing w:line="360" w:lineRule="auto"/>
        <w:ind w:firstLine="720"/>
        <w:jc w:val="both"/>
        <w:rPr>
          <w:rFonts w:ascii="Times New Roman" w:hAnsi="Times New Roman" w:cs="Times New Roman"/>
          <w:sz w:val="24"/>
          <w:szCs w:val="24"/>
        </w:rPr>
      </w:pPr>
    </w:p>
    <w:p w14:paraId="6483E9DF" w14:textId="77777777" w:rsidR="00967DDE" w:rsidRDefault="0000000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77C8A24" wp14:editId="0FCC6E2F">
            <wp:extent cx="5226448" cy="3044651"/>
            <wp:effectExtent l="0" t="0" r="0" b="3810"/>
            <wp:docPr id="1026" name="Picture 8" descr="A picture containing text, outdoor, white, old&#10;&#10;Description automatically generated"/>
            <wp:cNvGraphicFramePr/>
            <a:graphic xmlns:a="http://schemas.openxmlformats.org/drawingml/2006/main">
              <a:graphicData uri="http://schemas.openxmlformats.org/drawingml/2006/picture">
                <pic:pic xmlns:pic="http://schemas.openxmlformats.org/drawingml/2006/picture">
                  <pic:nvPicPr>
                    <pic:cNvPr id="1026" name="Picture 8"/>
                    <pic:cNvPicPr/>
                  </pic:nvPicPr>
                  <pic:blipFill>
                    <a:blip r:embed="rId10" cstate="print"/>
                    <a:stretch>
                      <a:fillRect/>
                    </a:stretch>
                  </pic:blipFill>
                  <pic:spPr>
                    <a:xfrm>
                      <a:off x="0" y="0"/>
                      <a:ext cx="5226448" cy="3044651"/>
                    </a:xfrm>
                    <a:prstGeom prst="rect">
                      <a:avLst/>
                    </a:prstGeom>
                  </pic:spPr>
                </pic:pic>
              </a:graphicData>
            </a:graphic>
          </wp:inline>
        </w:drawing>
      </w:r>
    </w:p>
    <w:p w14:paraId="33B003DA" w14:textId="77777777" w:rsidR="00967DDE" w:rsidRDefault="00967DDE">
      <w:pPr>
        <w:spacing w:line="360" w:lineRule="auto"/>
        <w:jc w:val="both"/>
        <w:rPr>
          <w:rFonts w:ascii="Times New Roman" w:hAnsi="Times New Roman" w:cs="Times New Roman"/>
          <w:sz w:val="24"/>
          <w:szCs w:val="24"/>
        </w:rPr>
      </w:pPr>
    </w:p>
    <w:p w14:paraId="26387A8D" w14:textId="77777777" w:rsidR="00E31594" w:rsidRDefault="00E31594">
      <w:pPr>
        <w:rPr>
          <w:rFonts w:ascii="Times New Roman" w:hAnsi="Times New Roman" w:cs="Times New Roman"/>
          <w:b/>
          <w:bCs/>
          <w:sz w:val="28"/>
          <w:szCs w:val="28"/>
        </w:rPr>
      </w:pPr>
      <w:r>
        <w:rPr>
          <w:rFonts w:ascii="Times New Roman" w:hAnsi="Times New Roman" w:cs="Times New Roman"/>
          <w:b/>
          <w:bCs/>
          <w:sz w:val="28"/>
          <w:szCs w:val="28"/>
        </w:rPr>
        <w:br w:type="page"/>
      </w:r>
    </w:p>
    <w:p w14:paraId="029094FF" w14:textId="7DE71C60" w:rsidR="00967DDE" w:rsidRPr="00F02BF6" w:rsidRDefault="00000000" w:rsidP="00E31594">
      <w:pPr>
        <w:pStyle w:val="Heading2"/>
        <w:rPr>
          <w:rFonts w:ascii="Times New Roman" w:hAnsi="Times New Roman" w:cs="Times New Roman"/>
          <w:b/>
          <w:bCs/>
          <w:sz w:val="24"/>
          <w:szCs w:val="24"/>
        </w:rPr>
      </w:pPr>
      <w:bookmarkStart w:id="5" w:name="_Toc113454596"/>
      <w:bookmarkStart w:id="6" w:name="_Toc113455775"/>
      <w:bookmarkStart w:id="7" w:name="_Toc113455834"/>
      <w:bookmarkStart w:id="8" w:name="_Toc113455990"/>
      <w:bookmarkStart w:id="9" w:name="_Toc113456089"/>
      <w:r w:rsidRPr="00F02BF6">
        <w:rPr>
          <w:rFonts w:ascii="Times New Roman" w:hAnsi="Times New Roman" w:cs="Times New Roman"/>
          <w:b/>
          <w:bCs/>
          <w:sz w:val="24"/>
          <w:szCs w:val="24"/>
        </w:rPr>
        <w:lastRenderedPageBreak/>
        <w:t>Thermal comfort strategy</w:t>
      </w:r>
      <w:bookmarkEnd w:id="5"/>
      <w:bookmarkEnd w:id="6"/>
      <w:bookmarkEnd w:id="7"/>
      <w:bookmarkEnd w:id="8"/>
      <w:bookmarkEnd w:id="9"/>
    </w:p>
    <w:p w14:paraId="7FB0A318" w14:textId="2069EC2E" w:rsidR="00967DDE" w:rsidRDefault="00000000">
      <w:pPr>
        <w:pStyle w:val="NormalWeb"/>
        <w:spacing w:after="0" w:line="360" w:lineRule="auto"/>
        <w:ind w:firstLine="720"/>
        <w:jc w:val="both"/>
        <w:rPr>
          <w:color w:val="0E101A"/>
        </w:rPr>
      </w:pPr>
      <w:r>
        <w:rPr>
          <w:color w:val="0E101A"/>
        </w:rPr>
        <w:t xml:space="preserve">In a climate like </w:t>
      </w:r>
      <w:r w:rsidR="00B733E2">
        <w:rPr>
          <w:color w:val="0E101A"/>
        </w:rPr>
        <w:t xml:space="preserve">Swansea, </w:t>
      </w:r>
      <w:r>
        <w:rPr>
          <w:color w:val="0E101A"/>
        </w:rPr>
        <w:t>Wales, maintaining the temperature inside the building is highly necessary to offer the inhabitants a comfortable environment (</w:t>
      </w:r>
      <w:proofErr w:type="spellStart"/>
      <w:r>
        <w:t>Ozarisoy</w:t>
      </w:r>
      <w:proofErr w:type="spellEnd"/>
      <w:r>
        <w:t>, 2022</w:t>
      </w:r>
      <w:r>
        <w:rPr>
          <w:color w:val="0E101A"/>
        </w:rPr>
        <w:t>). In addition, global warming, increased emission of CO</w:t>
      </w:r>
      <w:r>
        <w:rPr>
          <w:color w:val="0E101A"/>
          <w:vertAlign w:val="superscript"/>
        </w:rPr>
        <w:t>2</w:t>
      </w:r>
      <w:r>
        <w:rPr>
          <w:color w:val="0E101A"/>
        </w:rPr>
        <w:t>, and concerns about energy efficiency are highly significant, influencing our everyday decisions. We are trying our best to cut CO</w:t>
      </w:r>
      <w:r>
        <w:rPr>
          <w:color w:val="0E101A"/>
          <w:vertAlign w:val="superscript"/>
        </w:rPr>
        <w:t>2</w:t>
      </w:r>
      <w:r>
        <w:rPr>
          <w:color w:val="0E101A"/>
        </w:rPr>
        <w:t xml:space="preserve"> emissions, lower the need for heating in winter and cooling in summer, and combat the effects of climate change while assessing the performance of our facilities (</w:t>
      </w:r>
      <w:r>
        <w:t>Mazzone, 2020</w:t>
      </w:r>
      <w:r>
        <w:rPr>
          <w:color w:val="0E101A"/>
        </w:rPr>
        <w:t>). In the UK, air conditioning used to be uncommon, especially in residences, but it is becoming more and more common at a pace of 8% yearly, and air conditioning sales in domestic properties have climbed by 27%. This is because of global warming. Therefore, buildings adopt a strategy to maintain the temperature inside the building such that it should not fluctuate as much as the external temperature. A building's temperature can be kept constant with a thermal comfort strategy (</w:t>
      </w:r>
      <w:r>
        <w:t>Jowkar et al., 2020</w:t>
      </w:r>
      <w:r>
        <w:rPr>
          <w:color w:val="0E101A"/>
        </w:rPr>
        <w:t xml:space="preserve">). </w:t>
      </w:r>
    </w:p>
    <w:p w14:paraId="366DD339" w14:textId="77777777" w:rsidR="00967DDE" w:rsidRDefault="00000000">
      <w:pPr>
        <w:pStyle w:val="NormalWeb"/>
        <w:spacing w:before="0" w:beforeAutospacing="0" w:after="0" w:afterAutospacing="0" w:line="360" w:lineRule="auto"/>
        <w:ind w:firstLine="720"/>
        <w:jc w:val="both"/>
        <w:rPr>
          <w:color w:val="0E101A"/>
        </w:rPr>
      </w:pPr>
      <w:r>
        <w:rPr>
          <w:color w:val="0E101A"/>
        </w:rPr>
        <w:t>In the case of the ALEX building, its structure is made so that it can cope significantly with the challenges of temperature fluctuations. In contrast, the building envelope consists of the foundation, walls, roofs, ceilings, doors and windows, along with additions such as insulation and barriers that go with them (</w:t>
      </w:r>
      <w:r>
        <w:t>Asif Syed, 2012</w:t>
      </w:r>
      <w:r>
        <w:rPr>
          <w:color w:val="0E101A"/>
        </w:rPr>
        <w:t xml:space="preserve">). </w:t>
      </w:r>
      <w:r>
        <w:rPr>
          <w:color w:val="FFFFFF"/>
        </w:rPr>
        <w:t>“</w:t>
      </w:r>
      <w:r>
        <w:rPr>
          <w:color w:val="0E101A"/>
        </w:rPr>
        <w:t xml:space="preserve">Building enclosure systems' dimensions, performance, material compatibility, fabrication process, details, connections, and interactions are the main factors that influence them </w:t>
      </w:r>
      <w:r>
        <w:t>(Cleveland, 2009</w:t>
      </w:r>
      <w:r>
        <w:rPr>
          <w:color w:val="0E101A"/>
        </w:rPr>
        <w:t>). In addition, the physical defence against weather and temperature, indoor air quality, durability, and energy efficiency are all indicators of a building envelope's success.</w:t>
      </w:r>
      <w:r>
        <w:rPr>
          <w:color w:val="FFFFFF"/>
        </w:rPr>
        <w:t>”</w:t>
      </w:r>
      <w:r>
        <w:rPr>
          <w:color w:val="0E101A"/>
        </w:rPr>
        <w:t xml:space="preserve"> To achieve these goals, the building enclosure system must have a solid structure, drainage plane, air barrier, thermal barrier, and vapour barrier.</w:t>
      </w:r>
    </w:p>
    <w:p w14:paraId="2E4CF3B8" w14:textId="77777777" w:rsidR="00967DDE" w:rsidRDefault="00000000">
      <w:pPr>
        <w:pStyle w:val="NormalWeb"/>
        <w:spacing w:before="0" w:beforeAutospacing="0" w:after="0" w:afterAutospacing="0" w:line="360" w:lineRule="auto"/>
        <w:ind w:firstLine="720"/>
        <w:jc w:val="both"/>
        <w:rPr>
          <w:color w:val="0E101A"/>
        </w:rPr>
      </w:pPr>
      <w:r>
        <w:rPr>
          <w:color w:val="0E101A"/>
        </w:rPr>
        <w:t>Additionally, damp proofing is crucial in all climates, but it is challenging to maintain moisture management in cold and hot, humid conditions (Lstiburek and Carmody, 1994). The figure below indicates the most straightforward illustration of the thermal comfort strategy and the addition of a thermal mass, which can be applied to absorb the heat during the daytime and release it during the nighttime to maintain the temperature. In addition, the facility's walls are made up of material which plays the role of a thermal mass (Straube and Burnett, 2005).</w:t>
      </w:r>
    </w:p>
    <w:p w14:paraId="592EB4A8" w14:textId="77777777" w:rsidR="00967DDE" w:rsidRDefault="00000000">
      <w:pPr>
        <w:pStyle w:val="NormalWeb"/>
        <w:spacing w:before="0" w:beforeAutospacing="0" w:after="0" w:afterAutospacing="0" w:line="360" w:lineRule="auto"/>
        <w:jc w:val="center"/>
        <w:rPr>
          <w:color w:val="0E101A"/>
        </w:rPr>
      </w:pPr>
      <w:r>
        <w:rPr>
          <w:noProof/>
        </w:rPr>
        <w:lastRenderedPageBreak/>
        <w:drawing>
          <wp:inline distT="0" distB="0" distL="0" distR="0" wp14:anchorId="30ABB227" wp14:editId="45DE5B08">
            <wp:extent cx="3898181" cy="3044210"/>
            <wp:effectExtent l="0" t="0" r="7620" b="3810"/>
            <wp:docPr id="1027" name="Picture 30" descr="What are Passive Design Strategies? - RTF | Rethinking The Future"/>
            <wp:cNvGraphicFramePr/>
            <a:graphic xmlns:a="http://schemas.openxmlformats.org/drawingml/2006/main">
              <a:graphicData uri="http://schemas.openxmlformats.org/drawingml/2006/picture">
                <pic:pic xmlns:pic="http://schemas.openxmlformats.org/drawingml/2006/picture">
                  <pic:nvPicPr>
                    <pic:cNvPr id="1027" name="Picture 30"/>
                    <pic:cNvPicPr/>
                  </pic:nvPicPr>
                  <pic:blipFill>
                    <a:blip r:embed="rId11" cstate="print"/>
                    <a:srcRect l="18588" t="21288" r="13377" b="7830"/>
                    <a:stretch>
                      <a:fillRect/>
                    </a:stretch>
                  </pic:blipFill>
                  <pic:spPr>
                    <a:xfrm>
                      <a:off x="0" y="0"/>
                      <a:ext cx="3898181" cy="3044210"/>
                    </a:xfrm>
                    <a:prstGeom prst="rect">
                      <a:avLst/>
                    </a:prstGeom>
                    <a:ln>
                      <a:noFill/>
                    </a:ln>
                  </pic:spPr>
                </pic:pic>
              </a:graphicData>
            </a:graphic>
          </wp:inline>
        </w:drawing>
      </w:r>
    </w:p>
    <w:p w14:paraId="6FD57090" w14:textId="1A967336" w:rsidR="00967DDE" w:rsidRDefault="00000000">
      <w:pPr>
        <w:pStyle w:val="NormalWeb"/>
        <w:spacing w:before="0" w:beforeAutospacing="0" w:after="0" w:afterAutospacing="0" w:line="360" w:lineRule="auto"/>
        <w:ind w:firstLine="720"/>
        <w:jc w:val="both"/>
        <w:rPr>
          <w:color w:val="0E101A"/>
        </w:rPr>
      </w:pPr>
      <w:r>
        <w:rPr>
          <w:color w:val="0E101A"/>
        </w:rPr>
        <w:t>The diagrams below indicate the actual thermal comfort strategy implemented by the building to prevent heat loss. The balanced ventilation, airtightness, shading and solar design, thermal bridge, insulations and high-performance components have been installed primarily on the extension of the building in order to protect from temperature fluctuations (</w:t>
      </w:r>
      <w:r>
        <w:t>Jowkar &amp; Montazami, 2018</w:t>
      </w:r>
      <w:r>
        <w:rPr>
          <w:color w:val="0E101A"/>
        </w:rPr>
        <w:t>).</w:t>
      </w:r>
    </w:p>
    <w:p w14:paraId="6A4C34DA" w14:textId="77777777" w:rsidR="00967DDE" w:rsidRDefault="00000000">
      <w:pPr>
        <w:pStyle w:val="NormalWeb"/>
        <w:spacing w:before="0" w:beforeAutospacing="0" w:after="0" w:afterAutospacing="0" w:line="360" w:lineRule="auto"/>
        <w:rPr>
          <w:color w:val="0E101A"/>
        </w:rPr>
      </w:pPr>
      <w:r>
        <w:rPr>
          <w:noProof/>
        </w:rPr>
        <w:drawing>
          <wp:inline distT="0" distB="0" distL="0" distR="0" wp14:anchorId="7E572C13" wp14:editId="7142E3DD">
            <wp:extent cx="5731510" cy="2635937"/>
            <wp:effectExtent l="0" t="0" r="2540" b="0"/>
            <wp:docPr id="1028" name="Picture 3" descr="Passive Building Strategies for Commercial Buildings"/>
            <wp:cNvGraphicFramePr/>
            <a:graphic xmlns:a="http://schemas.openxmlformats.org/drawingml/2006/main">
              <a:graphicData uri="http://schemas.openxmlformats.org/drawingml/2006/picture">
                <pic:pic xmlns:pic="http://schemas.openxmlformats.org/drawingml/2006/picture">
                  <pic:nvPicPr>
                    <pic:cNvPr id="1028" name="Picture 3"/>
                    <pic:cNvPicPr/>
                  </pic:nvPicPr>
                  <pic:blipFill>
                    <a:blip r:embed="rId12" cstate="print"/>
                    <a:stretch>
                      <a:fillRect/>
                    </a:stretch>
                  </pic:blipFill>
                  <pic:spPr>
                    <a:xfrm>
                      <a:off x="0" y="0"/>
                      <a:ext cx="5731510" cy="2635937"/>
                    </a:xfrm>
                    <a:prstGeom prst="rect">
                      <a:avLst/>
                    </a:prstGeom>
                    <a:ln>
                      <a:noFill/>
                    </a:ln>
                  </pic:spPr>
                </pic:pic>
              </a:graphicData>
            </a:graphic>
          </wp:inline>
        </w:drawing>
      </w:r>
    </w:p>
    <w:p w14:paraId="089488CF" w14:textId="77777777" w:rsidR="00967DDE" w:rsidRDefault="00000000">
      <w:pPr>
        <w:pStyle w:val="NormalWeb"/>
        <w:spacing w:before="0" w:beforeAutospacing="0" w:after="0" w:afterAutospacing="0" w:line="360" w:lineRule="auto"/>
        <w:jc w:val="both"/>
        <w:rPr>
          <w:color w:val="0E101A"/>
        </w:rPr>
      </w:pPr>
      <w:r>
        <w:rPr>
          <w:color w:val="0E101A"/>
        </w:rPr>
        <w:tab/>
        <w:t xml:space="preserve">The diagram below indicates the preferred and recommended thermal comfort strategy to be implemented by the building to optimally enhance the protection from the temperature fluctuations in the building. A combination of solar cells, solar heaters, rainwater management system, sun shading, natural lighting, thermal mass, solar boilers, radiant floor heating, double glazed glass windows etc. can be optimum in ensuring thermal comfort (Lawrence, 2000; </w:t>
      </w:r>
      <w:r>
        <w:t>Ličina et al., 2018</w:t>
      </w:r>
      <w:r>
        <w:rPr>
          <w:color w:val="0E101A"/>
        </w:rPr>
        <w:t>).</w:t>
      </w:r>
    </w:p>
    <w:p w14:paraId="4551191B" w14:textId="77777777" w:rsidR="00967DDE" w:rsidRDefault="00000000">
      <w:pPr>
        <w:pStyle w:val="NormalWeb"/>
        <w:spacing w:before="0" w:beforeAutospacing="0" w:after="0" w:afterAutospacing="0" w:line="360" w:lineRule="auto"/>
        <w:jc w:val="center"/>
        <w:rPr>
          <w:color w:val="0E101A"/>
        </w:rPr>
      </w:pPr>
      <w:r>
        <w:rPr>
          <w:noProof/>
        </w:rPr>
        <w:lastRenderedPageBreak/>
        <w:drawing>
          <wp:inline distT="0" distB="0" distL="0" distR="0" wp14:anchorId="2E2C8501" wp14:editId="7CF74A9B">
            <wp:extent cx="4490999" cy="3245618"/>
            <wp:effectExtent l="0" t="0" r="5080" b="0"/>
            <wp:docPr id="1029" name="Picture 29" descr="How to Design for Optimal Thermal Comfort (And Why it Matters) | ArchDaily"/>
            <wp:cNvGraphicFramePr/>
            <a:graphic xmlns:a="http://schemas.openxmlformats.org/drawingml/2006/main">
              <a:graphicData uri="http://schemas.openxmlformats.org/drawingml/2006/picture">
                <pic:pic xmlns:pic="http://schemas.openxmlformats.org/drawingml/2006/picture">
                  <pic:nvPicPr>
                    <pic:cNvPr id="1029" name="Picture 29"/>
                    <pic:cNvPicPr/>
                  </pic:nvPicPr>
                  <pic:blipFill>
                    <a:blip r:embed="rId13" cstate="print"/>
                    <a:srcRect l="8418" t="8990" r="13208" b="14589"/>
                    <a:stretch>
                      <a:fillRect/>
                    </a:stretch>
                  </pic:blipFill>
                  <pic:spPr>
                    <a:xfrm>
                      <a:off x="0" y="0"/>
                      <a:ext cx="4490999" cy="3245618"/>
                    </a:xfrm>
                    <a:prstGeom prst="rect">
                      <a:avLst/>
                    </a:prstGeom>
                    <a:ln>
                      <a:noFill/>
                    </a:ln>
                  </pic:spPr>
                </pic:pic>
              </a:graphicData>
            </a:graphic>
          </wp:inline>
        </w:drawing>
      </w:r>
    </w:p>
    <w:p w14:paraId="533D0B95" w14:textId="77777777" w:rsidR="00967DDE" w:rsidRDefault="00000000">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t>
      </w:r>
    </w:p>
    <w:p w14:paraId="67F226BF" w14:textId="77777777" w:rsidR="00967DDE" w:rsidRPr="00F02BF6" w:rsidRDefault="00000000" w:rsidP="00E31594">
      <w:pPr>
        <w:pStyle w:val="Heading3"/>
        <w:rPr>
          <w:rFonts w:ascii="Times New Roman" w:hAnsi="Times New Roman" w:cs="Times New Roman"/>
          <w:b/>
          <w:bCs/>
        </w:rPr>
      </w:pPr>
      <w:bookmarkStart w:id="10" w:name="_Toc113454597"/>
      <w:bookmarkStart w:id="11" w:name="_Toc113455776"/>
      <w:bookmarkStart w:id="12" w:name="_Toc113455835"/>
      <w:bookmarkStart w:id="13" w:name="_Toc113455991"/>
      <w:bookmarkStart w:id="14" w:name="_Toc113456090"/>
      <w:r w:rsidRPr="00F02BF6">
        <w:rPr>
          <w:rFonts w:ascii="Times New Roman" w:hAnsi="Times New Roman" w:cs="Times New Roman"/>
          <w:b/>
          <w:bCs/>
        </w:rPr>
        <w:t>Building fabric</w:t>
      </w:r>
      <w:bookmarkEnd w:id="10"/>
      <w:bookmarkEnd w:id="11"/>
      <w:bookmarkEnd w:id="12"/>
      <w:bookmarkEnd w:id="13"/>
      <w:bookmarkEnd w:id="14"/>
    </w:p>
    <w:p w14:paraId="4FC56280" w14:textId="77777777" w:rsidR="00967DDE" w:rsidRDefault="00000000">
      <w:pPr>
        <w:spacing w:line="360" w:lineRule="auto"/>
        <w:jc w:val="both"/>
        <w:rPr>
          <w:rFonts w:ascii="Times New Roman" w:hAnsi="Times New Roman" w:cs="Times New Roman"/>
          <w:color w:val="0E101A"/>
          <w:sz w:val="24"/>
          <w:szCs w:val="24"/>
        </w:rPr>
      </w:pPr>
      <w:r>
        <w:rPr>
          <w:rFonts w:ascii="Times New Roman" w:hAnsi="Times New Roman" w:cs="Times New Roman"/>
          <w:color w:val="0E101A"/>
          <w:sz w:val="24"/>
          <w:szCs w:val="24"/>
        </w:rPr>
        <w:tab/>
        <w:t>The building fabric of the ALEX building is as follows.</w:t>
      </w:r>
    </w:p>
    <w:p w14:paraId="62609EAA" w14:textId="77777777" w:rsidR="00967DDE" w:rsidRDefault="00000000">
      <w:pPr>
        <w:spacing w:line="360" w:lineRule="auto"/>
        <w:jc w:val="both"/>
        <w:rPr>
          <w:rFonts w:ascii="Times New Roman" w:hAnsi="Times New Roman" w:cs="Times New Roman"/>
          <w:b/>
          <w:bCs/>
          <w:color w:val="0E101A"/>
          <w:sz w:val="24"/>
          <w:szCs w:val="24"/>
        </w:rPr>
      </w:pPr>
      <w:r>
        <w:rPr>
          <w:rFonts w:ascii="Times New Roman" w:hAnsi="Times New Roman" w:cs="Times New Roman"/>
          <w:b/>
          <w:bCs/>
          <w:color w:val="0E101A"/>
          <w:sz w:val="24"/>
          <w:szCs w:val="24"/>
        </w:rPr>
        <w:t>Foundation</w:t>
      </w:r>
    </w:p>
    <w:p w14:paraId="2FB3DB9E" w14:textId="77777777" w:rsidR="00967DDE" w:rsidRDefault="00000000">
      <w:pPr>
        <w:spacing w:line="360" w:lineRule="auto"/>
        <w:ind w:firstLine="720"/>
        <w:jc w:val="both"/>
        <w:rPr>
          <w:rFonts w:ascii="Times New Roman" w:hAnsi="Times New Roman" w:cs="Times New Roman"/>
          <w:color w:val="0E101A"/>
          <w:sz w:val="24"/>
          <w:szCs w:val="24"/>
        </w:rPr>
      </w:pPr>
      <w:r>
        <w:rPr>
          <w:rFonts w:ascii="Times New Roman" w:hAnsi="Times New Roman" w:cs="Times New Roman"/>
          <w:color w:val="0E101A"/>
          <w:sz w:val="24"/>
          <w:szCs w:val="24"/>
        </w:rPr>
        <w:t>The Alex Building is a 3-story building with a reinforced steel and concrete foundation. In concrete structures, reinforcing steel—rods, bars, or mesh—absorbs tensile, shear, and compression stresses. As a result, plain concrete is not well suited to most structural applications due to its inability to withstand wind, earthquakes, vibrations, and other forces (Encyclopaedia Britannica, 2019).</w:t>
      </w:r>
    </w:p>
    <w:p w14:paraId="21FCF98B" w14:textId="77777777" w:rsidR="00967DDE" w:rsidRDefault="00000000">
      <w:pPr>
        <w:spacing w:line="360" w:lineRule="auto"/>
        <w:jc w:val="both"/>
        <w:rPr>
          <w:rFonts w:ascii="Times New Roman" w:hAnsi="Times New Roman" w:cs="Times New Roman"/>
          <w:b/>
          <w:bCs/>
          <w:color w:val="0E101A"/>
          <w:sz w:val="24"/>
          <w:szCs w:val="24"/>
        </w:rPr>
      </w:pPr>
      <w:r>
        <w:rPr>
          <w:rFonts w:ascii="Times New Roman" w:hAnsi="Times New Roman" w:cs="Times New Roman"/>
          <w:b/>
          <w:bCs/>
          <w:color w:val="0E101A"/>
          <w:sz w:val="24"/>
          <w:szCs w:val="24"/>
        </w:rPr>
        <w:t xml:space="preserve">Roof </w:t>
      </w:r>
    </w:p>
    <w:p w14:paraId="00FE055E" w14:textId="77777777" w:rsidR="00967DDE" w:rsidRDefault="00000000">
      <w:pPr>
        <w:spacing w:line="360" w:lineRule="auto"/>
        <w:ind w:firstLine="720"/>
        <w:jc w:val="both"/>
        <w:rPr>
          <w:rFonts w:ascii="Times New Roman" w:hAnsi="Times New Roman" w:cs="Times New Roman"/>
          <w:color w:val="0E101A"/>
          <w:sz w:val="24"/>
          <w:szCs w:val="24"/>
        </w:rPr>
      </w:pPr>
      <w:r>
        <w:rPr>
          <w:rFonts w:ascii="Times New Roman" w:hAnsi="Times New Roman" w:cs="Times New Roman"/>
          <w:color w:val="0E101A"/>
          <w:sz w:val="24"/>
          <w:szCs w:val="24"/>
        </w:rPr>
        <w:t>The building has a flat roof. The roof's primary purpose is to keep water out. Roofs can be classified as flat or pitched. Although flat roofs slope up to 10° or 15°, they are designed to resist standing water. Standing water can occur during wind-driven rain and ice damming because pitched roofs are designed to shed water rather than resist it. As a second layer of protection, pitched roofs are usually covered with an underlayment under the roof covering material (Straube, 1999).</w:t>
      </w:r>
    </w:p>
    <w:p w14:paraId="2C209FA5" w14:textId="77777777" w:rsidR="00967DDE" w:rsidRDefault="00967DDE">
      <w:pPr>
        <w:spacing w:line="360" w:lineRule="auto"/>
        <w:jc w:val="both"/>
        <w:rPr>
          <w:rFonts w:ascii="Times New Roman" w:hAnsi="Times New Roman" w:cs="Times New Roman"/>
          <w:b/>
          <w:bCs/>
          <w:color w:val="0E101A"/>
          <w:sz w:val="24"/>
          <w:szCs w:val="24"/>
        </w:rPr>
      </w:pPr>
    </w:p>
    <w:p w14:paraId="7A995521" w14:textId="77777777" w:rsidR="00967DDE" w:rsidRDefault="00967DDE">
      <w:pPr>
        <w:spacing w:line="360" w:lineRule="auto"/>
        <w:jc w:val="both"/>
        <w:rPr>
          <w:rFonts w:ascii="Times New Roman" w:hAnsi="Times New Roman" w:cs="Times New Roman"/>
          <w:b/>
          <w:bCs/>
          <w:color w:val="0E101A"/>
          <w:sz w:val="24"/>
          <w:szCs w:val="24"/>
        </w:rPr>
      </w:pPr>
    </w:p>
    <w:p w14:paraId="6763D6AC" w14:textId="77777777" w:rsidR="00967DDE" w:rsidRDefault="00000000">
      <w:pPr>
        <w:spacing w:line="360" w:lineRule="auto"/>
        <w:jc w:val="both"/>
        <w:rPr>
          <w:rFonts w:ascii="Times New Roman" w:hAnsi="Times New Roman" w:cs="Times New Roman"/>
          <w:b/>
          <w:bCs/>
          <w:color w:val="0E101A"/>
          <w:sz w:val="24"/>
          <w:szCs w:val="24"/>
        </w:rPr>
      </w:pPr>
      <w:r>
        <w:rPr>
          <w:rFonts w:ascii="Times New Roman" w:hAnsi="Times New Roman" w:cs="Times New Roman"/>
          <w:b/>
          <w:bCs/>
          <w:color w:val="0E101A"/>
          <w:sz w:val="24"/>
          <w:szCs w:val="24"/>
        </w:rPr>
        <w:lastRenderedPageBreak/>
        <w:t>Walls</w:t>
      </w:r>
    </w:p>
    <w:p w14:paraId="7C2F7A7E" w14:textId="77777777" w:rsidR="00967DDE" w:rsidRDefault="00000000">
      <w:pPr>
        <w:spacing w:line="360" w:lineRule="auto"/>
        <w:ind w:firstLine="720"/>
        <w:jc w:val="both"/>
        <w:rPr>
          <w:rFonts w:ascii="Times New Roman" w:hAnsi="Times New Roman" w:cs="Times New Roman"/>
          <w:color w:val="0E101A"/>
          <w:sz w:val="24"/>
          <w:szCs w:val="24"/>
        </w:rPr>
      </w:pPr>
      <w:r>
        <w:rPr>
          <w:rFonts w:ascii="Times New Roman" w:hAnsi="Times New Roman" w:cs="Times New Roman"/>
          <w:color w:val="0E101A"/>
          <w:sz w:val="24"/>
          <w:szCs w:val="24"/>
        </w:rPr>
        <w:t>The building consists of a combination of limestone, bricks, and cement. While walls do not receive as much water exposure as roofs, they still leak. Water penetration is prevented by the barrier, drainage, and surface-sealed wall systems. Some concrete and masonry walls are designed to absorb water but not penetrate it. Walls with drainage holes allow water to drain when it leaks into them, such as cavity walls. Rainscreens and pressure equalisation wall systems may also ventilate drainage walls to aid drying. The exterior surface of sealed-surface walls is impervious to water penetration. There is a minimal chance that this system will remain sealed over the long run, and most materials won't remain closed for a long time.</w:t>
      </w:r>
    </w:p>
    <w:p w14:paraId="447B3733" w14:textId="77777777" w:rsidR="00967DDE" w:rsidRDefault="00000000">
      <w:pPr>
        <w:spacing w:line="360" w:lineRule="auto"/>
        <w:ind w:firstLine="720"/>
        <w:jc w:val="both"/>
        <w:rPr>
          <w:rFonts w:ascii="Times New Roman" w:hAnsi="Times New Roman" w:cs="Times New Roman"/>
          <w:color w:val="0E101A"/>
          <w:sz w:val="24"/>
          <w:szCs w:val="24"/>
        </w:rPr>
      </w:pPr>
      <w:r>
        <w:rPr>
          <w:rFonts w:ascii="Times New Roman" w:hAnsi="Times New Roman" w:cs="Times New Roman"/>
          <w:color w:val="0E101A"/>
          <w:sz w:val="24"/>
          <w:szCs w:val="24"/>
        </w:rPr>
        <w:t>Nevertheless, the siding and the underlayment layer, sometimes called house wrap, are often used to seal surfaces in ordinary residential construction. As a result, moisture can enter basements through the walls or the floor. Therefore, it is necessary to waterproof the basement walls, drain the water, and install a moisture barrier under the floor (Asce, 2000).</w:t>
      </w:r>
    </w:p>
    <w:p w14:paraId="46016A15" w14:textId="77777777" w:rsidR="00967DDE" w:rsidRDefault="00000000">
      <w:pPr>
        <w:spacing w:line="360" w:lineRule="auto"/>
        <w:jc w:val="both"/>
        <w:rPr>
          <w:rFonts w:ascii="Times New Roman" w:hAnsi="Times New Roman" w:cs="Times New Roman"/>
          <w:b/>
          <w:bCs/>
          <w:color w:val="0E101A"/>
          <w:sz w:val="24"/>
          <w:szCs w:val="24"/>
        </w:rPr>
      </w:pPr>
      <w:r>
        <w:rPr>
          <w:rFonts w:ascii="Times New Roman" w:hAnsi="Times New Roman" w:cs="Times New Roman"/>
          <w:b/>
          <w:bCs/>
          <w:color w:val="0E101A"/>
          <w:sz w:val="24"/>
          <w:szCs w:val="24"/>
        </w:rPr>
        <w:t>Doors</w:t>
      </w:r>
    </w:p>
    <w:p w14:paraId="3F4F7734" w14:textId="6E7A18D4" w:rsidR="00967DDE" w:rsidRDefault="00000000">
      <w:pPr>
        <w:spacing w:line="360" w:lineRule="auto"/>
        <w:ind w:firstLine="720"/>
        <w:jc w:val="both"/>
        <w:rPr>
          <w:rFonts w:ascii="Times New Roman" w:hAnsi="Times New Roman" w:cs="Times New Roman"/>
          <w:color w:val="0E101A"/>
          <w:sz w:val="24"/>
          <w:szCs w:val="24"/>
        </w:rPr>
      </w:pPr>
      <w:r>
        <w:rPr>
          <w:rFonts w:ascii="Times New Roman" w:hAnsi="Times New Roman" w:cs="Times New Roman"/>
          <w:color w:val="0E101A"/>
          <w:sz w:val="24"/>
          <w:szCs w:val="24"/>
        </w:rPr>
        <w:t xml:space="preserve">The doors and their frames, along with the frames of the windows, have been constructed of timber. In addition, much of the furniture present inside the building is also made of timber. This means that a significant amount of </w:t>
      </w:r>
      <w:r w:rsidR="008A08EA">
        <w:rPr>
          <w:rFonts w:ascii="Times New Roman" w:hAnsi="Times New Roman" w:cs="Times New Roman"/>
          <w:color w:val="0E101A"/>
          <w:sz w:val="24"/>
          <w:szCs w:val="24"/>
        </w:rPr>
        <w:t xml:space="preserve">the </w:t>
      </w:r>
      <w:r>
        <w:rPr>
          <w:rFonts w:ascii="Times New Roman" w:hAnsi="Times New Roman" w:cs="Times New Roman"/>
          <w:color w:val="0E101A"/>
          <w:sz w:val="24"/>
          <w:szCs w:val="24"/>
        </w:rPr>
        <w:t>building is constructed of wood which can pose challenges in the maintenance of the building for energy efficiency, thermal comfort, and retrofit planning (Abuelnuor et al., 2018).</w:t>
      </w:r>
    </w:p>
    <w:p w14:paraId="669CDBFB" w14:textId="77777777" w:rsidR="00967DDE" w:rsidRDefault="00000000">
      <w:pPr>
        <w:spacing w:line="360" w:lineRule="auto"/>
        <w:jc w:val="both"/>
        <w:rPr>
          <w:rFonts w:ascii="Times New Roman" w:hAnsi="Times New Roman" w:cs="Times New Roman"/>
          <w:b/>
          <w:bCs/>
          <w:color w:val="0E101A"/>
          <w:sz w:val="24"/>
          <w:szCs w:val="24"/>
        </w:rPr>
      </w:pPr>
      <w:r>
        <w:rPr>
          <w:rFonts w:ascii="Times New Roman" w:hAnsi="Times New Roman" w:cs="Times New Roman"/>
          <w:b/>
          <w:bCs/>
          <w:color w:val="0E101A"/>
          <w:sz w:val="24"/>
          <w:szCs w:val="24"/>
        </w:rPr>
        <w:t>Windows</w:t>
      </w:r>
    </w:p>
    <w:p w14:paraId="2AB02113"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color w:val="0E101A"/>
          <w:sz w:val="24"/>
          <w:szCs w:val="24"/>
        </w:rPr>
        <w:t>The building has single glazed glass windows, and even though these are not energy efficient due to the building's grade, II listed status, and its being a protected building, any changes to the original structure are prohibited</w:t>
      </w:r>
      <w:r>
        <w:rPr>
          <w:rFonts w:ascii="Times New Roman" w:hAnsi="Times New Roman" w:cs="Times New Roman"/>
          <w:sz w:val="24"/>
          <w:szCs w:val="24"/>
        </w:rPr>
        <w:t xml:space="preserve"> under the town and country planning Act of 1947. Therefore, adapting double/triple glazing windows for energy efficiency is impossible</w:t>
      </w:r>
      <w:r>
        <w:rPr>
          <w:rFonts w:ascii="Times New Roman" w:hAnsi="Times New Roman" w:cs="Times New Roman"/>
          <w:color w:val="0E101A"/>
          <w:sz w:val="24"/>
          <w:szCs w:val="24"/>
        </w:rPr>
        <w:t xml:space="preserve"> (</w:t>
      </w:r>
      <w:r>
        <w:rPr>
          <w:rFonts w:ascii="Times New Roman" w:hAnsi="Times New Roman" w:cs="Times New Roman"/>
          <w:sz w:val="24"/>
          <w:szCs w:val="24"/>
        </w:rPr>
        <w:t>Ghosh et al., 2019).</w:t>
      </w:r>
    </w:p>
    <w:p w14:paraId="41F1972A" w14:textId="77777777" w:rsidR="00967DDE" w:rsidRDefault="00000000">
      <w:pPr>
        <w:spacing w:line="360" w:lineRule="auto"/>
        <w:jc w:val="both"/>
        <w:rPr>
          <w:rFonts w:ascii="Times New Roman" w:hAnsi="Times New Roman" w:cs="Times New Roman"/>
          <w:b/>
          <w:bCs/>
          <w:color w:val="0E101A"/>
          <w:sz w:val="24"/>
          <w:szCs w:val="24"/>
        </w:rPr>
      </w:pPr>
      <w:r>
        <w:rPr>
          <w:rFonts w:ascii="Times New Roman" w:hAnsi="Times New Roman" w:cs="Times New Roman"/>
          <w:b/>
          <w:bCs/>
          <w:color w:val="0E101A"/>
          <w:sz w:val="24"/>
          <w:szCs w:val="24"/>
        </w:rPr>
        <w:t>Ceilings</w:t>
      </w:r>
    </w:p>
    <w:p w14:paraId="6C41081D" w14:textId="77777777" w:rsidR="00967DDE" w:rsidRDefault="00000000">
      <w:pPr>
        <w:spacing w:line="360" w:lineRule="auto"/>
        <w:ind w:firstLine="720"/>
        <w:jc w:val="both"/>
        <w:rPr>
          <w:rFonts w:ascii="Times New Roman" w:hAnsi="Times New Roman" w:cs="Times New Roman"/>
          <w:color w:val="0E101A"/>
          <w:sz w:val="24"/>
          <w:szCs w:val="24"/>
        </w:rPr>
      </w:pPr>
      <w:r>
        <w:rPr>
          <w:rFonts w:ascii="Times New Roman" w:hAnsi="Times New Roman" w:cs="Times New Roman"/>
          <w:color w:val="0E101A"/>
          <w:sz w:val="24"/>
          <w:szCs w:val="24"/>
        </w:rPr>
        <w:t>The building has high ceilings, made up of the characteristic building fabric, including concrete and bricks, which offer little resistance to temperature fluctuation of moisture and other climatic effects (Hesaraki &amp; Huda, 2022).</w:t>
      </w:r>
    </w:p>
    <w:p w14:paraId="15E122EB" w14:textId="77777777" w:rsidR="00967DDE" w:rsidRDefault="00967DDE">
      <w:pPr>
        <w:spacing w:line="360" w:lineRule="auto"/>
        <w:jc w:val="both"/>
        <w:rPr>
          <w:rFonts w:ascii="Times New Roman" w:hAnsi="Times New Roman" w:cs="Times New Roman"/>
          <w:b/>
          <w:bCs/>
          <w:color w:val="0E101A"/>
          <w:sz w:val="24"/>
          <w:szCs w:val="24"/>
        </w:rPr>
      </w:pPr>
    </w:p>
    <w:p w14:paraId="790557E0" w14:textId="77777777" w:rsidR="00967DDE" w:rsidRDefault="00000000">
      <w:pPr>
        <w:spacing w:line="360" w:lineRule="auto"/>
        <w:jc w:val="both"/>
        <w:rPr>
          <w:rFonts w:ascii="Times New Roman" w:hAnsi="Times New Roman" w:cs="Times New Roman"/>
          <w:b/>
          <w:bCs/>
          <w:color w:val="0E101A"/>
          <w:sz w:val="24"/>
          <w:szCs w:val="24"/>
        </w:rPr>
      </w:pPr>
      <w:r>
        <w:rPr>
          <w:rFonts w:ascii="Times New Roman" w:hAnsi="Times New Roman" w:cs="Times New Roman"/>
          <w:b/>
          <w:bCs/>
          <w:color w:val="0E101A"/>
          <w:sz w:val="24"/>
          <w:szCs w:val="24"/>
        </w:rPr>
        <w:lastRenderedPageBreak/>
        <w:t>Glass Extension</w:t>
      </w:r>
    </w:p>
    <w:p w14:paraId="5D0929A7" w14:textId="77777777" w:rsidR="00967DDE" w:rsidRDefault="00000000">
      <w:pPr>
        <w:spacing w:line="360" w:lineRule="auto"/>
        <w:ind w:firstLine="720"/>
        <w:jc w:val="both"/>
        <w:rPr>
          <w:rFonts w:ascii="Times New Roman" w:hAnsi="Times New Roman" w:cs="Times New Roman"/>
          <w:color w:val="0E101A"/>
          <w:sz w:val="24"/>
          <w:szCs w:val="24"/>
        </w:rPr>
      </w:pPr>
      <w:r>
        <w:rPr>
          <w:rFonts w:ascii="Times New Roman" w:hAnsi="Times New Roman" w:cs="Times New Roman"/>
          <w:color w:val="0E101A"/>
          <w:sz w:val="24"/>
          <w:szCs w:val="24"/>
        </w:rPr>
        <w:t>The main extension to the building is the twin wall façade which runs 38 metres from the Alexandra Road elevation. The new extension provides an additional 657m2, including a new reception area off Alexandra Road, workshops, teaching rooms, and design studios. However, visual transparency was critical for the new extension to express the original scale and features of the historic fabric (uk.aluk.com, n.d.).</w:t>
      </w:r>
    </w:p>
    <w:p w14:paraId="438FE07B" w14:textId="77777777" w:rsidR="00967DDE"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Air Control</w:t>
      </w:r>
    </w:p>
    <w:p w14:paraId="01A3AF58"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Airflow control is essential to ensuring indoor air quality, reducing energy consumption, preventing condensation (and therefore ensuring durability), and providing comfort. A building envelope's control of airflow includes the movement of air through its enclosure (the assembly of materials referred to as the air barrier system) or through its internal components (interstitial), as well as into and out of its interior space (which can significantly affect its insulation performance). In addition, air control includes wind washing (the movement of cold air through insulation) and convective loops, which can lose up to 20% of heat (Hugo, 2012). </w:t>
      </w:r>
    </w:p>
    <w:p w14:paraId="7F8A8294" w14:textId="77777777" w:rsidR="00967DDE" w:rsidRDefault="00000000">
      <w:pPr>
        <w:spacing w:line="360" w:lineRule="auto"/>
        <w:ind w:firstLine="720"/>
        <w:jc w:val="both"/>
        <w:rPr>
          <w:rFonts w:ascii="Times New Roman" w:hAnsi="Times New Roman" w:cs="Times New Roman"/>
          <w:color w:val="0E101A"/>
        </w:rPr>
      </w:pPr>
      <w:r>
        <w:rPr>
          <w:rFonts w:ascii="Times New Roman" w:hAnsi="Times New Roman" w:cs="Times New Roman"/>
          <w:color w:val="0E101A"/>
        </w:rPr>
        <w:t xml:space="preserve">Air sealing can improve the energy efficiency of a building. A building's energy use can be minimised by reducing the energy used to heat and cool it. Space heating in cold-climate buildings consumes considerable power (Asaee et al., 2018). Building envelope air sealing can be tested with a blower door test. Air sealing can be improved using smoke pencils and weather-stripping (Canada, 2014). The air intake of a building is maintained by HVAC systems adequate, safe, and energy efficient. </w:t>
      </w:r>
    </w:p>
    <w:p w14:paraId="7FC07022" w14:textId="77777777" w:rsidR="00967DDE" w:rsidRPr="00F02BF6" w:rsidRDefault="00000000" w:rsidP="00243887">
      <w:pPr>
        <w:pStyle w:val="Heading4"/>
        <w:rPr>
          <w:rFonts w:ascii="Times New Roman" w:hAnsi="Times New Roman" w:cs="Times New Roman"/>
          <w:b/>
          <w:bCs/>
          <w:i w:val="0"/>
          <w:iCs w:val="0"/>
          <w:sz w:val="24"/>
          <w:szCs w:val="24"/>
        </w:rPr>
      </w:pPr>
      <w:bookmarkStart w:id="15" w:name="_Toc113454598"/>
      <w:bookmarkStart w:id="16" w:name="_Toc113455777"/>
      <w:bookmarkStart w:id="17" w:name="_Toc113455836"/>
      <w:bookmarkStart w:id="18" w:name="_Toc113455992"/>
      <w:bookmarkStart w:id="19" w:name="_Toc113456091"/>
      <w:r w:rsidRPr="00F02BF6">
        <w:rPr>
          <w:rFonts w:ascii="Times New Roman" w:hAnsi="Times New Roman" w:cs="Times New Roman"/>
          <w:b/>
          <w:bCs/>
          <w:i w:val="0"/>
          <w:iCs w:val="0"/>
          <w:sz w:val="24"/>
          <w:szCs w:val="24"/>
        </w:rPr>
        <w:t>How building services interact</w:t>
      </w:r>
      <w:bookmarkEnd w:id="15"/>
      <w:bookmarkEnd w:id="16"/>
      <w:bookmarkEnd w:id="17"/>
      <w:bookmarkEnd w:id="18"/>
      <w:bookmarkEnd w:id="19"/>
    </w:p>
    <w:p w14:paraId="149AC436" w14:textId="77777777" w:rsidR="00967DDE"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Several building services interact among themselves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come up with an overall building internal environment. For instance, the walls, foundations and ceilings interact among themselves in order to provide collective cooling effects because of the similar building materials. Similarly, the wooden items interact with each other and the other parts to provide overall energy management or energy performance of the building. Therefore, every aspect of the building must be monitored and optimised to provide optimum thermal comfort and energy performance (Belussi et al., 2019).</w:t>
      </w:r>
      <w:r>
        <w:rPr>
          <w:rFonts w:ascii="Times New Roman" w:hAnsi="Times New Roman" w:cs="Times New Roman"/>
          <w:sz w:val="24"/>
          <w:szCs w:val="24"/>
        </w:rPr>
        <w:br w:type="page"/>
      </w:r>
    </w:p>
    <w:p w14:paraId="106608D6" w14:textId="77777777" w:rsidR="00967DDE" w:rsidRPr="00F02BF6" w:rsidRDefault="00000000" w:rsidP="00243887">
      <w:pPr>
        <w:pStyle w:val="Heading5"/>
        <w:rPr>
          <w:rFonts w:ascii="Times New Roman" w:hAnsi="Times New Roman" w:cs="Times New Roman"/>
          <w:b/>
          <w:bCs/>
          <w:sz w:val="24"/>
          <w:szCs w:val="24"/>
        </w:rPr>
      </w:pPr>
      <w:bookmarkStart w:id="20" w:name="_Toc113454599"/>
      <w:bookmarkStart w:id="21" w:name="_Toc113455778"/>
      <w:bookmarkStart w:id="22" w:name="_Toc113455837"/>
      <w:bookmarkStart w:id="23" w:name="_Toc113455993"/>
      <w:bookmarkStart w:id="24" w:name="_Toc113456092"/>
      <w:r w:rsidRPr="00F02BF6">
        <w:rPr>
          <w:rFonts w:ascii="Times New Roman" w:hAnsi="Times New Roman" w:cs="Times New Roman"/>
          <w:b/>
          <w:bCs/>
          <w:sz w:val="24"/>
          <w:szCs w:val="24"/>
        </w:rPr>
        <w:lastRenderedPageBreak/>
        <w:t>Apparent defects or maintenance issues</w:t>
      </w:r>
      <w:bookmarkEnd w:id="20"/>
      <w:bookmarkEnd w:id="21"/>
      <w:bookmarkEnd w:id="22"/>
      <w:bookmarkEnd w:id="23"/>
      <w:bookmarkEnd w:id="24"/>
      <w:r w:rsidRPr="00F02BF6">
        <w:rPr>
          <w:rFonts w:ascii="Times New Roman" w:hAnsi="Times New Roman" w:cs="Times New Roman"/>
          <w:b/>
          <w:bCs/>
          <w:sz w:val="24"/>
          <w:szCs w:val="24"/>
        </w:rPr>
        <w:t xml:space="preserve"> </w:t>
      </w:r>
    </w:p>
    <w:p w14:paraId="356DBC94" w14:textId="315BD0A4" w:rsidR="00967DDE"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Insufficient or improper maintenance of the building sometimes leads to defects or other issues in the building, which might lead to significant threats not only for the building but also for the inhabitants. Therefore, timely identification and correction of defects or maintenance issues are vital. The defects or maintenance issues of the </w:t>
      </w:r>
      <w:r w:rsidR="00B36E69">
        <w:rPr>
          <w:rFonts w:ascii="Times New Roman" w:hAnsi="Times New Roman" w:cs="Times New Roman"/>
          <w:sz w:val="24"/>
          <w:szCs w:val="24"/>
        </w:rPr>
        <w:t xml:space="preserve">ALEX </w:t>
      </w:r>
      <w:r>
        <w:rPr>
          <w:rFonts w:ascii="Times New Roman" w:hAnsi="Times New Roman" w:cs="Times New Roman"/>
          <w:sz w:val="24"/>
          <w:szCs w:val="24"/>
        </w:rPr>
        <w:t>building</w:t>
      </w:r>
      <w:r w:rsidR="00B36E69">
        <w:rPr>
          <w:rFonts w:ascii="Times New Roman" w:hAnsi="Times New Roman" w:cs="Times New Roman"/>
          <w:sz w:val="24"/>
          <w:szCs w:val="24"/>
        </w:rPr>
        <w:t xml:space="preserve"> </w:t>
      </w:r>
      <w:r>
        <w:rPr>
          <w:rFonts w:ascii="Times New Roman" w:hAnsi="Times New Roman" w:cs="Times New Roman"/>
          <w:sz w:val="24"/>
          <w:szCs w:val="24"/>
        </w:rPr>
        <w:t>include the presence of cracks, separation of mortar, blisters and mould, loss of paint, damage to floor and window frames etc. In addition, the outside of the building is mainly covered with moss or small plants. As the plants grow, their roots penetrate deeper into the roof as well as walls and cause damage to the structure (Huang et al., 2020).</w:t>
      </w:r>
    </w:p>
    <w:p w14:paraId="4B35FDC3" w14:textId="636D9DB6" w:rsidR="00386F80" w:rsidRDefault="00000000" w:rsidP="00386F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moss and smaller plants cover the surface and keep the walls and roof moist, which increases the humidity inside the building and absorbs the heat, which results in loss of temperature and enhanced cooling of the building. Therefore, the heating system must work more to keep the building warm. In addition, the increased humidity inside the building attracts mould, which covers moist surfaces, especially the wooden furniture and doors, which not only decreases the beauty but also enhances the deterioration of the wood in addition to causing breathing problems in the inhabitants. Furthermore, the internal structure of the building is constructed with stone and bricks, which exhibit several smaller and larger cracks. As the moisture enters the walls through these cracks, it cannot get out completely (Tarekegn Gurmu et al., 2022). This results in the widening and lengthening of the cracks in addition to the generation of more cracks in the walls. The cracks wider than 10mm indicate the urgency of the matter or deal with these cracks immediately. If these cracks are not covered completely, the life of the building may be significantly reduced. This indicates that the main issue maintaining the building is facing right now is moisture. Therefore, the strategies should be developed such that the moisture effects on the building should be reduced as much as possible by covering the cracks, removing the plants, making the walls and roof moisture-free, using water repellent paints etc. </w:t>
      </w:r>
      <w:r w:rsidR="00386F80">
        <w:rPr>
          <w:rFonts w:ascii="Times New Roman" w:hAnsi="Times New Roman" w:cs="Times New Roman"/>
          <w:sz w:val="24"/>
          <w:szCs w:val="24"/>
        </w:rPr>
        <w:t>to</w:t>
      </w:r>
      <w:r>
        <w:rPr>
          <w:rFonts w:ascii="Times New Roman" w:hAnsi="Times New Roman" w:cs="Times New Roman"/>
          <w:sz w:val="24"/>
          <w:szCs w:val="24"/>
        </w:rPr>
        <w:t xml:space="preserve"> protect the building from the damage of moisture (Faqih et al., 2020).</w:t>
      </w:r>
    </w:p>
    <w:p w14:paraId="0F3E0655" w14:textId="77777777" w:rsidR="00386F80" w:rsidRDefault="00386F80">
      <w:pPr>
        <w:rPr>
          <w:b/>
          <w:bCs/>
          <w:color w:val="0E101A"/>
          <w:sz w:val="18"/>
          <w:szCs w:val="18"/>
        </w:rPr>
      </w:pPr>
      <w:r>
        <w:rPr>
          <w:b/>
          <w:bCs/>
          <w:color w:val="0E101A"/>
          <w:sz w:val="18"/>
          <w:szCs w:val="18"/>
        </w:rPr>
        <w:br w:type="page"/>
      </w:r>
    </w:p>
    <w:p w14:paraId="64FEB16D" w14:textId="7F482EF2" w:rsidR="00967DDE" w:rsidRPr="00386F80" w:rsidRDefault="00000000" w:rsidP="00386F80">
      <w:pPr>
        <w:spacing w:line="360" w:lineRule="auto"/>
        <w:jc w:val="both"/>
        <w:rPr>
          <w:rFonts w:ascii="Times New Roman" w:hAnsi="Times New Roman" w:cs="Times New Roman"/>
          <w:sz w:val="24"/>
          <w:szCs w:val="24"/>
        </w:rPr>
      </w:pPr>
      <w:r>
        <w:rPr>
          <w:b/>
          <w:bCs/>
          <w:color w:val="0E101A"/>
          <w:sz w:val="18"/>
          <w:szCs w:val="18"/>
        </w:rPr>
        <w:lastRenderedPageBreak/>
        <w:t>Defect-related photos of the interior of the building</w:t>
      </w:r>
    </w:p>
    <w:p w14:paraId="19E99743" w14:textId="77777777" w:rsidR="00967DDE" w:rsidRDefault="00000000">
      <w:pPr>
        <w:pStyle w:val="NormalWeb"/>
        <w:spacing w:before="0" w:beforeAutospacing="0" w:after="0" w:afterAutospacing="0" w:line="360" w:lineRule="auto"/>
        <w:jc w:val="both"/>
        <w:rPr>
          <w:color w:val="0E101A"/>
        </w:rPr>
      </w:pPr>
      <w:r>
        <w:rPr>
          <w:noProof/>
          <w:color w:val="0E101A"/>
        </w:rPr>
        <w:drawing>
          <wp:inline distT="0" distB="0" distL="0" distR="0" wp14:anchorId="35F614F2" wp14:editId="3C8E4C79">
            <wp:extent cx="1077526" cy="1416050"/>
            <wp:effectExtent l="0" t="0" r="8890" b="0"/>
            <wp:docPr id="1030" name="Picture 14" descr="A picture containing dirty&#10;&#10;Description automatically generated"/>
            <wp:cNvGraphicFramePr/>
            <a:graphic xmlns:a="http://schemas.openxmlformats.org/drawingml/2006/main">
              <a:graphicData uri="http://schemas.openxmlformats.org/drawingml/2006/picture">
                <pic:pic xmlns:pic="http://schemas.openxmlformats.org/drawingml/2006/picture">
                  <pic:nvPicPr>
                    <pic:cNvPr id="1030" name="Picture 14"/>
                    <pic:cNvPicPr/>
                  </pic:nvPicPr>
                  <pic:blipFill>
                    <a:blip r:embed="rId14" cstate="print"/>
                    <a:stretch>
                      <a:fillRect/>
                    </a:stretch>
                  </pic:blipFill>
                  <pic:spPr>
                    <a:xfrm>
                      <a:off x="0" y="0"/>
                      <a:ext cx="1077526" cy="1416050"/>
                    </a:xfrm>
                    <a:prstGeom prst="rect">
                      <a:avLst/>
                    </a:prstGeom>
                  </pic:spPr>
                </pic:pic>
              </a:graphicData>
            </a:graphic>
          </wp:inline>
        </w:drawing>
      </w:r>
      <w:r>
        <w:rPr>
          <w:color w:val="0E101A"/>
        </w:rPr>
        <w:t xml:space="preserve"> </w:t>
      </w:r>
      <w:r>
        <w:rPr>
          <w:noProof/>
          <w:color w:val="0E101A"/>
        </w:rPr>
        <w:drawing>
          <wp:inline distT="0" distB="0" distL="0" distR="0" wp14:anchorId="3A189F84" wp14:editId="5DAC5176">
            <wp:extent cx="1065669" cy="1403350"/>
            <wp:effectExtent l="0" t="0" r="1270" b="6350"/>
            <wp:docPr id="1031" name="Picture 17" descr="A picture containing arch&#10;&#10;Description automatically generated"/>
            <wp:cNvGraphicFramePr/>
            <a:graphic xmlns:a="http://schemas.openxmlformats.org/drawingml/2006/main">
              <a:graphicData uri="http://schemas.openxmlformats.org/drawingml/2006/picture">
                <pic:pic xmlns:pic="http://schemas.openxmlformats.org/drawingml/2006/picture">
                  <pic:nvPicPr>
                    <pic:cNvPr id="1031" name="Picture 17"/>
                    <pic:cNvPicPr/>
                  </pic:nvPicPr>
                  <pic:blipFill>
                    <a:blip r:embed="rId15" cstate="print"/>
                    <a:stretch>
                      <a:fillRect/>
                    </a:stretch>
                  </pic:blipFill>
                  <pic:spPr>
                    <a:xfrm>
                      <a:off x="0" y="0"/>
                      <a:ext cx="1065669" cy="1403350"/>
                    </a:xfrm>
                    <a:prstGeom prst="rect">
                      <a:avLst/>
                    </a:prstGeom>
                  </pic:spPr>
                </pic:pic>
              </a:graphicData>
            </a:graphic>
          </wp:inline>
        </w:drawing>
      </w:r>
      <w:r>
        <w:rPr>
          <w:color w:val="0E101A"/>
        </w:rPr>
        <w:t xml:space="preserve"> </w:t>
      </w:r>
      <w:r>
        <w:rPr>
          <w:noProof/>
          <w:color w:val="0E101A"/>
        </w:rPr>
        <w:drawing>
          <wp:inline distT="0" distB="0" distL="0" distR="0" wp14:anchorId="36BDF2C9" wp14:editId="3017D779">
            <wp:extent cx="955046" cy="1403350"/>
            <wp:effectExtent l="0" t="0" r="0" b="6350"/>
            <wp:docPr id="1032" name="Picture 18" descr="A picture containing indoor, music&#10;&#10;Description automatically generated"/>
            <wp:cNvGraphicFramePr/>
            <a:graphic xmlns:a="http://schemas.openxmlformats.org/drawingml/2006/main">
              <a:graphicData uri="http://schemas.openxmlformats.org/drawingml/2006/picture">
                <pic:pic xmlns:pic="http://schemas.openxmlformats.org/drawingml/2006/picture">
                  <pic:nvPicPr>
                    <pic:cNvPr id="1032" name="Picture 18"/>
                    <pic:cNvPicPr/>
                  </pic:nvPicPr>
                  <pic:blipFill>
                    <a:blip r:embed="rId16" cstate="print"/>
                    <a:stretch>
                      <a:fillRect/>
                    </a:stretch>
                  </pic:blipFill>
                  <pic:spPr>
                    <a:xfrm>
                      <a:off x="0" y="0"/>
                      <a:ext cx="955046" cy="1403350"/>
                    </a:xfrm>
                    <a:prstGeom prst="rect">
                      <a:avLst/>
                    </a:prstGeom>
                  </pic:spPr>
                </pic:pic>
              </a:graphicData>
            </a:graphic>
          </wp:inline>
        </w:drawing>
      </w:r>
      <w:r>
        <w:rPr>
          <w:color w:val="0E101A"/>
        </w:rPr>
        <w:t xml:space="preserve"> </w:t>
      </w:r>
      <w:r>
        <w:rPr>
          <w:noProof/>
          <w:color w:val="0E101A"/>
        </w:rPr>
        <w:drawing>
          <wp:inline distT="0" distB="0" distL="0" distR="0" wp14:anchorId="1DB1F741" wp14:editId="4F67383A">
            <wp:extent cx="1066800" cy="1422400"/>
            <wp:effectExtent l="0" t="0" r="0" b="6350"/>
            <wp:docPr id="1033" name="Picture 19"/>
            <wp:cNvGraphicFramePr/>
            <a:graphic xmlns:a="http://schemas.openxmlformats.org/drawingml/2006/main">
              <a:graphicData uri="http://schemas.openxmlformats.org/drawingml/2006/picture">
                <pic:pic xmlns:pic="http://schemas.openxmlformats.org/drawingml/2006/picture">
                  <pic:nvPicPr>
                    <pic:cNvPr id="1033" name="Picture 19"/>
                    <pic:cNvPicPr/>
                  </pic:nvPicPr>
                  <pic:blipFill>
                    <a:blip r:embed="rId17" cstate="print"/>
                    <a:stretch>
                      <a:fillRect/>
                    </a:stretch>
                  </pic:blipFill>
                  <pic:spPr>
                    <a:xfrm flipV="1">
                      <a:off x="0" y="0"/>
                      <a:ext cx="1066800" cy="1422400"/>
                    </a:xfrm>
                    <a:prstGeom prst="rect">
                      <a:avLst/>
                    </a:prstGeom>
                  </pic:spPr>
                </pic:pic>
              </a:graphicData>
            </a:graphic>
          </wp:inline>
        </w:drawing>
      </w:r>
      <w:r>
        <w:rPr>
          <w:color w:val="0E101A"/>
        </w:rPr>
        <w:t xml:space="preserve"> </w:t>
      </w:r>
      <w:r>
        <w:rPr>
          <w:noProof/>
          <w:color w:val="0E101A"/>
        </w:rPr>
        <w:drawing>
          <wp:inline distT="0" distB="0" distL="0" distR="0" wp14:anchorId="45E4EB14" wp14:editId="7A1B2837">
            <wp:extent cx="1061680" cy="1409700"/>
            <wp:effectExtent l="0" t="0" r="5715" b="0"/>
            <wp:docPr id="1034" name="Picture 22" descr="A picture containing wall&#10;&#10;Description automatically generated"/>
            <wp:cNvGraphicFramePr/>
            <a:graphic xmlns:a="http://schemas.openxmlformats.org/drawingml/2006/main">
              <a:graphicData uri="http://schemas.openxmlformats.org/drawingml/2006/picture">
                <pic:pic xmlns:pic="http://schemas.openxmlformats.org/drawingml/2006/picture">
                  <pic:nvPicPr>
                    <pic:cNvPr id="1034" name="Picture 22"/>
                    <pic:cNvPicPr/>
                  </pic:nvPicPr>
                  <pic:blipFill>
                    <a:blip r:embed="rId18" cstate="print"/>
                    <a:stretch>
                      <a:fillRect/>
                    </a:stretch>
                  </pic:blipFill>
                  <pic:spPr>
                    <a:xfrm>
                      <a:off x="0" y="0"/>
                      <a:ext cx="1061680" cy="1409700"/>
                    </a:xfrm>
                    <a:prstGeom prst="rect">
                      <a:avLst/>
                    </a:prstGeom>
                  </pic:spPr>
                </pic:pic>
              </a:graphicData>
            </a:graphic>
          </wp:inline>
        </w:drawing>
      </w:r>
    </w:p>
    <w:p w14:paraId="315CB810" w14:textId="77777777" w:rsidR="00967DDE" w:rsidRDefault="00967DDE">
      <w:pPr>
        <w:pStyle w:val="NormalWeb"/>
        <w:spacing w:before="0" w:beforeAutospacing="0" w:after="0" w:afterAutospacing="0" w:line="360" w:lineRule="auto"/>
        <w:jc w:val="both"/>
        <w:rPr>
          <w:b/>
          <w:bCs/>
          <w:i/>
          <w:iCs/>
          <w:color w:val="0E101A"/>
          <w:sz w:val="18"/>
          <w:szCs w:val="18"/>
        </w:rPr>
      </w:pPr>
    </w:p>
    <w:p w14:paraId="4D0E05AB" w14:textId="77777777" w:rsidR="00967DDE" w:rsidRDefault="00967DDE">
      <w:pPr>
        <w:pStyle w:val="NormalWeb"/>
        <w:spacing w:before="0" w:beforeAutospacing="0" w:after="0" w:afterAutospacing="0" w:line="360" w:lineRule="auto"/>
        <w:jc w:val="both"/>
        <w:rPr>
          <w:b/>
          <w:bCs/>
          <w:color w:val="0E101A"/>
          <w:sz w:val="18"/>
          <w:szCs w:val="18"/>
        </w:rPr>
      </w:pPr>
    </w:p>
    <w:p w14:paraId="2DFC5261" w14:textId="77777777" w:rsidR="00967DDE" w:rsidRDefault="00000000">
      <w:pPr>
        <w:pStyle w:val="NormalWeb"/>
        <w:spacing w:before="0" w:beforeAutospacing="0" w:after="0" w:afterAutospacing="0" w:line="360" w:lineRule="auto"/>
        <w:jc w:val="both"/>
        <w:rPr>
          <w:b/>
          <w:bCs/>
          <w:color w:val="0E101A"/>
          <w:sz w:val="18"/>
          <w:szCs w:val="18"/>
        </w:rPr>
      </w:pPr>
      <w:r>
        <w:rPr>
          <w:b/>
          <w:bCs/>
          <w:color w:val="0E101A"/>
          <w:sz w:val="18"/>
          <w:szCs w:val="18"/>
        </w:rPr>
        <w:t>Defect-related photos of the exterior of the building</w:t>
      </w:r>
    </w:p>
    <w:p w14:paraId="43F1243C" w14:textId="77777777" w:rsidR="00967DDE" w:rsidRDefault="00000000">
      <w:pPr>
        <w:rPr>
          <w:color w:val="0E101A"/>
        </w:rPr>
      </w:pPr>
      <w:r>
        <w:rPr>
          <w:noProof/>
          <w:lang w:eastAsia="en-GB"/>
        </w:rPr>
        <w:drawing>
          <wp:inline distT="0" distB="0" distL="0" distR="0" wp14:anchorId="7EE2D0E5" wp14:editId="5E74D867">
            <wp:extent cx="1104635" cy="1339215"/>
            <wp:effectExtent l="0" t="0" r="635" b="0"/>
            <wp:docPr id="1035" name="Picture 5" descr="A group of kites flying in the sky&#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035" name="Picture 5"/>
                    <pic:cNvPicPr/>
                  </pic:nvPicPr>
                  <pic:blipFill>
                    <a:blip r:embed="rId19" cstate="print"/>
                    <a:stretch>
                      <a:fillRect/>
                    </a:stretch>
                  </pic:blipFill>
                  <pic:spPr>
                    <a:xfrm>
                      <a:off x="0" y="0"/>
                      <a:ext cx="1104635" cy="1339215"/>
                    </a:xfrm>
                    <a:prstGeom prst="rect">
                      <a:avLst/>
                    </a:prstGeom>
                  </pic:spPr>
                </pic:pic>
              </a:graphicData>
            </a:graphic>
          </wp:inline>
        </w:drawing>
      </w:r>
      <w:r>
        <w:rPr>
          <w:color w:val="0E101A"/>
        </w:rPr>
        <w:t xml:space="preserve"> </w:t>
      </w:r>
      <w:r>
        <w:rPr>
          <w:noProof/>
          <w:color w:val="0E101A"/>
          <w:lang w:eastAsia="en-GB"/>
        </w:rPr>
        <w:drawing>
          <wp:inline distT="0" distB="0" distL="0" distR="0" wp14:anchorId="439EC0F5" wp14:editId="3C5D532B">
            <wp:extent cx="1339755" cy="1017717"/>
            <wp:effectExtent l="8573" t="0" r="2857" b="2858"/>
            <wp:docPr id="1036" name="Picture 13" descr="A plant growing out of a window&#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036" name="Picture 13"/>
                    <pic:cNvPicPr/>
                  </pic:nvPicPr>
                  <pic:blipFill>
                    <a:blip r:embed="rId20" cstate="print"/>
                    <a:stretch>
                      <a:fillRect/>
                    </a:stretch>
                  </pic:blipFill>
                  <pic:spPr>
                    <a:xfrm rot="5400000">
                      <a:off x="0" y="0"/>
                      <a:ext cx="1339755" cy="1017717"/>
                    </a:xfrm>
                    <a:prstGeom prst="rect">
                      <a:avLst/>
                    </a:prstGeom>
                  </pic:spPr>
                </pic:pic>
              </a:graphicData>
            </a:graphic>
          </wp:inline>
        </w:drawing>
      </w:r>
      <w:r>
        <w:rPr>
          <w:color w:val="0E101A"/>
        </w:rPr>
        <w:t xml:space="preserve"> </w:t>
      </w:r>
      <w:r>
        <w:rPr>
          <w:noProof/>
          <w:color w:val="0E101A"/>
          <w:lang w:eastAsia="en-GB"/>
        </w:rPr>
        <w:drawing>
          <wp:inline distT="0" distB="0" distL="0" distR="0" wp14:anchorId="634C5C21" wp14:editId="03775115">
            <wp:extent cx="1331383" cy="1190625"/>
            <wp:effectExtent l="0" t="6033" r="0" b="0"/>
            <wp:docPr id="1037" name="Picture 11" descr="A picture containing outdoor, building, window, concrete&#10;&#10;Description automatically generated"/>
            <wp:cNvGraphicFramePr/>
            <a:graphic xmlns:a="http://schemas.openxmlformats.org/drawingml/2006/main">
              <a:graphicData uri="http://schemas.openxmlformats.org/drawingml/2006/picture">
                <pic:pic xmlns:pic="http://schemas.openxmlformats.org/drawingml/2006/picture">
                  <pic:nvPicPr>
                    <pic:cNvPr id="1037" name="Picture 11"/>
                    <pic:cNvPicPr/>
                  </pic:nvPicPr>
                  <pic:blipFill>
                    <a:blip r:embed="rId21" cstate="print"/>
                    <a:stretch>
                      <a:fillRect/>
                    </a:stretch>
                  </pic:blipFill>
                  <pic:spPr>
                    <a:xfrm rot="5400000">
                      <a:off x="0" y="0"/>
                      <a:ext cx="1331383" cy="1190625"/>
                    </a:xfrm>
                    <a:prstGeom prst="rect">
                      <a:avLst/>
                    </a:prstGeom>
                  </pic:spPr>
                </pic:pic>
              </a:graphicData>
            </a:graphic>
          </wp:inline>
        </w:drawing>
      </w:r>
      <w:r>
        <w:rPr>
          <w:color w:val="0E101A"/>
        </w:rPr>
        <w:t xml:space="preserve"> </w:t>
      </w:r>
      <w:r>
        <w:rPr>
          <w:noProof/>
          <w:color w:val="0E101A"/>
          <w:lang w:eastAsia="en-GB"/>
        </w:rPr>
        <w:drawing>
          <wp:inline distT="0" distB="0" distL="0" distR="0" wp14:anchorId="136E461C" wp14:editId="08844B7C">
            <wp:extent cx="1341859" cy="1092835"/>
            <wp:effectExtent l="0" t="8890" r="1905" b="1905"/>
            <wp:docPr id="1038" name="Picture 12" descr="A picture containing building, window, old&#10;&#10;Description automatically generated"/>
            <wp:cNvGraphicFramePr/>
            <a:graphic xmlns:a="http://schemas.openxmlformats.org/drawingml/2006/main">
              <a:graphicData uri="http://schemas.openxmlformats.org/drawingml/2006/picture">
                <pic:pic xmlns:pic="http://schemas.openxmlformats.org/drawingml/2006/picture">
                  <pic:nvPicPr>
                    <pic:cNvPr id="1038" name="Picture 12"/>
                    <pic:cNvPicPr/>
                  </pic:nvPicPr>
                  <pic:blipFill>
                    <a:blip r:embed="rId22" cstate="print"/>
                    <a:stretch>
                      <a:fillRect/>
                    </a:stretch>
                  </pic:blipFill>
                  <pic:spPr>
                    <a:xfrm rot="5400000">
                      <a:off x="0" y="0"/>
                      <a:ext cx="1341859" cy="1092835"/>
                    </a:xfrm>
                    <a:prstGeom prst="rect">
                      <a:avLst/>
                    </a:prstGeom>
                  </pic:spPr>
                </pic:pic>
              </a:graphicData>
            </a:graphic>
          </wp:inline>
        </w:drawing>
      </w:r>
      <w:r>
        <w:rPr>
          <w:color w:val="0E101A"/>
        </w:rPr>
        <w:t xml:space="preserve"> </w:t>
      </w:r>
      <w:r>
        <w:rPr>
          <w:noProof/>
          <w:lang w:eastAsia="en-GB"/>
        </w:rPr>
        <w:drawing>
          <wp:inline distT="0" distB="0" distL="0" distR="0" wp14:anchorId="56508712" wp14:editId="6A5AB220">
            <wp:extent cx="1105342" cy="1327150"/>
            <wp:effectExtent l="0" t="0" r="0" b="6350"/>
            <wp:docPr id="1039" name="Picture 4" descr="A picture containing building, brick, outdoor, stone&#10;&#10;Description automatically generated"/>
            <wp:cNvGraphicFramePr/>
            <a:graphic xmlns:a="http://schemas.openxmlformats.org/drawingml/2006/main">
              <a:graphicData uri="http://schemas.openxmlformats.org/drawingml/2006/picture">
                <pic:pic xmlns:pic="http://schemas.openxmlformats.org/drawingml/2006/picture">
                  <pic:nvPicPr>
                    <pic:cNvPr id="1039" name="Picture 4"/>
                    <pic:cNvPicPr/>
                  </pic:nvPicPr>
                  <pic:blipFill>
                    <a:blip r:embed="rId23" cstate="print"/>
                    <a:stretch>
                      <a:fillRect/>
                    </a:stretch>
                  </pic:blipFill>
                  <pic:spPr>
                    <a:xfrm>
                      <a:off x="0" y="0"/>
                      <a:ext cx="1105342" cy="1327150"/>
                    </a:xfrm>
                    <a:prstGeom prst="rect">
                      <a:avLst/>
                    </a:prstGeom>
                  </pic:spPr>
                </pic:pic>
              </a:graphicData>
            </a:graphic>
          </wp:inline>
        </w:drawing>
      </w:r>
    </w:p>
    <w:p w14:paraId="1507F933" w14:textId="77777777" w:rsidR="00967DDE" w:rsidRDefault="00967DDE">
      <w:pPr>
        <w:rPr>
          <w:rFonts w:ascii="Times New Roman" w:hAnsi="Times New Roman" w:cs="Times New Roman"/>
          <w:sz w:val="24"/>
          <w:szCs w:val="24"/>
        </w:rPr>
      </w:pPr>
    </w:p>
    <w:p w14:paraId="6DEFE67A" w14:textId="77777777" w:rsidR="00967DDE" w:rsidRPr="00F02BF6" w:rsidRDefault="00000000" w:rsidP="0060327B">
      <w:pPr>
        <w:pStyle w:val="Heading6"/>
        <w:rPr>
          <w:rFonts w:ascii="Times New Roman" w:hAnsi="Times New Roman" w:cs="Times New Roman"/>
          <w:b/>
          <w:bCs/>
          <w:sz w:val="24"/>
          <w:szCs w:val="24"/>
        </w:rPr>
      </w:pPr>
      <w:bookmarkStart w:id="25" w:name="_Toc113454600"/>
      <w:bookmarkStart w:id="26" w:name="_Toc113455779"/>
      <w:bookmarkStart w:id="27" w:name="_Toc113455838"/>
      <w:bookmarkStart w:id="28" w:name="_Toc113455994"/>
      <w:bookmarkStart w:id="29" w:name="_Toc113456093"/>
      <w:r w:rsidRPr="00F02BF6">
        <w:rPr>
          <w:rFonts w:ascii="Times New Roman" w:hAnsi="Times New Roman" w:cs="Times New Roman"/>
          <w:b/>
          <w:bCs/>
          <w:sz w:val="24"/>
          <w:szCs w:val="24"/>
        </w:rPr>
        <w:t>Building energy performance</w:t>
      </w:r>
      <w:bookmarkEnd w:id="25"/>
      <w:bookmarkEnd w:id="26"/>
      <w:bookmarkEnd w:id="27"/>
      <w:bookmarkEnd w:id="28"/>
      <w:bookmarkEnd w:id="29"/>
    </w:p>
    <w:p w14:paraId="2769C511" w14:textId="56259FAA"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overall energy performance of the building is quite appreciable despite the old-style architecture of the building. The original building was constructed in the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which indicates several energy performance limitations. However, the building management has implemented some strategies in order to enhance the energy performance of the overall building (Zou et al., 2018). The condition of the building depicts its mechanical as well as electrical systems installed and modified according to the requirement of the time, along with its infrastructure. The original building is the Grade 2 listed building occupying an area of 1,557 m</w:t>
      </w:r>
      <w:r>
        <w:rPr>
          <w:rFonts w:ascii="Times New Roman" w:hAnsi="Times New Roman" w:cs="Times New Roman"/>
          <w:sz w:val="24"/>
          <w:szCs w:val="24"/>
          <w:vertAlign w:val="superscript"/>
        </w:rPr>
        <w:t>2</w:t>
      </w:r>
      <w:r>
        <w:rPr>
          <w:rFonts w:ascii="Times New Roman" w:hAnsi="Times New Roman" w:cs="Times New Roman"/>
          <w:sz w:val="24"/>
          <w:szCs w:val="24"/>
        </w:rPr>
        <w:t xml:space="preserve">. The extension of the building is of modern architecture and contains all the energy-efficient services installed, such as HVAC, insulations, energy-saving </w:t>
      </w:r>
      <w:proofErr w:type="gramStart"/>
      <w:r>
        <w:rPr>
          <w:rFonts w:ascii="Times New Roman" w:hAnsi="Times New Roman" w:cs="Times New Roman"/>
          <w:sz w:val="24"/>
          <w:szCs w:val="24"/>
        </w:rPr>
        <w:t>glasses</w:t>
      </w:r>
      <w:proofErr w:type="gramEnd"/>
      <w:r>
        <w:rPr>
          <w:rFonts w:ascii="Times New Roman" w:hAnsi="Times New Roman" w:cs="Times New Roman"/>
          <w:sz w:val="24"/>
          <w:szCs w:val="24"/>
        </w:rPr>
        <w:t xml:space="preserve"> and many other interventions in order to reduce the consumption of energy while keeping the building safe and comfortable for the inhabitants at all times as well (Ciulla &amp; D'Amico, 2019). </w:t>
      </w:r>
    </w:p>
    <w:p w14:paraId="1FB9E2A3" w14:textId="77777777" w:rsidR="00967DDE" w:rsidRDefault="0000000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347067BE" wp14:editId="5748B000">
            <wp:extent cx="4152899" cy="2635229"/>
            <wp:effectExtent l="0" t="0" r="0" b="0"/>
            <wp:docPr id="1040" name="Picture 6"/>
            <wp:cNvGraphicFramePr/>
            <a:graphic xmlns:a="http://schemas.openxmlformats.org/drawingml/2006/main">
              <a:graphicData uri="http://schemas.openxmlformats.org/drawingml/2006/picture">
                <pic:pic xmlns:pic="http://schemas.openxmlformats.org/drawingml/2006/picture">
                  <pic:nvPicPr>
                    <pic:cNvPr id="1040" name="Picture 6"/>
                    <pic:cNvPicPr/>
                  </pic:nvPicPr>
                  <pic:blipFill>
                    <a:blip r:embed="rId24" cstate="print"/>
                    <a:stretch>
                      <a:fillRect/>
                    </a:stretch>
                  </pic:blipFill>
                  <pic:spPr>
                    <a:xfrm>
                      <a:off x="0" y="0"/>
                      <a:ext cx="4152899" cy="2635229"/>
                    </a:xfrm>
                    <a:prstGeom prst="rect">
                      <a:avLst/>
                    </a:prstGeom>
                    <a:ln>
                      <a:noFill/>
                    </a:ln>
                  </pic:spPr>
                </pic:pic>
              </a:graphicData>
            </a:graphic>
          </wp:inline>
        </w:drawing>
      </w:r>
    </w:p>
    <w:p w14:paraId="3938494D"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above figure shows that although the energy performance potential of the building is up to 76, which means that the building should be graded as C for its energy performance, however, due to a lack of proper management practices, the current energy performance of the building is lower than its potential which is 68 that indicates that the building is graded as D for just crossing the point from 69 to 68. This is because of the old architecture of the building, wooden doors, and single glass windows in most of the area of the building. However, if more interventions can be implemented, then the energy performance of the building can be further increased than its potential.</w:t>
      </w:r>
    </w:p>
    <w:p w14:paraId="3F60F0C1"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the extension is designed with the innovative “glazed double-skin” facade, it adds around 657 m</w:t>
      </w:r>
      <w:r>
        <w:rPr>
          <w:rFonts w:ascii="Times New Roman" w:hAnsi="Times New Roman" w:cs="Times New Roman"/>
          <w:sz w:val="24"/>
          <w:szCs w:val="24"/>
          <w:vertAlign w:val="superscript"/>
        </w:rPr>
        <w:t>2</w:t>
      </w:r>
      <w:r>
        <w:rPr>
          <w:rFonts w:ascii="Times New Roman" w:hAnsi="Times New Roman" w:cs="Times New Roman"/>
          <w:sz w:val="24"/>
          <w:szCs w:val="24"/>
        </w:rPr>
        <w:t xml:space="preserve"> of the area to the original building, and it also includes the reception area, study area, workshops, seminar room and an elevator. The property of the "double-skin" energy-saving glass as a wall to the exterior of the building offers a clear view of the architecture of the original building to the inhabitants, which was designed by "Design2e." An energy-efficient finish is achieved in the extension through a "south-facing glass facade" with excessive exposure to sunlight and heat. Much of the heating problem is solved by this intervention as the energy is saved, which would otherwise be used in order to produce heat inside the building. In order to maintain a proper temperature and to avoid fluctuations in the temperature, the glass wall is further assisted with coloured glass sheets, which can reduce the exposure to the sun and can easily be installed and removed from the glass wall with the springs in order to ease the process of management and maintenance of the glass wall or sheets. </w:t>
      </w:r>
    </w:p>
    <w:p w14:paraId="210F4D1A" w14:textId="77777777" w:rsidR="000132ED" w:rsidRDefault="000132ED">
      <w:pPr>
        <w:spacing w:line="360" w:lineRule="auto"/>
        <w:ind w:firstLine="720"/>
        <w:jc w:val="both"/>
        <w:rPr>
          <w:rFonts w:ascii="Times New Roman" w:hAnsi="Times New Roman" w:cs="Times New Roman"/>
          <w:sz w:val="24"/>
          <w:szCs w:val="24"/>
        </w:rPr>
      </w:pPr>
    </w:p>
    <w:p w14:paraId="0500F788" w14:textId="1B281676"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Designe2e has implemented several interventions in the building under the name of "Designe2e SMART designs", through which many interventions have been initiated, such as the installation of the fans at the top of the building while the vents at the bottom of the building </w:t>
      </w:r>
      <w:r w:rsidR="000132ED">
        <w:rPr>
          <w:rFonts w:ascii="Times New Roman" w:hAnsi="Times New Roman" w:cs="Times New Roman"/>
          <w:sz w:val="24"/>
          <w:szCs w:val="24"/>
        </w:rPr>
        <w:t>to</w:t>
      </w:r>
      <w:r>
        <w:rPr>
          <w:rFonts w:ascii="Times New Roman" w:hAnsi="Times New Roman" w:cs="Times New Roman"/>
          <w:sz w:val="24"/>
          <w:szCs w:val="24"/>
        </w:rPr>
        <w:t xml:space="preserve"> facilitate the proper airflow inside the building so that the usage of energy is minimised. Furthermore, another critical intervention to increase the energy efficiency of the building is to keep the appliances, such as fans, heating systems, HVAC etc., in their best condition so that their energy consumption should be kept optimum. Therefore, the investment of more than 8 million pounds in the restoring as well as refurbishing, along with the extension of the "ALEX building (UWTSD)" has enabled the adoption of the latest "cutting-edge technologies" for the building so that all the assets should be in the excellent condition in order to increase the energy efficiency of the building. Therefore, it can be stated that, although the original building itself is pretty old and therefore, the energy performance is not quite good, the building management has tried its best to keep the building environmentally friendly and to keep the energy consumption as low as possible (Al-Sakkaf et al., 2021).</w:t>
      </w:r>
    </w:p>
    <w:p w14:paraId="1124C09A" w14:textId="77777777" w:rsidR="00967DDE" w:rsidRDefault="00967DDE">
      <w:pPr>
        <w:spacing w:line="360" w:lineRule="auto"/>
        <w:jc w:val="both"/>
        <w:rPr>
          <w:rFonts w:ascii="Times New Roman" w:hAnsi="Times New Roman" w:cs="Times New Roman"/>
          <w:sz w:val="24"/>
          <w:szCs w:val="24"/>
        </w:rPr>
      </w:pPr>
    </w:p>
    <w:p w14:paraId="49FD7D28" w14:textId="77777777" w:rsidR="00967DDE" w:rsidRDefault="0000000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A94D0E3" wp14:editId="5A1E429F">
            <wp:extent cx="4895845" cy="3229239"/>
            <wp:effectExtent l="0" t="0" r="635" b="0"/>
            <wp:docPr id="1041" name="Picture 1" descr="A picture containing building, outdoor, government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1041" name="Picture 1"/>
                    <pic:cNvPicPr/>
                  </pic:nvPicPr>
                  <pic:blipFill>
                    <a:blip r:embed="rId25" cstate="print"/>
                    <a:stretch>
                      <a:fillRect/>
                    </a:stretch>
                  </pic:blipFill>
                  <pic:spPr>
                    <a:xfrm>
                      <a:off x="0" y="0"/>
                      <a:ext cx="4895845" cy="3229239"/>
                    </a:xfrm>
                    <a:prstGeom prst="rect">
                      <a:avLst/>
                    </a:prstGeom>
                  </pic:spPr>
                </pic:pic>
              </a:graphicData>
            </a:graphic>
          </wp:inline>
        </w:drawing>
      </w:r>
    </w:p>
    <w:p w14:paraId="4C36908B" w14:textId="77777777" w:rsidR="000037CA" w:rsidRDefault="000037CA">
      <w:pPr>
        <w:rPr>
          <w:rFonts w:ascii="Times New Roman" w:hAnsi="Times New Roman" w:cs="Times New Roman"/>
          <w:b/>
          <w:bCs/>
          <w:sz w:val="28"/>
          <w:szCs w:val="28"/>
        </w:rPr>
      </w:pPr>
      <w:r>
        <w:rPr>
          <w:rFonts w:ascii="Times New Roman" w:hAnsi="Times New Roman" w:cs="Times New Roman"/>
          <w:b/>
          <w:bCs/>
          <w:sz w:val="28"/>
          <w:szCs w:val="28"/>
        </w:rPr>
        <w:br w:type="page"/>
      </w:r>
    </w:p>
    <w:p w14:paraId="1CB73DA0" w14:textId="02492C56" w:rsidR="00967DDE" w:rsidRPr="00F02BF6" w:rsidRDefault="00000000" w:rsidP="000A2782">
      <w:pPr>
        <w:pStyle w:val="Heading7"/>
        <w:rPr>
          <w:rFonts w:ascii="Times New Roman" w:hAnsi="Times New Roman" w:cs="Times New Roman"/>
          <w:b/>
          <w:bCs/>
          <w:i w:val="0"/>
          <w:iCs w:val="0"/>
          <w:sz w:val="24"/>
          <w:szCs w:val="24"/>
        </w:rPr>
      </w:pPr>
      <w:bookmarkStart w:id="30" w:name="_Toc113454601"/>
      <w:bookmarkStart w:id="31" w:name="_Toc113455780"/>
      <w:bookmarkStart w:id="32" w:name="_Toc113455839"/>
      <w:bookmarkStart w:id="33" w:name="_Toc113455995"/>
      <w:bookmarkStart w:id="34" w:name="_Toc113456094"/>
      <w:r w:rsidRPr="00F02BF6">
        <w:rPr>
          <w:rFonts w:ascii="Times New Roman" w:hAnsi="Times New Roman" w:cs="Times New Roman"/>
          <w:b/>
          <w:bCs/>
          <w:i w:val="0"/>
          <w:iCs w:val="0"/>
          <w:sz w:val="24"/>
          <w:szCs w:val="24"/>
        </w:rPr>
        <w:lastRenderedPageBreak/>
        <w:t>Medium-term retrofit plan</w:t>
      </w:r>
      <w:bookmarkEnd w:id="30"/>
      <w:bookmarkEnd w:id="31"/>
      <w:bookmarkEnd w:id="32"/>
      <w:bookmarkEnd w:id="33"/>
      <w:bookmarkEnd w:id="34"/>
    </w:p>
    <w:p w14:paraId="3CC3F1A6"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Retrofit can be defined as a process in which improvements are incorporated into the building's energy and environmental performance to make them environmentally friendly and safer for the inhabitants through several technical interventions. Not only does this includes the installation of modifications or total replacements of the various components of the buildings, but it also includes the repair as well as maintenance of the materials and components of the buildings in order to make them energy efficient. A significant focus of the retrofit of the buildings is the reduction of the losses of heat from the building fabric, which include the doors, walls, windows, roof and floors. The retrofit is aimed at cutting the losses of heat and energy along with the emission of CO</w:t>
      </w:r>
      <w:r>
        <w:rPr>
          <w:rFonts w:ascii="Times New Roman" w:hAnsi="Times New Roman" w:cs="Times New Roman"/>
          <w:sz w:val="24"/>
          <w:szCs w:val="24"/>
          <w:vertAlign w:val="superscript"/>
        </w:rPr>
        <w:t>2</w:t>
      </w:r>
      <w:r>
        <w:rPr>
          <w:rFonts w:ascii="Times New Roman" w:hAnsi="Times New Roman" w:cs="Times New Roman"/>
          <w:sz w:val="24"/>
          <w:szCs w:val="24"/>
        </w:rPr>
        <w:t xml:space="preserve"> from the buildings. In addition to this, other interventions are also included in the retrofit plans, which focus on the improvements in the heating systems, lighting, controls, and the usage of renewable energy. Different buildings have different needs and requirements based on the different needs of the occupants and inhabitants residing inside them. Therefore, not all approaches to retrofit can be implemented in all buildings to improve their performance. In addition, it is also important to note that not all buildings can be retrofitted. This is more important in the case of the old and heritage buildings because we cannot implement many of the changes in the structure because of many factors such as the value of the structure, quality of the building fabric and many other reasons. Therefore, the environmental impact of such buildings can only be reduced to a certain extent.</w:t>
      </w:r>
    </w:p>
    <w:p w14:paraId="441A54EE" w14:textId="77777777" w:rsidR="00967DDE"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Building fabric</w:t>
      </w:r>
    </w:p>
    <w:p w14:paraId="41391051"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Although all buildings have different needs for retrofit, different retrofit plans are required by different buildings. However, some of the qualities of traditional buildings are common. For example, they usually heat up and cool down faster than modern-day buildings because of the poor quality of building fabric used in construction (Ruggeri et al., 2020). This kind of building fabric conducts an extent of moisture and heat. It means that the moisture from the rainwater can come inside, and moisture from the inside can go outside. Because of these properties, they depend on rain, sunshine, wind, ventilation and natural lighting to maintain the temperature. The retrofitting done with the building fabrics without considering these issues might lead to the problems of overheating or overcooling of the building (Qu et al., 2021).</w:t>
      </w:r>
    </w:p>
    <w:p w14:paraId="4533D5CE" w14:textId="77777777" w:rsidR="00967DDE" w:rsidRDefault="00000000">
      <w:pPr>
        <w:spacing w:line="360" w:lineRule="auto"/>
        <w:jc w:val="center"/>
        <w:rPr>
          <w:rFonts w:ascii="Times New Roman" w:hAnsi="Times New Roman" w:cs="Times New Roman"/>
          <w:sz w:val="24"/>
          <w:szCs w:val="24"/>
        </w:rPr>
      </w:pPr>
      <w:r>
        <w:rPr>
          <w:noProof/>
          <w:lang w:eastAsia="en-GB"/>
        </w:rPr>
        <w:lastRenderedPageBreak/>
        <w:drawing>
          <wp:inline distT="0" distB="0" distL="0" distR="0" wp14:anchorId="55EEA367" wp14:editId="3EFF97DC">
            <wp:extent cx="4247233" cy="4220307"/>
            <wp:effectExtent l="0" t="0" r="1270" b="8890"/>
            <wp:docPr id="1042" name="Picture 7"/>
            <wp:cNvGraphicFramePr/>
            <a:graphic xmlns:a="http://schemas.openxmlformats.org/drawingml/2006/main">
              <a:graphicData uri="http://schemas.openxmlformats.org/drawingml/2006/picture">
                <pic:pic xmlns:pic="http://schemas.openxmlformats.org/drawingml/2006/picture">
                  <pic:nvPicPr>
                    <pic:cNvPr id="1042" name="Picture 7"/>
                    <pic:cNvPicPr/>
                  </pic:nvPicPr>
                  <pic:blipFill>
                    <a:blip r:embed="rId26" cstate="print"/>
                    <a:stretch>
                      <a:fillRect/>
                    </a:stretch>
                  </pic:blipFill>
                  <pic:spPr>
                    <a:xfrm>
                      <a:off x="0" y="0"/>
                      <a:ext cx="4247233" cy="4220307"/>
                    </a:xfrm>
                    <a:prstGeom prst="rect">
                      <a:avLst/>
                    </a:prstGeom>
                  </pic:spPr>
                </pic:pic>
              </a:graphicData>
            </a:graphic>
          </wp:inline>
        </w:drawing>
      </w:r>
    </w:p>
    <w:p w14:paraId="709E2CA1" w14:textId="64541244"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our case, as the direct modification of the building fabric cannot be done without the threat of disturbance in the stability and balance of the structure, therefore, slight modifications can be done with proper management and care in order to keep the balance of thermodynamics up and to work in order to keep the building safe and environment friendly. In addition, as the building is protected, only a few recommended interventions can be implemented. However, in my opinion, these changes are for the sake of the protection of the building. Therefore, these can be implemented. As heat loss is a common issue in the building, insulations can be applied to the inside of the roof in the form of ceilings and PVC panels can be installed on the interior side of the walls to provide insulation and reduce the heat losses. In addition, the walls can also be protected from the outside by installing porcelain glazed tiles, which can reduce the entrance of solar heat from the outside into the buildings and prevent the heat from the inside from going out of the building. In addition, "Vapour open EWI to back and gable" can be applied while installing the insulated lime plaster. In the case of single glass or anti-glazed windows, the window shutters can be applied along with double-glazing (Cho et al., 2020; Orsini et al., 2020).</w:t>
      </w:r>
    </w:p>
    <w:p w14:paraId="7F2312CC" w14:textId="77777777" w:rsidR="00967DDE" w:rsidRDefault="00000000">
      <w:pPr>
        <w:spacing w:line="360" w:lineRule="auto"/>
        <w:jc w:val="both"/>
        <w:rPr>
          <w:rFonts w:ascii="Times New Roman" w:hAnsi="Times New Roman" w:cs="Times New Roman"/>
          <w:sz w:val="24"/>
          <w:szCs w:val="24"/>
        </w:rPr>
      </w:pPr>
      <w:r>
        <w:rPr>
          <w:noProof/>
          <w:lang w:eastAsia="en-GB"/>
        </w:rPr>
        <w:lastRenderedPageBreak/>
        <w:drawing>
          <wp:inline distT="0" distB="0" distL="0" distR="0" wp14:anchorId="6E71ACE9" wp14:editId="1A034641">
            <wp:extent cx="1714500" cy="1268095"/>
            <wp:effectExtent l="19050" t="19050" r="19050" b="27305"/>
            <wp:docPr id="1043" name="Picture 9" descr="119 Pvc Sheet Panel Photos - Free &amp; Royalty-Free Stock Photos from  Dreamstime"/>
            <wp:cNvGraphicFramePr/>
            <a:graphic xmlns:a="http://schemas.openxmlformats.org/drawingml/2006/main">
              <a:graphicData uri="http://schemas.openxmlformats.org/drawingml/2006/picture">
                <pic:pic xmlns:pic="http://schemas.openxmlformats.org/drawingml/2006/picture">
                  <pic:nvPicPr>
                    <pic:cNvPr id="1043" name="Picture 9"/>
                    <pic:cNvPicPr/>
                  </pic:nvPicPr>
                  <pic:blipFill>
                    <a:blip r:embed="rId27" cstate="print"/>
                    <a:stretch>
                      <a:fillRect/>
                    </a:stretch>
                  </pic:blipFill>
                  <pic:spPr>
                    <a:xfrm>
                      <a:off x="0" y="0"/>
                      <a:ext cx="1714500" cy="1268095"/>
                    </a:xfrm>
                    <a:prstGeom prst="rect">
                      <a:avLst/>
                    </a:prstGeom>
                    <a:ln w="9525">
                      <a:solidFill>
                        <a:srgbClr val="000000"/>
                      </a:solidFill>
                      <a:prstDash val="solid"/>
                      <a:round/>
                      <a:headEnd/>
                      <a:tailEnd/>
                    </a:ln>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0AAAFCC4" wp14:editId="5CAF93D0">
            <wp:extent cx="1143000" cy="1276225"/>
            <wp:effectExtent l="19050" t="19050" r="19050" b="19685"/>
            <wp:docPr id="1044" name="Picture 10" descr="Roof construction from timber beams and steel frames. Agricultural building  construction Stock Photo - Alamy"/>
            <wp:cNvGraphicFramePr/>
            <a:graphic xmlns:a="http://schemas.openxmlformats.org/drawingml/2006/main">
              <a:graphicData uri="http://schemas.openxmlformats.org/drawingml/2006/picture">
                <pic:pic xmlns:pic="http://schemas.openxmlformats.org/drawingml/2006/picture">
                  <pic:nvPicPr>
                    <pic:cNvPr id="1044" name="Picture 10"/>
                    <pic:cNvPicPr/>
                  </pic:nvPicPr>
                  <pic:blipFill>
                    <a:blip r:embed="rId28" cstate="print"/>
                    <a:srcRect b="15099"/>
                    <a:stretch>
                      <a:fillRect/>
                    </a:stretch>
                  </pic:blipFill>
                  <pic:spPr>
                    <a:xfrm flipH="1">
                      <a:off x="0" y="0"/>
                      <a:ext cx="1143000" cy="1276225"/>
                    </a:xfrm>
                    <a:prstGeom prst="rect">
                      <a:avLst/>
                    </a:prstGeom>
                    <a:ln w="9525">
                      <a:solidFill>
                        <a:srgbClr val="000000"/>
                      </a:solidFill>
                      <a:prstDash val="solid"/>
                      <a:round/>
                      <a:headEnd/>
                      <a:tailEnd/>
                    </a:ln>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56C67DA2" wp14:editId="17CE9F59">
            <wp:extent cx="1698413" cy="1273810"/>
            <wp:effectExtent l="19050" t="19050" r="16510" b="21590"/>
            <wp:docPr id="1045" name="Picture 15" descr="Baumit RK38 base coat Lime plaster on Hemp and Lime intern… | Flickr"/>
            <wp:cNvGraphicFramePr/>
            <a:graphic xmlns:a="http://schemas.openxmlformats.org/drawingml/2006/main">
              <a:graphicData uri="http://schemas.openxmlformats.org/drawingml/2006/picture">
                <pic:pic xmlns:pic="http://schemas.openxmlformats.org/drawingml/2006/picture">
                  <pic:nvPicPr>
                    <pic:cNvPr id="1045" name="Picture 15"/>
                    <pic:cNvPicPr/>
                  </pic:nvPicPr>
                  <pic:blipFill>
                    <a:blip r:embed="rId29" cstate="print"/>
                    <a:stretch>
                      <a:fillRect/>
                    </a:stretch>
                  </pic:blipFill>
                  <pic:spPr>
                    <a:xfrm>
                      <a:off x="0" y="0"/>
                      <a:ext cx="1698413" cy="1273810"/>
                    </a:xfrm>
                    <a:prstGeom prst="rect">
                      <a:avLst/>
                    </a:prstGeom>
                    <a:ln w="9525">
                      <a:solidFill>
                        <a:srgbClr val="000000"/>
                      </a:solidFill>
                      <a:prstDash val="solid"/>
                      <a:round/>
                      <a:headEnd/>
                      <a:tailEnd/>
                    </a:ln>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6CC3D798" wp14:editId="3032E040">
            <wp:extent cx="923924" cy="1271310"/>
            <wp:effectExtent l="19050" t="19050" r="9525" b="24130"/>
            <wp:docPr id="1046" name="Picture 16" descr="How Does Double Glazing Work? | KLG Rutland"/>
            <wp:cNvGraphicFramePr/>
            <a:graphic xmlns:a="http://schemas.openxmlformats.org/drawingml/2006/main">
              <a:graphicData uri="http://schemas.openxmlformats.org/drawingml/2006/picture">
                <pic:pic xmlns:pic="http://schemas.openxmlformats.org/drawingml/2006/picture">
                  <pic:nvPicPr>
                    <pic:cNvPr id="1046" name="Picture 16"/>
                    <pic:cNvPicPr/>
                  </pic:nvPicPr>
                  <pic:blipFill>
                    <a:blip r:embed="rId30" cstate="print"/>
                    <a:stretch>
                      <a:fillRect/>
                    </a:stretch>
                  </pic:blipFill>
                  <pic:spPr>
                    <a:xfrm>
                      <a:off x="0" y="0"/>
                      <a:ext cx="923924" cy="1271310"/>
                    </a:xfrm>
                    <a:prstGeom prst="rect">
                      <a:avLst/>
                    </a:prstGeom>
                    <a:ln w="9525">
                      <a:solidFill>
                        <a:srgbClr val="000000"/>
                      </a:solidFill>
                      <a:prstDash val="solid"/>
                      <a:round/>
                      <a:headEnd/>
                      <a:tailEnd/>
                    </a:ln>
                  </pic:spPr>
                </pic:pic>
              </a:graphicData>
            </a:graphic>
          </wp:inline>
        </w:drawing>
      </w:r>
    </w:p>
    <w:p w14:paraId="7F95151D" w14:textId="77777777" w:rsidR="00967DDE"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Heating system </w:t>
      </w:r>
    </w:p>
    <w:p w14:paraId="1558073A" w14:textId="77777777" w:rsidR="00967DDE"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b/>
        <w:t>Because of the cold temperature of the country, the heating of the buildings is an essential requirement in almost all buildings. Although the extension of the ALEX building has a large glass wall, the original building lacks heating interventions to improve the heating system and reduce the heat losses from the building. In traditional buildings, the heating was mainly done in the form of central heating of the building through the burning of gas, and the hot air was circulated throughout the building. As time passed, the water heating system started to get installed in the buildings where a pipeline was circulated throughout the building. The pipers were covered with a large number of heat sinks which played the role of heat dissipation in the building with maximum efficiency. Now even different techniques have been introduced which can effectively improve the heating system of the building. For instance, the condensing boilers can be installed along with thermostatic regulator valves (TRVs) in all the areas of the building in order to keep the temperature within s specific range. Automatic thermostats can also be installed to maintain the temperature in the building automatically, which can turn the heating system on or off when and as needed.</w:t>
      </w:r>
    </w:p>
    <w:p w14:paraId="6D1A0220" w14:textId="77777777" w:rsidR="00967DDE"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solar heaters can be installed for water boiling, as preheated water boils faster than cold water. Therefore, the solar heaters can heat the water up to 60 degrees Celsius, which is relatively easy for the boilers to boil. This can significantly reduce the amount of energy needed for boiling the water, and the amount of CO</w:t>
      </w:r>
      <w:r>
        <w:rPr>
          <w:rFonts w:ascii="Times New Roman" w:hAnsi="Times New Roman" w:cs="Times New Roman"/>
          <w:sz w:val="24"/>
          <w:szCs w:val="24"/>
          <w:vertAlign w:val="superscript"/>
        </w:rPr>
        <w:t xml:space="preserve">2 </w:t>
      </w:r>
      <w:r>
        <w:rPr>
          <w:rFonts w:ascii="Times New Roman" w:hAnsi="Times New Roman" w:cs="Times New Roman"/>
          <w:sz w:val="24"/>
          <w:szCs w:val="24"/>
        </w:rPr>
        <w:t>exhaust can also be reduced. Furthermore, in order to further reduce CO</w:t>
      </w:r>
      <w:r>
        <w:rPr>
          <w:rFonts w:ascii="Times New Roman" w:hAnsi="Times New Roman" w:cs="Times New Roman"/>
          <w:sz w:val="24"/>
          <w:szCs w:val="24"/>
          <w:vertAlign w:val="superscript"/>
        </w:rPr>
        <w:t>2</w:t>
      </w:r>
      <w:r>
        <w:rPr>
          <w:rFonts w:ascii="Times New Roman" w:hAnsi="Times New Roman" w:cs="Times New Roman"/>
          <w:sz w:val="24"/>
          <w:szCs w:val="24"/>
        </w:rPr>
        <w:t xml:space="preserve"> production, the gas boilers can also be replaced with an electric boiler which can take power from the solar panels in order to save electricity as well (Piselli et al., 2020; Fina et al., 2019; Lucch et al., 2020).</w:t>
      </w:r>
    </w:p>
    <w:p w14:paraId="19D07F76" w14:textId="77777777" w:rsidR="00967DDE" w:rsidRDefault="00000000">
      <w:pPr>
        <w:spacing w:line="360" w:lineRule="auto"/>
        <w:jc w:val="center"/>
      </w:pPr>
      <w:r>
        <w:rPr>
          <w:noProof/>
          <w:lang w:eastAsia="en-GB"/>
        </w:rPr>
        <w:lastRenderedPageBreak/>
        <w:drawing>
          <wp:inline distT="0" distB="0" distL="0" distR="0" wp14:anchorId="2AD1BECF" wp14:editId="4B91D095">
            <wp:extent cx="2085975" cy="1987811"/>
            <wp:effectExtent l="19050" t="19050" r="9525" b="12700"/>
            <wp:docPr id="1047" name="Picture 20" descr="Condensing boiler. | Download Scientific Diagram"/>
            <wp:cNvGraphicFramePr/>
            <a:graphic xmlns:a="http://schemas.openxmlformats.org/drawingml/2006/main">
              <a:graphicData uri="http://schemas.openxmlformats.org/drawingml/2006/picture">
                <pic:pic xmlns:pic="http://schemas.openxmlformats.org/drawingml/2006/picture">
                  <pic:nvPicPr>
                    <pic:cNvPr id="1047" name="Picture 20"/>
                    <pic:cNvPicPr/>
                  </pic:nvPicPr>
                  <pic:blipFill>
                    <a:blip r:embed="rId31" cstate="print"/>
                    <a:stretch>
                      <a:fillRect/>
                    </a:stretch>
                  </pic:blipFill>
                  <pic:spPr>
                    <a:xfrm>
                      <a:off x="0" y="0"/>
                      <a:ext cx="2085975" cy="1987811"/>
                    </a:xfrm>
                    <a:prstGeom prst="rect">
                      <a:avLst/>
                    </a:prstGeom>
                    <a:ln w="9525">
                      <a:solidFill>
                        <a:srgbClr val="000000"/>
                      </a:solidFill>
                      <a:prstDash val="solid"/>
                      <a:round/>
                      <a:headEnd/>
                      <a:tailEnd/>
                    </a:ln>
                  </pic:spPr>
                </pic:pic>
              </a:graphicData>
            </a:graphic>
          </wp:inline>
        </w:drawing>
      </w:r>
      <w:r>
        <w:rPr>
          <w:noProof/>
          <w:lang w:eastAsia="en-GB"/>
        </w:rPr>
        <w:drawing>
          <wp:inline distT="0" distB="0" distL="0" distR="0" wp14:anchorId="33FBC59D" wp14:editId="5CD8D793">
            <wp:extent cx="1381125" cy="1988042"/>
            <wp:effectExtent l="19050" t="19050" r="9525" b="12700"/>
            <wp:docPr id="1048" name="Picture 21" descr="Evolve 15mm Angled TRV - ColumnRads UK"/>
            <wp:cNvGraphicFramePr/>
            <a:graphic xmlns:a="http://schemas.openxmlformats.org/drawingml/2006/main">
              <a:graphicData uri="http://schemas.openxmlformats.org/drawingml/2006/picture">
                <pic:pic xmlns:pic="http://schemas.openxmlformats.org/drawingml/2006/picture">
                  <pic:nvPicPr>
                    <pic:cNvPr id="1048" name="Picture 21"/>
                    <pic:cNvPicPr/>
                  </pic:nvPicPr>
                  <pic:blipFill>
                    <a:blip r:embed="rId32" cstate="print"/>
                    <a:srcRect l="30332"/>
                    <a:stretch>
                      <a:fillRect/>
                    </a:stretch>
                  </pic:blipFill>
                  <pic:spPr>
                    <a:xfrm>
                      <a:off x="0" y="0"/>
                      <a:ext cx="1381125" cy="1988042"/>
                    </a:xfrm>
                    <a:prstGeom prst="rect">
                      <a:avLst/>
                    </a:prstGeom>
                    <a:ln w="9525">
                      <a:solidFill>
                        <a:srgbClr val="000000"/>
                      </a:solidFill>
                      <a:prstDash val="solid"/>
                      <a:round/>
                      <a:headEnd/>
                      <a:tailEnd/>
                    </a:ln>
                  </pic:spPr>
                </pic:pic>
              </a:graphicData>
            </a:graphic>
          </wp:inline>
        </w:drawing>
      </w:r>
      <w:r>
        <w:rPr>
          <w:noProof/>
          <w:lang w:eastAsia="en-GB"/>
        </w:rPr>
        <w:drawing>
          <wp:inline distT="0" distB="0" distL="0" distR="0" wp14:anchorId="05D2FD72" wp14:editId="0A51A621">
            <wp:extent cx="1717039" cy="1981200"/>
            <wp:effectExtent l="19050" t="19050" r="16510" b="19050"/>
            <wp:docPr id="1049" name="Picture 23" descr="HW 735A 12V 24V 220V LED Digital Temperature Controller for Greenhouse  Incubator Cooling Heating Switch Thermostat|Building Automation| -  AliExpress"/>
            <wp:cNvGraphicFramePr/>
            <a:graphic xmlns:a="http://schemas.openxmlformats.org/drawingml/2006/main">
              <a:graphicData uri="http://schemas.openxmlformats.org/drawingml/2006/picture">
                <pic:pic xmlns:pic="http://schemas.openxmlformats.org/drawingml/2006/picture">
                  <pic:nvPicPr>
                    <pic:cNvPr id="1049" name="Picture 23"/>
                    <pic:cNvPicPr/>
                  </pic:nvPicPr>
                  <pic:blipFill>
                    <a:blip r:embed="rId33" cstate="print"/>
                    <a:stretch>
                      <a:fillRect/>
                    </a:stretch>
                  </pic:blipFill>
                  <pic:spPr>
                    <a:xfrm>
                      <a:off x="0" y="0"/>
                      <a:ext cx="1717039" cy="1981200"/>
                    </a:xfrm>
                    <a:prstGeom prst="rect">
                      <a:avLst/>
                    </a:prstGeom>
                    <a:ln w="9525">
                      <a:solidFill>
                        <a:srgbClr val="000000"/>
                      </a:solidFill>
                      <a:prstDash val="solid"/>
                      <a:round/>
                      <a:headEnd/>
                      <a:tailEnd/>
                    </a:ln>
                  </pic:spPr>
                </pic:pic>
              </a:graphicData>
            </a:graphic>
          </wp:inline>
        </w:drawing>
      </w:r>
    </w:p>
    <w:p w14:paraId="6EB692D4" w14:textId="77777777" w:rsidR="00967DDE" w:rsidRDefault="00000000">
      <w:pPr>
        <w:spacing w:line="360" w:lineRule="auto"/>
        <w:jc w:val="center"/>
        <w:rPr>
          <w:rFonts w:ascii="Times New Roman" w:hAnsi="Times New Roman" w:cs="Times New Roman"/>
          <w:sz w:val="24"/>
          <w:szCs w:val="24"/>
        </w:rPr>
      </w:pPr>
      <w:r>
        <w:rPr>
          <w:noProof/>
          <w:lang w:eastAsia="en-GB"/>
        </w:rPr>
        <w:drawing>
          <wp:inline distT="0" distB="0" distL="0" distR="0" wp14:anchorId="795EFDCD" wp14:editId="4C3B9C0E">
            <wp:extent cx="1895475" cy="2018515"/>
            <wp:effectExtent l="19050" t="19050" r="9525" b="20320"/>
            <wp:docPr id="1050" name="Picture 24" descr="Solar Water Heater 500 Ltr - Rahyni Solar"/>
            <wp:cNvGraphicFramePr/>
            <a:graphic xmlns:a="http://schemas.openxmlformats.org/drawingml/2006/main">
              <a:graphicData uri="http://schemas.openxmlformats.org/drawingml/2006/picture">
                <pic:pic xmlns:pic="http://schemas.openxmlformats.org/drawingml/2006/picture">
                  <pic:nvPicPr>
                    <pic:cNvPr id="1050" name="Picture 24"/>
                    <pic:cNvPicPr/>
                  </pic:nvPicPr>
                  <pic:blipFill>
                    <a:blip r:embed="rId34" cstate="print"/>
                    <a:stretch>
                      <a:fillRect/>
                    </a:stretch>
                  </pic:blipFill>
                  <pic:spPr>
                    <a:xfrm>
                      <a:off x="0" y="0"/>
                      <a:ext cx="1895475" cy="2018515"/>
                    </a:xfrm>
                    <a:prstGeom prst="rect">
                      <a:avLst/>
                    </a:prstGeom>
                    <a:ln w="9525">
                      <a:solidFill>
                        <a:srgbClr val="000000"/>
                      </a:solidFill>
                      <a:prstDash val="solid"/>
                      <a:round/>
                      <a:headEnd/>
                      <a:tailEnd/>
                    </a:ln>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25DEA539" wp14:editId="697530E7">
            <wp:extent cx="3056890" cy="2018030"/>
            <wp:effectExtent l="19050" t="19050" r="10160" b="20320"/>
            <wp:docPr id="1051" name="Picture 25" descr="Hot water boiler package - Forain"/>
            <wp:cNvGraphicFramePr/>
            <a:graphic xmlns:a="http://schemas.openxmlformats.org/drawingml/2006/main">
              <a:graphicData uri="http://schemas.openxmlformats.org/drawingml/2006/picture">
                <pic:pic xmlns:pic="http://schemas.openxmlformats.org/drawingml/2006/picture">
                  <pic:nvPicPr>
                    <pic:cNvPr id="1051" name="Picture 25"/>
                    <pic:cNvPicPr/>
                  </pic:nvPicPr>
                  <pic:blipFill>
                    <a:blip r:embed="rId35" cstate="print"/>
                    <a:stretch>
                      <a:fillRect/>
                    </a:stretch>
                  </pic:blipFill>
                  <pic:spPr>
                    <a:xfrm>
                      <a:off x="0" y="0"/>
                      <a:ext cx="3056890" cy="2018030"/>
                    </a:xfrm>
                    <a:prstGeom prst="rect">
                      <a:avLst/>
                    </a:prstGeom>
                    <a:ln w="9525">
                      <a:solidFill>
                        <a:srgbClr val="000000"/>
                      </a:solidFill>
                      <a:prstDash val="solid"/>
                      <a:round/>
                      <a:headEnd/>
                      <a:tailEnd/>
                    </a:ln>
                  </pic:spPr>
                </pic:pic>
              </a:graphicData>
            </a:graphic>
          </wp:inline>
        </w:drawing>
      </w:r>
    </w:p>
    <w:p w14:paraId="6D2BBB5C" w14:textId="77777777" w:rsidR="00967DDE"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Renewable energy generation or storage</w:t>
      </w:r>
    </w:p>
    <w:p w14:paraId="41BFAB70" w14:textId="77777777" w:rsidR="00967DDE"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b/>
        <w:t>Generation, storage and energy consumption are among the most crucial building management concerns, especially in the modern era of climate change and global warming. Therefore, it should be the priority of every building manager to reduce or even eliminate the carbon emissions from the buildings. In order to generate green energy, burning fossil fuel or gas should be avoided at all costs, and the energy should be generated through solar panels. Sunlight is an excellent energy source where other sources such as wind, hydro or gravitational power are insufficient. Therefore enough solar energy panels should be installed on the roof of the building so that the need for power can be compensated. As far as energy storage is concerned, dry lithium-ion batteries should be installed instead of wet-acid batteries. This is because the acid batteries continuously emit CO</w:t>
      </w:r>
      <w:r>
        <w:rPr>
          <w:rFonts w:ascii="Times New Roman" w:hAnsi="Times New Roman" w:cs="Times New Roman"/>
          <w:sz w:val="24"/>
          <w:szCs w:val="24"/>
          <w:vertAlign w:val="superscript"/>
        </w:rPr>
        <w:t>2</w:t>
      </w:r>
      <w:r>
        <w:rPr>
          <w:rFonts w:ascii="Times New Roman" w:hAnsi="Times New Roman" w:cs="Times New Roman"/>
          <w:sz w:val="24"/>
          <w:szCs w:val="24"/>
        </w:rPr>
        <w:t>, contributing to global warming. Therefore, dry batteries should be used to store energy. Lastly, the electric appliances used in the building should be able to work on DC along with AC because the appliances working on DC consume comparatively less power than those that use AC (Cabeza et al., 2018; Piselli et al., 2020).</w:t>
      </w:r>
    </w:p>
    <w:p w14:paraId="6833CAC0" w14:textId="77777777" w:rsidR="00A72CE8" w:rsidRDefault="00A72CE8">
      <w:pPr>
        <w:rPr>
          <w:rFonts w:ascii="Times New Roman" w:hAnsi="Times New Roman" w:cs="Times New Roman"/>
          <w:sz w:val="24"/>
          <w:szCs w:val="24"/>
        </w:rPr>
      </w:pPr>
      <w:r>
        <w:rPr>
          <w:rFonts w:ascii="Times New Roman" w:hAnsi="Times New Roman" w:cs="Times New Roman"/>
          <w:sz w:val="24"/>
          <w:szCs w:val="24"/>
        </w:rPr>
        <w:br w:type="page"/>
      </w:r>
    </w:p>
    <w:p w14:paraId="7120BAA1" w14:textId="5B5AAE3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If </w:t>
      </w:r>
      <w:r w:rsidR="00DC7505">
        <w:rPr>
          <w:rFonts w:ascii="Times New Roman" w:hAnsi="Times New Roman" w:cs="Times New Roman"/>
          <w:sz w:val="24"/>
          <w:szCs w:val="24"/>
        </w:rPr>
        <w:t>all</w:t>
      </w:r>
      <w:r>
        <w:rPr>
          <w:rFonts w:ascii="Times New Roman" w:hAnsi="Times New Roman" w:cs="Times New Roman"/>
          <w:sz w:val="24"/>
          <w:szCs w:val="24"/>
        </w:rPr>
        <w:t xml:space="preserve"> these interventions regarding the building fabric, heating system and energy production and storage are implemented, the building can become "Net Zero", which means that if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these measures are applied in the building, the emission of CO</w:t>
      </w:r>
      <w:r>
        <w:rPr>
          <w:rFonts w:ascii="Times New Roman" w:hAnsi="Times New Roman" w:cs="Times New Roman"/>
          <w:sz w:val="24"/>
          <w:szCs w:val="24"/>
          <w:vertAlign w:val="superscript"/>
        </w:rPr>
        <w:t>2</w:t>
      </w:r>
      <w:r>
        <w:rPr>
          <w:rFonts w:ascii="Times New Roman" w:hAnsi="Times New Roman" w:cs="Times New Roman"/>
          <w:sz w:val="24"/>
          <w:szCs w:val="24"/>
        </w:rPr>
        <w:t xml:space="preserve"> can be reduced to zero.</w:t>
      </w:r>
    </w:p>
    <w:p w14:paraId="0FA4B59E" w14:textId="77777777" w:rsidR="00967DDE" w:rsidRDefault="00000000">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FE20CC5" wp14:editId="2E10CF43">
            <wp:extent cx="1838325" cy="1378847"/>
            <wp:effectExtent l="19050" t="19050" r="9525" b="12065"/>
            <wp:docPr id="1052" name="Picture 26"/>
            <wp:cNvGraphicFramePr/>
            <a:graphic xmlns:a="http://schemas.openxmlformats.org/drawingml/2006/main">
              <a:graphicData uri="http://schemas.openxmlformats.org/drawingml/2006/picture">
                <pic:pic xmlns:pic="http://schemas.openxmlformats.org/drawingml/2006/picture">
                  <pic:nvPicPr>
                    <pic:cNvPr id="1052" name="Picture 26"/>
                    <pic:cNvPicPr/>
                  </pic:nvPicPr>
                  <pic:blipFill>
                    <a:blip r:embed="rId36" cstate="print"/>
                    <a:stretch>
                      <a:fillRect/>
                    </a:stretch>
                  </pic:blipFill>
                  <pic:spPr>
                    <a:xfrm>
                      <a:off x="0" y="0"/>
                      <a:ext cx="1838325" cy="1378847"/>
                    </a:xfrm>
                    <a:prstGeom prst="rect">
                      <a:avLst/>
                    </a:prstGeom>
                    <a:ln w="9525">
                      <a:solidFill>
                        <a:srgbClr val="000000"/>
                      </a:solidFill>
                      <a:prstDash val="solid"/>
                      <a:round/>
                      <a:headEnd/>
                      <a:tailEnd/>
                    </a:ln>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55EC142E" wp14:editId="5CCF168E">
            <wp:extent cx="1447800" cy="1378248"/>
            <wp:effectExtent l="19050" t="19050" r="19050" b="12700"/>
            <wp:docPr id="1053" name="Picture 27" descr="12V 100AH LITHIUM ION BATTERY – Solarshop Pakistan"/>
            <wp:cNvGraphicFramePr/>
            <a:graphic xmlns:a="http://schemas.openxmlformats.org/drawingml/2006/main">
              <a:graphicData uri="http://schemas.openxmlformats.org/drawingml/2006/picture">
                <pic:pic xmlns:pic="http://schemas.openxmlformats.org/drawingml/2006/picture">
                  <pic:nvPicPr>
                    <pic:cNvPr id="1053" name="Picture 27"/>
                    <pic:cNvPicPr/>
                  </pic:nvPicPr>
                  <pic:blipFill>
                    <a:blip r:embed="rId37" cstate="print"/>
                    <a:stretch>
                      <a:fillRect/>
                    </a:stretch>
                  </pic:blipFill>
                  <pic:spPr>
                    <a:xfrm>
                      <a:off x="0" y="0"/>
                      <a:ext cx="1447800" cy="1378248"/>
                    </a:xfrm>
                    <a:prstGeom prst="rect">
                      <a:avLst/>
                    </a:prstGeom>
                    <a:ln w="9525">
                      <a:solidFill>
                        <a:srgbClr val="000000"/>
                      </a:solidFill>
                      <a:prstDash val="solid"/>
                      <a:round/>
                      <a:headEnd/>
                      <a:tailEnd/>
                    </a:ln>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0FA12A5E" wp14:editId="34E31764">
            <wp:extent cx="2247562" cy="1381125"/>
            <wp:effectExtent l="19050" t="19050" r="19685" b="9525"/>
            <wp:docPr id="1054" name="Picture 28" descr="AC vs. DC Current"/>
            <wp:cNvGraphicFramePr/>
            <a:graphic xmlns:a="http://schemas.openxmlformats.org/drawingml/2006/main">
              <a:graphicData uri="http://schemas.openxmlformats.org/drawingml/2006/picture">
                <pic:pic xmlns:pic="http://schemas.openxmlformats.org/drawingml/2006/picture">
                  <pic:nvPicPr>
                    <pic:cNvPr id="1054" name="Picture 28"/>
                    <pic:cNvPicPr/>
                  </pic:nvPicPr>
                  <pic:blipFill>
                    <a:blip r:embed="rId38" cstate="print"/>
                    <a:stretch>
                      <a:fillRect/>
                    </a:stretch>
                  </pic:blipFill>
                  <pic:spPr>
                    <a:xfrm>
                      <a:off x="0" y="0"/>
                      <a:ext cx="2247562" cy="1381125"/>
                    </a:xfrm>
                    <a:prstGeom prst="rect">
                      <a:avLst/>
                    </a:prstGeom>
                    <a:ln w="9525">
                      <a:solidFill>
                        <a:srgbClr val="000000"/>
                      </a:solidFill>
                      <a:prstDash val="solid"/>
                      <a:round/>
                      <a:headEnd/>
                      <a:tailEnd/>
                    </a:ln>
                  </pic:spPr>
                </pic:pic>
              </a:graphicData>
            </a:graphic>
          </wp:inline>
        </w:drawing>
      </w:r>
    </w:p>
    <w:p w14:paraId="3CD81D14"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Most of the interventions can be aligned with the current existing maintenance strategy of the building and its budget because they are not much expensive interventions. However, some of the significant interventions, such as installing solar panels, changing the appliances, and installing electric and solar heating systems, can be additional interventions that can be implemented in the building to reduce energy consumption and the emission of CO</w:t>
      </w:r>
      <w:r>
        <w:rPr>
          <w:rFonts w:ascii="Times New Roman" w:hAnsi="Times New Roman" w:cs="Times New Roman"/>
          <w:sz w:val="24"/>
          <w:szCs w:val="24"/>
          <w:vertAlign w:val="superscript"/>
        </w:rPr>
        <w:t>2</w:t>
      </w:r>
      <w:r>
        <w:rPr>
          <w:rFonts w:ascii="Times New Roman" w:hAnsi="Times New Roman" w:cs="Times New Roman"/>
          <w:sz w:val="24"/>
          <w:szCs w:val="24"/>
        </w:rPr>
        <w:t>. If these costs are compared with the savings after the interventions, then implementing these interventions seems to be a wise decision. In addition, the strategies regarding building fabric can reduce the energy consumption in building heating. Overall, the heating system's interventions can reduce fossil fuel and electricity consumption, reducing CO</w:t>
      </w:r>
      <w:r>
        <w:rPr>
          <w:rFonts w:ascii="Times New Roman" w:hAnsi="Times New Roman" w:cs="Times New Roman"/>
          <w:sz w:val="24"/>
          <w:szCs w:val="24"/>
          <w:vertAlign w:val="superscript"/>
        </w:rPr>
        <w:t>2</w:t>
      </w:r>
      <w:r>
        <w:rPr>
          <w:rFonts w:ascii="Times New Roman" w:hAnsi="Times New Roman" w:cs="Times New Roman"/>
          <w:sz w:val="24"/>
          <w:szCs w:val="24"/>
        </w:rPr>
        <w:t xml:space="preserve"> emissions.</w:t>
      </w:r>
    </w:p>
    <w:p w14:paraId="49E06853"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Furthermore, the interventions regarding energy generation will also significantly reduce CO</w:t>
      </w:r>
      <w:r>
        <w:rPr>
          <w:rFonts w:ascii="Times New Roman" w:hAnsi="Times New Roman" w:cs="Times New Roman"/>
          <w:sz w:val="24"/>
          <w:szCs w:val="24"/>
          <w:vertAlign w:val="superscript"/>
        </w:rPr>
        <w:t xml:space="preserve">2 </w:t>
      </w:r>
      <w:r>
        <w:rPr>
          <w:rFonts w:ascii="Times New Roman" w:hAnsi="Times New Roman" w:cs="Times New Roman"/>
          <w:sz w:val="24"/>
          <w:szCs w:val="24"/>
        </w:rPr>
        <w:t>emissions. As a general estimate, the capital costs can be up to £2-4 million, while the reduction in the running costs can be up to £0.5 million annually. Therefore, it is a wise decision to implement the retrofit plan.</w:t>
      </w:r>
    </w:p>
    <w:p w14:paraId="12F956AE" w14:textId="77777777" w:rsidR="00DC7505" w:rsidRDefault="00DC7505">
      <w:pPr>
        <w:rPr>
          <w:rFonts w:ascii="Times New Roman" w:hAnsi="Times New Roman" w:cs="Times New Roman"/>
          <w:b/>
          <w:bCs/>
          <w:sz w:val="28"/>
          <w:szCs w:val="28"/>
        </w:rPr>
      </w:pPr>
      <w:r>
        <w:rPr>
          <w:rFonts w:ascii="Times New Roman" w:hAnsi="Times New Roman" w:cs="Times New Roman"/>
          <w:b/>
          <w:bCs/>
          <w:sz w:val="28"/>
          <w:szCs w:val="28"/>
        </w:rPr>
        <w:br w:type="page"/>
      </w:r>
    </w:p>
    <w:p w14:paraId="410F0CBF" w14:textId="40DA54F0" w:rsidR="00967DDE" w:rsidRPr="00F02BF6" w:rsidRDefault="00000000" w:rsidP="00ED5271">
      <w:pPr>
        <w:pStyle w:val="Heading8"/>
        <w:rPr>
          <w:rFonts w:ascii="Times New Roman" w:hAnsi="Times New Roman" w:cs="Times New Roman"/>
          <w:b/>
          <w:bCs/>
          <w:sz w:val="24"/>
          <w:szCs w:val="24"/>
        </w:rPr>
      </w:pPr>
      <w:bookmarkStart w:id="35" w:name="_Toc113454602"/>
      <w:bookmarkStart w:id="36" w:name="_Toc113455781"/>
      <w:bookmarkStart w:id="37" w:name="_Toc113455840"/>
      <w:bookmarkStart w:id="38" w:name="_Toc113455996"/>
      <w:bookmarkStart w:id="39" w:name="_Toc113456095"/>
      <w:r w:rsidRPr="00F02BF6">
        <w:rPr>
          <w:rFonts w:ascii="Times New Roman" w:hAnsi="Times New Roman" w:cs="Times New Roman"/>
          <w:b/>
          <w:bCs/>
          <w:sz w:val="24"/>
          <w:szCs w:val="24"/>
        </w:rPr>
        <w:lastRenderedPageBreak/>
        <w:t>Conclusion</w:t>
      </w:r>
      <w:bookmarkEnd w:id="35"/>
      <w:bookmarkEnd w:id="36"/>
      <w:bookmarkEnd w:id="37"/>
      <w:bookmarkEnd w:id="38"/>
      <w:bookmarkEnd w:id="39"/>
    </w:p>
    <w:p w14:paraId="7968D7FF" w14:textId="77777777" w:rsidR="00967DDE" w:rsidRDefault="000000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case study was performed on "The ALEX Building, formally the Swansea Central Library", including a brief introduction of the building, its thermal comfort strategies, building fabric, energy performance, and medium-term retrofit plan. First, it was found that the building is ancient, and because of this, the thermal comfort strategy is only applied mainly in the new extension of the building because the old building lacks the infrastructure for adequate thermal comfort. Secondly, the energy performance of the building is also not very good because of the old-style building fabric, which cannot insulate the shifts in temperature or moisture. In order to enhance eco-friendliness and reduce CO</w:t>
      </w:r>
      <w:r>
        <w:rPr>
          <w:rFonts w:ascii="Times New Roman" w:hAnsi="Times New Roman" w:cs="Times New Roman"/>
          <w:sz w:val="24"/>
          <w:szCs w:val="24"/>
          <w:vertAlign w:val="superscript"/>
        </w:rPr>
        <w:t>2</w:t>
      </w:r>
      <w:r>
        <w:rPr>
          <w:rFonts w:ascii="Times New Roman" w:hAnsi="Times New Roman" w:cs="Times New Roman"/>
          <w:sz w:val="24"/>
          <w:szCs w:val="24"/>
        </w:rPr>
        <w:t xml:space="preserve"> emissions, the medium-term retrofit plan was developed, which also cannot be fully implemented because the building is declared as a heritage site which means that significant changes cannot be incorporated into the building. Only the non-significant structural changes can be incorporated. Therefore, the plan contains only the changes which do not significantly alter the structure of the building.</w:t>
      </w:r>
    </w:p>
    <w:p w14:paraId="46333EF5" w14:textId="77777777" w:rsidR="00967DDE" w:rsidRDefault="00000000">
      <w:pPr>
        <w:rPr>
          <w:rFonts w:ascii="Times New Roman" w:eastAsia="Times New Roman" w:hAnsi="Times New Roman" w:cs="Times New Roman"/>
          <w:sz w:val="36"/>
          <w:szCs w:val="36"/>
          <w:lang w:eastAsia="en-GB"/>
        </w:rPr>
      </w:pPr>
      <w:r>
        <w:rPr>
          <w:sz w:val="36"/>
          <w:szCs w:val="36"/>
        </w:rPr>
        <w:br w:type="page"/>
      </w:r>
    </w:p>
    <w:p w14:paraId="37031771" w14:textId="77777777" w:rsidR="00967DDE" w:rsidRPr="00F02BF6" w:rsidRDefault="00000000" w:rsidP="005C4789">
      <w:pPr>
        <w:pStyle w:val="Heading9"/>
        <w:rPr>
          <w:rFonts w:ascii="Times New Roman" w:hAnsi="Times New Roman" w:cs="Times New Roman"/>
          <w:b/>
          <w:bCs/>
          <w:i w:val="0"/>
          <w:iCs w:val="0"/>
          <w:sz w:val="24"/>
          <w:szCs w:val="24"/>
        </w:rPr>
      </w:pPr>
      <w:bookmarkStart w:id="40" w:name="_Toc113454603"/>
      <w:bookmarkStart w:id="41" w:name="_Toc113455782"/>
      <w:bookmarkStart w:id="42" w:name="_Toc113455841"/>
      <w:bookmarkStart w:id="43" w:name="_Toc113455997"/>
      <w:bookmarkStart w:id="44" w:name="_Toc113456096"/>
      <w:r w:rsidRPr="00F02BF6">
        <w:rPr>
          <w:rFonts w:ascii="Times New Roman" w:hAnsi="Times New Roman" w:cs="Times New Roman"/>
          <w:b/>
          <w:bCs/>
          <w:i w:val="0"/>
          <w:iCs w:val="0"/>
          <w:sz w:val="24"/>
          <w:szCs w:val="24"/>
        </w:rPr>
        <w:lastRenderedPageBreak/>
        <w:t>Reference list</w:t>
      </w:r>
      <w:bookmarkEnd w:id="40"/>
      <w:bookmarkEnd w:id="41"/>
      <w:bookmarkEnd w:id="42"/>
      <w:bookmarkEnd w:id="43"/>
      <w:bookmarkEnd w:id="44"/>
    </w:p>
    <w:p w14:paraId="0CA72D1C" w14:textId="77777777" w:rsidR="00967DDE" w:rsidRDefault="00000000">
      <w:pPr>
        <w:pStyle w:val="NormalWeb"/>
        <w:spacing w:before="0" w:beforeAutospacing="0" w:after="240" w:afterAutospacing="0" w:line="360" w:lineRule="auto"/>
      </w:pPr>
      <w:r>
        <w:t xml:space="preserve">Abuelnuor, A. A., Omara, A. A., Saqr, K. M., &amp; Elhag, I. H. (2018). </w:t>
      </w:r>
      <w:r>
        <w:rPr>
          <w:i/>
          <w:iCs/>
        </w:rPr>
        <w:t>Improving indoor thermal comfort by using phase change materials: A review</w:t>
      </w:r>
      <w:r>
        <w:t>. International Journal of Energy Research, 42(6), 2084-2103.</w:t>
      </w:r>
    </w:p>
    <w:p w14:paraId="047A4399" w14:textId="77777777" w:rsidR="00967DDE" w:rsidRDefault="00000000">
      <w:pPr>
        <w:pStyle w:val="NormalWeb"/>
        <w:spacing w:before="0" w:beforeAutospacing="0" w:after="240" w:afterAutospacing="0" w:line="360" w:lineRule="auto"/>
      </w:pPr>
      <w:r>
        <w:t xml:space="preserve">Al-Sakkaf, A., Mohammed Abdelkader, E., Mahmoud, S., &amp; Bagchi, A. (2021). </w:t>
      </w:r>
      <w:r>
        <w:rPr>
          <w:i/>
          <w:iCs/>
        </w:rPr>
        <w:t>Studying Energy Performance and Thermal Comfort Conditions in Heritage Buildings: A Case Study of Murabba Palace</w:t>
      </w:r>
      <w:r>
        <w:t>. Sustainability, 13(21), 12250.</w:t>
      </w:r>
    </w:p>
    <w:p w14:paraId="617FEF70" w14:textId="77777777" w:rsidR="00967DDE" w:rsidRDefault="00000000">
      <w:pPr>
        <w:pStyle w:val="NormalWeb"/>
        <w:spacing w:before="0" w:beforeAutospacing="0" w:after="240" w:afterAutospacing="0" w:line="360" w:lineRule="auto"/>
      </w:pPr>
      <w:r>
        <w:t xml:space="preserve">Asaee, S.R., Sharafian, A., Herrera, O.E., Blomerus, P. and Mérida, W. (2018). Housing stock in cold-climate countries: Conversion challenges for net zero emission buildings. </w:t>
      </w:r>
      <w:r>
        <w:rPr>
          <w:i/>
          <w:iCs/>
        </w:rPr>
        <w:t>Applied Energy</w:t>
      </w:r>
      <w:r>
        <w:t>, 217, pp.88–100. doi:10.1016/j.apenergy.2018.02.135.</w:t>
      </w:r>
    </w:p>
    <w:p w14:paraId="041197FF" w14:textId="77777777" w:rsidR="00967DDE" w:rsidRDefault="00000000">
      <w:pPr>
        <w:pStyle w:val="NormalWeb"/>
        <w:spacing w:before="0" w:beforeAutospacing="0" w:after="240" w:afterAutospacing="0" w:line="360" w:lineRule="auto"/>
      </w:pPr>
      <w:r>
        <w:t xml:space="preserve">Asce (2000). </w:t>
      </w:r>
      <w:r>
        <w:rPr>
          <w:i/>
          <w:iCs/>
        </w:rPr>
        <w:t>Guideline for Condition Assessment of the Building Envelope</w:t>
      </w:r>
      <w:r>
        <w:t>. Reston, Va American Society Of Civil Engineers.</w:t>
      </w:r>
    </w:p>
    <w:p w14:paraId="3200D23A" w14:textId="77777777" w:rsidR="00967DDE" w:rsidRDefault="00000000">
      <w:pPr>
        <w:pStyle w:val="NormalWeb"/>
        <w:spacing w:before="0" w:beforeAutospacing="0" w:after="240" w:afterAutospacing="0" w:line="360" w:lineRule="auto"/>
      </w:pPr>
      <w:r>
        <w:t xml:space="preserve">Asif Syed (2012). </w:t>
      </w:r>
      <w:r>
        <w:rPr>
          <w:i/>
          <w:iCs/>
        </w:rPr>
        <w:t>Advanced building technologies for sustainability</w:t>
      </w:r>
      <w:r>
        <w:t>. Hoboken: John Wiley &amp; Sons.</w:t>
      </w:r>
    </w:p>
    <w:p w14:paraId="648DC493" w14:textId="77777777" w:rsidR="00967DDE" w:rsidRDefault="00000000">
      <w:pPr>
        <w:pStyle w:val="NormalWeb"/>
        <w:spacing w:before="0" w:beforeAutospacing="0" w:after="240" w:afterAutospacing="0" w:line="360" w:lineRule="auto"/>
      </w:pPr>
      <w:r>
        <w:t xml:space="preserve">Belussi, L., Barozzi, B., Bellazzi, A., Danza, L., Devitofrancesco, A., Fanciulli, C., ... &amp; Scrosati, C. (2019). </w:t>
      </w:r>
      <w:r>
        <w:rPr>
          <w:i/>
          <w:iCs/>
        </w:rPr>
        <w:t>A review of performance of zero energy buildings and energy efficiency solutions</w:t>
      </w:r>
      <w:r>
        <w:t>. Journal of building engineering, 25, 100772.</w:t>
      </w:r>
    </w:p>
    <w:p w14:paraId="2DBB1C83" w14:textId="77777777" w:rsidR="00967DDE" w:rsidRDefault="00000000">
      <w:pPr>
        <w:pStyle w:val="NormalWeb"/>
        <w:spacing w:before="0" w:beforeAutospacing="0" w:after="240" w:afterAutospacing="0" w:line="360" w:lineRule="auto"/>
      </w:pPr>
      <w:r>
        <w:t xml:space="preserve">Cabeza, L. F., de Gracia, A., &amp; Pisello, A. L. (2018). </w:t>
      </w:r>
      <w:r>
        <w:rPr>
          <w:i/>
          <w:iCs/>
        </w:rPr>
        <w:t>Integration of renewable technologies in historical and heritage buildings: A review</w:t>
      </w:r>
      <w:r>
        <w:t>. Energy and buildings, 177, 96-111.</w:t>
      </w:r>
    </w:p>
    <w:p w14:paraId="7E4190A6" w14:textId="77777777" w:rsidR="00967DDE" w:rsidRDefault="00000000">
      <w:pPr>
        <w:pStyle w:val="NormalWeb"/>
        <w:spacing w:before="0" w:beforeAutospacing="0" w:after="240" w:afterAutospacing="0" w:line="360" w:lineRule="auto"/>
      </w:pPr>
      <w:r>
        <w:t xml:space="preserve">Canada, N.R. (2014). </w:t>
      </w:r>
      <w:r>
        <w:rPr>
          <w:i/>
          <w:iCs/>
        </w:rPr>
        <w:t>Keeping The Heat In - Section 4: Comprehensive air leakage control in your home</w:t>
      </w:r>
      <w:r>
        <w:t>. [online] www.nrcan.gc.ca. Available at: https://www.nrcan.gc.ca/energy-efficiency/homes/make-your-home-more-energy-efficient/keeping-the-heat/section-4-comprehensive-air-leakage-control-your-home/15635.</w:t>
      </w:r>
    </w:p>
    <w:p w14:paraId="34571FF3" w14:textId="77777777" w:rsidR="00967DDE" w:rsidRDefault="00000000">
      <w:pPr>
        <w:pStyle w:val="NormalWeb"/>
        <w:spacing w:before="0" w:beforeAutospacing="0" w:after="240" w:afterAutospacing="0" w:line="360" w:lineRule="auto"/>
      </w:pPr>
      <w:r>
        <w:t xml:space="preserve">Cho, H. M., Yun, B. Y., Yang, S., Wi, S., Chang, S. J., &amp; Kim, S. (2020). </w:t>
      </w:r>
      <w:r>
        <w:rPr>
          <w:i/>
          <w:iCs/>
        </w:rPr>
        <w:t>Optimal energy retrofit plan for conservation and sustainable use of historic campus building: Case of cultural property building</w:t>
      </w:r>
      <w:r>
        <w:t>. Applied Energy, 275, 115313.</w:t>
      </w:r>
    </w:p>
    <w:p w14:paraId="0D7179A2" w14:textId="77777777" w:rsidR="00967DDE" w:rsidRDefault="00000000">
      <w:pPr>
        <w:pStyle w:val="NormalWeb"/>
        <w:spacing w:before="0" w:beforeAutospacing="0" w:after="240" w:afterAutospacing="0" w:line="360" w:lineRule="auto"/>
      </w:pPr>
      <w:r>
        <w:t xml:space="preserve">Ciulla, G., &amp; D'Amico, A. (2019). </w:t>
      </w:r>
      <w:r>
        <w:rPr>
          <w:i/>
          <w:iCs/>
        </w:rPr>
        <w:t>Building energy performance forecasting: A multiple linear regression approach.</w:t>
      </w:r>
      <w:r>
        <w:t xml:space="preserve"> Applied Energy, 253, 113500.</w:t>
      </w:r>
    </w:p>
    <w:p w14:paraId="5553F2D9" w14:textId="77777777" w:rsidR="00967DDE" w:rsidRDefault="00000000">
      <w:pPr>
        <w:pStyle w:val="NormalWeb"/>
        <w:spacing w:before="0" w:beforeAutospacing="0" w:after="240" w:afterAutospacing="0" w:line="360" w:lineRule="auto"/>
      </w:pPr>
      <w:r>
        <w:lastRenderedPageBreak/>
        <w:t xml:space="preserve">Cleveland, C.J. (2009). </w:t>
      </w:r>
      <w:r>
        <w:rPr>
          <w:i/>
          <w:iCs/>
        </w:rPr>
        <w:t>Dictionary of energy</w:t>
      </w:r>
      <w:r>
        <w:t>. Elsevier.</w:t>
      </w:r>
    </w:p>
    <w:p w14:paraId="1098551D" w14:textId="77777777" w:rsidR="00967DDE" w:rsidRDefault="00000000">
      <w:pPr>
        <w:pStyle w:val="NormalWeb"/>
        <w:spacing w:before="0" w:beforeAutospacing="0" w:after="240" w:afterAutospacing="0" w:line="360" w:lineRule="auto"/>
      </w:pPr>
      <w:r>
        <w:t xml:space="preserve">Dixon, L. (2019). </w:t>
      </w:r>
      <w:r>
        <w:rPr>
          <w:i/>
          <w:iCs/>
        </w:rPr>
        <w:t>Thermal imaging surveys used to identify heat loss in new builds</w:t>
      </w:r>
      <w:r>
        <w:t>. [online] Professional Builder. Available at: https://probuildermag.co.uk/news/thermal-imaging-surveys-used-to-identify-heat-loss-in-new-builds [Accessed 18 Aug. 2022].</w:t>
      </w:r>
    </w:p>
    <w:p w14:paraId="3F05EAB0" w14:textId="77777777" w:rsidR="00967DDE" w:rsidRDefault="00000000">
      <w:pPr>
        <w:pStyle w:val="NormalWeb"/>
        <w:spacing w:before="0" w:beforeAutospacing="0" w:after="240" w:afterAutospacing="0" w:line="360" w:lineRule="auto"/>
      </w:pPr>
      <w:r>
        <w:t>Faqih, F., Zayed, T., &amp; Soliman, E. (2020). Fac</w:t>
      </w:r>
      <w:r>
        <w:rPr>
          <w:i/>
          <w:iCs/>
        </w:rPr>
        <w:t>tors and defects analysis of physical and environmental condition of buildings.</w:t>
      </w:r>
      <w:r>
        <w:t xml:space="preserve"> Journal of Building Pathology and Rehabilitation, 5(1), 1-15.</w:t>
      </w:r>
    </w:p>
    <w:p w14:paraId="610941C5" w14:textId="77777777" w:rsidR="00967DDE" w:rsidRDefault="00000000">
      <w:pPr>
        <w:pStyle w:val="NormalWeb"/>
        <w:spacing w:before="0" w:beforeAutospacing="0" w:after="240" w:afterAutospacing="0" w:line="360" w:lineRule="auto"/>
      </w:pPr>
      <w:r>
        <w:t xml:space="preserve">Fina, B., Auer, H., &amp; Friedl, W. (2019). </w:t>
      </w:r>
      <w:r>
        <w:rPr>
          <w:i/>
          <w:iCs/>
        </w:rPr>
        <w:t>Profitability of active retrofitting of multi-apartment buildings: Building-attached/integrated photovoltaics with special consideration of different heating systems</w:t>
      </w:r>
      <w:r>
        <w:t>. Energy and Buildings, 190, 86-102.</w:t>
      </w:r>
    </w:p>
    <w:p w14:paraId="3B2D089F" w14:textId="77777777" w:rsidR="00967DDE" w:rsidRDefault="00000000">
      <w:pPr>
        <w:pStyle w:val="NormalWeb"/>
        <w:spacing w:before="0" w:beforeAutospacing="0" w:after="240" w:afterAutospacing="0" w:line="360" w:lineRule="auto"/>
      </w:pPr>
      <w:r>
        <w:t xml:space="preserve">Ghosh, A., Sarmah, N., Sundaram, S., &amp; Mallick, T. K. (2019). </w:t>
      </w:r>
      <w:r>
        <w:rPr>
          <w:i/>
          <w:iCs/>
        </w:rPr>
        <w:t>Numerical studies of thermal comfort for semi-transparent building integrated photovoltaic (BIPV)-vacuum glazing system</w:t>
      </w:r>
      <w:r>
        <w:t>. Solar Energy, 190, 608-616.</w:t>
      </w:r>
    </w:p>
    <w:p w14:paraId="49B07E5F" w14:textId="77777777" w:rsidR="00967DDE" w:rsidRDefault="00000000">
      <w:pPr>
        <w:pStyle w:val="NormalWeb"/>
        <w:spacing w:before="0" w:beforeAutospacing="0" w:after="240" w:afterAutospacing="0" w:line="360" w:lineRule="auto"/>
      </w:pPr>
      <w:r>
        <w:t xml:space="preserve">Hesaraki, A., &amp; Huda, N. (2022). </w:t>
      </w:r>
      <w:r>
        <w:rPr>
          <w:i/>
          <w:iCs/>
        </w:rPr>
        <w:t>A comparative review on the application of radiant low-temperature heating and high-temperature cooling for energy, thermal comfort, indoor air quality, design and control.</w:t>
      </w:r>
      <w:r>
        <w:t xml:space="preserve"> Sustainable Energy Technologies and Assessments, 49, 101661.</w:t>
      </w:r>
    </w:p>
    <w:p w14:paraId="12ECEEB6" w14:textId="77777777" w:rsidR="00967DDE" w:rsidRDefault="00000000">
      <w:pPr>
        <w:pStyle w:val="NormalWeb"/>
        <w:spacing w:before="0" w:beforeAutospacing="0" w:after="240" w:afterAutospacing="0" w:line="360" w:lineRule="auto"/>
      </w:pPr>
      <w:r>
        <w:t xml:space="preserve">Home Guides | SF Gate. (2022). </w:t>
      </w:r>
      <w:r>
        <w:rPr>
          <w:i/>
          <w:iCs/>
        </w:rPr>
        <w:t>Energy-Saving Windows vs. Regular Windows</w:t>
      </w:r>
      <w:r>
        <w:t>. [online] Available at: https://homeguides.sfgate.com/energysaving-windows-vs-regular-windows-79707.html [Accessed 18 May 2022].</w:t>
      </w:r>
    </w:p>
    <w:p w14:paraId="268E7AAF" w14:textId="77777777" w:rsidR="00967DDE" w:rsidRDefault="00000000">
      <w:pPr>
        <w:pStyle w:val="NormalWeb"/>
        <w:spacing w:before="0" w:beforeAutospacing="0" w:after="240" w:afterAutospacing="0" w:line="360" w:lineRule="auto"/>
      </w:pPr>
      <w:r>
        <w:t>Huang, Y., Shih, P., Hsu, K. T., &amp; Chiang, C. H. (2020). To identify the defects illustrated on building facades by employing infrared thermography under shadow. NDT &amp; E International, 111, 102240.</w:t>
      </w:r>
    </w:p>
    <w:p w14:paraId="430558C0" w14:textId="77777777" w:rsidR="00967DDE" w:rsidRDefault="00000000">
      <w:pPr>
        <w:pStyle w:val="NormalWeb"/>
        <w:spacing w:before="0" w:beforeAutospacing="0" w:after="240" w:afterAutospacing="0" w:line="360" w:lineRule="auto"/>
      </w:pPr>
      <w:r>
        <w:t xml:space="preserve">Hugo (2012). </w:t>
      </w:r>
      <w:r>
        <w:rPr>
          <w:i/>
          <w:iCs/>
        </w:rPr>
        <w:t>Performance based building design</w:t>
      </w:r>
      <w:r>
        <w:t>. Editorial: Berlin: Ernst &amp; Sohn.</w:t>
      </w:r>
    </w:p>
    <w:p w14:paraId="3F2A9B09" w14:textId="77777777" w:rsidR="00967DDE" w:rsidRDefault="00000000">
      <w:pPr>
        <w:pStyle w:val="NormalWeb"/>
        <w:spacing w:before="0" w:beforeAutospacing="0" w:after="240" w:afterAutospacing="0" w:line="360" w:lineRule="auto"/>
      </w:pPr>
      <w:r>
        <w:t xml:space="preserve">Jowkar, M., &amp; Montazami, A. (2018). </w:t>
      </w:r>
      <w:r>
        <w:rPr>
          <w:i/>
          <w:iCs/>
        </w:rPr>
        <w:t>Thermal comfort in the UK higher educational buildings: the influence of thermal history on students’ thermal comfort</w:t>
      </w:r>
      <w:r>
        <w:t>. In Wind. Conf., Windsor, UK.</w:t>
      </w:r>
    </w:p>
    <w:p w14:paraId="608A8794" w14:textId="77777777" w:rsidR="00967DDE" w:rsidRDefault="00000000">
      <w:pPr>
        <w:pStyle w:val="NormalWeb"/>
        <w:spacing w:before="0" w:beforeAutospacing="0" w:after="240" w:afterAutospacing="0" w:line="360" w:lineRule="auto"/>
      </w:pPr>
      <w:r>
        <w:t xml:space="preserve">Jowkar, M., de Dear, R., &amp; Brusey, J. (2020). </w:t>
      </w:r>
      <w:r>
        <w:rPr>
          <w:i/>
          <w:iCs/>
        </w:rPr>
        <w:t>Influence of long-term thermal history on thermal comfort and preference</w:t>
      </w:r>
      <w:r>
        <w:t>. Energy and Buildings, 210, 109685.</w:t>
      </w:r>
    </w:p>
    <w:p w14:paraId="3D801467" w14:textId="77777777" w:rsidR="00967DDE" w:rsidRDefault="00000000">
      <w:pPr>
        <w:pStyle w:val="NormalWeb"/>
        <w:spacing w:before="0" w:beforeAutospacing="0" w:after="240" w:afterAutospacing="0" w:line="360" w:lineRule="auto"/>
      </w:pPr>
      <w:r>
        <w:lastRenderedPageBreak/>
        <w:t xml:space="preserve">Lawrence, R.J. (2000). Willem van Vliet (ed.), ‘The Encyclopedia of Housing’. </w:t>
      </w:r>
      <w:r>
        <w:rPr>
          <w:i/>
          <w:iCs/>
        </w:rPr>
        <w:t>Housing, Theory and Society</w:t>
      </w:r>
      <w:r>
        <w:t>, 17(1), pp.43–44. doi:10.1080/140360900750044773.</w:t>
      </w:r>
    </w:p>
    <w:p w14:paraId="759B92E0" w14:textId="77777777" w:rsidR="00967DDE" w:rsidRDefault="00000000">
      <w:pPr>
        <w:pStyle w:val="NormalWeb"/>
        <w:spacing w:before="0" w:beforeAutospacing="0" w:after="240" w:afterAutospacing="0" w:line="360" w:lineRule="auto"/>
      </w:pPr>
      <w:r>
        <w:t>Ličina, V. F., Cheung, T., Zhang, H., De Dear, R., Parkinson, T., Arens, E., ... &amp; Zhou, X. (2018). Deve</w:t>
      </w:r>
      <w:r>
        <w:rPr>
          <w:i/>
          <w:iCs/>
        </w:rPr>
        <w:t>lopment of the ASHRAE global thermal comfort database II</w:t>
      </w:r>
      <w:r>
        <w:t>. Building and Environment, 142, 502-512.</w:t>
      </w:r>
    </w:p>
    <w:p w14:paraId="6C5E84F2" w14:textId="77777777" w:rsidR="00967DDE" w:rsidRDefault="00000000">
      <w:pPr>
        <w:pStyle w:val="NormalWeb"/>
        <w:spacing w:before="0" w:beforeAutospacing="0" w:after="240" w:afterAutospacing="0" w:line="360" w:lineRule="auto"/>
      </w:pPr>
      <w:r>
        <w:t xml:space="preserve">Lstiburek, J.W. and Carmody, J. (1994). </w:t>
      </w:r>
      <w:r>
        <w:rPr>
          <w:i/>
          <w:iCs/>
        </w:rPr>
        <w:t>Moisture control handbook : principles and practices for residential and small commercial buildings</w:t>
      </w:r>
      <w:r>
        <w:t>. New York: J. Wiley.</w:t>
      </w:r>
    </w:p>
    <w:p w14:paraId="011F3593" w14:textId="77777777" w:rsidR="00967DDE" w:rsidRDefault="00000000">
      <w:pPr>
        <w:pStyle w:val="NormalWeb"/>
        <w:spacing w:before="0" w:beforeAutospacing="0" w:after="240" w:afterAutospacing="0" w:line="360" w:lineRule="auto"/>
      </w:pPr>
      <w:r>
        <w:t xml:space="preserve">Lucchi, E., Lopez, C. P., &amp; Franco, G. (2020). </w:t>
      </w:r>
      <w:r>
        <w:rPr>
          <w:i/>
          <w:iCs/>
        </w:rPr>
        <w:t>A conceptual framework on the integration of solar energy systems in heritage sites and buildings</w:t>
      </w:r>
      <w:r>
        <w:t>. In IOP Conference Series: Materials Science and Engineering (Vol. 949, No. 1, p. 012113). IOP Publishing.</w:t>
      </w:r>
    </w:p>
    <w:p w14:paraId="2556ED0B" w14:textId="77777777" w:rsidR="00967DDE" w:rsidRDefault="00000000">
      <w:pPr>
        <w:pStyle w:val="NormalWeb"/>
        <w:spacing w:before="0" w:beforeAutospacing="0" w:after="240" w:afterAutospacing="0" w:line="360" w:lineRule="auto"/>
      </w:pPr>
      <w:r>
        <w:t xml:space="preserve">Mazzone, A. (2020). </w:t>
      </w:r>
      <w:r>
        <w:rPr>
          <w:i/>
          <w:iCs/>
        </w:rPr>
        <w:t>Thermal comfort and cooling strategies in the Brazilian Amazon. An assessment of the concept of fuel poverty in tropical climates</w:t>
      </w:r>
      <w:r>
        <w:t>. Energy Policy, 139, 111256.</w:t>
      </w:r>
    </w:p>
    <w:p w14:paraId="12D09205" w14:textId="77777777" w:rsidR="00967DDE" w:rsidRDefault="00000000">
      <w:pPr>
        <w:pStyle w:val="NormalWeb"/>
        <w:spacing w:before="0" w:beforeAutospacing="0" w:after="240" w:afterAutospacing="0" w:line="360" w:lineRule="auto"/>
      </w:pPr>
      <w:r>
        <w:t xml:space="preserve">Orsini, F., Marrone, P., Asdrubali, F., Roncone, M., &amp; Grazieschi, G. (2020). </w:t>
      </w:r>
      <w:r>
        <w:rPr>
          <w:i/>
          <w:iCs/>
        </w:rPr>
        <w:t>Aerogel insulation in building energy retrofit.</w:t>
      </w:r>
      <w:r>
        <w:t xml:space="preserve"> Performance testing and cost analysis on a case study in Rome. Energy Reports, 6, 56-61.</w:t>
      </w:r>
    </w:p>
    <w:p w14:paraId="667E92AF" w14:textId="77777777" w:rsidR="00967DDE" w:rsidRDefault="00000000">
      <w:pPr>
        <w:pStyle w:val="NormalWeb"/>
        <w:spacing w:before="0" w:beforeAutospacing="0" w:after="240" w:afterAutospacing="0" w:line="360" w:lineRule="auto"/>
      </w:pPr>
      <w:r>
        <w:t xml:space="preserve">Osama Hunaidi and Awwa Research Foundation (1999). </w:t>
      </w:r>
      <w:r>
        <w:rPr>
          <w:i/>
          <w:iCs/>
        </w:rPr>
        <w:t>Leak detection methods for plastic water distribution pipes</w:t>
      </w:r>
      <w:r>
        <w:t>. Denver, Colo.: Awwa Research Foundation.</w:t>
      </w:r>
    </w:p>
    <w:p w14:paraId="20CE22FF" w14:textId="77777777" w:rsidR="00967DDE" w:rsidRDefault="00000000">
      <w:pPr>
        <w:pStyle w:val="NormalWeb"/>
        <w:spacing w:before="0" w:beforeAutospacing="0" w:after="240" w:afterAutospacing="0" w:line="360" w:lineRule="auto"/>
      </w:pPr>
      <w:r>
        <w:t xml:space="preserve">Ozarisoy, B. (2022). </w:t>
      </w:r>
      <w:r>
        <w:rPr>
          <w:i/>
          <w:iCs/>
        </w:rPr>
        <w:t>Energy effectiveness of passive cooling design strategies to reduce the impact of long-term heatwaves on occupants’ thermal comfort in Europe: Climate change and mitigation</w:t>
      </w:r>
      <w:r>
        <w:t>. Journal of Cleaner Production, 330, 129675.</w:t>
      </w:r>
    </w:p>
    <w:p w14:paraId="1F216382" w14:textId="77777777" w:rsidR="00967DDE" w:rsidRDefault="00000000">
      <w:pPr>
        <w:pStyle w:val="NormalWeb"/>
        <w:spacing w:before="0" w:beforeAutospacing="0" w:after="240" w:afterAutospacing="0" w:line="360" w:lineRule="auto"/>
      </w:pPr>
      <w:r>
        <w:t xml:space="preserve">Piselli, C., Romanelli, J., Di Grazia, M., Gavagni, A., Moretti, E., Nicolini, A., ... &amp; Pisello, A. L. (2020). </w:t>
      </w:r>
      <w:r>
        <w:rPr>
          <w:i/>
          <w:iCs/>
        </w:rPr>
        <w:t>An integrated HBIM simulation approach for energy retrofit of historical buildings implemented in a case study of a medieval fortress in Italy</w:t>
      </w:r>
      <w:r>
        <w:t>. Energies, 13(10), 2601.</w:t>
      </w:r>
    </w:p>
    <w:p w14:paraId="5EF34805" w14:textId="77777777" w:rsidR="00967DDE" w:rsidRDefault="00000000">
      <w:pPr>
        <w:pStyle w:val="NormalWeb"/>
        <w:spacing w:before="0" w:beforeAutospacing="0" w:after="240" w:afterAutospacing="0" w:line="360" w:lineRule="auto"/>
      </w:pPr>
      <w:r>
        <w:t xml:space="preserve">Qu, K., Chen, X., Wang, Y., Calautit, J., Riffat, S., &amp; Cui, X. (2021). </w:t>
      </w:r>
      <w:r>
        <w:rPr>
          <w:i/>
          <w:iCs/>
        </w:rPr>
        <w:t>Comprehensive energy, economic and thermal comfort assessments for the passive energy retrofit of historical buildings-A case study of a late nineteenth-century Victorian house renovation in the UK</w:t>
      </w:r>
      <w:r>
        <w:t>. Energy, 220, 119646.</w:t>
      </w:r>
    </w:p>
    <w:p w14:paraId="361EC0D5" w14:textId="77777777" w:rsidR="00967DDE" w:rsidRDefault="00000000">
      <w:pPr>
        <w:pStyle w:val="NormalWeb"/>
        <w:spacing w:before="0" w:beforeAutospacing="0" w:after="240" w:afterAutospacing="0" w:line="360" w:lineRule="auto"/>
      </w:pPr>
      <w:r>
        <w:lastRenderedPageBreak/>
        <w:t xml:space="preserve">Ruggeri, A. G., Calzolari, M., Scarpa, M., Gabrielli, L., &amp; Davoli, P. (2020). </w:t>
      </w:r>
      <w:r>
        <w:rPr>
          <w:i/>
          <w:iCs/>
        </w:rPr>
        <w:t>Planning energy retrofit on historic building stocks: A score-driven decision support system</w:t>
      </w:r>
      <w:r>
        <w:t>. Energy and Buildings, 224, 110066.</w:t>
      </w:r>
    </w:p>
    <w:p w14:paraId="54D87D20" w14:textId="77777777" w:rsidR="00967DDE" w:rsidRDefault="00000000">
      <w:pPr>
        <w:pStyle w:val="NormalWeb"/>
        <w:spacing w:before="0" w:beforeAutospacing="0" w:after="240" w:afterAutospacing="0" w:line="360" w:lineRule="auto"/>
      </w:pPr>
      <w:r>
        <w:t xml:space="preserve">STRAUBE, J. (1999). Rain Control and Design Strategies. </w:t>
      </w:r>
      <w:r>
        <w:rPr>
          <w:i/>
          <w:iCs/>
        </w:rPr>
        <w:t>Journal of Thermal Envelope and Building Science</w:t>
      </w:r>
      <w:r>
        <w:t>, 23(1), pp.41–56. doi:10.1106/xvj7-xngb-7wdq-dy0u.</w:t>
      </w:r>
    </w:p>
    <w:p w14:paraId="104514FC" w14:textId="77777777" w:rsidR="00967DDE" w:rsidRDefault="00000000">
      <w:pPr>
        <w:pStyle w:val="NormalWeb"/>
        <w:spacing w:before="0" w:beforeAutospacing="0" w:after="240" w:afterAutospacing="0" w:line="360" w:lineRule="auto"/>
      </w:pPr>
      <w:r>
        <w:t xml:space="preserve">Straube, J. and Burnett, E.F.P. (2005). </w:t>
      </w:r>
      <w:r>
        <w:rPr>
          <w:i/>
          <w:iCs/>
        </w:rPr>
        <w:t>Building science for building enclosures</w:t>
      </w:r>
      <w:r>
        <w:t>. Westford, Ma: Building Science Press.</w:t>
      </w:r>
    </w:p>
    <w:p w14:paraId="4542D1A7" w14:textId="77777777" w:rsidR="00967DDE" w:rsidRDefault="00000000">
      <w:pPr>
        <w:pStyle w:val="NormalWeb"/>
        <w:spacing w:before="0" w:beforeAutospacing="0" w:after="240" w:afterAutospacing="0" w:line="360" w:lineRule="auto"/>
      </w:pPr>
      <w:r>
        <w:t xml:space="preserve">Tarekegn Gurmu, A., Shooshtarian, S., &amp; Mahmood, M. N. (2022). </w:t>
      </w:r>
      <w:r>
        <w:rPr>
          <w:i/>
          <w:iCs/>
        </w:rPr>
        <w:t>Critical Evaluation of Building Defects Research: A Scientometric Analysis</w:t>
      </w:r>
      <w:r>
        <w:t>. Journal of Performance of Constructed Facilities, 36(3), 03122001.</w:t>
      </w:r>
    </w:p>
    <w:p w14:paraId="2F71BFCC" w14:textId="77777777" w:rsidR="00967DDE" w:rsidRDefault="00000000">
      <w:pPr>
        <w:pStyle w:val="NormalWeb"/>
        <w:spacing w:before="0" w:beforeAutospacing="0" w:after="240" w:afterAutospacing="0" w:line="360" w:lineRule="auto"/>
      </w:pPr>
      <w:r>
        <w:t xml:space="preserve">The Editors of Encyclopaedia Britannica (2019). Reinforced concrete | building material. In: </w:t>
      </w:r>
      <w:r>
        <w:rPr>
          <w:i/>
          <w:iCs/>
        </w:rPr>
        <w:t>Encyclopædia Britannica</w:t>
      </w:r>
      <w:r>
        <w:t>. [online] Available at: https://www.britannica.com/technology/reinforced-concrete.</w:t>
      </w:r>
    </w:p>
    <w:p w14:paraId="39D7BD91" w14:textId="77777777" w:rsidR="00967DDE" w:rsidRDefault="00000000">
      <w:pPr>
        <w:pStyle w:val="NormalWeb"/>
        <w:spacing w:before="0" w:beforeAutospacing="0" w:after="240" w:afterAutospacing="0" w:line="360" w:lineRule="auto"/>
      </w:pPr>
      <w:r>
        <w:t xml:space="preserve">Usta, P. and Zengin, B. (2021). Energy assessment of different building materials in the education building. </w:t>
      </w:r>
      <w:r>
        <w:rPr>
          <w:i/>
          <w:iCs/>
        </w:rPr>
        <w:t>Energy Reports</w:t>
      </w:r>
      <w:r>
        <w:t>, 7, pp.603–608. doi:10.1016/j.egyr.2021.07.126.</w:t>
      </w:r>
    </w:p>
    <w:p w14:paraId="24902FF4" w14:textId="77777777" w:rsidR="00967DDE" w:rsidRDefault="00000000">
      <w:pPr>
        <w:pStyle w:val="NormalWeb"/>
        <w:spacing w:before="0" w:beforeAutospacing="0" w:after="240" w:afterAutospacing="0" w:line="360" w:lineRule="auto"/>
      </w:pPr>
      <w:r>
        <w:t xml:space="preserve">WalesOnline. (2016). </w:t>
      </w:r>
      <w:r>
        <w:rPr>
          <w:i/>
          <w:iCs/>
        </w:rPr>
        <w:t>New role for Swansea’s former Central Library</w:t>
      </w:r>
      <w:r>
        <w:t xml:space="preserve">. [online] Available at: </w:t>
      </w:r>
      <w:hyperlink r:id="rId39" w:history="1">
        <w:r>
          <w:rPr>
            <w:rStyle w:val="Hyperlink"/>
          </w:rPr>
          <w:t>https://www.walesonline.co.uk/news/wales-news/new-role-swanseas-former-central-1826668</w:t>
        </w:r>
      </w:hyperlink>
      <w:r>
        <w:t xml:space="preserve"> [Accessed 6 September 2022].</w:t>
      </w:r>
    </w:p>
    <w:p w14:paraId="4A8C7A08" w14:textId="77777777" w:rsidR="00967DDE" w:rsidRDefault="00000000">
      <w:pPr>
        <w:pStyle w:val="NormalWeb"/>
        <w:spacing w:before="0" w:beforeAutospacing="0" w:after="240" w:afterAutospacing="0" w:line="360" w:lineRule="auto"/>
      </w:pPr>
      <w:r>
        <w:t xml:space="preserve">Wisconsin Historical Society. (2014). </w:t>
      </w:r>
      <w:r>
        <w:rPr>
          <w:i/>
          <w:iCs/>
        </w:rPr>
        <w:t>Identifying Problems with Your Historic Stone Foundation</w:t>
      </w:r>
      <w:r>
        <w:t>. [online] Available at: https://www.wisconsinhistory.org/Records/Article/CS4216 [Accessed 15 Jun. 2022].</w:t>
      </w:r>
    </w:p>
    <w:p w14:paraId="0A326F4F" w14:textId="77777777" w:rsidR="00967DDE" w:rsidRDefault="00000000">
      <w:pPr>
        <w:pStyle w:val="NormalWeb"/>
        <w:spacing w:before="0" w:beforeAutospacing="0" w:after="240" w:afterAutospacing="0" w:line="360" w:lineRule="auto"/>
      </w:pPr>
      <w:r>
        <w:t>Zou, P. X., Xu, X., Sanjayan, J., &amp; Wang, J. (2018). Review of 10 years research on building energy performance gap: Life-cycle and stakeholder perspectives. Energy and Buildings, 178, 165-181.</w:t>
      </w:r>
    </w:p>
    <w:p w14:paraId="4BE4DA7A" w14:textId="77777777" w:rsidR="00967DDE" w:rsidRDefault="00000000">
      <w:pPr>
        <w:pStyle w:val="NormalWeb"/>
        <w:spacing w:before="0" w:beforeAutospacing="0" w:after="240" w:afterAutospacing="0" w:line="360" w:lineRule="auto"/>
      </w:pPr>
      <w:r>
        <w:t xml:space="preserve">www.sciencedirect.com. (n.d.). </w:t>
      </w:r>
      <w:r>
        <w:rPr>
          <w:i/>
          <w:iCs/>
        </w:rPr>
        <w:t>Commercial Building - an overview | ScienceDirect Topics</w:t>
      </w:r>
      <w:r>
        <w:t>. [online] Available at: https://www.sciencedirect.com/topics/engineering/commercial-building [Accessed 2 Aug. 2022].</w:t>
      </w:r>
    </w:p>
    <w:p w14:paraId="259E5DAD" w14:textId="77777777" w:rsidR="00967DDE" w:rsidRDefault="00967DDE">
      <w:pPr>
        <w:spacing w:line="360" w:lineRule="auto"/>
        <w:jc w:val="both"/>
        <w:rPr>
          <w:rFonts w:ascii="Times New Roman" w:hAnsi="Times New Roman" w:cs="Times New Roman"/>
          <w:sz w:val="24"/>
          <w:szCs w:val="24"/>
        </w:rPr>
      </w:pPr>
    </w:p>
    <w:sectPr w:rsidR="00967DDE">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97FF3" w14:textId="77777777" w:rsidR="007950BE" w:rsidRDefault="007950BE">
      <w:pPr>
        <w:spacing w:after="0" w:line="240" w:lineRule="auto"/>
      </w:pPr>
      <w:r>
        <w:separator/>
      </w:r>
    </w:p>
  </w:endnote>
  <w:endnote w:type="continuationSeparator" w:id="0">
    <w:p w14:paraId="552EB79E" w14:textId="77777777" w:rsidR="007950BE" w:rsidRDefault="00795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12289" w14:textId="77777777" w:rsidR="00967DDE" w:rsidRDefault="00000000">
    <w:pPr>
      <w:pStyle w:val="Footer"/>
      <w:jc w:val="right"/>
    </w:pPr>
    <w:r>
      <w:fldChar w:fldCharType="begin"/>
    </w:r>
    <w:r>
      <w:instrText xml:space="preserve"> PAGE   \* MERGEFORMAT </w:instrText>
    </w:r>
    <w:r>
      <w:fldChar w:fldCharType="separate"/>
    </w:r>
    <w:r>
      <w:rPr>
        <w:noProof/>
      </w:rPr>
      <w:t>3</w:t>
    </w:r>
    <w:r>
      <w:rPr>
        <w:noProof/>
      </w:rPr>
      <w:fldChar w:fldCharType="end"/>
    </w:r>
  </w:p>
  <w:p w14:paraId="6D36ACFF" w14:textId="77777777" w:rsidR="00967DDE" w:rsidRDefault="00967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BC87F" w14:textId="77777777" w:rsidR="007950BE" w:rsidRDefault="007950BE">
      <w:pPr>
        <w:spacing w:after="0" w:line="240" w:lineRule="auto"/>
      </w:pPr>
      <w:r>
        <w:separator/>
      </w:r>
    </w:p>
  </w:footnote>
  <w:footnote w:type="continuationSeparator" w:id="0">
    <w:p w14:paraId="50DDB782" w14:textId="77777777" w:rsidR="007950BE" w:rsidRDefault="00795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DD332" w14:textId="53270A2F" w:rsidR="00763E35" w:rsidRDefault="00763E35">
    <w:pPr>
      <w:spacing w:line="264" w:lineRule="auto"/>
    </w:pPr>
    <w:r>
      <w:rPr>
        <w:noProof/>
        <w:color w:val="000000"/>
      </w:rPr>
      <mc:AlternateContent>
        <mc:Choice Requires="wps">
          <w:drawing>
            <wp:anchor distT="0" distB="0" distL="114300" distR="114300" simplePos="0" relativeHeight="251659264" behindDoc="0" locked="0" layoutInCell="1" allowOverlap="1" wp14:anchorId="7D6BD33E" wp14:editId="2C93E690">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2D0937"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5524250"/>
        <w:placeholder>
          <w:docPart w:val="B9B48AA6AECE49B4B593DA4DF09E3B94"/>
        </w:placeholder>
        <w:dataBinding w:prefixMappings="xmlns:ns0='http://schemas.openxmlformats.org/package/2006/metadata/core-properties' xmlns:ns1='http://purl.org/dc/elements/1.1/'" w:xpath="/ns0:coreProperties[1]/ns1:title[1]" w:storeItemID="{6C3C8BC8-F283-45AE-878A-BAB7291924A1}"/>
        <w:text/>
      </w:sdtPr>
      <w:sdtContent>
        <w:r w:rsidR="00465A6F">
          <w:rPr>
            <w:color w:val="4F81BD" w:themeColor="accent1"/>
            <w:sz w:val="20"/>
            <w:szCs w:val="20"/>
          </w:rPr>
          <w:t>Building Services and Energy</w:t>
        </w:r>
      </w:sdtContent>
    </w:sdt>
  </w:p>
  <w:p w14:paraId="57BDC79A" w14:textId="77777777" w:rsidR="00763E35" w:rsidRDefault="00763E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7CB2E"/>
    <w:multiLevelType w:val="multilevel"/>
    <w:tmpl w:val="120000E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18285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7DDE"/>
    <w:rsid w:val="000037CA"/>
    <w:rsid w:val="000132ED"/>
    <w:rsid w:val="00057F13"/>
    <w:rsid w:val="00067A22"/>
    <w:rsid w:val="000771AA"/>
    <w:rsid w:val="000A2782"/>
    <w:rsid w:val="000A6E86"/>
    <w:rsid w:val="00133EB4"/>
    <w:rsid w:val="0014144F"/>
    <w:rsid w:val="0014783A"/>
    <w:rsid w:val="001A15B1"/>
    <w:rsid w:val="001B7091"/>
    <w:rsid w:val="001E7BDF"/>
    <w:rsid w:val="00210F2C"/>
    <w:rsid w:val="00221CBE"/>
    <w:rsid w:val="00243887"/>
    <w:rsid w:val="002D1C78"/>
    <w:rsid w:val="0034757A"/>
    <w:rsid w:val="003767A5"/>
    <w:rsid w:val="00386F80"/>
    <w:rsid w:val="003E1467"/>
    <w:rsid w:val="00456CF4"/>
    <w:rsid w:val="00465A6F"/>
    <w:rsid w:val="005A1D1D"/>
    <w:rsid w:val="005C4789"/>
    <w:rsid w:val="005E4DBC"/>
    <w:rsid w:val="0060327B"/>
    <w:rsid w:val="006076BB"/>
    <w:rsid w:val="00624693"/>
    <w:rsid w:val="006B1B6D"/>
    <w:rsid w:val="006C7D21"/>
    <w:rsid w:val="00763E35"/>
    <w:rsid w:val="007950BE"/>
    <w:rsid w:val="007B05B2"/>
    <w:rsid w:val="007D346F"/>
    <w:rsid w:val="0084438B"/>
    <w:rsid w:val="00865573"/>
    <w:rsid w:val="008951D0"/>
    <w:rsid w:val="008A08EA"/>
    <w:rsid w:val="008D6D33"/>
    <w:rsid w:val="00917972"/>
    <w:rsid w:val="009466E0"/>
    <w:rsid w:val="00967DDE"/>
    <w:rsid w:val="009836D1"/>
    <w:rsid w:val="009901F3"/>
    <w:rsid w:val="00A140CA"/>
    <w:rsid w:val="00A26F25"/>
    <w:rsid w:val="00A622AB"/>
    <w:rsid w:val="00A72CE8"/>
    <w:rsid w:val="00A908A4"/>
    <w:rsid w:val="00AF6DA0"/>
    <w:rsid w:val="00B36E69"/>
    <w:rsid w:val="00B705AF"/>
    <w:rsid w:val="00B733E2"/>
    <w:rsid w:val="00BD2ED6"/>
    <w:rsid w:val="00C03FDA"/>
    <w:rsid w:val="00C5332B"/>
    <w:rsid w:val="00C87847"/>
    <w:rsid w:val="00C92944"/>
    <w:rsid w:val="00CA6E99"/>
    <w:rsid w:val="00CF4705"/>
    <w:rsid w:val="00D35B28"/>
    <w:rsid w:val="00D678CB"/>
    <w:rsid w:val="00D84CA3"/>
    <w:rsid w:val="00DC7505"/>
    <w:rsid w:val="00DE39CC"/>
    <w:rsid w:val="00E066CA"/>
    <w:rsid w:val="00E31594"/>
    <w:rsid w:val="00E55570"/>
    <w:rsid w:val="00E90E94"/>
    <w:rsid w:val="00ED5271"/>
    <w:rsid w:val="00F02BF6"/>
    <w:rsid w:val="00F305E3"/>
    <w:rsid w:val="00F61179"/>
    <w:rsid w:val="00F63D1D"/>
    <w:rsid w:val="00FB1DB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199FF"/>
  <w15:docId w15:val="{5C939EA5-4C70-4473-BDB8-B9A65F306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3EB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3159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3159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243887"/>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243887"/>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60327B"/>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0A2782"/>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ED5271"/>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5C4789"/>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33EB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3159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E31594"/>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243887"/>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243887"/>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60327B"/>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rsid w:val="000A278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ED52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5C4789"/>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AF6D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DA0"/>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9466E0"/>
    <w:pPr>
      <w:spacing w:before="360" w:after="360"/>
    </w:pPr>
    <w:rPr>
      <w:rFonts w:asciiTheme="minorHAnsi" w:hAnsiTheme="minorHAnsi" w:cstheme="minorHAnsi"/>
      <w:b/>
      <w:bCs/>
      <w:caps/>
      <w:u w:val="single"/>
    </w:rPr>
  </w:style>
  <w:style w:type="paragraph" w:styleId="TOC2">
    <w:name w:val="toc 2"/>
    <w:basedOn w:val="Normal"/>
    <w:next w:val="Normal"/>
    <w:autoRedefine/>
    <w:uiPriority w:val="39"/>
    <w:unhideWhenUsed/>
    <w:rsid w:val="009466E0"/>
    <w:pPr>
      <w:spacing w:after="0"/>
    </w:pPr>
    <w:rPr>
      <w:rFonts w:asciiTheme="minorHAnsi" w:hAnsiTheme="minorHAnsi" w:cstheme="minorHAnsi"/>
      <w:b/>
      <w:bCs/>
      <w:smallCaps/>
    </w:rPr>
  </w:style>
  <w:style w:type="paragraph" w:styleId="TOC3">
    <w:name w:val="toc 3"/>
    <w:basedOn w:val="Normal"/>
    <w:next w:val="Normal"/>
    <w:autoRedefine/>
    <w:uiPriority w:val="39"/>
    <w:unhideWhenUsed/>
    <w:rsid w:val="009466E0"/>
    <w:pPr>
      <w:spacing w:after="0"/>
    </w:pPr>
    <w:rPr>
      <w:rFonts w:asciiTheme="minorHAnsi" w:hAnsiTheme="minorHAnsi" w:cstheme="minorHAnsi"/>
      <w:smallCaps/>
    </w:rPr>
  </w:style>
  <w:style w:type="paragraph" w:styleId="TOC4">
    <w:name w:val="toc 4"/>
    <w:basedOn w:val="Normal"/>
    <w:next w:val="Normal"/>
    <w:autoRedefine/>
    <w:uiPriority w:val="39"/>
    <w:unhideWhenUsed/>
    <w:rsid w:val="009466E0"/>
    <w:pPr>
      <w:spacing w:after="0"/>
    </w:pPr>
    <w:rPr>
      <w:rFonts w:asciiTheme="minorHAnsi" w:hAnsiTheme="minorHAnsi" w:cstheme="minorHAnsi"/>
    </w:rPr>
  </w:style>
  <w:style w:type="paragraph" w:styleId="TOC5">
    <w:name w:val="toc 5"/>
    <w:basedOn w:val="Normal"/>
    <w:next w:val="Normal"/>
    <w:autoRedefine/>
    <w:uiPriority w:val="39"/>
    <w:unhideWhenUsed/>
    <w:rsid w:val="009466E0"/>
    <w:pPr>
      <w:spacing w:after="0"/>
    </w:pPr>
    <w:rPr>
      <w:rFonts w:asciiTheme="minorHAnsi" w:hAnsiTheme="minorHAnsi" w:cstheme="minorHAnsi"/>
    </w:rPr>
  </w:style>
  <w:style w:type="paragraph" w:styleId="TOC6">
    <w:name w:val="toc 6"/>
    <w:basedOn w:val="Normal"/>
    <w:next w:val="Normal"/>
    <w:autoRedefine/>
    <w:uiPriority w:val="39"/>
    <w:unhideWhenUsed/>
    <w:rsid w:val="009466E0"/>
    <w:pPr>
      <w:spacing w:after="0"/>
    </w:pPr>
    <w:rPr>
      <w:rFonts w:asciiTheme="minorHAnsi" w:hAnsiTheme="minorHAnsi" w:cstheme="minorHAnsi"/>
    </w:rPr>
  </w:style>
  <w:style w:type="paragraph" w:styleId="TOC7">
    <w:name w:val="toc 7"/>
    <w:basedOn w:val="Normal"/>
    <w:next w:val="Normal"/>
    <w:autoRedefine/>
    <w:uiPriority w:val="39"/>
    <w:unhideWhenUsed/>
    <w:rsid w:val="009466E0"/>
    <w:pPr>
      <w:spacing w:after="0"/>
    </w:pPr>
    <w:rPr>
      <w:rFonts w:asciiTheme="minorHAnsi" w:hAnsiTheme="minorHAnsi" w:cstheme="minorHAnsi"/>
    </w:rPr>
  </w:style>
  <w:style w:type="paragraph" w:styleId="TOC8">
    <w:name w:val="toc 8"/>
    <w:basedOn w:val="Normal"/>
    <w:next w:val="Normal"/>
    <w:autoRedefine/>
    <w:uiPriority w:val="39"/>
    <w:unhideWhenUsed/>
    <w:rsid w:val="009466E0"/>
    <w:pPr>
      <w:spacing w:after="0"/>
    </w:pPr>
    <w:rPr>
      <w:rFonts w:asciiTheme="minorHAnsi" w:hAnsiTheme="minorHAnsi" w:cstheme="minorHAnsi"/>
    </w:rPr>
  </w:style>
  <w:style w:type="paragraph" w:styleId="TOC9">
    <w:name w:val="toc 9"/>
    <w:basedOn w:val="Normal"/>
    <w:next w:val="Normal"/>
    <w:autoRedefine/>
    <w:uiPriority w:val="39"/>
    <w:unhideWhenUsed/>
    <w:rsid w:val="009466E0"/>
    <w:pPr>
      <w:spacing w:after="0"/>
    </w:pPr>
    <w:rPr>
      <w:rFonts w:asciiTheme="minorHAnsi" w:hAnsiTheme="minorHAnsi" w:cstheme="minorHAnsi"/>
    </w:rPr>
  </w:style>
  <w:style w:type="paragraph" w:styleId="NoSpacing">
    <w:name w:val="No Spacing"/>
    <w:link w:val="NoSpacingChar"/>
    <w:uiPriority w:val="1"/>
    <w:qFormat/>
    <w:rsid w:val="006C7D21"/>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6C7D21"/>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067A2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hyperlink" Target="https://www.walesonline.co.uk/news/wales-news/new-role-swanseas-former-central-1826668" TargetMode="Externa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image" Target="media/image30.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B48AA6AECE49B4B593DA4DF09E3B94"/>
        <w:category>
          <w:name w:val="General"/>
          <w:gallery w:val="placeholder"/>
        </w:category>
        <w:types>
          <w:type w:val="bbPlcHdr"/>
        </w:types>
        <w:behaviors>
          <w:behavior w:val="content"/>
        </w:behaviors>
        <w:guid w:val="{4D380E2E-5448-486F-81FE-5A1BFB5BEE99}"/>
      </w:docPartPr>
      <w:docPartBody>
        <w:p w:rsidR="00000000" w:rsidRDefault="000616B5" w:rsidP="000616B5">
          <w:pPr>
            <w:pStyle w:val="B9B48AA6AECE49B4B593DA4DF09E3B94"/>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6B5"/>
    <w:rsid w:val="000616B5"/>
    <w:rsid w:val="00464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B48AA6AECE49B4B593DA4DF09E3B94">
    <w:name w:val="B9B48AA6AECE49B4B593DA4DF09E3B94"/>
    <w:rsid w:val="000616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7318B9-4E39-4E8F-8421-A9FF7DCE2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22</Pages>
  <Words>5310</Words>
  <Characters>30273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Services and Energy</dc:title>
  <dc:subject>MSc Property and Facilities Management</dc:subject>
  <dc:creator>Alvin Nyanga</dc:creator>
  <cp:lastModifiedBy>Alvin Nyanga</cp:lastModifiedBy>
  <cp:revision>57</cp:revision>
  <dcterms:created xsi:type="dcterms:W3CDTF">2022-09-07T13:34:00Z</dcterms:created>
  <dcterms:modified xsi:type="dcterms:W3CDTF">2022-09-07T15:52:00Z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2c2765558cf741ad9f852b2cf2635a41</vt:lpwstr>
  </property>
</Properties>
</file>