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16cid="http://schemas.microsoft.com/office/word/2016/wordml/cid" xmlns:w16="http://schemas.microsoft.com/office/word/2018/wordml" xmlns:w16cex="http://schemas.microsoft.com/office/word/2018/wordml/cex" xmlns:w16sdtdh="http://schemas.microsoft.com/office/word/2020/wordml/sdtdatahash" mc:Ignorable="w14 w15 w16se wp14 w16cid w16 w16cex w16sdtdh">
  <w:body>
    <w:p xmlns:wp14="http://schemas.microsoft.com/office/word/2010/wordml" w:rsidR="003A33CC" w:rsidP="173ED406" w:rsidRDefault="00087067" w14:paraId="0DE09D34" wp14:textId="40703E6E">
      <w:pPr>
        <w:ind w:left="-20" w:right="-20"/>
        <w:jc w:val="center"/>
        <w:rPr>
          <w:rFonts w:ascii="Arial Black" w:hAnsi="Arial Black" w:eastAsia="Arial Black" w:cs="Arial Black"/>
          <w:b w:val="0"/>
          <w:bCs w:val="0"/>
          <w:i w:val="0"/>
          <w:iCs w:val="0"/>
          <w:caps w:val="0"/>
          <w:smallCaps w:val="0"/>
          <w:noProof w:val="0"/>
          <w:color w:val="000000" w:themeColor="text1" w:themeTint="FF" w:themeShade="FF"/>
          <w:sz w:val="40"/>
          <w:szCs w:val="40"/>
          <w:lang w:val="en-GB"/>
        </w:rPr>
      </w:pPr>
      <w:r w:rsidRPr="173ED406" w:rsidR="173ED406">
        <w:rPr>
          <w:rFonts w:ascii="Arial Black" w:hAnsi="Arial Black" w:eastAsia="Arial Black" w:cs="Arial Black"/>
          <w:b w:val="0"/>
          <w:bCs w:val="0"/>
          <w:i w:val="0"/>
          <w:iCs w:val="0"/>
          <w:caps w:val="0"/>
          <w:smallCaps w:val="0"/>
          <w:noProof w:val="0"/>
          <w:color w:val="000000" w:themeColor="text1" w:themeTint="FF" w:themeShade="FF"/>
          <w:sz w:val="40"/>
          <w:szCs w:val="40"/>
          <w:lang w:val="en-GB"/>
        </w:rPr>
        <w:t>Marriott Worldwide</w:t>
      </w:r>
    </w:p>
    <w:p xmlns:wp14="http://schemas.microsoft.com/office/word/2010/wordml" w:rsidR="003A33CC" w:rsidP="173ED406" w:rsidRDefault="00087067" w14:paraId="4B2E6B1B" wp14:textId="7A9B6207">
      <w:pPr>
        <w:ind w:left="-20" w:right="-20"/>
        <w:jc w:val="center"/>
        <w:rPr>
          <w:rFonts w:ascii="Arial Black" w:hAnsi="Arial Black" w:eastAsia="Arial Black" w:cs="Arial Black"/>
          <w:b w:val="0"/>
          <w:bCs w:val="0"/>
          <w:i w:val="0"/>
          <w:iCs w:val="0"/>
          <w:caps w:val="0"/>
          <w:smallCaps w:val="0"/>
          <w:noProof w:val="0"/>
          <w:color w:val="000000" w:themeColor="text1" w:themeTint="FF" w:themeShade="FF"/>
          <w:sz w:val="40"/>
          <w:szCs w:val="40"/>
          <w:lang w:val="en-GB"/>
        </w:rPr>
      </w:pPr>
      <w:r w:rsidRPr="173ED406" w:rsidR="173ED406">
        <w:rPr>
          <w:rFonts w:ascii="Arial Black" w:hAnsi="Arial Black" w:eastAsia="Arial Black" w:cs="Arial Black"/>
          <w:b w:val="0"/>
          <w:bCs w:val="0"/>
          <w:i w:val="0"/>
          <w:iCs w:val="0"/>
          <w:caps w:val="0"/>
          <w:smallCaps w:val="0"/>
          <w:noProof w:val="0"/>
          <w:color w:val="000000" w:themeColor="text1" w:themeTint="FF" w:themeShade="FF"/>
          <w:sz w:val="40"/>
          <w:szCs w:val="40"/>
          <w:lang w:val="en-GB"/>
        </w:rPr>
        <w:t>A Vision of Change: Sustainability in the hotel industry</w:t>
      </w:r>
    </w:p>
    <w:p xmlns:wp14="http://schemas.microsoft.com/office/word/2010/wordml" w:rsidR="003A33CC" w:rsidP="173ED406" w:rsidRDefault="00087067" w14:paraId="672A6659" wp14:textId="65F269BF">
      <w:pPr>
        <w:pStyle w:val="Normal"/>
      </w:pPr>
      <w:bookmarkStart w:name="_GoBack" w:id="0"/>
    </w:p>
    <w:p xmlns:wp14="http://schemas.microsoft.com/office/word/2010/wordml" w:rsidR="003A33CC" w:rsidP="003A33CC" w:rsidRDefault="003A33CC" w14:paraId="0A37501D" wp14:textId="77777777">
      <w:pPr>
        <w:pStyle w:val="Title"/>
      </w:pPr>
    </w:p>
    <w:p xmlns:wp14="http://schemas.microsoft.com/office/word/2010/wordml" w:rsidR="003A33CC" w:rsidP="00087067" w:rsidRDefault="003A33CC" w14:paraId="5DAB6C7B" wp14:textId="77777777">
      <w:pPr>
        <w:pStyle w:val="Title"/>
        <w:jc w:val="both"/>
      </w:pPr>
    </w:p>
    <w:p xmlns:wp14="http://schemas.microsoft.com/office/word/2010/wordml" w:rsidRPr="003A33CC" w:rsidR="003A33CC" w:rsidP="173ED406" w:rsidRDefault="000C282A" w14:paraId="42643F4A" wp14:textId="77777777">
      <w:pPr>
        <w:pStyle w:val="Title"/>
        <w:rPr>
          <w:sz w:val="24"/>
          <w:szCs w:val="24"/>
        </w:rPr>
      </w:pPr>
      <w:r w:rsidRPr="173ED406" w:rsidR="173ED406">
        <w:rPr>
          <w:sz w:val="24"/>
          <w:szCs w:val="24"/>
        </w:rPr>
        <w:t>BMIH5006</w:t>
      </w:r>
    </w:p>
    <w:p xmlns:wp14="http://schemas.microsoft.com/office/word/2010/wordml" w:rsidRPr="00087067" w:rsidR="00C06594" w:rsidP="173ED406" w:rsidRDefault="00087067" w14:paraId="46C49CB2" wp14:textId="77777777">
      <w:pPr>
        <w:pStyle w:val="Title"/>
        <w:rPr>
          <w:sz w:val="24"/>
          <w:szCs w:val="24"/>
        </w:rPr>
      </w:pPr>
      <w:r w:rsidRPr="173ED406" w:rsidR="173ED406">
        <w:rPr>
          <w:sz w:val="24"/>
          <w:szCs w:val="24"/>
        </w:rPr>
        <w:t>Sustainable Hospitality &amp; Tourism Management</w:t>
      </w:r>
    </w:p>
    <w:p xmlns:wp14="http://schemas.microsoft.com/office/word/2010/wordml" w:rsidR="003A33CC" w:rsidP="173ED406" w:rsidRDefault="003A33CC" w14:paraId="02EB378F" wp14:textId="77777777">
      <w:pPr>
        <w:jc w:val="center"/>
        <w:rPr>
          <w:b w:val="1"/>
          <w:bCs w:val="1"/>
          <w:sz w:val="24"/>
          <w:szCs w:val="24"/>
        </w:rPr>
      </w:pPr>
    </w:p>
    <w:p xmlns:wp14="http://schemas.microsoft.com/office/word/2010/wordml" w:rsidRPr="003A33CC" w:rsidR="003A33CC" w:rsidP="173ED406" w:rsidRDefault="000C282A" w14:paraId="382E3B85" wp14:textId="2F9300FE">
      <w:pPr>
        <w:jc w:val="center"/>
        <w:rPr>
          <w:b w:val="1"/>
          <w:bCs w:val="1"/>
          <w:sz w:val="24"/>
          <w:szCs w:val="24"/>
        </w:rPr>
      </w:pPr>
      <w:r w:rsidRPr="173ED406" w:rsidR="173ED406">
        <w:rPr>
          <w:b w:val="1"/>
          <w:bCs w:val="1"/>
          <w:sz w:val="24"/>
          <w:szCs w:val="24"/>
        </w:rPr>
        <w:t xml:space="preserve">Student Name: Andreea </w:t>
      </w:r>
      <w:bookmarkStart w:name="_Int_TvZeI4B1" w:id="1565012332"/>
      <w:r w:rsidRPr="173ED406" w:rsidR="173ED406">
        <w:rPr>
          <w:b w:val="1"/>
          <w:bCs w:val="1"/>
          <w:sz w:val="24"/>
          <w:szCs w:val="24"/>
        </w:rPr>
        <w:t>Ionelia</w:t>
      </w:r>
      <w:bookmarkEnd w:id="1565012332"/>
      <w:r w:rsidRPr="173ED406" w:rsidR="173ED406">
        <w:rPr>
          <w:b w:val="1"/>
          <w:bCs w:val="1"/>
          <w:sz w:val="24"/>
          <w:szCs w:val="24"/>
        </w:rPr>
        <w:t xml:space="preserve"> </w:t>
      </w:r>
      <w:bookmarkStart w:name="_Int_qOwHAStK" w:id="1344194098"/>
      <w:r w:rsidRPr="173ED406" w:rsidR="173ED406">
        <w:rPr>
          <w:b w:val="1"/>
          <w:bCs w:val="1"/>
          <w:sz w:val="24"/>
          <w:szCs w:val="24"/>
        </w:rPr>
        <w:t>Girboiu</w:t>
      </w:r>
      <w:bookmarkEnd w:id="1344194098"/>
      <w:r w:rsidRPr="173ED406" w:rsidR="173ED406">
        <w:rPr>
          <w:b w:val="1"/>
          <w:bCs w:val="1"/>
          <w:sz w:val="24"/>
          <w:szCs w:val="24"/>
        </w:rPr>
        <w:t xml:space="preserve"> </w:t>
      </w:r>
    </w:p>
    <w:p xmlns:wp14="http://schemas.microsoft.com/office/word/2010/wordml" w:rsidRPr="003A33CC" w:rsidR="003A33CC" w:rsidP="173ED406" w:rsidRDefault="000C282A" w14:paraId="0E559CC5" wp14:textId="5E3C4C40">
      <w:pPr>
        <w:jc w:val="center"/>
        <w:rPr>
          <w:b w:val="1"/>
          <w:bCs w:val="1"/>
          <w:sz w:val="24"/>
          <w:szCs w:val="24"/>
        </w:rPr>
      </w:pPr>
      <w:r w:rsidRPr="173ED406" w:rsidR="173ED406">
        <w:rPr>
          <w:b w:val="1"/>
          <w:bCs w:val="1"/>
          <w:sz w:val="24"/>
          <w:szCs w:val="24"/>
        </w:rPr>
        <w:t>Student ID: 2119260</w:t>
      </w:r>
    </w:p>
    <w:p xmlns:wp14="http://schemas.microsoft.com/office/word/2010/wordml" w:rsidR="003A33CC" w:rsidP="173ED406" w:rsidRDefault="000C282A" w14:paraId="491072FA" wp14:textId="65E4E191">
      <w:pPr>
        <w:jc w:val="center"/>
        <w:rPr>
          <w:b w:val="1"/>
          <w:bCs w:val="1"/>
          <w:sz w:val="44"/>
          <w:szCs w:val="44"/>
        </w:rPr>
      </w:pPr>
      <w:r w:rsidRPr="173ED406" w:rsidR="173ED406">
        <w:rPr>
          <w:b w:val="1"/>
          <w:bCs w:val="1"/>
          <w:sz w:val="24"/>
          <w:szCs w:val="24"/>
        </w:rPr>
        <w:t>Lecturer Name: Ruth Taylor</w:t>
      </w:r>
    </w:p>
    <w:p xmlns:wp14="http://schemas.microsoft.com/office/word/2010/wordml" w:rsidR="000F44A2" w:rsidRDefault="000C282A" w14:paraId="6A05A809" wp14:textId="77777777">
      <w:pPr>
        <w:spacing w:line="276" w:lineRule="auto"/>
        <w:jc w:val="left"/>
        <w:rPr>
          <w:b/>
          <w:sz w:val="44"/>
        </w:rPr>
      </w:pPr>
      <w:r w:rsidRPr="173ED406">
        <w:rPr>
          <w:b w:val="1"/>
          <w:bCs w:val="1"/>
          <w:sz w:val="44"/>
          <w:szCs w:val="44"/>
        </w:rPr>
        <w:br w:type="page"/>
      </w:r>
    </w:p>
    <w:p xmlns:wp14="http://schemas.microsoft.com/office/word/2010/wordml" w:rsidR="003A33CC" w:rsidP="000F44A2" w:rsidRDefault="003A33CC" w14:paraId="41C8F396" wp14:textId="77777777"/>
    <w:p xmlns:wp14="http://schemas.microsoft.com/office/word/2010/wordml" w:rsidR="003A33CC" w:rsidP="173ED406" w:rsidRDefault="000C282A" w14:paraId="3E7A9F1C" wp14:textId="7663E717">
      <w:pPr>
        <w:pStyle w:val="Heading1"/>
        <w:spacing w:line="276" w:lineRule="auto"/>
        <w:jc w:val="left"/>
      </w:pPr>
    </w:p>
    <w:p xmlns:wp14="http://schemas.microsoft.com/office/word/2010/wordml" w:rsidRPr="00460D2B" w:rsidR="00460D2B" w:rsidP="00460D2B" w:rsidRDefault="000C282A" w14:paraId="53C9343E" wp14:textId="767BE593">
      <w:r w:rsidR="173ED406">
        <w:rPr/>
        <w:t xml:space="preserve">   In the sector of sustainable hospitality, the merger of circular economy measures into Corporate Social Responsibility (CSR) rules stands as a crucial endeavour. This essay </w:t>
      </w:r>
      <w:r w:rsidR="173ED406">
        <w:rPr/>
        <w:t>seeks</w:t>
      </w:r>
      <w:r w:rsidR="173ED406">
        <w:rPr/>
        <w:t xml:space="preserve"> to explore the combination of round financial system hones within the CSR projects of Marriott Worldwide, a leading substance within the hospitality locale. As natural stresses keep reinforcing and societal anticipations for responsible enterprise hones increase, the </w:t>
      </w:r>
      <w:r w:rsidR="173ED406">
        <w:rPr/>
        <w:t>selection</w:t>
      </w:r>
      <w:r w:rsidR="173ED406">
        <w:rPr/>
        <w:t xml:space="preserve"> of circular economic framework thoughts has risen as a basic strategy for companies striving to limit their ecological footprint while cultivating societal well-being. Inside this setting, Marriott International's approach serves as a critical case look at, highlighting the practical utility of circular economy concepts in a globally recognised hospitality emblem. Scrutinising Marriott's CSR rules through the focal point of circular economic system thoughts, supplying insights into how enterprises can correctly adjust environmental supportability with their company values and operational strategies. This essay will dive into how those prominent in chains implant circular economic system standards inside their CSR systems, analysing specific projects and strategies geared toward promoting sustainability. By depicting these key ideas, the following analysis will give insights into losing mild at the approaches wherein those hotels contribute to broader environmental and social wants.</w:t>
      </w:r>
    </w:p>
    <w:p xmlns:wp14="http://schemas.microsoft.com/office/word/2010/wordml" w:rsidR="003A33CC" w:rsidP="00460D2B" w:rsidRDefault="003A33CC" w14:paraId="0D0B940D" wp14:textId="77777777"/>
    <w:p xmlns:wp14="http://schemas.microsoft.com/office/word/2010/wordml" w:rsidR="000F44A2" w:rsidRDefault="000C282A" w14:paraId="0E27B00A" wp14:textId="77777777">
      <w:pPr>
        <w:spacing w:line="276" w:lineRule="auto"/>
        <w:jc w:val="left"/>
      </w:pPr>
      <w:r>
        <w:br w:type="page"/>
      </w:r>
    </w:p>
    <w:p xmlns:wp14="http://schemas.microsoft.com/office/word/2010/wordml" w:rsidR="00B87A01" w:rsidP="00B87A01" w:rsidRDefault="000C282A" w14:paraId="511E3290" wp14:textId="77777777">
      <w:r>
        <w:rPr/>
        <w:t xml:space="preserve">Marriott International, a global pioneer in the hospitality enterprise, has made tremendous strides in integrating circular </w:t>
      </w:r>
      <w:r w:rsidR="00B65104">
        <w:rPr/>
        <w:t xml:space="preserve">economy </w:t>
      </w:r>
      <w:r>
        <w:rPr/>
        <w:t>framework ideas into its Corporate Social Responsibility (CSR) arrangement</w:t>
      </w:r>
      <w:r w:rsidR="005A69C4">
        <w:rPr/>
        <w:t xml:space="preserve"> (</w:t>
      </w:r>
      <w:bookmarkStart w:name="_Int_fYGMkjF1" w:id="1122541129"/>
      <w:r w:rsidR="005A69C4">
        <w:rPr>
          <w:shd w:val="clear" w:color="auto" w:fill="FFFFFF"/>
        </w:rPr>
        <w:t>Gardetti</w:t>
      </w:r>
      <w:bookmarkEnd w:id="1122541129"/>
      <w:r w:rsidR="005A69C4">
        <w:rPr>
          <w:shd w:val="clear" w:color="auto" w:fill="FFFFFF"/>
        </w:rPr>
        <w:t xml:space="preserve"> and Torres, 2017)</w:t>
      </w:r>
      <w:r>
        <w:rPr/>
        <w:t xml:space="preserve">. With a portfolio of over 7600 properties across 133 countries and regions, Marriott acknowledges the significance of sustainability in its operations and </w:t>
      </w:r>
      <w:r>
        <w:rPr/>
        <w:t>objectives</w:t>
      </w:r>
      <w:r>
        <w:rPr/>
        <w:t xml:space="preserve"> to decrease its environmental impression indeed as maximise incredible social impact. One key factor of Marriott's strategy for circular economy inside its CSR coverage is its commitment to waste reduction. The corporation has carried out di</w:t>
      </w:r>
      <w:r w:rsidR="00506BAA">
        <w:rPr/>
        <w:t>ffering errands aimed at minimis</w:t>
      </w:r>
      <w:r>
        <w:rPr/>
        <w:t>ing squandering time and promoting reusing and reuse. For occasion, Marriott properties worldwide take part in waste management applications that centre on bringing down unmarried-use plastics, reusing paper and cardboard, and composting natural waste. By diverting waste from landfills and promoting reusing, Marriott not simplest reduces its environmental effect but also contributes to the circular drift of substances within the financial system</w:t>
      </w:r>
      <w:r w:rsidR="005A69C4">
        <w:rPr/>
        <w:t xml:space="preserve"> (</w:t>
      </w:r>
      <w:r w:rsidR="005A69C4">
        <w:rPr>
          <w:shd w:val="clear" w:color="auto" w:fill="FFFFFF"/>
        </w:rPr>
        <w:t>Aaker and Moorman, 2023)</w:t>
      </w:r>
      <w:r>
        <w:rPr/>
        <w:t>.</w:t>
      </w:r>
    </w:p>
    <w:p xmlns:wp14="http://schemas.microsoft.com/office/word/2010/wordml" w:rsidR="00B87A01" w:rsidP="00B87A01" w:rsidRDefault="00506BAA" w14:paraId="0DC49930" wp14:textId="77777777">
      <w:r>
        <w:t>Marriott prioritis</w:t>
      </w:r>
      <w:r w:rsidR="000C282A">
        <w:t xml:space="preserve">es vitality efficiency and useful resource conservation across its homes, aligning with circular </w:t>
      </w:r>
      <w:r w:rsidR="00B65104">
        <w:t xml:space="preserve">economy </w:t>
      </w:r>
      <w:r w:rsidR="000C282A">
        <w:t>framework concepts</w:t>
      </w:r>
      <w:r w:rsidR="005A69C4">
        <w:t xml:space="preserve"> (</w:t>
      </w:r>
      <w:r w:rsidR="005A69C4">
        <w:rPr>
          <w:shd w:val="clear" w:color="auto" w:fill="FFFFFF"/>
        </w:rPr>
        <w:t>Mubarik et al., 2023)</w:t>
      </w:r>
      <w:r w:rsidR="000C282A">
        <w:t>. The undertaking has invested in power-saving technologies, at the side Driven lighting fixtures, smart thermostats, and movement sensors, to lessen ele</w:t>
      </w:r>
      <w:r>
        <w:t>ctricity consumption and minimis</w:t>
      </w:r>
      <w:r w:rsidR="000C282A">
        <w:t>e nursery gasoline outflows. Moreover, Marriott properties put in constrain water-saving measures, together with low-float installations and water reuse structures, to preserve this profi</w:t>
      </w:r>
      <w:r>
        <w:t>table valuable asset. By optimis</w:t>
      </w:r>
      <w:r w:rsidR="000C282A">
        <w:t>ing v</w:t>
      </w:r>
      <w:r>
        <w:t>aluable resource use and minimis</w:t>
      </w:r>
      <w:r w:rsidR="000C282A">
        <w:t xml:space="preserve">ing useful asset consumption, Marriott demonstrates its dedication to the circular </w:t>
      </w:r>
      <w:r w:rsidR="00B65104">
        <w:t xml:space="preserve">economy </w:t>
      </w:r>
      <w:r w:rsidR="000C282A">
        <w:t>while additionally lowering operational costs and improving long-term sustainability</w:t>
      </w:r>
      <w:r w:rsidR="005A69C4">
        <w:t xml:space="preserve"> (</w:t>
      </w:r>
      <w:r w:rsidR="005A69C4">
        <w:rPr>
          <w:shd w:val="clear" w:color="auto" w:fill="FFFFFF"/>
        </w:rPr>
        <w:t>Yu, Li and Jai, 2017)</w:t>
      </w:r>
      <w:r w:rsidR="000C282A">
        <w:t>. Furthermore, Marriott integrates sustainable sourcing ho</w:t>
      </w:r>
      <w:r>
        <w:t>nes into its CSR scope, emphasis</w:t>
      </w:r>
      <w:r w:rsidR="000C282A">
        <w:t>ing the noteworthiness of -dependable obtainment in achieving circularity. The commerce venture collabora</w:t>
      </w:r>
      <w:r>
        <w:t>tes with providers who prioritis</w:t>
      </w:r>
      <w:r w:rsidR="000C282A">
        <w:t>e sustainable substances, items, and bundling, subsequently advancing the appropriation of circular supply chains. Marriott</w:t>
      </w:r>
      <w:r>
        <w:t>'s procurement rules prioritis</w:t>
      </w:r>
      <w:r w:rsidR="000C282A">
        <w:t xml:space="preserve">e items with </w:t>
      </w:r>
      <w:r w:rsidR="000C282A">
        <w:t xml:space="preserve">minimum environmental impact, the side locally sourced natural deliver, green cleansing substances, and biodegradable services. </w:t>
      </w:r>
    </w:p>
    <w:p xmlns:wp14="http://schemas.microsoft.com/office/word/2010/wordml" w:rsidR="00870590" w:rsidP="00B87A01" w:rsidRDefault="000C282A" w14:paraId="7D0CEB88" wp14:textId="457904DD">
      <w:r>
        <w:rPr/>
        <w:t>The concept of a circular economy gives a basic move in conventional linear financial models, aiming to redefine the way we produce, eat, and take away goods and services</w:t>
      </w:r>
      <w:r w:rsidR="005A69C4">
        <w:rPr/>
        <w:t xml:space="preserve"> (</w:t>
      </w:r>
      <w:r w:rsidR="005A69C4">
        <w:rPr>
          <w:shd w:val="clear" w:color="auto" w:fill="FFFFFF"/>
        </w:rPr>
        <w:t>Lewandowski, 2016)</w:t>
      </w:r>
      <w:r>
        <w:rPr/>
        <w:t>. At its centre, the circular economy looks to form a regenerative machine where sources are stored in use for as long as attainable, with maximum charge extracted at some point of each organisation of the product lifecycle. This holistic method encompasses various methods, together with squander reduction, useful resource efficiency, and product innovation, to obtain long-time period sustainability and resilience. Central to the circular economy is the thought of final the circle, in which materials, additives, and products are reused, repaired, remanufactured, or reused input of being disposed of after utili</w:t>
      </w:r>
      <w:r w:rsidR="005A69C4">
        <w:rPr/>
        <w:t>sation (</w:t>
      </w:r>
      <w:r w:rsidR="005A69C4">
        <w:rPr>
          <w:shd w:val="clear" w:color="auto" w:fill="FFFFFF"/>
        </w:rPr>
        <w:t>Stahel, 2019)</w:t>
      </w:r>
      <w:r>
        <w:rPr/>
        <w:t xml:space="preserve">. This </w:t>
      </w:r>
      <w:r>
        <w:rPr/>
        <w:t>moves</w:t>
      </w:r>
      <w:r>
        <w:rPr/>
        <w:t xml:space="preserve"> from a "take-make-dispose" direct version to a "lessen-reuse-recycle" circular show speaks to a paradigmatic alternative in how company’s method of useful resource management and natural stewardship. By keeping reso</w:t>
      </w:r>
      <w:r w:rsidR="00506BAA">
        <w:rPr/>
        <w:t>urces in circulation and minimis</w:t>
      </w:r>
      <w:r>
        <w:rPr/>
        <w:t xml:space="preserve">ing waste technology, the circular </w:t>
      </w:r>
      <w:r w:rsidR="00B65104">
        <w:rPr/>
        <w:t xml:space="preserve">economy </w:t>
      </w:r>
      <w:r>
        <w:rPr/>
        <w:t xml:space="preserve">framework points to decoupling financial boom from useful asset intake, </w:t>
      </w:r>
      <w:r>
        <w:rPr/>
        <w:t xml:space="preserve">ultimately leading</w:t>
      </w:r>
      <w:r>
        <w:rPr/>
        <w:t xml:space="preserve"> to a greater sustainable and affluent future. One of the key concepts of the circular economic framework is designing merchandise and frameworks for sturdiness and sturdiness. </w:t>
      </w:r>
    </w:p>
    <w:p xmlns:wp14="http://schemas.microsoft.com/office/word/2010/wordml" w:rsidR="0000586F" w:rsidP="00B87A01" w:rsidRDefault="000C282A" w14:paraId="4A6CF4FC" wp14:textId="7BB111F5">
      <w:r>
        <w:rPr/>
        <w:t xml:space="preserve">Furthermore, the circular </w:t>
      </w:r>
      <w:r w:rsidR="00B65104">
        <w:rPr/>
        <w:t xml:space="preserve">economy </w:t>
      </w:r>
      <w:r>
        <w:rPr/>
        <w:t>system encourages groups to embrace innovative commercial venture models that advanc</w:t>
      </w:r>
      <w:r w:rsidR="00506BAA">
        <w:rPr/>
        <w:t xml:space="preserve">e sharing, renting, and </w:t>
      </w:r>
      <w:bookmarkStart w:name="_Int_BtYHifvt" w:id="1486014160"/>
      <w:r w:rsidR="00506BAA">
        <w:rPr/>
        <w:t>servitiz</w:t>
      </w:r>
      <w:r>
        <w:rPr/>
        <w:t>atio</w:t>
      </w:r>
      <w:r>
        <w:rPr/>
        <w:t>n</w:t>
      </w:r>
      <w:bookmarkEnd w:id="1486014160"/>
      <w:r>
        <w:rPr/>
        <w:t>. Instead of owning stock outright, clients can get admission to things and administrations through sharing frameworks, rental plans, or subscription-base</w:t>
      </w:r>
      <w:r w:rsidR="00506BAA">
        <w:rPr/>
        <w:t>d styles, in this manner maximising help utilisation and minimis</w:t>
      </w:r>
      <w:r>
        <w:rPr/>
        <w:t>ing squandering era</w:t>
      </w:r>
      <w:r w:rsidR="005A69C4">
        <w:rPr/>
        <w:t xml:space="preserve"> (</w:t>
      </w:r>
      <w:r w:rsidR="005A69C4">
        <w:rPr>
          <w:shd w:val="clear" w:color="auto" w:fill="FFFFFF"/>
        </w:rPr>
        <w:t>Pinedo, 2021)</w:t>
      </w:r>
      <w:r>
        <w:rPr/>
        <w:t xml:space="preserve">. Illustrations of such commercial endeavour models consist of car-sharing offerings, peer-to-peer apartment platforms, and product-as-a-provider administrations, which give affirmation to stock and experiences without the need for individual ownership. Another crucial factor of the circular </w:t>
      </w:r>
      <w:r w:rsidR="00B65104">
        <w:rPr/>
        <w:t xml:space="preserve">economy </w:t>
      </w:r>
      <w:r>
        <w:rPr/>
        <w:t xml:space="preserve">framework is the concept of cascading cost, in which waste substances and with the help of merchandise from one manner are applied as inputs for another, growing a closed-loop gadget of asset float. This approach </w:t>
      </w:r>
      <w:r w:rsidR="00506BAA">
        <w:rPr/>
        <w:t>emphasis</w:t>
      </w:r>
      <w:r>
        <w:rPr/>
        <w:t xml:space="preserve">es the importance of commercial symbiosis, in which one-of-a-kind businesses collaborate to exchange resources, power, and </w:t>
      </w:r>
      <w:r>
        <w:rPr/>
        <w:t>know-how</w:t>
      </w:r>
      <w:r>
        <w:rPr/>
        <w:t>, opt</w:t>
      </w:r>
      <w:r w:rsidR="00506BAA">
        <w:rPr/>
        <w:t>imising resource use and minimis</w:t>
      </w:r>
      <w:r>
        <w:rPr/>
        <w:t>ing natural impact</w:t>
      </w:r>
      <w:r w:rsidR="005A69C4">
        <w:rPr/>
        <w:t xml:space="preserve"> (</w:t>
      </w:r>
      <w:bookmarkStart w:name="_Int_uGYQ4zMv" w:id="903433629"/>
      <w:r w:rsidR="005A69C4">
        <w:rPr>
          <w:shd w:val="clear" w:color="auto" w:fill="FFFFFF"/>
        </w:rPr>
        <w:t>Rossignoli</w:t>
      </w:r>
      <w:bookmarkEnd w:id="903433629"/>
      <w:r w:rsidR="005A69C4">
        <w:rPr>
          <w:shd w:val="clear" w:color="auto" w:fill="FFFFFF"/>
        </w:rPr>
        <w:t xml:space="preserve"> and </w:t>
      </w:r>
      <w:bookmarkStart w:name="_Int_GOuwDljS" w:id="436449258"/>
      <w:r w:rsidR="005A69C4">
        <w:rPr>
          <w:shd w:val="clear" w:color="auto" w:fill="FFFFFF"/>
        </w:rPr>
        <w:t>Lionzo</w:t>
      </w:r>
      <w:bookmarkEnd w:id="436449258"/>
      <w:r w:rsidR="005A69C4">
        <w:rPr>
          <w:shd w:val="clear" w:color="auto" w:fill="FFFFFF"/>
        </w:rPr>
        <w:t>, 2018)</w:t>
      </w:r>
      <w:r>
        <w:rPr/>
        <w:t>. By tackling the synergies among different divisions, offices can free unused possibilities for fee approach while reduc</w:t>
      </w:r>
      <w:r w:rsidR="00870590">
        <w:rPr/>
        <w:t>ing reliance on limited assets.</w:t>
      </w:r>
    </w:p>
    <w:p xmlns:wp14="http://schemas.microsoft.com/office/word/2010/wordml" w:rsidR="0000586F" w:rsidP="0000586F" w:rsidRDefault="000C282A" w14:paraId="229DCB6A" wp14:textId="77777777">
      <w:r>
        <w:t>Corporate Social Responsibility (CSR) has evolved from a philanthropic add-on to a basic element of commercial enterprise strategy, including a company's commitment to working ethically, responsibly, and sustainably</w:t>
      </w:r>
      <w:r w:rsidR="005A69C4">
        <w:t xml:space="preserve"> (</w:t>
      </w:r>
      <w:r w:rsidR="005A69C4">
        <w:rPr>
          <w:shd w:val="clear" w:color="auto" w:fill="FFFFFF"/>
        </w:rPr>
        <w:t>Riano and Yakovleva, 2019)</w:t>
      </w:r>
      <w:r>
        <w:t xml:space="preserve">. In current years, the concept of CSR has been duplicated to include environmental issues, social equity, and financial viability, reflecting a broader knowledge of corporate citizenship and stakeholder engagement. Inside this framework, the circular </w:t>
      </w:r>
      <w:r w:rsidR="00B65104">
        <w:t xml:space="preserve">economy </w:t>
      </w:r>
      <w:r>
        <w:t>system emerges as a powerful tool for advancing sustainability dreams and aligning commercial enterprise practices with societal and natural wishes. At its essence, CSR seeks to stabilise income technology with social and environmental st</w:t>
      </w:r>
      <w:r w:rsidR="00506BAA">
        <w:t>ewardship, spotting that organis</w:t>
      </w:r>
      <w:r>
        <w:t>ations must make contributions certainly to the bunches and situations in which they function</w:t>
      </w:r>
      <w:r w:rsidR="005A69C4">
        <w:t xml:space="preserve"> (</w:t>
      </w:r>
      <w:r w:rsidR="005A69C4">
        <w:rPr>
          <w:shd w:val="clear" w:color="auto" w:fill="FFFFFF"/>
        </w:rPr>
        <w:t>Rathore, 2017)</w:t>
      </w:r>
      <w:r>
        <w:t>. The circular economic system aligns seamlessly with this ethos by promoting resource performance, waste discount, and sustainable innovation, thereby mitigating environmental impact and improving societal well-being. By integrating circular economic system thoughts into their CSR techniques, agencies can address urgent international demanding situations together with climate alternate, help depletion, and pollution while developing long-term costs for stakeholders.</w:t>
      </w:r>
    </w:p>
    <w:p xmlns:wp14="http://schemas.microsoft.com/office/word/2010/wordml" w:rsidR="00935B65" w:rsidP="0000586F" w:rsidRDefault="000C282A" w14:paraId="55D7A65A" wp14:textId="77777777">
      <w:r>
        <w:rPr/>
        <w:t>One manner wherein the round financial framework converges with CSR is through environmental sustainability</w:t>
      </w:r>
      <w:r w:rsidR="005A69C4">
        <w:rPr/>
        <w:t xml:space="preserve"> (</w:t>
      </w:r>
      <w:r w:rsidR="005A69C4">
        <w:rPr>
          <w:shd w:val="clear" w:color="auto" w:fill="FFFFFF"/>
        </w:rPr>
        <w:t>Atz et al., 2023)</w:t>
      </w:r>
      <w:r>
        <w:rPr/>
        <w:t xml:space="preserve">. By adopting a circular </w:t>
      </w:r>
      <w:r w:rsidR="00B65104">
        <w:rPr/>
        <w:t xml:space="preserve">economy </w:t>
      </w:r>
      <w:r w:rsidR="00506BAA">
        <w:rPr/>
        <w:t>hones the side of waste minimis</w:t>
      </w:r>
      <w:r>
        <w:rPr/>
        <w:t>ation, recycling, and renewable strength adoption, companies can reduce their ecological footprint and relieve environmental damage. For instance, implementing closed-loop systems that reuse and reuse materials not only moderates</w:t>
      </w:r>
      <w:r w:rsidR="00506BAA">
        <w:rPr/>
        <w:t xml:space="preserve"> natural assets but also minimis</w:t>
      </w:r>
      <w:r>
        <w:rPr/>
        <w:t>es contamination and squandering era, contributing to a more benefic</w:t>
      </w:r>
      <w:r w:rsidR="00506BAA">
        <w:rPr/>
        <w:t>ial planet and air. By prioritis</w:t>
      </w:r>
      <w:r>
        <w:rPr/>
        <w:t xml:space="preserve">ing environmental sustainability inside their CSR frameworks, groups show their commitment to responsible stewardship of natural resources and ecosystems. Moreover, the circular economy cultivates social obligation </w:t>
      </w:r>
      <w:r>
        <w:rPr/>
        <w:t xml:space="preserve">by offering inclusivity, decency, and community engagement. By grasping standards of useful asset sharing, collaborative intake, and reasonable </w:t>
      </w:r>
      <w:r>
        <w:rPr/>
        <w:t xml:space="preserve">hard work</w:t>
      </w:r>
      <w:r>
        <w:rPr/>
        <w:t xml:space="preserve"> hones, bunches can create shared charges for employees, providers, and neighbourhood groups. For illustration, adopting circular </w:t>
      </w:r>
      <w:r w:rsidR="00B65104">
        <w:rPr/>
        <w:t xml:space="preserve">economy </w:t>
      </w:r>
      <w:r w:rsidR="00506BAA">
        <w:rPr/>
        <w:t>styles that prioritis</w:t>
      </w:r>
      <w:r>
        <w:rPr/>
        <w:t xml:space="preserve">e item sturdiness and </w:t>
      </w:r>
      <w:r w:rsidR="00870590">
        <w:rPr/>
        <w:t>reparability</w:t>
      </w:r>
      <w:r>
        <w:rPr/>
        <w:t xml:space="preserve"> can make employment possibilities in </w:t>
      </w:r>
      <w:r w:rsidR="00870590">
        <w:rPr/>
        <w:t>re-establish</w:t>
      </w:r>
      <w:r>
        <w:rPr/>
        <w:t xml:space="preserve">ing and </w:t>
      </w:r>
      <w:r>
        <w:rPr/>
        <w:t>maintaining</w:t>
      </w:r>
      <w:r>
        <w:rPr/>
        <w:t xml:space="preserve"> services, contributing to economic improvement and social concord</w:t>
      </w:r>
      <w:r w:rsidR="00B65104">
        <w:rPr/>
        <w:t xml:space="preserve"> (</w:t>
      </w:r>
      <w:bookmarkStart w:name="_Int_jdv4vDh9" w:id="2138506893"/>
      <w:r w:rsidR="00B65104">
        <w:rPr>
          <w:shd w:val="clear" w:color="auto" w:fill="FFFFFF"/>
        </w:rPr>
        <w:t>Lizarralde</w:t>
      </w:r>
      <w:bookmarkEnd w:id="2138506893"/>
      <w:r w:rsidR="00B65104">
        <w:rPr>
          <w:shd w:val="clear" w:color="auto" w:fill="FFFFFF"/>
        </w:rPr>
        <w:t xml:space="preserve"> and Tyl, 2018)</w:t>
      </w:r>
      <w:r>
        <w:rPr/>
        <w:t xml:space="preserve">. Also, appealing to </w:t>
      </w:r>
      <w:r w:rsidR="00870590">
        <w:rPr/>
        <w:t>neighbourhood</w:t>
      </w:r>
      <w:r>
        <w:rPr/>
        <w:t xml:space="preserve"> communities to repurpose waste materials or guide round initiatives can cultivate social capital and community resilience, strengthening the enterpri</w:t>
      </w:r>
      <w:r w:rsidR="00870590">
        <w:rPr/>
        <w:t>se's social license to perform.</w:t>
      </w:r>
    </w:p>
    <w:p xmlns:wp14="http://schemas.microsoft.com/office/word/2010/wordml" w:rsidR="0000586F" w:rsidP="0000586F" w:rsidRDefault="000C282A" w14:paraId="5FA4C18E" wp14:textId="77777777">
      <w:r>
        <w:rPr/>
        <w:t>Marriott International, a le</w:t>
      </w:r>
      <w:r w:rsidR="00506BAA">
        <w:rPr/>
        <w:t>ading global hospitality organis</w:t>
      </w:r>
      <w:r>
        <w:rPr/>
        <w:t>ation, has mounted a comprehensive Corporate Social Responsibility (CSR) approach aimed at addressing environmental, social, and monetary troubles inside its operations and delivery chain</w:t>
      </w:r>
      <w:r w:rsidR="00B0369A">
        <w:rPr/>
        <w:t xml:space="preserve"> (</w:t>
      </w:r>
      <w:bookmarkStart w:name="_Int_H194n9Xr" w:id="1563500369"/>
      <w:r w:rsidR="00B0369A">
        <w:rPr>
          <w:shd w:val="clear" w:color="auto" w:fill="FFFFFF"/>
        </w:rPr>
        <w:t>Sucheran</w:t>
      </w:r>
      <w:bookmarkEnd w:id="1563500369"/>
      <w:r w:rsidR="00B0369A">
        <w:rPr>
          <w:shd w:val="clear" w:color="auto" w:fill="FFFFFF"/>
        </w:rPr>
        <w:t>, 2016)</w:t>
      </w:r>
      <w:r>
        <w:rPr/>
        <w:t>. A vital examination of Marriott's CSR coverage reveals a sturdy dedication to sustainability, which includes ventures that adjust with concepts of th</w:t>
      </w:r>
      <w:r w:rsidR="00935B65">
        <w:rPr/>
        <w:t xml:space="preserve">e circular </w:t>
      </w:r>
      <w:r w:rsidR="00B65104">
        <w:rPr/>
        <w:t xml:space="preserve">economy </w:t>
      </w:r>
      <w:r w:rsidR="00935B65">
        <w:rPr/>
        <w:t xml:space="preserve">framework. </w:t>
      </w:r>
      <w:r>
        <w:rPr/>
        <w:t>Marriott's CSR policy includes several key areas, such as environmental sustainability, network engagement, and moral</w:t>
      </w:r>
      <w:r w:rsidR="00506BAA">
        <w:rPr/>
        <w:t xml:space="preserve"> business practices. The organis</w:t>
      </w:r>
      <w:r>
        <w:rPr/>
        <w:t>ation's natural ventures recognise</w:t>
      </w:r>
      <w:r w:rsidR="00506BAA">
        <w:rPr/>
        <w:t xml:space="preserve"> reducing power and water utilisation, minimis</w:t>
      </w:r>
      <w:r>
        <w:rPr/>
        <w:t xml:space="preserve">ing waste technology, and promoting sustainable sourcing practices. For example, Marriott has set formidable </w:t>
      </w:r>
      <w:r>
        <w:rPr/>
        <w:t>objectives</w:t>
      </w:r>
      <w:r>
        <w:rPr/>
        <w:t xml:space="preserve"> to lessen carbon emissions, water usage, and squandering sent to landfills all through its international portfolio</w:t>
      </w:r>
      <w:r w:rsidR="00B65104">
        <w:rPr/>
        <w:t xml:space="preserve"> </w:t>
      </w:r>
      <w:r w:rsidR="00506BAA">
        <w:rPr/>
        <w:t>(</w:t>
      </w:r>
      <w:r w:rsidR="00506BAA">
        <w:rPr>
          <w:shd w:val="clear" w:color="auto" w:fill="FFFFFF"/>
        </w:rPr>
        <w:t xml:space="preserve">Green and </w:t>
      </w:r>
      <w:r w:rsidR="00B65104">
        <w:rPr>
          <w:shd w:val="clear" w:color="auto" w:fill="FFFFFF"/>
        </w:rPr>
        <w:t>Fazi 2022)</w:t>
      </w:r>
      <w:r>
        <w:rPr/>
        <w:t>. These goals mirror a dedication to helping performance and waste reduction, imperative components of the circular economic system.</w:t>
      </w:r>
    </w:p>
    <w:p xmlns:wp14="http://schemas.microsoft.com/office/word/2010/wordml" w:rsidR="00935B65" w:rsidP="00935B65" w:rsidRDefault="000C282A" w14:paraId="6978F068" wp14:textId="77777777">
      <w:r>
        <w:rPr/>
        <w:t xml:space="preserve">In evaluating Marriott's CSR coverage through the focal point of the circular </w:t>
      </w:r>
      <w:r w:rsidR="00B65104">
        <w:rPr/>
        <w:t xml:space="preserve">economy </w:t>
      </w:r>
      <w:r>
        <w:rPr/>
        <w:t xml:space="preserve">system, it</w:t>
      </w:r>
      <w:r>
        <w:rPr/>
        <w:t xml:space="preserve"> is prominent that the manager has made </w:t>
      </w:r>
      <w:r>
        <w:rPr/>
        <w:t xml:space="preserve">substantial</w:t>
      </w:r>
      <w:r>
        <w:rPr/>
        <w:t xml:space="preserve"> strides in integrating circular </w:t>
      </w:r>
      <w:r w:rsidR="00B65104">
        <w:rPr/>
        <w:t xml:space="preserve">economy </w:t>
      </w:r>
      <w:r>
        <w:rPr/>
        <w:t>into its operations. Marriott's dedication to waste discount is especially noteworthy, with init</w:t>
      </w:r>
      <w:r w:rsidR="00506BAA">
        <w:rPr/>
        <w:t>iatives along with waste minimis</w:t>
      </w:r>
      <w:r>
        <w:rPr/>
        <w:t>ation, reusing, and composting applications applied over its homes</w:t>
      </w:r>
      <w:r w:rsidR="00B65104">
        <w:rPr/>
        <w:t xml:space="preserve"> (</w:t>
      </w:r>
      <w:bookmarkStart w:name="_Int_ht1ii0f0" w:id="1920924938"/>
      <w:r w:rsidR="00B65104">
        <w:rPr>
          <w:shd w:val="clear" w:color="auto" w:fill="FFFFFF"/>
        </w:rPr>
        <w:t>Verbin</w:t>
      </w:r>
      <w:bookmarkEnd w:id="1920924938"/>
      <w:r w:rsidR="00B65104">
        <w:rPr>
          <w:shd w:val="clear" w:color="auto" w:fill="FFFFFF"/>
        </w:rPr>
        <w:t>, 2020)</w:t>
      </w:r>
      <w:r>
        <w:rPr/>
        <w:t xml:space="preserve">. By diverting waste from landfills and promoting recycling and reuse, Marriott contributes to the circular </w:t>
      </w:r>
      <w:r w:rsidR="00B65104">
        <w:rPr/>
        <w:t xml:space="preserve">economy </w:t>
      </w:r>
      <w:r>
        <w:rPr/>
        <w:t xml:space="preserve">going with the stream of substances within the financial system, lessening environmental effects and conserving assets</w:t>
      </w:r>
      <w:r>
        <w:rPr/>
        <w:t xml:space="preserve">.  </w:t>
      </w:r>
      <w:r>
        <w:rPr/>
        <w:t xml:space="preserve">Furthermore, Marriott's maintainable sourcing practices align </w:t>
      </w:r>
      <w:r>
        <w:rPr/>
        <w:t xml:space="preserve">with circular </w:t>
      </w:r>
      <w:r w:rsidR="00B65104">
        <w:rPr/>
        <w:t xml:space="preserve">economy </w:t>
      </w:r>
      <w:r w:rsidR="00506BAA">
        <w:rPr/>
        <w:t>system standards by prioritis</w:t>
      </w:r>
      <w:r>
        <w:rPr/>
        <w:t xml:space="preserve">ing suppliers who </w:t>
      </w:r>
      <w:r>
        <w:rPr/>
        <w:t xml:space="preserve">demonstrate</w:t>
      </w:r>
      <w:r>
        <w:rPr/>
        <w:t xml:space="preserve"> a commitment to natural stewardship and social duty. The association collaborates with companions to source economical substances, lessen packaging waste, and back neighbourhood groups. By integrating sustainability criteria into its procurement techniques, Marriott fosters a circular delivery chain ecosystem where resources are sourced, used, and </w:t>
      </w:r>
      <w:r w:rsidR="00870590">
        <w:rPr/>
        <w:t xml:space="preserve">reused in </w:t>
      </w:r>
      <w:r w:rsidR="00B65104">
        <w:rPr/>
        <w:t>an</w:t>
      </w:r>
      <w:r w:rsidR="00870590">
        <w:rPr/>
        <w:t xml:space="preserve"> accountable manner.</w:t>
      </w:r>
    </w:p>
    <w:p xmlns:wp14="http://schemas.microsoft.com/office/word/2010/wordml" w:rsidR="00935B65" w:rsidP="00935B65" w:rsidRDefault="000C282A" w14:paraId="4088B50A" wp14:textId="77777777">
      <w:r>
        <w:t>In the pursuit of sustainability and environmental duty, various businesses inside the hospitality enterprise have emerged as pioneers in embodying circular economy standards</w:t>
      </w:r>
      <w:r w:rsidR="00176B92">
        <w:t xml:space="preserve"> (</w:t>
      </w:r>
      <w:r w:rsidRPr="00176B92" w:rsidR="00176B92">
        <w:t>Legrand, Ch</w:t>
      </w:r>
      <w:r w:rsidR="00176B92">
        <w:t>en and Laeis, 2022)</w:t>
      </w:r>
      <w:r>
        <w:t xml:space="preserve">. These companies have confirmed a commitment to help efficiency, waste reduction, and imaginative trade styles that make a commitment to the circular </w:t>
      </w:r>
      <w:r w:rsidR="00B65104">
        <w:t xml:space="preserve">economy </w:t>
      </w:r>
      <w:r>
        <w:t>of materials and resources. Examining enterprise examples past Hilton affords insight into the numerous approaches and strategies hired using bunches to upgrade circularity inside their operations.</w:t>
      </w:r>
    </w:p>
    <w:p xmlns:wp14="http://schemas.microsoft.com/office/word/2010/wordml" w:rsidRPr="00935B65" w:rsidR="00935B65" w:rsidP="00935B65" w:rsidRDefault="000C282A" w14:paraId="50792CBC" wp14:textId="77777777">
      <w:pPr>
        <w:rPr>
          <w:b/>
        </w:rPr>
      </w:pPr>
      <w:r w:rsidRPr="00935B65">
        <w:rPr>
          <w:b/>
        </w:rPr>
        <w:t>1. Accor</w:t>
      </w:r>
    </w:p>
    <w:p xmlns:wp14="http://schemas.microsoft.com/office/word/2010/wordml" w:rsidR="00870590" w:rsidP="00935B65" w:rsidRDefault="000C282A" w14:paraId="7FFE45FD" wp14:textId="77777777">
      <w:r>
        <w:t>Accor, a leading worldwide hospitality institution, has mounted itself as a trailblazer in joining circular economic system thoughts into its operations</w:t>
      </w:r>
      <w:r w:rsidR="00176B92">
        <w:t xml:space="preserve"> (</w:t>
      </w:r>
      <w:r w:rsidR="00176B92">
        <w:rPr>
          <w:shd w:val="clear" w:color="auto" w:fill="FFFFFF"/>
        </w:rPr>
        <w:t>Alkhateeb, 2017)</w:t>
      </w:r>
      <w:r>
        <w:t>. The business enterprise's Planet 21 sustainability software encompasses differe</w:t>
      </w:r>
      <w:r w:rsidR="00506BAA">
        <w:t>nt ventures aimed toward minimis</w:t>
      </w:r>
      <w:r>
        <w:t>ing natural effects and promoting economical practices throughout its international portfolio of resorts. Accor has set bold goals to reduce strength and water intake, carbon outflows, and squander innovation, reflecting its commitment to help efficiency and circularity. One extremely good initiative using Accor is its dedication to removing single-use plastics from its homes and replacing them with sustainable alternatives. Through this initiative, Accor ambitions to reduce plastic squander and marine poisons while advancing the usage of biodegradable and compostable substances</w:t>
      </w:r>
      <w:r w:rsidRPr="00176B92" w:rsidR="00176B92">
        <w:rPr>
          <w:shd w:val="clear" w:color="auto" w:fill="FFFFFF"/>
        </w:rPr>
        <w:t xml:space="preserve"> </w:t>
      </w:r>
      <w:r w:rsidR="00176B92">
        <w:rPr>
          <w:shd w:val="clear" w:color="auto" w:fill="FFFFFF"/>
        </w:rPr>
        <w:t>(Rodríguez-Antón and Alonso-Almeida, 2019)</w:t>
      </w:r>
      <w:r>
        <w:t xml:space="preserve">. Furthermore, Accor has carried out squander control programs that concentrate on recycling, composting, and waste-to-power solutions, diverting waste from landfills and promoting a circular </w:t>
      </w:r>
      <w:r w:rsidR="00B65104">
        <w:t xml:space="preserve">economy </w:t>
      </w:r>
      <w:r>
        <w:t>to waste management.</w:t>
      </w:r>
    </w:p>
    <w:p xmlns:wp14="http://schemas.microsoft.com/office/word/2010/wordml" w:rsidRPr="00935B65" w:rsidR="00935B65" w:rsidP="00935B65" w:rsidRDefault="000C282A" w14:paraId="4D3F1B86" wp14:textId="77777777">
      <w:pPr>
        <w:rPr>
          <w:b/>
        </w:rPr>
      </w:pPr>
      <w:r w:rsidRPr="00935B65">
        <w:rPr>
          <w:b/>
        </w:rPr>
        <w:t>2. Marriott International</w:t>
      </w:r>
    </w:p>
    <w:p xmlns:wp14="http://schemas.microsoft.com/office/word/2010/wordml" w:rsidR="00935B65" w:rsidP="00935B65" w:rsidRDefault="000C282A" w14:paraId="0D63F671" wp14:textId="77777777">
      <w:r>
        <w:rPr/>
        <w:t xml:space="preserve">Marriott International, another global hospitality giant, has made gigantic strides in incorporating circular </w:t>
      </w:r>
      <w:r w:rsidR="00B65104">
        <w:rPr/>
        <w:t xml:space="preserve">economy </w:t>
      </w:r>
      <w:r>
        <w:rPr/>
        <w:t>system concepts into its Corporate Social Responsibility (CSR) coverage</w:t>
      </w:r>
      <w:r w:rsidR="00176B92">
        <w:rPr/>
        <w:t xml:space="preserve"> (</w:t>
      </w:r>
      <w:r w:rsidR="00176B92">
        <w:rPr>
          <w:shd w:val="clear" w:color="auto" w:fill="FFFFFF"/>
        </w:rPr>
        <w:t>Ferrell, Thorne and Ferrell, 2020)</w:t>
      </w:r>
      <w:r w:rsidR="00506BAA">
        <w:rPr/>
        <w:t>. The organis</w:t>
      </w:r>
      <w:r>
        <w:rPr/>
        <w:t>ation's sustainability platform encompasses more than some ventures targeted at natural stewardship, community engagement, and ethical commerce hones. Marriott has set bold goals to decrease carbon emissions, water intake, and waste generation across its worldwide operations, reflecting its dedication to sustainability and circularity. Marriott's squander markdown ventures incor</w:t>
      </w:r>
      <w:r w:rsidR="00506BAA">
        <w:rPr/>
        <w:t>porate programs aimed at minimis</w:t>
      </w:r>
      <w:r>
        <w:rPr/>
        <w:t>ing nourishment squandering, reusing materials, and promoting circular supply chains</w:t>
      </w:r>
      <w:r w:rsidR="00176B92">
        <w:rPr/>
        <w:t xml:space="preserve"> (</w:t>
      </w:r>
      <w:r w:rsidR="00176B92">
        <w:rPr>
          <w:shd w:val="clear" w:color="auto" w:fill="FFFFFF"/>
        </w:rPr>
        <w:t>Broughman and Wansley, 2023)</w:t>
      </w:r>
      <w:r>
        <w:rPr/>
        <w:t xml:space="preserve">. For instance, Marriott residences worldwide take portion in meal donation applications, composting ventures, and recycling campaigns to lessen squandering sent to landfills. </w:t>
      </w:r>
    </w:p>
    <w:p w:rsidR="173ED406" w:rsidRDefault="173ED406" w14:paraId="5D5F9550" w14:textId="080B9B27"/>
    <w:p xmlns:wp14="http://schemas.microsoft.com/office/word/2010/wordml" w:rsidRPr="00870590" w:rsidR="00870590" w:rsidP="00703FFC" w:rsidRDefault="000C282A" w14:paraId="49058ED0" wp14:textId="77777777">
      <w:r w:rsidRPr="00870590">
        <w:t xml:space="preserve">In </w:t>
      </w:r>
      <w:r w:rsidR="00176B92">
        <w:t>conclusion</w:t>
      </w:r>
      <w:r w:rsidRPr="00870590">
        <w:t>, Marriott International's integration of sustainability concepts, in particular inside the framework of circular economy hones, underscores the significant benefits such forms offer in the motel industry. Through tasks like waste reduction, energy efficiency, and sustainable sourcing, Marriott exemplifies how embracing sustainability can yield tangible environmental, social, and economic benefits. Marriott's commitment to waste reduct</w:t>
      </w:r>
      <w:r w:rsidR="00506BAA">
        <w:t>ion not only effectively minimis</w:t>
      </w:r>
      <w:r w:rsidRPr="00870590">
        <w:t xml:space="preserve">es environmental effects but also contributes to price savings and operational execution. By implementing recycling applications, composting tasks, and energy-saving measures, Marriott diminishes waste </w:t>
      </w:r>
      <w:r w:rsidR="00506BAA">
        <w:t>sent to landfills whilst optimis</w:t>
      </w:r>
      <w:r w:rsidRPr="00870590">
        <w:t>ing aid usage.</w:t>
      </w:r>
      <w:r>
        <w:t xml:space="preserve"> </w:t>
      </w:r>
      <w:r w:rsidRPr="00870590">
        <w:t>Marriott's emphasis on sustainable sourcing fosters resilience inside its supply chain whilst assisting local communities and selling ethical exertions hones. By partner</w:t>
      </w:r>
      <w:r w:rsidR="00506BAA">
        <w:t>ing with providers who prioritis</w:t>
      </w:r>
      <w:r w:rsidRPr="00870590">
        <w:t>e environmental stewardship and social obligation, Marriott ensures the integrity and sustainability of its operations at the same time as creating shared charge for stakeholders.</w:t>
      </w:r>
      <w:r>
        <w:t xml:space="preserve"> </w:t>
      </w:r>
      <w:r w:rsidRPr="00870590">
        <w:t xml:space="preserve">Overall, Marriott's determination toward sustainability highlights the transformative capability of such hones in the hotel industry. By grasping circular economic system ideas, Marriott is now not most effective enhances its environmental performance however moreover </w:t>
      </w:r>
      <w:r w:rsidRPr="00870590">
        <w:t>strengthens its competitive position, fosters stakeholder trust, and contributes to the nicely-being of bunches and ecosystems. In</w:t>
      </w:r>
      <w:r w:rsidR="00506BAA">
        <w:t xml:space="preserve"> essence, sustainability catalys</w:t>
      </w:r>
      <w:r w:rsidRPr="00870590">
        <w:t>es innovation, resilience, and long-term accomplishment inside the lod</w:t>
      </w:r>
      <w:r w:rsidR="00506BAA">
        <w:t>ge industry, positioning organis</w:t>
      </w:r>
      <w:r w:rsidRPr="00870590">
        <w:t xml:space="preserve">ations like Marriott as pioneers in responsible commercial endeavour hones. </w:t>
      </w:r>
    </w:p>
    <w:p xmlns:wp14="http://schemas.microsoft.com/office/word/2010/wordml" w:rsidR="00870590" w:rsidP="00870590" w:rsidRDefault="000C282A" w14:paraId="60061E4C" wp14:textId="77777777">
      <w:r>
        <w:br w:type="page"/>
      </w:r>
    </w:p>
    <w:p xmlns:wp14="http://schemas.microsoft.com/office/word/2010/wordml" w:rsidR="000F44A2" w:rsidP="00870590" w:rsidRDefault="000C282A" w14:paraId="071E4E01" wp14:textId="77777777">
      <w:pPr>
        <w:pStyle w:val="Heading1"/>
      </w:pPr>
      <w:bookmarkStart w:name="_Toc159434060" w:id="4"/>
      <w:r>
        <w:t>References</w:t>
      </w:r>
      <w:bookmarkEnd w:id="4"/>
    </w:p>
    <w:p xmlns:wp14="http://schemas.microsoft.com/office/word/2010/wordml" w:rsidRPr="00176B92" w:rsidR="00176B92" w:rsidP="00176B92" w:rsidRDefault="000C282A" w14:paraId="4B07FD5D" wp14:textId="77777777">
      <w:pPr>
        <w:rPr>
          <w:shd w:val="clear" w:color="auto" w:fill="FFFFFF"/>
        </w:rPr>
      </w:pPr>
      <w:r w:rsidRPr="00176B92">
        <w:rPr>
          <w:shd w:val="clear" w:color="auto" w:fill="FFFFFF"/>
        </w:rPr>
        <w:t>Aaker, D.A. and Moorman, C., (2023). </w:t>
      </w:r>
      <w:r w:rsidRPr="00176B92">
        <w:rPr>
          <w:i/>
          <w:iCs/>
          <w:shd w:val="clear" w:color="auto" w:fill="FFFFFF"/>
        </w:rPr>
        <w:t>Strategic market management</w:t>
      </w:r>
      <w:r w:rsidRPr="00176B92">
        <w:rPr>
          <w:shd w:val="clear" w:color="auto" w:fill="FFFFFF"/>
        </w:rPr>
        <w:t>. John Wiley &amp; Sons.</w:t>
      </w:r>
    </w:p>
    <w:p xmlns:wp14="http://schemas.microsoft.com/office/word/2010/wordml" w:rsidRPr="00176B92" w:rsidR="00176B92" w:rsidP="00176B92" w:rsidRDefault="000C282A" w14:paraId="42BC5EB5" wp14:textId="77777777">
      <w:pPr>
        <w:rPr>
          <w:shd w:val="clear" w:color="auto" w:fill="FFFFFF"/>
        </w:rPr>
      </w:pPr>
      <w:r w:rsidRPr="00176B92">
        <w:rPr>
          <w:shd w:val="clear" w:color="auto" w:fill="FFFFFF"/>
        </w:rPr>
        <w:t>Alkhateeb, F., (2017). Lost Islamic history: reclaiming Muslim civilisation from the past. Oxford University Press.</w:t>
      </w:r>
    </w:p>
    <w:p xmlns:wp14="http://schemas.microsoft.com/office/word/2010/wordml" w:rsidRPr="00176B92" w:rsidR="00176B92" w:rsidP="00176B92" w:rsidRDefault="000C282A" w14:paraId="159CA3B7" wp14:textId="77777777">
      <w:pPr>
        <w:rPr>
          <w:shd w:val="clear" w:color="auto" w:fill="FFFFFF"/>
        </w:rPr>
      </w:pPr>
      <w:r w:rsidRPr="00176B92">
        <w:rPr>
          <w:shd w:val="clear" w:color="auto" w:fill="FFFFFF"/>
        </w:rPr>
        <w:t>Atz, U., Van Holt, T., Liu, Z.Z. and Bruno, C.C., (2023). Does sustainability generate better financial performance? review, meta-analysis, and propositions. </w:t>
      </w:r>
      <w:r w:rsidRPr="00176B92">
        <w:rPr>
          <w:i/>
          <w:iCs/>
          <w:shd w:val="clear" w:color="auto" w:fill="FFFFFF"/>
        </w:rPr>
        <w:t>Journal of Sustainable Finance &amp; Investment</w:t>
      </w:r>
      <w:r w:rsidRPr="00176B92">
        <w:rPr>
          <w:shd w:val="clear" w:color="auto" w:fill="FFFFFF"/>
        </w:rPr>
        <w:t>, </w:t>
      </w:r>
      <w:r w:rsidRPr="00176B92">
        <w:rPr>
          <w:i/>
          <w:iCs/>
          <w:shd w:val="clear" w:color="auto" w:fill="FFFFFF"/>
        </w:rPr>
        <w:t>13</w:t>
      </w:r>
      <w:r w:rsidRPr="00176B92">
        <w:rPr>
          <w:shd w:val="clear" w:color="auto" w:fill="FFFFFF"/>
        </w:rPr>
        <w:t>(1), pp.802-825.</w:t>
      </w:r>
    </w:p>
    <w:p xmlns:wp14="http://schemas.microsoft.com/office/word/2010/wordml" w:rsidRPr="00176B92" w:rsidR="00176B92" w:rsidP="00176B92" w:rsidRDefault="000C282A" w14:paraId="63AFDC5F" wp14:textId="77777777">
      <w:pPr>
        <w:rPr>
          <w:shd w:val="clear" w:color="auto" w:fill="FFFFFF"/>
        </w:rPr>
      </w:pPr>
      <w:r w:rsidRPr="00176B92">
        <w:rPr>
          <w:shd w:val="clear" w:color="auto" w:fill="FFFFFF"/>
        </w:rPr>
        <w:t>Broughman, B.J. and Wansley, M.T., (2023). Risk-Seeking Governance. </w:t>
      </w:r>
      <w:r w:rsidRPr="00176B92">
        <w:rPr>
          <w:i/>
          <w:iCs/>
          <w:shd w:val="clear" w:color="auto" w:fill="FFFFFF"/>
        </w:rPr>
        <w:t>Vand. L. Rev.</w:t>
      </w:r>
      <w:r w:rsidRPr="00176B92">
        <w:rPr>
          <w:shd w:val="clear" w:color="auto" w:fill="FFFFFF"/>
        </w:rPr>
        <w:t>, </w:t>
      </w:r>
      <w:r w:rsidRPr="00176B92">
        <w:rPr>
          <w:i/>
          <w:iCs/>
          <w:shd w:val="clear" w:color="auto" w:fill="FFFFFF"/>
        </w:rPr>
        <w:t>76</w:t>
      </w:r>
      <w:r w:rsidRPr="00176B92">
        <w:rPr>
          <w:shd w:val="clear" w:color="auto" w:fill="FFFFFF"/>
        </w:rPr>
        <w:t>, p.1299.</w:t>
      </w:r>
    </w:p>
    <w:p xmlns:wp14="http://schemas.microsoft.com/office/word/2010/wordml" w:rsidRPr="00176B92" w:rsidR="00176B92" w:rsidP="00176B92" w:rsidRDefault="000C282A" w14:paraId="7C2F3CC2" wp14:textId="77777777">
      <w:pPr>
        <w:rPr>
          <w:shd w:val="clear" w:color="auto" w:fill="FFFFFF"/>
        </w:rPr>
      </w:pPr>
      <w:r w:rsidRPr="00176B92">
        <w:rPr>
          <w:shd w:val="clear" w:color="auto" w:fill="FFFFFF"/>
        </w:rPr>
        <w:t>Ferrell, O.C., Thorne, D.M. and Ferrell, L., (2020). </w:t>
      </w:r>
      <w:r w:rsidRPr="00176B92">
        <w:rPr>
          <w:i/>
          <w:shd w:val="clear" w:color="auto" w:fill="FFFFFF"/>
        </w:rPr>
        <w:t>Business &amp; society: A strategic approach to social responsibility &amp; ethics</w:t>
      </w:r>
      <w:r w:rsidRPr="00176B92">
        <w:rPr>
          <w:shd w:val="clear" w:color="auto" w:fill="FFFFFF"/>
        </w:rPr>
        <w:t>. SAGE Publications.</w:t>
      </w:r>
    </w:p>
    <w:p xmlns:wp14="http://schemas.microsoft.com/office/word/2010/wordml" w:rsidRPr="00176B92" w:rsidR="00176B92" w:rsidP="00176B92" w:rsidRDefault="000C282A" w14:paraId="0C2ABF63" wp14:textId="77777777">
      <w:pPr>
        <w:rPr>
          <w:shd w:val="clear" w:color="auto" w:fill="FFFFFF"/>
        </w:rPr>
      </w:pPr>
      <w:r w:rsidRPr="00176B92">
        <w:rPr>
          <w:shd w:val="clear" w:color="auto" w:fill="FFFFFF"/>
        </w:rPr>
        <w:t>Gardetti, M.A. and Torres, A.L. eds., (2017). </w:t>
      </w:r>
      <w:r w:rsidRPr="00176B92">
        <w:rPr>
          <w:i/>
          <w:shd w:val="clear" w:color="auto" w:fill="FFFFFF"/>
        </w:rPr>
        <w:t>Sustainability in Hospitality: How innovative hotels are transforming the industry</w:t>
      </w:r>
      <w:r w:rsidRPr="00176B92">
        <w:rPr>
          <w:shd w:val="clear" w:color="auto" w:fill="FFFFFF"/>
        </w:rPr>
        <w:t>. Routledge.</w:t>
      </w:r>
    </w:p>
    <w:p xmlns:wp14="http://schemas.microsoft.com/office/word/2010/wordml" w:rsidRPr="00176B92" w:rsidR="00176B92" w:rsidP="00176B92" w:rsidRDefault="000C282A" w14:paraId="1395C682" wp14:textId="77777777">
      <w:pPr>
        <w:rPr>
          <w:shd w:val="clear" w:color="auto" w:fill="FFFFFF"/>
        </w:rPr>
      </w:pPr>
      <w:r w:rsidRPr="00176B92">
        <w:rPr>
          <w:shd w:val="clear" w:color="auto" w:fill="FFFFFF"/>
        </w:rPr>
        <w:t>Green, T. and Fazi, T., (2022). The left’s Covid failure.</w:t>
      </w:r>
    </w:p>
    <w:p xmlns:wp14="http://schemas.microsoft.com/office/word/2010/wordml" w:rsidRPr="00176B92" w:rsidR="00176B92" w:rsidP="00176B92" w:rsidRDefault="000C282A" w14:paraId="2D7D36F3" wp14:textId="77777777">
      <w:pPr>
        <w:rPr>
          <w:shd w:val="clear" w:color="auto" w:fill="FFFFFF"/>
        </w:rPr>
      </w:pPr>
      <w:r w:rsidRPr="00176B92">
        <w:rPr>
          <w:shd w:val="clear" w:color="auto" w:fill="FFFFFF"/>
        </w:rPr>
        <w:t>Legrand, W., Chen, J.S. and Laeis, G.C., (2022). </w:t>
      </w:r>
      <w:r w:rsidRPr="00176B92">
        <w:rPr>
          <w:i/>
          <w:shd w:val="clear" w:color="auto" w:fill="FFFFFF"/>
        </w:rPr>
        <w:t xml:space="preserve">Sustainability in the hospitality industry: Principles of sustainable operations. </w:t>
      </w:r>
      <w:r w:rsidRPr="00176B92">
        <w:rPr>
          <w:shd w:val="clear" w:color="auto" w:fill="FFFFFF"/>
        </w:rPr>
        <w:t>Taylor &amp; Francis.</w:t>
      </w:r>
    </w:p>
    <w:p xmlns:wp14="http://schemas.microsoft.com/office/word/2010/wordml" w:rsidRPr="00176B92" w:rsidR="00176B92" w:rsidP="00176B92" w:rsidRDefault="000C282A" w14:paraId="748D8450" wp14:textId="77777777">
      <w:pPr>
        <w:rPr>
          <w:shd w:val="clear" w:color="auto" w:fill="FFFFFF"/>
        </w:rPr>
      </w:pPr>
      <w:r w:rsidRPr="00176B92">
        <w:rPr>
          <w:shd w:val="clear" w:color="auto" w:fill="FFFFFF"/>
        </w:rPr>
        <w:t>Lewandowski, M., (2016). Designing the business models for circular economy—Towards the conceptual framework. </w:t>
      </w:r>
      <w:r w:rsidRPr="00176B92">
        <w:rPr>
          <w:i/>
          <w:iCs/>
          <w:shd w:val="clear" w:color="auto" w:fill="FFFFFF"/>
        </w:rPr>
        <w:t>Sustainability</w:t>
      </w:r>
      <w:r w:rsidRPr="00176B92">
        <w:rPr>
          <w:shd w:val="clear" w:color="auto" w:fill="FFFFFF"/>
        </w:rPr>
        <w:t>, </w:t>
      </w:r>
      <w:r w:rsidRPr="00176B92">
        <w:rPr>
          <w:i/>
          <w:iCs/>
          <w:shd w:val="clear" w:color="auto" w:fill="FFFFFF"/>
        </w:rPr>
        <w:t>8</w:t>
      </w:r>
      <w:r w:rsidRPr="00176B92">
        <w:rPr>
          <w:shd w:val="clear" w:color="auto" w:fill="FFFFFF"/>
        </w:rPr>
        <w:t>(1), p.43.</w:t>
      </w:r>
    </w:p>
    <w:p xmlns:wp14="http://schemas.microsoft.com/office/word/2010/wordml" w:rsidRPr="00176B92" w:rsidR="00176B92" w:rsidP="00176B92" w:rsidRDefault="000C282A" w14:paraId="4CFE7E9C" wp14:textId="77777777">
      <w:pPr>
        <w:rPr>
          <w:shd w:val="clear" w:color="auto" w:fill="FFFFFF"/>
        </w:rPr>
      </w:pPr>
      <w:r w:rsidRPr="00176B92">
        <w:rPr>
          <w:shd w:val="clear" w:color="auto" w:fill="FFFFFF"/>
        </w:rPr>
        <w:t>Lizarralde, I. and Tyl, B., (2018). A framework for the integration of the conviviality concept in the design process. </w:t>
      </w:r>
      <w:r w:rsidRPr="00176B92">
        <w:rPr>
          <w:i/>
          <w:iCs/>
          <w:shd w:val="clear" w:color="auto" w:fill="FFFFFF"/>
        </w:rPr>
        <w:t>Journal of Cleaner Production</w:t>
      </w:r>
      <w:r w:rsidRPr="00176B92">
        <w:rPr>
          <w:shd w:val="clear" w:color="auto" w:fill="FFFFFF"/>
        </w:rPr>
        <w:t>, </w:t>
      </w:r>
      <w:r w:rsidRPr="00176B92">
        <w:rPr>
          <w:i/>
          <w:iCs/>
          <w:shd w:val="clear" w:color="auto" w:fill="FFFFFF"/>
        </w:rPr>
        <w:t>197</w:t>
      </w:r>
      <w:r w:rsidRPr="00176B92">
        <w:rPr>
          <w:shd w:val="clear" w:color="auto" w:fill="FFFFFF"/>
        </w:rPr>
        <w:t>, pp.1766-1777.</w:t>
      </w:r>
    </w:p>
    <w:p xmlns:wp14="http://schemas.microsoft.com/office/word/2010/wordml" w:rsidRPr="00176B92" w:rsidR="00176B92" w:rsidP="00176B92" w:rsidRDefault="000C282A" w14:paraId="2DEE465D" wp14:textId="77777777">
      <w:pPr>
        <w:rPr>
          <w:shd w:val="clear" w:color="auto" w:fill="FFFFFF"/>
        </w:rPr>
      </w:pPr>
      <w:r w:rsidRPr="00176B92">
        <w:rPr>
          <w:shd w:val="clear" w:color="auto" w:fill="FFFFFF"/>
        </w:rPr>
        <w:t>Mubarik, M.S., Khan, S.A., Kusi-Sarpong, S., Brown, S. and Zaman, S.I., (2023). </w:t>
      </w:r>
      <w:r w:rsidRPr="00176B92">
        <w:rPr>
          <w:i/>
          <w:iCs/>
          <w:shd w:val="clear" w:color="auto" w:fill="FFFFFF"/>
        </w:rPr>
        <w:t>Supply Chain Mapping, Sustainability, and Industry 4.0</w:t>
      </w:r>
      <w:r w:rsidRPr="00176B92">
        <w:rPr>
          <w:shd w:val="clear" w:color="auto" w:fill="FFFFFF"/>
        </w:rPr>
        <w:t>. Taylor &amp; Fr</w:t>
      </w:r>
    </w:p>
    <w:p xmlns:wp14="http://schemas.microsoft.com/office/word/2010/wordml" w:rsidRPr="00176B92" w:rsidR="00176B92" w:rsidP="00176B92" w:rsidRDefault="000C282A" w14:paraId="218A3F06" wp14:textId="77777777">
      <w:pPr>
        <w:rPr>
          <w:shd w:val="clear" w:color="auto" w:fill="FFFFFF"/>
        </w:rPr>
      </w:pPr>
      <w:r w:rsidRPr="00176B92">
        <w:rPr>
          <w:shd w:val="clear" w:color="auto" w:fill="FFFFFF"/>
        </w:rPr>
        <w:t>Pinedo, I., (2021). </w:t>
      </w:r>
      <w:r w:rsidRPr="00176B92">
        <w:rPr>
          <w:i/>
          <w:shd w:val="clear" w:color="auto" w:fill="FFFFFF"/>
        </w:rPr>
        <w:t>Difficult women on television Drama: The gender politics of complex women in serial narratives</w:t>
      </w:r>
      <w:r w:rsidRPr="00176B92">
        <w:rPr>
          <w:shd w:val="clear" w:color="auto" w:fill="FFFFFF"/>
        </w:rPr>
        <w:t>. Routledge.</w:t>
      </w:r>
    </w:p>
    <w:p xmlns:wp14="http://schemas.microsoft.com/office/word/2010/wordml" w:rsidRPr="00176B92" w:rsidR="00176B92" w:rsidP="00176B92" w:rsidRDefault="000C282A" w14:paraId="1E774D97" wp14:textId="77777777">
      <w:pPr>
        <w:rPr>
          <w:shd w:val="clear" w:color="auto" w:fill="FFFFFF"/>
        </w:rPr>
      </w:pPr>
      <w:r w:rsidRPr="00176B92">
        <w:rPr>
          <w:shd w:val="clear" w:color="auto" w:fill="FFFFFF"/>
        </w:rPr>
        <w:t>Rathore, B., (2017) . Sustainable fashion marketing: AI-powered solutions for effective promotions. </w:t>
      </w:r>
      <w:r w:rsidRPr="00176B92">
        <w:rPr>
          <w:i/>
          <w:iCs/>
          <w:shd w:val="clear" w:color="auto" w:fill="FFFFFF"/>
        </w:rPr>
        <w:t>International Journal of New Media Studies: International Peer Reviewed Scholarly Indexed Journal</w:t>
      </w:r>
      <w:r w:rsidRPr="00176B92">
        <w:rPr>
          <w:shd w:val="clear" w:color="auto" w:fill="FFFFFF"/>
        </w:rPr>
        <w:t>, </w:t>
      </w:r>
      <w:r w:rsidRPr="00176B92">
        <w:rPr>
          <w:i/>
          <w:iCs/>
          <w:shd w:val="clear" w:color="auto" w:fill="FFFFFF"/>
        </w:rPr>
        <w:t>4</w:t>
      </w:r>
      <w:r w:rsidRPr="00176B92">
        <w:rPr>
          <w:shd w:val="clear" w:color="auto" w:fill="FFFFFF"/>
        </w:rPr>
        <w:t>(2), pp.70-80.</w:t>
      </w:r>
    </w:p>
    <w:p xmlns:wp14="http://schemas.microsoft.com/office/word/2010/wordml" w:rsidRPr="00176B92" w:rsidR="00176B92" w:rsidP="00176B92" w:rsidRDefault="000C282A" w14:paraId="09A49F98" wp14:textId="77777777">
      <w:pPr>
        <w:rPr>
          <w:shd w:val="clear" w:color="auto" w:fill="FFFFFF"/>
        </w:rPr>
      </w:pPr>
      <w:r w:rsidRPr="00176B92">
        <w:rPr>
          <w:shd w:val="clear" w:color="auto" w:fill="FFFFFF"/>
        </w:rPr>
        <w:t>Riano, J.D. and Yakovleva, N., (2019). Corporate social responsibility. </w:t>
      </w:r>
      <w:r w:rsidRPr="00176B92">
        <w:rPr>
          <w:i/>
          <w:iCs/>
          <w:shd w:val="clear" w:color="auto" w:fill="FFFFFF"/>
        </w:rPr>
        <w:t>Responsible Consumption and Production</w:t>
      </w:r>
      <w:r w:rsidRPr="00176B92">
        <w:rPr>
          <w:shd w:val="clear" w:color="auto" w:fill="FFFFFF"/>
        </w:rPr>
        <w:t>.</w:t>
      </w:r>
    </w:p>
    <w:p xmlns:wp14="http://schemas.microsoft.com/office/word/2010/wordml" w:rsidRPr="00176B92" w:rsidR="00176B92" w:rsidP="00176B92" w:rsidRDefault="000C282A" w14:paraId="19C4BD80" wp14:textId="77777777">
      <w:pPr>
        <w:rPr>
          <w:shd w:val="clear" w:color="auto" w:fill="FFFFFF"/>
        </w:rPr>
      </w:pPr>
      <w:r w:rsidRPr="00176B92">
        <w:rPr>
          <w:shd w:val="clear" w:color="auto" w:fill="FFFFFF"/>
        </w:rPr>
        <w:t>Rodríguez-Antón, J.M. and Alonso-Almeida, M.D.M., (2019). The circular economy strategy in hospitality: A multicase approach. </w:t>
      </w:r>
      <w:r w:rsidRPr="00176B92">
        <w:rPr>
          <w:i/>
          <w:iCs/>
          <w:shd w:val="clear" w:color="auto" w:fill="FFFFFF"/>
        </w:rPr>
        <w:t>Sustainability</w:t>
      </w:r>
      <w:r w:rsidRPr="00176B92">
        <w:rPr>
          <w:shd w:val="clear" w:color="auto" w:fill="FFFFFF"/>
        </w:rPr>
        <w:t>, </w:t>
      </w:r>
      <w:r w:rsidRPr="00176B92">
        <w:rPr>
          <w:i/>
          <w:iCs/>
          <w:shd w:val="clear" w:color="auto" w:fill="FFFFFF"/>
        </w:rPr>
        <w:t>11</w:t>
      </w:r>
      <w:r w:rsidRPr="00176B92">
        <w:rPr>
          <w:shd w:val="clear" w:color="auto" w:fill="FFFFFF"/>
        </w:rPr>
        <w:t>(20), p.5665.</w:t>
      </w:r>
    </w:p>
    <w:p xmlns:wp14="http://schemas.microsoft.com/office/word/2010/wordml" w:rsidR="00176B92" w:rsidP="00176B92" w:rsidRDefault="000C282A" w14:paraId="1AA14573" wp14:textId="77777777">
      <w:pPr>
        <w:rPr>
          <w:shd w:val="clear" w:color="auto" w:fill="FFFFFF"/>
        </w:rPr>
      </w:pPr>
      <w:r w:rsidRPr="00176B92">
        <w:rPr>
          <w:shd w:val="clear" w:color="auto" w:fill="FFFFFF"/>
        </w:rPr>
        <w:t>Rossignoli, F. and Lionzo, A., (2018). Network impact on business models for sustainability: Case study in the energy sector. </w:t>
      </w:r>
      <w:r w:rsidRPr="00176B92">
        <w:rPr>
          <w:i/>
          <w:iCs/>
          <w:shd w:val="clear" w:color="auto" w:fill="FFFFFF"/>
        </w:rPr>
        <w:t>Journal of cleaner production</w:t>
      </w:r>
      <w:r w:rsidRPr="00176B92">
        <w:rPr>
          <w:shd w:val="clear" w:color="auto" w:fill="FFFFFF"/>
        </w:rPr>
        <w:t>, </w:t>
      </w:r>
      <w:r w:rsidRPr="00176B92">
        <w:rPr>
          <w:i/>
          <w:iCs/>
          <w:shd w:val="clear" w:color="auto" w:fill="FFFFFF"/>
        </w:rPr>
        <w:t>182</w:t>
      </w:r>
      <w:r w:rsidRPr="00176B92">
        <w:rPr>
          <w:shd w:val="clear" w:color="auto" w:fill="FFFFFF"/>
        </w:rPr>
        <w:t>, pp.694-704.</w:t>
      </w:r>
    </w:p>
    <w:p xmlns:wp14="http://schemas.microsoft.com/office/word/2010/wordml" w:rsidRPr="00176B92" w:rsidR="00B0369A" w:rsidP="00B0369A" w:rsidRDefault="00B0369A" w14:paraId="1AB5B7FC" wp14:textId="77777777">
      <w:pPr>
        <w:rPr>
          <w:shd w:val="clear" w:color="auto" w:fill="FFFFFF"/>
        </w:rPr>
      </w:pPr>
      <w:r>
        <w:rPr>
          <w:shd w:val="clear" w:color="auto" w:fill="FFFFFF"/>
        </w:rPr>
        <w:t>Sucheran, R., (2016). Corporate Social Responsibility (CSR) in the hotel and lodge sector in KwaZulu-Natal, South Africa. </w:t>
      </w:r>
      <w:r>
        <w:rPr>
          <w:i/>
          <w:iCs/>
          <w:shd w:val="clear" w:color="auto" w:fill="FFFFFF"/>
        </w:rPr>
        <w:t>African journal of hospitality, tourism and leisure</w:t>
      </w:r>
      <w:r>
        <w:rPr>
          <w:shd w:val="clear" w:color="auto" w:fill="FFFFFF"/>
        </w:rPr>
        <w:t>.</w:t>
      </w:r>
    </w:p>
    <w:p xmlns:wp14="http://schemas.microsoft.com/office/word/2010/wordml" w:rsidRPr="00176B92" w:rsidR="00176B92" w:rsidP="00176B92" w:rsidRDefault="000C282A" w14:paraId="0B2A3667" wp14:textId="77777777">
      <w:pPr>
        <w:rPr>
          <w:i/>
          <w:shd w:val="clear" w:color="auto" w:fill="FFFFFF"/>
        </w:rPr>
      </w:pPr>
      <w:r w:rsidRPr="00176B92">
        <w:rPr>
          <w:shd w:val="clear" w:color="auto" w:fill="FFFFFF"/>
        </w:rPr>
        <w:t>Stahel, W.R., (2019). </w:t>
      </w:r>
      <w:r w:rsidRPr="00176B92">
        <w:rPr>
          <w:i/>
          <w:shd w:val="clear" w:color="auto" w:fill="FFFFFF"/>
        </w:rPr>
        <w:t>The circular economy: A user's guide. Routledge.</w:t>
      </w:r>
    </w:p>
    <w:p xmlns:wp14="http://schemas.microsoft.com/office/word/2010/wordml" w:rsidRPr="00176B92" w:rsidR="00176B92" w:rsidP="00176B92" w:rsidRDefault="000C282A" w14:paraId="7E35F04A" wp14:textId="77777777">
      <w:pPr>
        <w:rPr>
          <w:shd w:val="clear" w:color="auto" w:fill="FFFFFF"/>
        </w:rPr>
      </w:pPr>
      <w:r w:rsidRPr="00176B92">
        <w:rPr>
          <w:shd w:val="clear" w:color="auto" w:fill="FFFFFF"/>
        </w:rPr>
        <w:t>Verbin, I., (2020). Corporate responsibility in the digital age. Routledge.</w:t>
      </w:r>
    </w:p>
    <w:p xmlns:wp14="http://schemas.microsoft.com/office/word/2010/wordml" w:rsidRPr="00176B92" w:rsidR="00176B92" w:rsidP="00176B92" w:rsidRDefault="000C282A" w14:paraId="0E678B1E" wp14:textId="77777777">
      <w:pPr>
        <w:rPr>
          <w:shd w:val="clear" w:color="auto" w:fill="FFFFFF"/>
        </w:rPr>
      </w:pPr>
      <w:r w:rsidRPr="00176B92">
        <w:rPr>
          <w:shd w:val="clear" w:color="auto" w:fill="FFFFFF"/>
        </w:rPr>
        <w:t>Yu, Y., Li, X. and Jai, T.M., (2017). The impact of green experience on customer satisfaction: Evidence from TripAdvisor. </w:t>
      </w:r>
      <w:r w:rsidRPr="00176B92">
        <w:rPr>
          <w:i/>
          <w:iCs/>
          <w:shd w:val="clear" w:color="auto" w:fill="FFFFFF"/>
        </w:rPr>
        <w:t>International Journal of Contemporary Hospitality Management</w:t>
      </w:r>
      <w:r w:rsidRPr="00176B92">
        <w:rPr>
          <w:shd w:val="clear" w:color="auto" w:fill="FFFFFF"/>
        </w:rPr>
        <w:t>, </w:t>
      </w:r>
      <w:r w:rsidRPr="00176B92">
        <w:rPr>
          <w:i/>
          <w:iCs/>
          <w:shd w:val="clear" w:color="auto" w:fill="FFFFFF"/>
        </w:rPr>
        <w:t>29</w:t>
      </w:r>
      <w:r w:rsidRPr="00176B92">
        <w:rPr>
          <w:shd w:val="clear" w:color="auto" w:fill="FFFFFF"/>
        </w:rPr>
        <w:t>(5), pp.1340-1361.ancis.</w:t>
      </w:r>
      <w:bookmarkEnd w:id="0"/>
    </w:p>
    <w:sectPr w:rsidRPr="00176B92" w:rsidR="00176B92" w:rsidSect="00C06594">
      <w:headerReference w:type="even" r:id="rId9"/>
      <w:headerReference w:type="default" r:id="rId10"/>
      <w:footerReference w:type="even" r:id="rId11"/>
      <w:footerReference w:type="default" r:id="rId12"/>
      <w:headerReference w:type="first" r:id="rId13"/>
      <w:footerReference w:type="first" r:id="rId14"/>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cid="http://schemas.microsoft.com/office/word/2016/wordml/cid" xmlns:w16="http://schemas.microsoft.com/office/word/2018/wordml" xmlns:w16cex="http://schemas.microsoft.com/office/word/2018/wordml/cex" xmlns:w16sdtdh="http://schemas.microsoft.com/office/word/2020/wordml/sdtdatahash" mc:Ignorable="w14 w15 w16se wp14 w16cid w16 w16cex w16sdtdh">
  <w:endnote w:type="separator" w:id="-1">
    <w:p xmlns:wp14="http://schemas.microsoft.com/office/word/2010/wordml" w:rsidR="00C40159" w:rsidRDefault="00C40159" w14:paraId="4B94D5A5" wp14:textId="77777777">
      <w:pPr>
        <w:spacing w:after="0" w:line="240" w:lineRule="auto"/>
      </w:pPr>
      <w:r>
        <w:separator/>
      </w:r>
    </w:p>
  </w:endnote>
  <w:endnote w:type="continuationSeparator" w:id="0">
    <w:p xmlns:wp14="http://schemas.microsoft.com/office/word/2010/wordml" w:rsidR="00C40159" w:rsidRDefault="00C40159" w14:paraId="3DEEC669"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p14="http://schemas.microsoft.com/office/word/2010/wordprocessingDrawing" xmlns:w16cid="http://schemas.microsoft.com/office/word/2016/wordml/cid" xmlns:w16="http://schemas.microsoft.com/office/word/2018/wordml" xmlns:w16cex="http://schemas.microsoft.com/office/word/2018/wordml/cex" xmlns:w16sdtdh="http://schemas.microsoft.com/office/word/2020/wordml/sdtdatahash" mc:Ignorable="w14 w15 w16se wp14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cid="http://schemas.microsoft.com/office/word/2016/wordml/cid" xmlns:w16="http://schemas.microsoft.com/office/word/2018/wordml" xmlns:w16cex="http://schemas.microsoft.com/office/word/2018/wordml/cex" xmlns:w16sdtdh="http://schemas.microsoft.com/office/word/2020/wordml/sdtdatahash" mc:Ignorable="w14 w15 w16se wp14 w16cid w16 w16cex w16sdtdh">
  <w:p xmlns:wp14="http://schemas.microsoft.com/office/word/2010/wordml" w:rsidR="004D261F" w:rsidRDefault="004D261F" w14:paraId="53128261" wp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cid="http://schemas.microsoft.com/office/word/2016/wordml/cid" xmlns:w16="http://schemas.microsoft.com/office/word/2018/wordml" xmlns:w16cex="http://schemas.microsoft.com/office/word/2018/wordml/cex" xmlns:w16sdtdh="http://schemas.microsoft.com/office/word/2020/wordml/sdtdatahash" mc:Ignorable="w14 w15 w16se wp14 w16cid w16 w16cex w16sdtdh">
  <w:sdt>
    <w:sdtPr>
      <w:id w:val="348220881"/>
      <w:docPartObj>
        <w:docPartGallery w:val="Page Numbers (Bottom of Page)"/>
        <w:docPartUnique/>
      </w:docPartObj>
    </w:sdtPr>
    <w:sdtEndPr/>
    <w:sdtContent>
      <w:p xmlns:wp14="http://schemas.microsoft.com/office/word/2010/wordml" w:rsidR="00116487" w:rsidRDefault="000C282A" w14:paraId="3D3D22A9" wp14:textId="77777777">
        <w:pPr>
          <w:pStyle w:val="Footer"/>
          <w:jc w:val="right"/>
        </w:pPr>
        <w:r>
          <w:fldChar w:fldCharType="begin"/>
        </w:r>
        <w:r>
          <w:instrText xml:space="preserve"> PAGE   \* MERGEFORMAT </w:instrText>
        </w:r>
        <w:r>
          <w:fldChar w:fldCharType="separate"/>
        </w:r>
        <w:r w:rsidR="004D261F">
          <w:rPr>
            <w:noProof/>
          </w:rPr>
          <w:t>1</w:t>
        </w:r>
        <w:r>
          <w:rPr>
            <w:noProof/>
          </w:rPr>
          <w:fldChar w:fldCharType="end"/>
        </w:r>
      </w:p>
    </w:sdtContent>
  </w:sdt>
  <w:p xmlns:wp14="http://schemas.microsoft.com/office/word/2010/wordml" w:rsidR="00116487" w:rsidRDefault="00116487" w14:paraId="3656B9AB" wp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cid="http://schemas.microsoft.com/office/word/2016/wordml/cid" xmlns:w16="http://schemas.microsoft.com/office/word/2018/wordml" xmlns:w16cex="http://schemas.microsoft.com/office/word/2018/wordml/cex" xmlns:w16sdtdh="http://schemas.microsoft.com/office/word/2020/wordml/sdtdatahash" mc:Ignorable="w14 w15 w16se wp14 w16cid w16 w16cex w16sdtdh">
  <w:p xmlns:wp14="http://schemas.microsoft.com/office/word/2010/wordml" w:rsidR="004D261F" w:rsidRDefault="004D261F" w14:paraId="4B99056E" wp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cid="http://schemas.microsoft.com/office/word/2016/wordml/cid" xmlns:w16="http://schemas.microsoft.com/office/word/2018/wordml" xmlns:w16cex="http://schemas.microsoft.com/office/word/2018/wordml/cex" xmlns:w16sdtdh="http://schemas.microsoft.com/office/word/2020/wordml/sdtdatahash" mc:Ignorable="w14 w15 w16se wp14 w16cid w16 w16cex w16sdtdh">
  <w:footnote w:type="separator" w:id="-1">
    <w:p xmlns:wp14="http://schemas.microsoft.com/office/word/2010/wordml" w:rsidR="00C40159" w:rsidRDefault="00C40159" w14:paraId="45FB0818" wp14:textId="77777777">
      <w:pPr>
        <w:spacing w:after="0" w:line="240" w:lineRule="auto"/>
      </w:pPr>
      <w:r>
        <w:separator/>
      </w:r>
    </w:p>
  </w:footnote>
  <w:footnote w:type="continuationSeparator" w:id="0">
    <w:p xmlns:wp14="http://schemas.microsoft.com/office/word/2010/wordml" w:rsidR="00C40159" w:rsidRDefault="00C40159" w14:paraId="049F31CB"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cid="http://schemas.microsoft.com/office/word/2016/wordml/cid" xmlns:w16="http://schemas.microsoft.com/office/word/2018/wordml" xmlns:w16cex="http://schemas.microsoft.com/office/word/2018/wordml/cex" xmlns:w16sdtdh="http://schemas.microsoft.com/office/word/2020/wordml/sdtdatahash" mc:Ignorable="w14 w15 w16se wp14 w16cid w16 w16cex w16sdtdh">
  <w:p xmlns:wp14="http://schemas.microsoft.com/office/word/2010/wordml" w:rsidR="004D261F" w:rsidRDefault="004D261F" w14:paraId="4101652C" wp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cid="http://schemas.microsoft.com/office/word/2016/wordml/cid" xmlns:w16="http://schemas.microsoft.com/office/word/2018/wordml" xmlns:w16cex="http://schemas.microsoft.com/office/word/2018/wordml/cex" xmlns:w16sdtdh="http://schemas.microsoft.com/office/word/2020/wordml/sdtdatahash" mc:Ignorable="w14 w15 w16se wp14 w16cid w16 w16cex w16sdtdh">
  <w:p xmlns:wp14="http://schemas.microsoft.com/office/word/2010/wordml" w:rsidR="004D261F" w:rsidRDefault="004D261F" w14:paraId="62486C05" wp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cid="http://schemas.microsoft.com/office/word/2016/wordml/cid" xmlns:w16="http://schemas.microsoft.com/office/word/2018/wordml" xmlns:w16cex="http://schemas.microsoft.com/office/word/2018/wordml/cex" xmlns:w16sdtdh="http://schemas.microsoft.com/office/word/2020/wordml/sdtdatahash" mc:Ignorable="w14 w15 w16se wp14 w16cid w16 w16cex w16sdtdh">
  <w:p xmlns:wp14="http://schemas.microsoft.com/office/word/2010/wordml" w:rsidR="004D261F" w:rsidRDefault="004D261F" w14:paraId="44EAFD9C" wp14:textId="77777777">
    <w:pPr>
      <w:pStyle w:val="Header"/>
    </w:pPr>
  </w:p>
</w:hdr>
</file>

<file path=word/intelligence2.xml><?xml version="1.0" encoding="utf-8"?>
<int2:intelligence xmlns:int2="http://schemas.microsoft.com/office/intelligence/2020/intelligence">
  <int2:observations>
    <int2:bookmark int2:bookmarkName="_Int_qOwHAStK" int2:invalidationBookmarkName="" int2:hashCode="E0Y1vZTzPjMA4u" int2:id="VrYDmDSq">
      <int2:state int2:type="AugLoop_Text_Critique" int2:value="Rejected"/>
    </int2:bookmark>
    <int2:bookmark int2:bookmarkName="_Int_TvZeI4B1" int2:invalidationBookmarkName="" int2:hashCode="sKCn471W/rCgqk" int2:id="Tnipggvh">
      <int2:state int2:type="AugLoop_Text_Critique" int2:value="Rejected"/>
    </int2:bookmark>
    <int2:bookmark int2:bookmarkName="_Int_uGYQ4zMv" int2:invalidationBookmarkName="" int2:hashCode="0P0yeOleFHBZCH" int2:id="C4RPZ5Ke">
      <int2:state int2:type="AugLoop_Text_Critique" int2:value="Rejected"/>
    </int2:bookmark>
    <int2:bookmark int2:bookmarkName="_Int_ht1ii0f0" int2:invalidationBookmarkName="" int2:hashCode="XmTZTSPR4sHLZi" int2:id="6pA5eh7C">
      <int2:state int2:type="AugLoop_Text_Critique" int2:value="Rejected"/>
    </int2:bookmark>
    <int2:bookmark int2:bookmarkName="_Int_H194n9Xr" int2:invalidationBookmarkName="" int2:hashCode="JejdazCyy2EvgT" int2:id="qJhO6wk1">
      <int2:state int2:type="AugLoop_Text_Critique" int2:value="Rejected"/>
    </int2:bookmark>
    <int2:bookmark int2:bookmarkName="_Int_jdv4vDh9" int2:invalidationBookmarkName="" int2:hashCode="aieAfoKn3OuMfa" int2:id="o4qgtrjE">
      <int2:state int2:type="AugLoop_Text_Critique" int2:value="Rejected"/>
    </int2:bookmark>
    <int2:bookmark int2:bookmarkName="_Int_GOuwDljS" int2:invalidationBookmarkName="" int2:hashCode="RFz/cbFgJbXIJw" int2:id="LcJgJcaT">
      <int2:state int2:type="AugLoop_Text_Critique" int2:value="Rejected"/>
    </int2:bookmark>
    <int2:bookmark int2:bookmarkName="_Int_BtYHifvt" int2:invalidationBookmarkName="" int2:hashCode="sAx3rw4KpDHX9l" int2:id="vPJtVDRz">
      <int2:state int2:type="AugLoop_Text_Critique" int2:value="Rejected"/>
    </int2:bookmark>
    <int2:bookmark int2:bookmarkName="_Int_fYGMkjF1" int2:invalidationBookmarkName="" int2:hashCode="JEC54m93QbjjwR" int2:id="EiL7enov">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E2577"/>
    <w:multiLevelType w:val="hybridMultilevel"/>
    <w:tmpl w:val="F48A09A2"/>
    <w:lvl w:ilvl="0" w:tplc="08D41EF0">
      <w:start w:val="1"/>
      <w:numFmt w:val="decimal"/>
      <w:lvlText w:val="%1."/>
      <w:lvlJc w:val="left"/>
      <w:pPr>
        <w:ind w:left="720" w:hanging="360"/>
      </w:pPr>
    </w:lvl>
    <w:lvl w:ilvl="1" w:tplc="625A7428" w:tentative="1">
      <w:start w:val="1"/>
      <w:numFmt w:val="lowerLetter"/>
      <w:lvlText w:val="%2."/>
      <w:lvlJc w:val="left"/>
      <w:pPr>
        <w:ind w:left="1440" w:hanging="360"/>
      </w:pPr>
    </w:lvl>
    <w:lvl w:ilvl="2" w:tplc="C466FFCE" w:tentative="1">
      <w:start w:val="1"/>
      <w:numFmt w:val="lowerRoman"/>
      <w:lvlText w:val="%3."/>
      <w:lvlJc w:val="right"/>
      <w:pPr>
        <w:ind w:left="2160" w:hanging="180"/>
      </w:pPr>
    </w:lvl>
    <w:lvl w:ilvl="3" w:tplc="055CE42A" w:tentative="1">
      <w:start w:val="1"/>
      <w:numFmt w:val="decimal"/>
      <w:lvlText w:val="%4."/>
      <w:lvlJc w:val="left"/>
      <w:pPr>
        <w:ind w:left="2880" w:hanging="360"/>
      </w:pPr>
    </w:lvl>
    <w:lvl w:ilvl="4" w:tplc="E0081CB6" w:tentative="1">
      <w:start w:val="1"/>
      <w:numFmt w:val="lowerLetter"/>
      <w:lvlText w:val="%5."/>
      <w:lvlJc w:val="left"/>
      <w:pPr>
        <w:ind w:left="3600" w:hanging="360"/>
      </w:pPr>
    </w:lvl>
    <w:lvl w:ilvl="5" w:tplc="E3EA077C" w:tentative="1">
      <w:start w:val="1"/>
      <w:numFmt w:val="lowerRoman"/>
      <w:lvlText w:val="%6."/>
      <w:lvlJc w:val="right"/>
      <w:pPr>
        <w:ind w:left="4320" w:hanging="180"/>
      </w:pPr>
    </w:lvl>
    <w:lvl w:ilvl="6" w:tplc="6046DD60" w:tentative="1">
      <w:start w:val="1"/>
      <w:numFmt w:val="decimal"/>
      <w:lvlText w:val="%7."/>
      <w:lvlJc w:val="left"/>
      <w:pPr>
        <w:ind w:left="5040" w:hanging="360"/>
      </w:pPr>
    </w:lvl>
    <w:lvl w:ilvl="7" w:tplc="336E4FE8" w:tentative="1">
      <w:start w:val="1"/>
      <w:numFmt w:val="lowerLetter"/>
      <w:lvlText w:val="%8."/>
      <w:lvlJc w:val="left"/>
      <w:pPr>
        <w:ind w:left="5760" w:hanging="360"/>
      </w:pPr>
    </w:lvl>
    <w:lvl w:ilvl="8" w:tplc="DD1AAFA6" w:tentative="1">
      <w:start w:val="1"/>
      <w:numFmt w:val="lowerRoman"/>
      <w:lvlText w:val="%9."/>
      <w:lvlJc w:val="right"/>
      <w:pPr>
        <w:ind w:left="6480" w:hanging="180"/>
      </w:pPr>
    </w:lvl>
  </w:abstractNum>
  <w:abstractNum w:abstractNumId="1" w15:restartNumberingAfterBreak="0">
    <w:nsid w:val="0A021753"/>
    <w:multiLevelType w:val="hybridMultilevel"/>
    <w:tmpl w:val="0DDCF1A8"/>
    <w:lvl w:ilvl="0" w:tplc="C444F99A">
      <w:start w:val="1"/>
      <w:numFmt w:val="decimal"/>
      <w:lvlText w:val="%1."/>
      <w:lvlJc w:val="left"/>
      <w:pPr>
        <w:ind w:left="720" w:hanging="360"/>
      </w:pPr>
    </w:lvl>
    <w:lvl w:ilvl="1" w:tplc="52E0D936" w:tentative="1">
      <w:start w:val="1"/>
      <w:numFmt w:val="lowerLetter"/>
      <w:lvlText w:val="%2."/>
      <w:lvlJc w:val="left"/>
      <w:pPr>
        <w:ind w:left="1440" w:hanging="360"/>
      </w:pPr>
    </w:lvl>
    <w:lvl w:ilvl="2" w:tplc="A65C9F08" w:tentative="1">
      <w:start w:val="1"/>
      <w:numFmt w:val="lowerRoman"/>
      <w:lvlText w:val="%3."/>
      <w:lvlJc w:val="right"/>
      <w:pPr>
        <w:ind w:left="2160" w:hanging="180"/>
      </w:pPr>
    </w:lvl>
    <w:lvl w:ilvl="3" w:tplc="6FCEA3AA" w:tentative="1">
      <w:start w:val="1"/>
      <w:numFmt w:val="decimal"/>
      <w:lvlText w:val="%4."/>
      <w:lvlJc w:val="left"/>
      <w:pPr>
        <w:ind w:left="2880" w:hanging="360"/>
      </w:pPr>
    </w:lvl>
    <w:lvl w:ilvl="4" w:tplc="1D1650CE" w:tentative="1">
      <w:start w:val="1"/>
      <w:numFmt w:val="lowerLetter"/>
      <w:lvlText w:val="%5."/>
      <w:lvlJc w:val="left"/>
      <w:pPr>
        <w:ind w:left="3600" w:hanging="360"/>
      </w:pPr>
    </w:lvl>
    <w:lvl w:ilvl="5" w:tplc="879A9544" w:tentative="1">
      <w:start w:val="1"/>
      <w:numFmt w:val="lowerRoman"/>
      <w:lvlText w:val="%6."/>
      <w:lvlJc w:val="right"/>
      <w:pPr>
        <w:ind w:left="4320" w:hanging="180"/>
      </w:pPr>
    </w:lvl>
    <w:lvl w:ilvl="6" w:tplc="BD608CDE" w:tentative="1">
      <w:start w:val="1"/>
      <w:numFmt w:val="decimal"/>
      <w:lvlText w:val="%7."/>
      <w:lvlJc w:val="left"/>
      <w:pPr>
        <w:ind w:left="5040" w:hanging="360"/>
      </w:pPr>
    </w:lvl>
    <w:lvl w:ilvl="7" w:tplc="88DCE9FA" w:tentative="1">
      <w:start w:val="1"/>
      <w:numFmt w:val="lowerLetter"/>
      <w:lvlText w:val="%8."/>
      <w:lvlJc w:val="left"/>
      <w:pPr>
        <w:ind w:left="5760" w:hanging="360"/>
      </w:pPr>
    </w:lvl>
    <w:lvl w:ilvl="8" w:tplc="DD2C9852" w:tentative="1">
      <w:start w:val="1"/>
      <w:numFmt w:val="lowerRoman"/>
      <w:lvlText w:val="%9."/>
      <w:lvlJc w:val="right"/>
      <w:pPr>
        <w:ind w:left="6480" w:hanging="180"/>
      </w:pPr>
    </w:lvl>
  </w:abstractNum>
  <w:abstractNum w:abstractNumId="2" w15:restartNumberingAfterBreak="0">
    <w:nsid w:val="25FE303F"/>
    <w:multiLevelType w:val="hybridMultilevel"/>
    <w:tmpl w:val="4A54EC82"/>
    <w:lvl w:ilvl="0" w:tplc="E742545E">
      <w:start w:val="1"/>
      <w:numFmt w:val="decimal"/>
      <w:lvlText w:val="%1."/>
      <w:lvlJc w:val="left"/>
      <w:pPr>
        <w:ind w:left="720" w:hanging="360"/>
      </w:pPr>
    </w:lvl>
    <w:lvl w:ilvl="1" w:tplc="063A3D40" w:tentative="1">
      <w:start w:val="1"/>
      <w:numFmt w:val="lowerLetter"/>
      <w:lvlText w:val="%2."/>
      <w:lvlJc w:val="left"/>
      <w:pPr>
        <w:ind w:left="1440" w:hanging="360"/>
      </w:pPr>
    </w:lvl>
    <w:lvl w:ilvl="2" w:tplc="2148305C" w:tentative="1">
      <w:start w:val="1"/>
      <w:numFmt w:val="lowerRoman"/>
      <w:lvlText w:val="%3."/>
      <w:lvlJc w:val="right"/>
      <w:pPr>
        <w:ind w:left="2160" w:hanging="180"/>
      </w:pPr>
    </w:lvl>
    <w:lvl w:ilvl="3" w:tplc="A5E60A62" w:tentative="1">
      <w:start w:val="1"/>
      <w:numFmt w:val="decimal"/>
      <w:lvlText w:val="%4."/>
      <w:lvlJc w:val="left"/>
      <w:pPr>
        <w:ind w:left="2880" w:hanging="360"/>
      </w:pPr>
    </w:lvl>
    <w:lvl w:ilvl="4" w:tplc="B892501E" w:tentative="1">
      <w:start w:val="1"/>
      <w:numFmt w:val="lowerLetter"/>
      <w:lvlText w:val="%5."/>
      <w:lvlJc w:val="left"/>
      <w:pPr>
        <w:ind w:left="3600" w:hanging="360"/>
      </w:pPr>
    </w:lvl>
    <w:lvl w:ilvl="5" w:tplc="E7F2C880" w:tentative="1">
      <w:start w:val="1"/>
      <w:numFmt w:val="lowerRoman"/>
      <w:lvlText w:val="%6."/>
      <w:lvlJc w:val="right"/>
      <w:pPr>
        <w:ind w:left="4320" w:hanging="180"/>
      </w:pPr>
    </w:lvl>
    <w:lvl w:ilvl="6" w:tplc="4F8E9314" w:tentative="1">
      <w:start w:val="1"/>
      <w:numFmt w:val="decimal"/>
      <w:lvlText w:val="%7."/>
      <w:lvlJc w:val="left"/>
      <w:pPr>
        <w:ind w:left="5040" w:hanging="360"/>
      </w:pPr>
    </w:lvl>
    <w:lvl w:ilvl="7" w:tplc="F24033B0" w:tentative="1">
      <w:start w:val="1"/>
      <w:numFmt w:val="lowerLetter"/>
      <w:lvlText w:val="%8."/>
      <w:lvlJc w:val="left"/>
      <w:pPr>
        <w:ind w:left="5760" w:hanging="360"/>
      </w:pPr>
    </w:lvl>
    <w:lvl w:ilvl="8" w:tplc="790A0702"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xmlns:w16cid="http://schemas.microsoft.com/office/word/2016/wordml/cid" xmlns:w16="http://schemas.microsoft.com/office/word/2018/wordml" xmlns:w16cex="http://schemas.microsoft.com/office/word/2018/wordml/cex" xmlns:w16sdtdh="http://schemas.microsoft.com/office/word/2020/wordml/sdtdatahash" mc:Ignorable="w14 w15 w16se wp14 w16cid w16 w16cex w16sdtdh">
  <w:zoom w:percent="100"/>
  <w:removePersonalInformation/>
  <w:removeDateAndTime/>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33CC"/>
    <w:rsid w:val="0000586F"/>
    <w:rsid w:val="000668DB"/>
    <w:rsid w:val="00082EFA"/>
    <w:rsid w:val="00087067"/>
    <w:rsid w:val="000C282A"/>
    <w:rsid w:val="000E7DA0"/>
    <w:rsid w:val="000F25A0"/>
    <w:rsid w:val="000F44A2"/>
    <w:rsid w:val="00116487"/>
    <w:rsid w:val="001351A6"/>
    <w:rsid w:val="00176B92"/>
    <w:rsid w:val="002366B3"/>
    <w:rsid w:val="00324932"/>
    <w:rsid w:val="003A33CC"/>
    <w:rsid w:val="003E4A32"/>
    <w:rsid w:val="00460D2B"/>
    <w:rsid w:val="004D261F"/>
    <w:rsid w:val="00506BAA"/>
    <w:rsid w:val="00534CCC"/>
    <w:rsid w:val="005A69C4"/>
    <w:rsid w:val="0063729D"/>
    <w:rsid w:val="00664FE0"/>
    <w:rsid w:val="007032D2"/>
    <w:rsid w:val="00703FFC"/>
    <w:rsid w:val="00750DE3"/>
    <w:rsid w:val="007B11CB"/>
    <w:rsid w:val="008219EA"/>
    <w:rsid w:val="00870590"/>
    <w:rsid w:val="0089064B"/>
    <w:rsid w:val="00894BA6"/>
    <w:rsid w:val="0090780F"/>
    <w:rsid w:val="00935B65"/>
    <w:rsid w:val="00AE7148"/>
    <w:rsid w:val="00B0369A"/>
    <w:rsid w:val="00B34DC8"/>
    <w:rsid w:val="00B65104"/>
    <w:rsid w:val="00B70342"/>
    <w:rsid w:val="00B87A01"/>
    <w:rsid w:val="00C06594"/>
    <w:rsid w:val="00C40159"/>
    <w:rsid w:val="00D008CE"/>
    <w:rsid w:val="173ED406"/>
    <w:rsid w:val="3810DD4C"/>
    <w:rsid w:val="55CE3B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810DD4C"/>
  <w15:docId w15:val="{3BEAE2D0-1DE2-46BA-A45D-E865E0AD280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16se wp14 w16cid w16 w16cex w16sdtdh">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460D2B"/>
    <w:pPr>
      <w:spacing w:line="360" w:lineRule="auto"/>
      <w:jc w:val="both"/>
    </w:pPr>
    <w:rPr>
      <w:rFonts w:ascii="Arial" w:hAnsi="Arial" w:eastAsia="Calibri" w:cs="Calibri"/>
      <w:sz w:val="24"/>
      <w:lang w:val="en-GB"/>
    </w:rPr>
  </w:style>
  <w:style w:type="paragraph" w:styleId="Heading1">
    <w:name w:val="heading 1"/>
    <w:basedOn w:val="Normal"/>
    <w:next w:val="Normal"/>
    <w:link w:val="Heading1Char"/>
    <w:uiPriority w:val="9"/>
    <w:qFormat/>
    <w:rsid w:val="003A33CC"/>
    <w:pPr>
      <w:keepNext/>
      <w:keepLines/>
      <w:spacing w:before="480" w:after="0"/>
      <w:outlineLvl w:val="0"/>
    </w:pPr>
    <w:rPr>
      <w:rFonts w:eastAsiaTheme="majorEastAsia" w:cstheme="majorBidi"/>
      <w:b/>
      <w:bCs/>
      <w:color w:val="000000" w:themeColor="text1"/>
      <w:sz w:val="36"/>
      <w:szCs w:val="2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uiPriority w:val="10"/>
    <w:qFormat/>
    <w:rsid w:val="003A33CC"/>
    <w:pPr>
      <w:pBdr>
        <w:bottom w:val="single" w:color="4F81BD" w:themeColor="accent1" w:sz="8" w:space="4"/>
      </w:pBdr>
      <w:spacing w:after="300"/>
      <w:contextualSpacing/>
      <w:jc w:val="center"/>
    </w:pPr>
    <w:rPr>
      <w:rFonts w:eastAsiaTheme="majorEastAsia" w:cstheme="majorBidi"/>
      <w:b/>
      <w:color w:val="000000" w:themeColor="text1"/>
      <w:spacing w:val="5"/>
      <w:kern w:val="28"/>
      <w:sz w:val="52"/>
      <w:szCs w:val="52"/>
    </w:rPr>
  </w:style>
  <w:style w:type="character" w:styleId="TitleChar" w:customStyle="1">
    <w:name w:val="Title Char"/>
    <w:basedOn w:val="DefaultParagraphFont"/>
    <w:link w:val="Title"/>
    <w:uiPriority w:val="10"/>
    <w:rsid w:val="003A33CC"/>
    <w:rPr>
      <w:rFonts w:ascii="Times New Roman" w:hAnsi="Times New Roman" w:eastAsiaTheme="majorEastAsia" w:cstheme="majorBidi"/>
      <w:b/>
      <w:color w:val="000000" w:themeColor="text1"/>
      <w:spacing w:val="5"/>
      <w:kern w:val="28"/>
      <w:sz w:val="52"/>
      <w:szCs w:val="52"/>
      <w:lang w:val="en-GB"/>
    </w:rPr>
  </w:style>
  <w:style w:type="character" w:styleId="Heading1Char" w:customStyle="1">
    <w:name w:val="Heading 1 Char"/>
    <w:basedOn w:val="DefaultParagraphFont"/>
    <w:link w:val="Heading1"/>
    <w:uiPriority w:val="9"/>
    <w:rsid w:val="003A33CC"/>
    <w:rPr>
      <w:rFonts w:ascii="Times New Roman" w:hAnsi="Times New Roman" w:eastAsiaTheme="majorEastAsia" w:cstheme="majorBidi"/>
      <w:b/>
      <w:bCs/>
      <w:color w:val="000000" w:themeColor="text1"/>
      <w:sz w:val="36"/>
      <w:szCs w:val="28"/>
      <w:lang w:val="en-GB"/>
    </w:rPr>
  </w:style>
  <w:style w:type="paragraph" w:styleId="TOCHeading">
    <w:name w:val="TOC Heading"/>
    <w:basedOn w:val="Heading1"/>
    <w:next w:val="Normal"/>
    <w:uiPriority w:val="39"/>
    <w:semiHidden/>
    <w:unhideWhenUsed/>
    <w:qFormat/>
    <w:rsid w:val="000F44A2"/>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0F44A2"/>
    <w:pPr>
      <w:spacing w:after="100"/>
    </w:pPr>
  </w:style>
  <w:style w:type="character" w:styleId="Hyperlink">
    <w:name w:val="Hyperlink"/>
    <w:basedOn w:val="DefaultParagraphFont"/>
    <w:uiPriority w:val="99"/>
    <w:unhideWhenUsed/>
    <w:rsid w:val="000F44A2"/>
    <w:rPr>
      <w:color w:val="0000FF" w:themeColor="hyperlink"/>
      <w:u w:val="single"/>
    </w:rPr>
  </w:style>
  <w:style w:type="paragraph" w:styleId="BalloonText">
    <w:name w:val="Balloon Text"/>
    <w:basedOn w:val="Normal"/>
    <w:link w:val="BalloonTextChar"/>
    <w:uiPriority w:val="99"/>
    <w:semiHidden/>
    <w:unhideWhenUsed/>
    <w:rsid w:val="000F44A2"/>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0F44A2"/>
    <w:rPr>
      <w:rFonts w:ascii="Tahoma" w:hAnsi="Tahoma" w:eastAsia="Calibri" w:cs="Tahoma"/>
      <w:sz w:val="16"/>
      <w:szCs w:val="16"/>
      <w:lang w:val="en-GB"/>
    </w:rPr>
  </w:style>
  <w:style w:type="paragraph" w:styleId="Header">
    <w:name w:val="header"/>
    <w:basedOn w:val="Normal"/>
    <w:link w:val="HeaderChar"/>
    <w:uiPriority w:val="99"/>
    <w:unhideWhenUsed/>
    <w:rsid w:val="00116487"/>
    <w:pPr>
      <w:tabs>
        <w:tab w:val="center" w:pos="4680"/>
        <w:tab w:val="right" w:pos="9360"/>
      </w:tabs>
      <w:spacing w:after="0" w:line="240" w:lineRule="auto"/>
    </w:pPr>
  </w:style>
  <w:style w:type="character" w:styleId="HeaderChar" w:customStyle="1">
    <w:name w:val="Header Char"/>
    <w:basedOn w:val="DefaultParagraphFont"/>
    <w:link w:val="Header"/>
    <w:uiPriority w:val="99"/>
    <w:rsid w:val="00116487"/>
    <w:rPr>
      <w:rFonts w:ascii="Times New Roman" w:hAnsi="Times New Roman" w:eastAsia="Calibri" w:cs="Calibri"/>
      <w:sz w:val="24"/>
      <w:lang w:val="en-GB"/>
    </w:rPr>
  </w:style>
  <w:style w:type="paragraph" w:styleId="Footer">
    <w:name w:val="footer"/>
    <w:basedOn w:val="Normal"/>
    <w:link w:val="FooterChar"/>
    <w:uiPriority w:val="99"/>
    <w:unhideWhenUsed/>
    <w:rsid w:val="00116487"/>
    <w:pPr>
      <w:tabs>
        <w:tab w:val="center" w:pos="4680"/>
        <w:tab w:val="right" w:pos="9360"/>
      </w:tabs>
      <w:spacing w:after="0" w:line="240" w:lineRule="auto"/>
    </w:pPr>
  </w:style>
  <w:style w:type="character" w:styleId="FooterChar" w:customStyle="1">
    <w:name w:val="Footer Char"/>
    <w:basedOn w:val="DefaultParagraphFont"/>
    <w:link w:val="Footer"/>
    <w:uiPriority w:val="99"/>
    <w:rsid w:val="00116487"/>
    <w:rPr>
      <w:rFonts w:ascii="Times New Roman" w:hAnsi="Times New Roman" w:eastAsia="Calibri" w:cs="Calibri"/>
      <w:sz w:val="24"/>
      <w:lang w:val="en-GB"/>
    </w:rPr>
  </w:style>
  <w:style w:type="paragraph" w:styleId="ListParagraph">
    <w:name w:val="List Paragraph"/>
    <w:basedOn w:val="Normal"/>
    <w:uiPriority w:val="34"/>
    <w:qFormat/>
    <w:rsid w:val="007032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&#65279;<?xml version="1.0" encoding="utf-8"?><Relationships xmlns="http://schemas.openxmlformats.org/package/2006/relationships"><Relationship Type="http://schemas.openxmlformats.org/officeDocument/2006/relationships/header" Target="header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2.xml" Id="rId12"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header" Target="header2.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glossaryDocument" Target="glossary/document.xml" Id="R616e33ec25304b8f" /><Relationship Type="http://schemas.microsoft.com/office/2020/10/relationships/intelligence" Target="intelligence2.xml" Id="Raf9a23c224a7474b"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f23f27cb-3204-45ce-9678-daa324e461b0}"/>
      </w:docPartPr>
      <w:docPartBody>
        <w:p w14:paraId="7522204A">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D9F406-0088-4B8D-927F-92A2B890F1C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raul dobrican</dc:creator>
  <lastModifiedBy>raul dobrican</lastModifiedBy>
  <revision>2</revision>
  <dcterms:created xsi:type="dcterms:W3CDTF">2024-02-29T21:25:30.1537712Z</dcterms:created>
  <dcterms:modified xsi:type="dcterms:W3CDTF">2024-02-29T21:24:32.4092809Z</dcterms:modified>
</coreProperties>
</file>