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DF146B" w14:textId="3D9E0428" w:rsidR="006E14AF" w:rsidRPr="006E14AF" w:rsidRDefault="006E14AF" w:rsidP="006E14AF">
      <w:pPr>
        <w:spacing w:line="276" w:lineRule="auto"/>
        <w:jc w:val="center"/>
        <w:rPr>
          <w:rFonts w:ascii="Arial" w:hAnsi="Arial" w:cs="Arial"/>
          <w:b/>
          <w:sz w:val="28"/>
          <w:szCs w:val="28"/>
        </w:rPr>
      </w:pPr>
      <w:r>
        <w:rPr>
          <w:noProof/>
          <w:lang w:eastAsia="en-GB"/>
        </w:rPr>
        <w:drawing>
          <wp:inline distT="0" distB="0" distL="0" distR="0" wp14:anchorId="0283C1B9" wp14:editId="09C9F022">
            <wp:extent cx="2352675" cy="1063949"/>
            <wp:effectExtent l="0" t="0" r="0" b="3175"/>
            <wp:docPr id="11876463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646395" name=""/>
                    <pic:cNvPicPr/>
                  </pic:nvPicPr>
                  <pic:blipFill>
                    <a:blip r:embed="rId9"/>
                    <a:stretch>
                      <a:fillRect/>
                    </a:stretch>
                  </pic:blipFill>
                  <pic:spPr>
                    <a:xfrm>
                      <a:off x="0" y="0"/>
                      <a:ext cx="2377199" cy="1075039"/>
                    </a:xfrm>
                    <a:prstGeom prst="rect">
                      <a:avLst/>
                    </a:prstGeom>
                  </pic:spPr>
                </pic:pic>
              </a:graphicData>
            </a:graphic>
          </wp:inline>
        </w:drawing>
      </w:r>
    </w:p>
    <w:p w14:paraId="718A84A5" w14:textId="060473E7" w:rsidR="009B565E" w:rsidRPr="006E14AF" w:rsidRDefault="00C776E2" w:rsidP="009B565E">
      <w:pPr>
        <w:spacing w:line="276" w:lineRule="auto"/>
        <w:jc w:val="center"/>
        <w:rPr>
          <w:rFonts w:ascii="Arial" w:hAnsi="Arial" w:cs="Arial"/>
          <w:bCs/>
          <w:sz w:val="36"/>
          <w:szCs w:val="36"/>
        </w:rPr>
      </w:pPr>
      <w:r w:rsidRPr="006E14AF">
        <w:rPr>
          <w:rFonts w:ascii="Arial" w:hAnsi="Arial" w:cs="Arial"/>
          <w:bCs/>
          <w:sz w:val="36"/>
          <w:szCs w:val="36"/>
        </w:rPr>
        <w:t>LEVEL 7 ASSESSMENT SPECIFICATION</w:t>
      </w:r>
    </w:p>
    <w:p w14:paraId="2FF319B8" w14:textId="5AC86CED" w:rsidR="006E14AF" w:rsidRDefault="006E14AF" w:rsidP="006E14AF">
      <w:pPr>
        <w:spacing w:line="276" w:lineRule="auto"/>
        <w:jc w:val="center"/>
        <w:rPr>
          <w:rFonts w:ascii="Arial" w:hAnsi="Arial" w:cs="Arial"/>
          <w:bCs/>
          <w:sz w:val="36"/>
          <w:szCs w:val="36"/>
        </w:rPr>
      </w:pPr>
      <w:r>
        <w:rPr>
          <w:rFonts w:ascii="Arial" w:hAnsi="Arial" w:cs="Arial"/>
          <w:bCs/>
          <w:sz w:val="36"/>
          <w:szCs w:val="36"/>
        </w:rPr>
        <w:t>Submitted by:</w:t>
      </w:r>
    </w:p>
    <w:p w14:paraId="4280F297" w14:textId="76798BBF" w:rsidR="006E14AF" w:rsidRPr="006E14AF" w:rsidRDefault="006E14AF" w:rsidP="006E14AF">
      <w:pPr>
        <w:spacing w:line="276" w:lineRule="auto"/>
        <w:jc w:val="center"/>
        <w:rPr>
          <w:rFonts w:ascii="Arial" w:hAnsi="Arial" w:cs="Arial"/>
          <w:bCs/>
          <w:sz w:val="36"/>
          <w:szCs w:val="36"/>
        </w:rPr>
      </w:pPr>
      <w:r w:rsidRPr="006E14AF">
        <w:rPr>
          <w:rFonts w:ascii="Arial" w:hAnsi="Arial" w:cs="Arial"/>
          <w:bCs/>
          <w:sz w:val="36"/>
          <w:szCs w:val="36"/>
        </w:rPr>
        <w:t>Vijaybhai Ramabhai Goraniya</w:t>
      </w:r>
      <w:r w:rsidRPr="006E14AF">
        <w:rPr>
          <w:rFonts w:ascii="Arial" w:hAnsi="Arial" w:cs="Arial"/>
          <w:bCs/>
          <w:sz w:val="36"/>
          <w:szCs w:val="36"/>
        </w:rPr>
        <w:br/>
        <w:t>Rhif Myfyriwr / Student Number: 2612131</w:t>
      </w:r>
    </w:p>
    <w:p w14:paraId="352585BF" w14:textId="77777777" w:rsidR="006E14AF" w:rsidRPr="006E14AF" w:rsidRDefault="006E14AF" w:rsidP="006E14AF">
      <w:pPr>
        <w:spacing w:line="276" w:lineRule="auto"/>
        <w:jc w:val="center"/>
        <w:rPr>
          <w:rFonts w:ascii="Arial" w:hAnsi="Arial" w:cs="Arial"/>
          <w:bCs/>
          <w:sz w:val="36"/>
          <w:szCs w:val="36"/>
        </w:rPr>
      </w:pPr>
    </w:p>
    <w:p w14:paraId="25169BA7" w14:textId="67E772A1" w:rsidR="00C776E2" w:rsidRPr="006E14AF" w:rsidRDefault="00C776E2" w:rsidP="006E14AF">
      <w:pPr>
        <w:spacing w:line="276" w:lineRule="auto"/>
        <w:jc w:val="center"/>
        <w:rPr>
          <w:rFonts w:ascii="Arial" w:hAnsi="Arial" w:cs="Arial"/>
          <w:bCs/>
          <w:sz w:val="36"/>
          <w:szCs w:val="36"/>
        </w:rPr>
      </w:pPr>
      <w:r w:rsidRPr="006E14AF">
        <w:rPr>
          <w:rFonts w:ascii="Arial" w:hAnsi="Arial" w:cs="Arial"/>
          <w:bCs/>
          <w:sz w:val="36"/>
          <w:szCs w:val="36"/>
        </w:rPr>
        <w:t>Programme: Master of Business Administration</w:t>
      </w:r>
    </w:p>
    <w:p w14:paraId="6F5E18A7" w14:textId="29DB10D2" w:rsidR="00C776E2" w:rsidRPr="006E14AF" w:rsidRDefault="00C776E2" w:rsidP="009B565E">
      <w:pPr>
        <w:spacing w:line="276" w:lineRule="auto"/>
        <w:jc w:val="center"/>
        <w:rPr>
          <w:rFonts w:ascii="Arial" w:hAnsi="Arial" w:cs="Arial"/>
          <w:bCs/>
          <w:sz w:val="36"/>
          <w:szCs w:val="36"/>
        </w:rPr>
      </w:pPr>
      <w:r w:rsidRPr="006E14AF">
        <w:rPr>
          <w:rFonts w:ascii="Arial" w:hAnsi="Arial" w:cs="Arial"/>
          <w:bCs/>
          <w:sz w:val="36"/>
          <w:szCs w:val="36"/>
        </w:rPr>
        <w:t>Module: Human Capital Management</w:t>
      </w:r>
    </w:p>
    <w:p w14:paraId="07E4A759" w14:textId="54211BFC" w:rsidR="00C776E2" w:rsidRPr="006E14AF" w:rsidRDefault="00C776E2" w:rsidP="009B565E">
      <w:pPr>
        <w:spacing w:line="276" w:lineRule="auto"/>
        <w:jc w:val="center"/>
        <w:rPr>
          <w:rFonts w:ascii="Arial" w:hAnsi="Arial" w:cs="Arial"/>
          <w:bCs/>
          <w:sz w:val="36"/>
          <w:szCs w:val="36"/>
        </w:rPr>
      </w:pPr>
      <w:r w:rsidRPr="006E14AF">
        <w:rPr>
          <w:rFonts w:ascii="Arial" w:hAnsi="Arial" w:cs="Arial"/>
          <w:bCs/>
          <w:sz w:val="36"/>
          <w:szCs w:val="36"/>
        </w:rPr>
        <w:t>Module Code: LCMB7023</w:t>
      </w:r>
    </w:p>
    <w:p w14:paraId="69F4AB5D" w14:textId="153B6845" w:rsidR="00C776E2" w:rsidRPr="006E14AF" w:rsidRDefault="00C776E2" w:rsidP="009B565E">
      <w:pPr>
        <w:spacing w:line="276" w:lineRule="auto"/>
        <w:jc w:val="center"/>
        <w:rPr>
          <w:rFonts w:ascii="Arial" w:hAnsi="Arial" w:cs="Arial"/>
          <w:bCs/>
          <w:sz w:val="36"/>
          <w:szCs w:val="36"/>
        </w:rPr>
      </w:pPr>
      <w:r w:rsidRPr="006E14AF">
        <w:rPr>
          <w:rFonts w:ascii="Arial" w:hAnsi="Arial" w:cs="Arial"/>
          <w:bCs/>
          <w:sz w:val="36"/>
          <w:szCs w:val="36"/>
        </w:rPr>
        <w:t>Contribution to Overall Module Assessment: 50%</w:t>
      </w:r>
    </w:p>
    <w:p w14:paraId="30440219" w14:textId="77C07388" w:rsidR="00C776E2" w:rsidRPr="006E14AF" w:rsidRDefault="00C776E2" w:rsidP="009B565E">
      <w:pPr>
        <w:spacing w:line="276" w:lineRule="auto"/>
        <w:jc w:val="center"/>
        <w:rPr>
          <w:rFonts w:ascii="Arial" w:hAnsi="Arial" w:cs="Arial"/>
          <w:bCs/>
          <w:sz w:val="36"/>
          <w:szCs w:val="36"/>
        </w:rPr>
      </w:pPr>
      <w:r w:rsidRPr="006E14AF">
        <w:rPr>
          <w:rFonts w:ascii="Arial" w:hAnsi="Arial" w:cs="Arial"/>
          <w:bCs/>
          <w:sz w:val="36"/>
          <w:szCs w:val="36"/>
        </w:rPr>
        <w:t>Lecturer: Eno Maycock (Birmingham)</w:t>
      </w:r>
    </w:p>
    <w:p w14:paraId="2B97C727" w14:textId="5B344D39" w:rsidR="00C776E2" w:rsidRPr="006E14AF" w:rsidRDefault="00C776E2" w:rsidP="009B565E">
      <w:pPr>
        <w:spacing w:line="276" w:lineRule="auto"/>
        <w:jc w:val="center"/>
        <w:rPr>
          <w:rFonts w:ascii="Arial" w:hAnsi="Arial" w:cs="Arial"/>
          <w:bCs/>
          <w:sz w:val="36"/>
          <w:szCs w:val="36"/>
        </w:rPr>
      </w:pPr>
      <w:r w:rsidRPr="006E14AF">
        <w:rPr>
          <w:rFonts w:ascii="Arial" w:hAnsi="Arial" w:cs="Arial"/>
          <w:bCs/>
          <w:sz w:val="36"/>
          <w:szCs w:val="36"/>
        </w:rPr>
        <w:t>Assignment Title:</w:t>
      </w:r>
      <w:r w:rsidR="009B565E" w:rsidRPr="006E14AF">
        <w:rPr>
          <w:rFonts w:ascii="Arial" w:hAnsi="Arial" w:cs="Arial"/>
          <w:bCs/>
          <w:sz w:val="36"/>
          <w:szCs w:val="36"/>
        </w:rPr>
        <w:t xml:space="preserve"> </w:t>
      </w:r>
    </w:p>
    <w:p w14:paraId="78BFE7F3" w14:textId="71377661" w:rsidR="00C776E2" w:rsidRPr="006E14AF" w:rsidRDefault="00C776E2" w:rsidP="009B565E">
      <w:pPr>
        <w:spacing w:line="276" w:lineRule="auto"/>
        <w:jc w:val="center"/>
        <w:rPr>
          <w:rFonts w:ascii="Arial" w:hAnsi="Arial" w:cs="Arial"/>
          <w:bCs/>
          <w:sz w:val="36"/>
          <w:szCs w:val="36"/>
        </w:rPr>
      </w:pPr>
      <w:r w:rsidRPr="006E14AF">
        <w:rPr>
          <w:rFonts w:ascii="Arial" w:hAnsi="Arial" w:cs="Arial"/>
          <w:bCs/>
          <w:sz w:val="36"/>
          <w:szCs w:val="36"/>
        </w:rPr>
        <w:t>Assessment Component 1: Individual Report</w:t>
      </w:r>
    </w:p>
    <w:p w14:paraId="75324BBC" w14:textId="77C55B4D" w:rsidR="00C776E2" w:rsidRPr="006E14AF" w:rsidRDefault="00C776E2" w:rsidP="009B565E">
      <w:pPr>
        <w:spacing w:line="276" w:lineRule="auto"/>
        <w:jc w:val="center"/>
        <w:rPr>
          <w:rFonts w:ascii="Arial" w:hAnsi="Arial" w:cs="Arial"/>
          <w:bCs/>
          <w:sz w:val="36"/>
          <w:szCs w:val="36"/>
        </w:rPr>
      </w:pPr>
      <w:r w:rsidRPr="006E14AF">
        <w:rPr>
          <w:rFonts w:ascii="Arial" w:hAnsi="Arial" w:cs="Arial"/>
          <w:bCs/>
          <w:sz w:val="36"/>
          <w:szCs w:val="36"/>
        </w:rPr>
        <w:t>Word Count: 2,500 (±10%)</w:t>
      </w:r>
    </w:p>
    <w:p w14:paraId="2590723F" w14:textId="77777777" w:rsidR="00C776E2" w:rsidRPr="006E14AF" w:rsidRDefault="00C776E2" w:rsidP="009B565E">
      <w:pPr>
        <w:spacing w:line="276" w:lineRule="auto"/>
        <w:jc w:val="center"/>
        <w:rPr>
          <w:rFonts w:ascii="Arial" w:hAnsi="Arial" w:cs="Arial"/>
          <w:bCs/>
          <w:sz w:val="36"/>
          <w:szCs w:val="36"/>
        </w:rPr>
      </w:pPr>
      <w:r w:rsidRPr="006E14AF">
        <w:rPr>
          <w:rFonts w:ascii="Arial" w:hAnsi="Arial" w:cs="Arial"/>
          <w:bCs/>
          <w:sz w:val="36"/>
          <w:szCs w:val="36"/>
        </w:rPr>
        <w:t>Submission Deadline:</w:t>
      </w:r>
    </w:p>
    <w:p w14:paraId="6CDA8E67" w14:textId="694C80BF" w:rsidR="00C776E2" w:rsidRPr="006E14AF" w:rsidRDefault="00C776E2" w:rsidP="009B565E">
      <w:pPr>
        <w:spacing w:line="276" w:lineRule="auto"/>
        <w:jc w:val="center"/>
        <w:rPr>
          <w:rFonts w:ascii="Arial" w:hAnsi="Arial" w:cs="Arial"/>
          <w:bCs/>
          <w:sz w:val="36"/>
          <w:szCs w:val="36"/>
        </w:rPr>
      </w:pPr>
      <w:r w:rsidRPr="006E14AF">
        <w:rPr>
          <w:rFonts w:ascii="Arial" w:hAnsi="Arial" w:cs="Arial"/>
          <w:bCs/>
          <w:sz w:val="36"/>
          <w:szCs w:val="36"/>
        </w:rPr>
        <w:t>Week 6, Thursday 15th October 2026, by 2 PM</w:t>
      </w:r>
    </w:p>
    <w:p w14:paraId="40B5E3DB" w14:textId="77777777" w:rsidR="00C776E2" w:rsidRPr="006E14AF" w:rsidRDefault="00C776E2">
      <w:pPr>
        <w:rPr>
          <w:rFonts w:asciiTheme="minorBidi" w:hAnsiTheme="minorBidi"/>
          <w:bCs/>
          <w:sz w:val="32"/>
          <w:szCs w:val="32"/>
        </w:rPr>
      </w:pPr>
      <w:r w:rsidRPr="006E14AF">
        <w:rPr>
          <w:rFonts w:asciiTheme="minorBidi" w:hAnsiTheme="minorBidi"/>
          <w:bCs/>
          <w:sz w:val="32"/>
          <w:szCs w:val="32"/>
        </w:rPr>
        <w:br w:type="page"/>
      </w:r>
    </w:p>
    <w:p w14:paraId="7D1F52C9" w14:textId="77777777" w:rsidR="009B565E" w:rsidRPr="006E14AF" w:rsidRDefault="009B565E">
      <w:bookmarkStart w:id="0" w:name="_Toc242214922"/>
    </w:p>
    <w:p w14:paraId="0D91DFA3" w14:textId="77777777" w:rsidR="009B565E" w:rsidRPr="00725003" w:rsidRDefault="009B565E" w:rsidP="00725003">
      <w:pPr>
        <w:spacing w:line="360" w:lineRule="auto"/>
        <w:rPr>
          <w:rFonts w:asciiTheme="minorBidi" w:hAnsiTheme="minorBidi"/>
          <w:sz w:val="28"/>
          <w:szCs w:val="28"/>
        </w:rPr>
      </w:pPr>
    </w:p>
    <w:sdt>
      <w:sdtPr>
        <w:rPr>
          <w:rFonts w:asciiTheme="minorBidi" w:eastAsiaTheme="minorHAnsi" w:hAnsiTheme="minorBidi" w:cstheme="minorBidi"/>
          <w:color w:val="auto"/>
          <w:sz w:val="28"/>
          <w:szCs w:val="28"/>
        </w:rPr>
        <w:id w:val="507022654"/>
        <w:docPartObj>
          <w:docPartGallery w:val="Table of Contents"/>
          <w:docPartUnique/>
        </w:docPartObj>
      </w:sdtPr>
      <w:sdtEndPr>
        <w:rPr>
          <w:b/>
          <w:bCs/>
        </w:rPr>
      </w:sdtEndPr>
      <w:sdtContent>
        <w:p w14:paraId="4D73D84D" w14:textId="7DD3E1ED" w:rsidR="009B565E" w:rsidRPr="00725003" w:rsidRDefault="009B565E" w:rsidP="00725003">
          <w:pPr>
            <w:pStyle w:val="TOCHeading"/>
            <w:spacing w:line="360" w:lineRule="auto"/>
            <w:jc w:val="center"/>
            <w:rPr>
              <w:rFonts w:asciiTheme="minorBidi" w:hAnsiTheme="minorBidi" w:cstheme="minorBidi"/>
              <w:b/>
              <w:sz w:val="36"/>
              <w:szCs w:val="36"/>
            </w:rPr>
          </w:pPr>
          <w:r w:rsidRPr="00725003">
            <w:rPr>
              <w:rFonts w:asciiTheme="minorBidi" w:hAnsiTheme="minorBidi" w:cstheme="minorBidi"/>
              <w:b/>
              <w:sz w:val="36"/>
              <w:szCs w:val="36"/>
            </w:rPr>
            <w:t>Table of Contents</w:t>
          </w:r>
        </w:p>
        <w:p w14:paraId="4E10A2EC" w14:textId="6EDAB625" w:rsidR="00725003" w:rsidRPr="00725003" w:rsidRDefault="009B565E" w:rsidP="00725003">
          <w:pPr>
            <w:pStyle w:val="TOC1"/>
            <w:tabs>
              <w:tab w:val="right" w:leader="dot" w:pos="9350"/>
            </w:tabs>
            <w:spacing w:line="360" w:lineRule="auto"/>
            <w:rPr>
              <w:rFonts w:asciiTheme="minorBidi" w:eastAsiaTheme="minorEastAsia" w:hAnsiTheme="minorBidi"/>
              <w:noProof/>
              <w:kern w:val="2"/>
              <w:sz w:val="28"/>
              <w:szCs w:val="28"/>
              <w:lang w:val="en-US"/>
              <w14:ligatures w14:val="standardContextual"/>
            </w:rPr>
          </w:pPr>
          <w:r w:rsidRPr="00725003">
            <w:rPr>
              <w:rFonts w:asciiTheme="minorBidi" w:hAnsiTheme="minorBidi"/>
              <w:sz w:val="28"/>
              <w:szCs w:val="28"/>
            </w:rPr>
            <w:fldChar w:fldCharType="begin"/>
          </w:r>
          <w:r w:rsidRPr="00725003">
            <w:rPr>
              <w:rFonts w:asciiTheme="minorBidi" w:hAnsiTheme="minorBidi"/>
              <w:sz w:val="28"/>
              <w:szCs w:val="28"/>
            </w:rPr>
            <w:instrText xml:space="preserve"> TOC \o "1-3" \h \z \u </w:instrText>
          </w:r>
          <w:r w:rsidRPr="00725003">
            <w:rPr>
              <w:rFonts w:asciiTheme="minorBidi" w:hAnsiTheme="minorBidi"/>
              <w:sz w:val="28"/>
              <w:szCs w:val="28"/>
            </w:rPr>
            <w:fldChar w:fldCharType="separate"/>
          </w:r>
          <w:hyperlink w:anchor="_Toc242879929" w:history="1">
            <w:r w:rsidR="00725003" w:rsidRPr="00725003">
              <w:rPr>
                <w:rStyle w:val="Hyperlink"/>
                <w:rFonts w:asciiTheme="minorBidi" w:hAnsiTheme="minorBidi"/>
                <w:noProof/>
                <w:sz w:val="28"/>
                <w:szCs w:val="28"/>
              </w:rPr>
              <w:t>Introduction</w:t>
            </w:r>
            <w:r w:rsidR="00725003" w:rsidRPr="00725003">
              <w:rPr>
                <w:rFonts w:asciiTheme="minorBidi" w:hAnsiTheme="minorBidi"/>
                <w:noProof/>
                <w:webHidden/>
                <w:sz w:val="28"/>
                <w:szCs w:val="28"/>
              </w:rPr>
              <w:tab/>
            </w:r>
            <w:r w:rsidR="00725003" w:rsidRPr="00725003">
              <w:rPr>
                <w:rFonts w:asciiTheme="minorBidi" w:hAnsiTheme="minorBidi"/>
                <w:noProof/>
                <w:webHidden/>
                <w:sz w:val="28"/>
                <w:szCs w:val="28"/>
              </w:rPr>
              <w:fldChar w:fldCharType="begin"/>
            </w:r>
            <w:r w:rsidR="00725003" w:rsidRPr="00725003">
              <w:rPr>
                <w:rFonts w:asciiTheme="minorBidi" w:hAnsiTheme="minorBidi"/>
                <w:noProof/>
                <w:webHidden/>
                <w:sz w:val="28"/>
                <w:szCs w:val="28"/>
              </w:rPr>
              <w:instrText xml:space="preserve"> PAGEREF _Toc242879929 \h </w:instrText>
            </w:r>
            <w:r w:rsidR="00725003" w:rsidRPr="00725003">
              <w:rPr>
                <w:rFonts w:asciiTheme="minorBidi" w:hAnsiTheme="minorBidi"/>
                <w:noProof/>
                <w:webHidden/>
                <w:sz w:val="28"/>
                <w:szCs w:val="28"/>
              </w:rPr>
            </w:r>
            <w:r w:rsidR="00725003" w:rsidRPr="00725003">
              <w:rPr>
                <w:rFonts w:asciiTheme="minorBidi" w:hAnsiTheme="minorBidi"/>
                <w:noProof/>
                <w:webHidden/>
                <w:sz w:val="28"/>
                <w:szCs w:val="28"/>
              </w:rPr>
              <w:fldChar w:fldCharType="separate"/>
            </w:r>
            <w:r w:rsidR="00725003" w:rsidRPr="00725003">
              <w:rPr>
                <w:rFonts w:asciiTheme="minorBidi" w:hAnsiTheme="minorBidi"/>
                <w:noProof/>
                <w:webHidden/>
                <w:sz w:val="28"/>
                <w:szCs w:val="28"/>
              </w:rPr>
              <w:t>3</w:t>
            </w:r>
            <w:r w:rsidR="00725003" w:rsidRPr="00725003">
              <w:rPr>
                <w:rFonts w:asciiTheme="minorBidi" w:hAnsiTheme="minorBidi"/>
                <w:noProof/>
                <w:webHidden/>
                <w:sz w:val="28"/>
                <w:szCs w:val="28"/>
              </w:rPr>
              <w:fldChar w:fldCharType="end"/>
            </w:r>
          </w:hyperlink>
        </w:p>
        <w:p w14:paraId="6F470402" w14:textId="7B36AC4E" w:rsidR="00725003" w:rsidRPr="00725003" w:rsidRDefault="00BD0D20" w:rsidP="00725003">
          <w:pPr>
            <w:pStyle w:val="TOC1"/>
            <w:tabs>
              <w:tab w:val="left" w:pos="480"/>
              <w:tab w:val="right" w:leader="dot" w:pos="9350"/>
            </w:tabs>
            <w:spacing w:line="360" w:lineRule="auto"/>
            <w:rPr>
              <w:rFonts w:asciiTheme="minorBidi" w:eastAsiaTheme="minorEastAsia" w:hAnsiTheme="minorBidi"/>
              <w:noProof/>
              <w:kern w:val="2"/>
              <w:sz w:val="28"/>
              <w:szCs w:val="28"/>
              <w:lang w:val="en-US"/>
              <w14:ligatures w14:val="standardContextual"/>
            </w:rPr>
          </w:pPr>
          <w:hyperlink w:anchor="_Toc242879930" w:history="1">
            <w:r w:rsidR="00725003" w:rsidRPr="00725003">
              <w:rPr>
                <w:rStyle w:val="Hyperlink"/>
                <w:rFonts w:asciiTheme="minorBidi" w:hAnsiTheme="minorBidi"/>
                <w:noProof/>
                <w:sz w:val="28"/>
                <w:szCs w:val="28"/>
              </w:rPr>
              <w:t>1.</w:t>
            </w:r>
            <w:r w:rsidR="00725003" w:rsidRPr="00725003">
              <w:rPr>
                <w:rFonts w:asciiTheme="minorBidi" w:eastAsiaTheme="minorEastAsia" w:hAnsiTheme="minorBidi"/>
                <w:noProof/>
                <w:kern w:val="2"/>
                <w:sz w:val="28"/>
                <w:szCs w:val="28"/>
                <w:lang w:val="en-US"/>
                <w14:ligatures w14:val="standardContextual"/>
              </w:rPr>
              <w:tab/>
            </w:r>
            <w:r w:rsidR="00725003" w:rsidRPr="00725003">
              <w:rPr>
                <w:rStyle w:val="Hyperlink"/>
                <w:rFonts w:asciiTheme="minorBidi" w:hAnsiTheme="minorBidi"/>
                <w:noProof/>
                <w:sz w:val="28"/>
                <w:szCs w:val="28"/>
              </w:rPr>
              <w:t>TASK A: Designing Innovative Working Practices</w:t>
            </w:r>
            <w:r w:rsidR="00725003" w:rsidRPr="00725003">
              <w:rPr>
                <w:rFonts w:asciiTheme="minorBidi" w:hAnsiTheme="minorBidi"/>
                <w:noProof/>
                <w:webHidden/>
                <w:sz w:val="28"/>
                <w:szCs w:val="28"/>
              </w:rPr>
              <w:tab/>
            </w:r>
            <w:r w:rsidR="00725003" w:rsidRPr="00725003">
              <w:rPr>
                <w:rFonts w:asciiTheme="minorBidi" w:hAnsiTheme="minorBidi"/>
                <w:noProof/>
                <w:webHidden/>
                <w:sz w:val="28"/>
                <w:szCs w:val="28"/>
              </w:rPr>
              <w:fldChar w:fldCharType="begin"/>
            </w:r>
            <w:r w:rsidR="00725003" w:rsidRPr="00725003">
              <w:rPr>
                <w:rFonts w:asciiTheme="minorBidi" w:hAnsiTheme="minorBidi"/>
                <w:noProof/>
                <w:webHidden/>
                <w:sz w:val="28"/>
                <w:szCs w:val="28"/>
              </w:rPr>
              <w:instrText xml:space="preserve"> PAGEREF _Toc242879930 \h </w:instrText>
            </w:r>
            <w:r w:rsidR="00725003" w:rsidRPr="00725003">
              <w:rPr>
                <w:rFonts w:asciiTheme="minorBidi" w:hAnsiTheme="minorBidi"/>
                <w:noProof/>
                <w:webHidden/>
                <w:sz w:val="28"/>
                <w:szCs w:val="28"/>
              </w:rPr>
            </w:r>
            <w:r w:rsidR="00725003" w:rsidRPr="00725003">
              <w:rPr>
                <w:rFonts w:asciiTheme="minorBidi" w:hAnsiTheme="minorBidi"/>
                <w:noProof/>
                <w:webHidden/>
                <w:sz w:val="28"/>
                <w:szCs w:val="28"/>
              </w:rPr>
              <w:fldChar w:fldCharType="separate"/>
            </w:r>
            <w:r w:rsidR="00725003" w:rsidRPr="00725003">
              <w:rPr>
                <w:rFonts w:asciiTheme="minorBidi" w:hAnsiTheme="minorBidi"/>
                <w:noProof/>
                <w:webHidden/>
                <w:sz w:val="28"/>
                <w:szCs w:val="28"/>
              </w:rPr>
              <w:t>3</w:t>
            </w:r>
            <w:r w:rsidR="00725003" w:rsidRPr="00725003">
              <w:rPr>
                <w:rFonts w:asciiTheme="minorBidi" w:hAnsiTheme="minorBidi"/>
                <w:noProof/>
                <w:webHidden/>
                <w:sz w:val="28"/>
                <w:szCs w:val="28"/>
              </w:rPr>
              <w:fldChar w:fldCharType="end"/>
            </w:r>
          </w:hyperlink>
        </w:p>
        <w:p w14:paraId="1271BD7C" w14:textId="0D788C91" w:rsidR="00725003" w:rsidRPr="00725003" w:rsidRDefault="00BD0D20" w:rsidP="00725003">
          <w:pPr>
            <w:pStyle w:val="TOC2"/>
            <w:tabs>
              <w:tab w:val="right" w:leader="dot" w:pos="9350"/>
            </w:tabs>
            <w:spacing w:line="360" w:lineRule="auto"/>
            <w:rPr>
              <w:rFonts w:asciiTheme="minorBidi" w:eastAsiaTheme="minorEastAsia" w:hAnsiTheme="minorBidi"/>
              <w:noProof/>
              <w:kern w:val="2"/>
              <w:sz w:val="28"/>
              <w:szCs w:val="28"/>
              <w:lang w:val="en-US"/>
              <w14:ligatures w14:val="standardContextual"/>
            </w:rPr>
          </w:pPr>
          <w:hyperlink w:anchor="_Toc242879931" w:history="1">
            <w:r w:rsidR="00725003" w:rsidRPr="00725003">
              <w:rPr>
                <w:rStyle w:val="Hyperlink"/>
                <w:rFonts w:asciiTheme="minorBidi" w:hAnsiTheme="minorBidi"/>
                <w:noProof/>
                <w:sz w:val="28"/>
                <w:szCs w:val="28"/>
              </w:rPr>
              <w:t>1.1 Critical Evaluation of Traditional and Contemporary Work Design</w:t>
            </w:r>
            <w:r w:rsidR="00725003" w:rsidRPr="00725003">
              <w:rPr>
                <w:rFonts w:asciiTheme="minorBidi" w:hAnsiTheme="minorBidi"/>
                <w:noProof/>
                <w:webHidden/>
                <w:sz w:val="28"/>
                <w:szCs w:val="28"/>
              </w:rPr>
              <w:tab/>
            </w:r>
            <w:r w:rsidR="00725003" w:rsidRPr="00725003">
              <w:rPr>
                <w:rFonts w:asciiTheme="minorBidi" w:hAnsiTheme="minorBidi"/>
                <w:noProof/>
                <w:webHidden/>
                <w:sz w:val="28"/>
                <w:szCs w:val="28"/>
              </w:rPr>
              <w:fldChar w:fldCharType="begin"/>
            </w:r>
            <w:r w:rsidR="00725003" w:rsidRPr="00725003">
              <w:rPr>
                <w:rFonts w:asciiTheme="minorBidi" w:hAnsiTheme="minorBidi"/>
                <w:noProof/>
                <w:webHidden/>
                <w:sz w:val="28"/>
                <w:szCs w:val="28"/>
              </w:rPr>
              <w:instrText xml:space="preserve"> PAGEREF _Toc242879931 \h </w:instrText>
            </w:r>
            <w:r w:rsidR="00725003" w:rsidRPr="00725003">
              <w:rPr>
                <w:rFonts w:asciiTheme="minorBidi" w:hAnsiTheme="minorBidi"/>
                <w:noProof/>
                <w:webHidden/>
                <w:sz w:val="28"/>
                <w:szCs w:val="28"/>
              </w:rPr>
            </w:r>
            <w:r w:rsidR="00725003" w:rsidRPr="00725003">
              <w:rPr>
                <w:rFonts w:asciiTheme="minorBidi" w:hAnsiTheme="minorBidi"/>
                <w:noProof/>
                <w:webHidden/>
                <w:sz w:val="28"/>
                <w:szCs w:val="28"/>
              </w:rPr>
              <w:fldChar w:fldCharType="separate"/>
            </w:r>
            <w:r w:rsidR="00725003" w:rsidRPr="00725003">
              <w:rPr>
                <w:rFonts w:asciiTheme="minorBidi" w:hAnsiTheme="minorBidi"/>
                <w:noProof/>
                <w:webHidden/>
                <w:sz w:val="28"/>
                <w:szCs w:val="28"/>
              </w:rPr>
              <w:t>4</w:t>
            </w:r>
            <w:r w:rsidR="00725003" w:rsidRPr="00725003">
              <w:rPr>
                <w:rFonts w:asciiTheme="minorBidi" w:hAnsiTheme="minorBidi"/>
                <w:noProof/>
                <w:webHidden/>
                <w:sz w:val="28"/>
                <w:szCs w:val="28"/>
              </w:rPr>
              <w:fldChar w:fldCharType="end"/>
            </w:r>
          </w:hyperlink>
        </w:p>
        <w:p w14:paraId="307F0228" w14:textId="1D31E614" w:rsidR="00725003" w:rsidRPr="00725003" w:rsidRDefault="00BD0D20" w:rsidP="00725003">
          <w:pPr>
            <w:pStyle w:val="TOC2"/>
            <w:tabs>
              <w:tab w:val="right" w:leader="dot" w:pos="9350"/>
            </w:tabs>
            <w:spacing w:line="360" w:lineRule="auto"/>
            <w:rPr>
              <w:rFonts w:asciiTheme="minorBidi" w:eastAsiaTheme="minorEastAsia" w:hAnsiTheme="minorBidi"/>
              <w:noProof/>
              <w:kern w:val="2"/>
              <w:sz w:val="28"/>
              <w:szCs w:val="28"/>
              <w:lang w:val="en-US"/>
              <w14:ligatures w14:val="standardContextual"/>
            </w:rPr>
          </w:pPr>
          <w:hyperlink w:anchor="_Toc242879932" w:history="1">
            <w:r w:rsidR="00725003" w:rsidRPr="00725003">
              <w:rPr>
                <w:rStyle w:val="Hyperlink"/>
                <w:rFonts w:asciiTheme="minorBidi" w:hAnsiTheme="minorBidi"/>
                <w:noProof/>
                <w:sz w:val="28"/>
                <w:szCs w:val="28"/>
              </w:rPr>
              <w:t>1.2 Recommended Innovative Working Practices for NHSX</w:t>
            </w:r>
            <w:r w:rsidR="00725003" w:rsidRPr="00725003">
              <w:rPr>
                <w:rFonts w:asciiTheme="minorBidi" w:hAnsiTheme="minorBidi"/>
                <w:noProof/>
                <w:webHidden/>
                <w:sz w:val="28"/>
                <w:szCs w:val="28"/>
              </w:rPr>
              <w:tab/>
            </w:r>
            <w:r w:rsidR="00725003" w:rsidRPr="00725003">
              <w:rPr>
                <w:rFonts w:asciiTheme="minorBidi" w:hAnsiTheme="minorBidi"/>
                <w:noProof/>
                <w:webHidden/>
                <w:sz w:val="28"/>
                <w:szCs w:val="28"/>
              </w:rPr>
              <w:fldChar w:fldCharType="begin"/>
            </w:r>
            <w:r w:rsidR="00725003" w:rsidRPr="00725003">
              <w:rPr>
                <w:rFonts w:asciiTheme="minorBidi" w:hAnsiTheme="minorBidi"/>
                <w:noProof/>
                <w:webHidden/>
                <w:sz w:val="28"/>
                <w:szCs w:val="28"/>
              </w:rPr>
              <w:instrText xml:space="preserve"> PAGEREF _Toc242879932 \h </w:instrText>
            </w:r>
            <w:r w:rsidR="00725003" w:rsidRPr="00725003">
              <w:rPr>
                <w:rFonts w:asciiTheme="minorBidi" w:hAnsiTheme="minorBidi"/>
                <w:noProof/>
                <w:webHidden/>
                <w:sz w:val="28"/>
                <w:szCs w:val="28"/>
              </w:rPr>
            </w:r>
            <w:r w:rsidR="00725003" w:rsidRPr="00725003">
              <w:rPr>
                <w:rFonts w:asciiTheme="minorBidi" w:hAnsiTheme="minorBidi"/>
                <w:noProof/>
                <w:webHidden/>
                <w:sz w:val="28"/>
                <w:szCs w:val="28"/>
              </w:rPr>
              <w:fldChar w:fldCharType="separate"/>
            </w:r>
            <w:r w:rsidR="00725003" w:rsidRPr="00725003">
              <w:rPr>
                <w:rFonts w:asciiTheme="minorBidi" w:hAnsiTheme="minorBidi"/>
                <w:noProof/>
                <w:webHidden/>
                <w:sz w:val="28"/>
                <w:szCs w:val="28"/>
              </w:rPr>
              <w:t>6</w:t>
            </w:r>
            <w:r w:rsidR="00725003" w:rsidRPr="00725003">
              <w:rPr>
                <w:rFonts w:asciiTheme="minorBidi" w:hAnsiTheme="minorBidi"/>
                <w:noProof/>
                <w:webHidden/>
                <w:sz w:val="28"/>
                <w:szCs w:val="28"/>
              </w:rPr>
              <w:fldChar w:fldCharType="end"/>
            </w:r>
          </w:hyperlink>
        </w:p>
        <w:p w14:paraId="138296A5" w14:textId="24D6A192" w:rsidR="00725003" w:rsidRPr="00725003" w:rsidRDefault="00BD0D20" w:rsidP="00725003">
          <w:pPr>
            <w:pStyle w:val="TOC1"/>
            <w:tabs>
              <w:tab w:val="left" w:pos="480"/>
              <w:tab w:val="right" w:leader="dot" w:pos="9350"/>
            </w:tabs>
            <w:spacing w:line="360" w:lineRule="auto"/>
            <w:rPr>
              <w:rFonts w:asciiTheme="minorBidi" w:eastAsiaTheme="minorEastAsia" w:hAnsiTheme="minorBidi"/>
              <w:noProof/>
              <w:kern w:val="2"/>
              <w:sz w:val="28"/>
              <w:szCs w:val="28"/>
              <w:lang w:val="en-US"/>
              <w14:ligatures w14:val="standardContextual"/>
            </w:rPr>
          </w:pPr>
          <w:hyperlink w:anchor="_Toc242879933" w:history="1">
            <w:r w:rsidR="00725003" w:rsidRPr="00725003">
              <w:rPr>
                <w:rStyle w:val="Hyperlink"/>
                <w:rFonts w:asciiTheme="minorBidi" w:hAnsiTheme="minorBidi"/>
                <w:noProof/>
                <w:sz w:val="28"/>
                <w:szCs w:val="28"/>
              </w:rPr>
              <w:t>2.</w:t>
            </w:r>
            <w:r w:rsidR="00725003" w:rsidRPr="00725003">
              <w:rPr>
                <w:rFonts w:asciiTheme="minorBidi" w:eastAsiaTheme="minorEastAsia" w:hAnsiTheme="minorBidi"/>
                <w:noProof/>
                <w:kern w:val="2"/>
                <w:sz w:val="28"/>
                <w:szCs w:val="28"/>
                <w:lang w:val="en-US"/>
                <w14:ligatures w14:val="standardContextual"/>
              </w:rPr>
              <w:tab/>
            </w:r>
            <w:r w:rsidR="00725003" w:rsidRPr="00725003">
              <w:rPr>
                <w:rStyle w:val="Hyperlink"/>
                <w:rFonts w:asciiTheme="minorBidi" w:hAnsiTheme="minorBidi"/>
                <w:noProof/>
                <w:sz w:val="28"/>
                <w:szCs w:val="28"/>
              </w:rPr>
              <w:t>TASK B: Breeding an Environment Where Talent May Grow</w:t>
            </w:r>
            <w:r w:rsidR="00725003" w:rsidRPr="00725003">
              <w:rPr>
                <w:rFonts w:asciiTheme="minorBidi" w:hAnsiTheme="minorBidi"/>
                <w:noProof/>
                <w:webHidden/>
                <w:sz w:val="28"/>
                <w:szCs w:val="28"/>
              </w:rPr>
              <w:tab/>
            </w:r>
            <w:r w:rsidR="00725003" w:rsidRPr="00725003">
              <w:rPr>
                <w:rFonts w:asciiTheme="minorBidi" w:hAnsiTheme="minorBidi"/>
                <w:noProof/>
                <w:webHidden/>
                <w:sz w:val="28"/>
                <w:szCs w:val="28"/>
              </w:rPr>
              <w:fldChar w:fldCharType="begin"/>
            </w:r>
            <w:r w:rsidR="00725003" w:rsidRPr="00725003">
              <w:rPr>
                <w:rFonts w:asciiTheme="minorBidi" w:hAnsiTheme="minorBidi"/>
                <w:noProof/>
                <w:webHidden/>
                <w:sz w:val="28"/>
                <w:szCs w:val="28"/>
              </w:rPr>
              <w:instrText xml:space="preserve"> PAGEREF _Toc242879933 \h </w:instrText>
            </w:r>
            <w:r w:rsidR="00725003" w:rsidRPr="00725003">
              <w:rPr>
                <w:rFonts w:asciiTheme="minorBidi" w:hAnsiTheme="minorBidi"/>
                <w:noProof/>
                <w:webHidden/>
                <w:sz w:val="28"/>
                <w:szCs w:val="28"/>
              </w:rPr>
            </w:r>
            <w:r w:rsidR="00725003" w:rsidRPr="00725003">
              <w:rPr>
                <w:rFonts w:asciiTheme="minorBidi" w:hAnsiTheme="minorBidi"/>
                <w:noProof/>
                <w:webHidden/>
                <w:sz w:val="28"/>
                <w:szCs w:val="28"/>
              </w:rPr>
              <w:fldChar w:fldCharType="separate"/>
            </w:r>
            <w:r w:rsidR="00725003" w:rsidRPr="00725003">
              <w:rPr>
                <w:rFonts w:asciiTheme="minorBidi" w:hAnsiTheme="minorBidi"/>
                <w:noProof/>
                <w:webHidden/>
                <w:sz w:val="28"/>
                <w:szCs w:val="28"/>
              </w:rPr>
              <w:t>8</w:t>
            </w:r>
            <w:r w:rsidR="00725003" w:rsidRPr="00725003">
              <w:rPr>
                <w:rFonts w:asciiTheme="minorBidi" w:hAnsiTheme="minorBidi"/>
                <w:noProof/>
                <w:webHidden/>
                <w:sz w:val="28"/>
                <w:szCs w:val="28"/>
              </w:rPr>
              <w:fldChar w:fldCharType="end"/>
            </w:r>
          </w:hyperlink>
        </w:p>
        <w:p w14:paraId="13D9F0D1" w14:textId="1DCC8FCB" w:rsidR="00725003" w:rsidRPr="00725003" w:rsidRDefault="00BD0D20" w:rsidP="00725003">
          <w:pPr>
            <w:pStyle w:val="TOC2"/>
            <w:tabs>
              <w:tab w:val="right" w:leader="dot" w:pos="9350"/>
            </w:tabs>
            <w:spacing w:line="360" w:lineRule="auto"/>
            <w:rPr>
              <w:rFonts w:asciiTheme="minorBidi" w:eastAsiaTheme="minorEastAsia" w:hAnsiTheme="minorBidi"/>
              <w:noProof/>
              <w:kern w:val="2"/>
              <w:sz w:val="28"/>
              <w:szCs w:val="28"/>
              <w:lang w:val="en-US"/>
              <w14:ligatures w14:val="standardContextual"/>
            </w:rPr>
          </w:pPr>
          <w:hyperlink w:anchor="_Toc242879934" w:history="1">
            <w:r w:rsidR="00725003" w:rsidRPr="00725003">
              <w:rPr>
                <w:rStyle w:val="Hyperlink"/>
                <w:rFonts w:asciiTheme="minorBidi" w:hAnsiTheme="minorBidi"/>
                <w:noProof/>
                <w:sz w:val="28"/>
                <w:szCs w:val="28"/>
              </w:rPr>
              <w:t>2.1 Critical Evaluation of Environments Where Talent Flourishes</w:t>
            </w:r>
            <w:r w:rsidR="00725003" w:rsidRPr="00725003">
              <w:rPr>
                <w:rFonts w:asciiTheme="minorBidi" w:hAnsiTheme="minorBidi"/>
                <w:noProof/>
                <w:webHidden/>
                <w:sz w:val="28"/>
                <w:szCs w:val="28"/>
              </w:rPr>
              <w:tab/>
            </w:r>
            <w:r w:rsidR="00725003" w:rsidRPr="00725003">
              <w:rPr>
                <w:rFonts w:asciiTheme="minorBidi" w:hAnsiTheme="minorBidi"/>
                <w:noProof/>
                <w:webHidden/>
                <w:sz w:val="28"/>
                <w:szCs w:val="28"/>
              </w:rPr>
              <w:fldChar w:fldCharType="begin"/>
            </w:r>
            <w:r w:rsidR="00725003" w:rsidRPr="00725003">
              <w:rPr>
                <w:rFonts w:asciiTheme="minorBidi" w:hAnsiTheme="minorBidi"/>
                <w:noProof/>
                <w:webHidden/>
                <w:sz w:val="28"/>
                <w:szCs w:val="28"/>
              </w:rPr>
              <w:instrText xml:space="preserve"> PAGEREF _Toc242879934 \h </w:instrText>
            </w:r>
            <w:r w:rsidR="00725003" w:rsidRPr="00725003">
              <w:rPr>
                <w:rFonts w:asciiTheme="minorBidi" w:hAnsiTheme="minorBidi"/>
                <w:noProof/>
                <w:webHidden/>
                <w:sz w:val="28"/>
                <w:szCs w:val="28"/>
              </w:rPr>
            </w:r>
            <w:r w:rsidR="00725003" w:rsidRPr="00725003">
              <w:rPr>
                <w:rFonts w:asciiTheme="minorBidi" w:hAnsiTheme="minorBidi"/>
                <w:noProof/>
                <w:webHidden/>
                <w:sz w:val="28"/>
                <w:szCs w:val="28"/>
              </w:rPr>
              <w:fldChar w:fldCharType="separate"/>
            </w:r>
            <w:r w:rsidR="00725003" w:rsidRPr="00725003">
              <w:rPr>
                <w:rFonts w:asciiTheme="minorBidi" w:hAnsiTheme="minorBidi"/>
                <w:noProof/>
                <w:webHidden/>
                <w:sz w:val="28"/>
                <w:szCs w:val="28"/>
              </w:rPr>
              <w:t>8</w:t>
            </w:r>
            <w:r w:rsidR="00725003" w:rsidRPr="00725003">
              <w:rPr>
                <w:rFonts w:asciiTheme="minorBidi" w:hAnsiTheme="minorBidi"/>
                <w:noProof/>
                <w:webHidden/>
                <w:sz w:val="28"/>
                <w:szCs w:val="28"/>
              </w:rPr>
              <w:fldChar w:fldCharType="end"/>
            </w:r>
          </w:hyperlink>
        </w:p>
        <w:p w14:paraId="2AF8303C" w14:textId="7F128926" w:rsidR="00725003" w:rsidRPr="00725003" w:rsidRDefault="00BD0D20" w:rsidP="00725003">
          <w:pPr>
            <w:pStyle w:val="TOC2"/>
            <w:tabs>
              <w:tab w:val="right" w:leader="dot" w:pos="9350"/>
            </w:tabs>
            <w:spacing w:line="360" w:lineRule="auto"/>
            <w:rPr>
              <w:rFonts w:asciiTheme="minorBidi" w:eastAsiaTheme="minorEastAsia" w:hAnsiTheme="minorBidi"/>
              <w:noProof/>
              <w:kern w:val="2"/>
              <w:sz w:val="28"/>
              <w:szCs w:val="28"/>
              <w:lang w:val="en-US"/>
              <w14:ligatures w14:val="standardContextual"/>
            </w:rPr>
          </w:pPr>
          <w:hyperlink w:anchor="_Toc242879935" w:history="1">
            <w:r w:rsidR="00725003" w:rsidRPr="00725003">
              <w:rPr>
                <w:rStyle w:val="Hyperlink"/>
                <w:rFonts w:asciiTheme="minorBidi" w:hAnsiTheme="minorBidi"/>
                <w:noProof/>
                <w:sz w:val="28"/>
                <w:szCs w:val="28"/>
              </w:rPr>
              <w:t>2.2 Strategic Talent Growth Strategy for NHSX</w:t>
            </w:r>
            <w:r w:rsidR="00725003" w:rsidRPr="00725003">
              <w:rPr>
                <w:rFonts w:asciiTheme="minorBidi" w:hAnsiTheme="minorBidi"/>
                <w:noProof/>
                <w:webHidden/>
                <w:sz w:val="28"/>
                <w:szCs w:val="28"/>
              </w:rPr>
              <w:tab/>
            </w:r>
            <w:r w:rsidR="00725003" w:rsidRPr="00725003">
              <w:rPr>
                <w:rFonts w:asciiTheme="minorBidi" w:hAnsiTheme="minorBidi"/>
                <w:noProof/>
                <w:webHidden/>
                <w:sz w:val="28"/>
                <w:szCs w:val="28"/>
              </w:rPr>
              <w:fldChar w:fldCharType="begin"/>
            </w:r>
            <w:r w:rsidR="00725003" w:rsidRPr="00725003">
              <w:rPr>
                <w:rFonts w:asciiTheme="minorBidi" w:hAnsiTheme="minorBidi"/>
                <w:noProof/>
                <w:webHidden/>
                <w:sz w:val="28"/>
                <w:szCs w:val="28"/>
              </w:rPr>
              <w:instrText xml:space="preserve"> PAGEREF _Toc242879935 \h </w:instrText>
            </w:r>
            <w:r w:rsidR="00725003" w:rsidRPr="00725003">
              <w:rPr>
                <w:rFonts w:asciiTheme="minorBidi" w:hAnsiTheme="minorBidi"/>
                <w:noProof/>
                <w:webHidden/>
                <w:sz w:val="28"/>
                <w:szCs w:val="28"/>
              </w:rPr>
            </w:r>
            <w:r w:rsidR="00725003" w:rsidRPr="00725003">
              <w:rPr>
                <w:rFonts w:asciiTheme="minorBidi" w:hAnsiTheme="minorBidi"/>
                <w:noProof/>
                <w:webHidden/>
                <w:sz w:val="28"/>
                <w:szCs w:val="28"/>
              </w:rPr>
              <w:fldChar w:fldCharType="separate"/>
            </w:r>
            <w:r w:rsidR="00725003" w:rsidRPr="00725003">
              <w:rPr>
                <w:rFonts w:asciiTheme="minorBidi" w:hAnsiTheme="minorBidi"/>
                <w:noProof/>
                <w:webHidden/>
                <w:sz w:val="28"/>
                <w:szCs w:val="28"/>
              </w:rPr>
              <w:t>10</w:t>
            </w:r>
            <w:r w:rsidR="00725003" w:rsidRPr="00725003">
              <w:rPr>
                <w:rFonts w:asciiTheme="minorBidi" w:hAnsiTheme="minorBidi"/>
                <w:noProof/>
                <w:webHidden/>
                <w:sz w:val="28"/>
                <w:szCs w:val="28"/>
              </w:rPr>
              <w:fldChar w:fldCharType="end"/>
            </w:r>
          </w:hyperlink>
        </w:p>
        <w:p w14:paraId="0E5F2B04" w14:textId="614CEC9D" w:rsidR="00725003" w:rsidRPr="00725003" w:rsidRDefault="00BD0D20" w:rsidP="00725003">
          <w:pPr>
            <w:pStyle w:val="TOC1"/>
            <w:tabs>
              <w:tab w:val="left" w:pos="480"/>
              <w:tab w:val="right" w:leader="dot" w:pos="9350"/>
            </w:tabs>
            <w:spacing w:line="360" w:lineRule="auto"/>
            <w:rPr>
              <w:rFonts w:asciiTheme="minorBidi" w:eastAsiaTheme="minorEastAsia" w:hAnsiTheme="minorBidi"/>
              <w:noProof/>
              <w:kern w:val="2"/>
              <w:sz w:val="28"/>
              <w:szCs w:val="28"/>
              <w:lang w:val="en-US"/>
              <w14:ligatures w14:val="standardContextual"/>
            </w:rPr>
          </w:pPr>
          <w:hyperlink w:anchor="_Toc242879936" w:history="1">
            <w:r w:rsidR="00725003" w:rsidRPr="00725003">
              <w:rPr>
                <w:rStyle w:val="Hyperlink"/>
                <w:rFonts w:asciiTheme="minorBidi" w:hAnsiTheme="minorBidi"/>
                <w:noProof/>
                <w:sz w:val="28"/>
                <w:szCs w:val="28"/>
              </w:rPr>
              <w:t>3.</w:t>
            </w:r>
            <w:r w:rsidR="00725003" w:rsidRPr="00725003">
              <w:rPr>
                <w:rFonts w:asciiTheme="minorBidi" w:eastAsiaTheme="minorEastAsia" w:hAnsiTheme="minorBidi"/>
                <w:noProof/>
                <w:kern w:val="2"/>
                <w:sz w:val="28"/>
                <w:szCs w:val="28"/>
                <w:lang w:val="en-US"/>
                <w14:ligatures w14:val="standardContextual"/>
              </w:rPr>
              <w:tab/>
            </w:r>
            <w:r w:rsidR="00725003" w:rsidRPr="00725003">
              <w:rPr>
                <w:rStyle w:val="Hyperlink"/>
                <w:rFonts w:asciiTheme="minorBidi" w:hAnsiTheme="minorBidi"/>
                <w:noProof/>
                <w:sz w:val="28"/>
                <w:szCs w:val="28"/>
              </w:rPr>
              <w:t>TASK C: Reflective Report</w:t>
            </w:r>
            <w:r w:rsidR="00725003" w:rsidRPr="00725003">
              <w:rPr>
                <w:rFonts w:asciiTheme="minorBidi" w:hAnsiTheme="minorBidi"/>
                <w:noProof/>
                <w:webHidden/>
                <w:sz w:val="28"/>
                <w:szCs w:val="28"/>
              </w:rPr>
              <w:tab/>
            </w:r>
            <w:r w:rsidR="00725003" w:rsidRPr="00725003">
              <w:rPr>
                <w:rFonts w:asciiTheme="minorBidi" w:hAnsiTheme="minorBidi"/>
                <w:noProof/>
                <w:webHidden/>
                <w:sz w:val="28"/>
                <w:szCs w:val="28"/>
              </w:rPr>
              <w:fldChar w:fldCharType="begin"/>
            </w:r>
            <w:r w:rsidR="00725003" w:rsidRPr="00725003">
              <w:rPr>
                <w:rFonts w:asciiTheme="minorBidi" w:hAnsiTheme="minorBidi"/>
                <w:noProof/>
                <w:webHidden/>
                <w:sz w:val="28"/>
                <w:szCs w:val="28"/>
              </w:rPr>
              <w:instrText xml:space="preserve"> PAGEREF _Toc242879936 \h </w:instrText>
            </w:r>
            <w:r w:rsidR="00725003" w:rsidRPr="00725003">
              <w:rPr>
                <w:rFonts w:asciiTheme="minorBidi" w:hAnsiTheme="minorBidi"/>
                <w:noProof/>
                <w:webHidden/>
                <w:sz w:val="28"/>
                <w:szCs w:val="28"/>
              </w:rPr>
            </w:r>
            <w:r w:rsidR="00725003" w:rsidRPr="00725003">
              <w:rPr>
                <w:rFonts w:asciiTheme="minorBidi" w:hAnsiTheme="minorBidi"/>
                <w:noProof/>
                <w:webHidden/>
                <w:sz w:val="28"/>
                <w:szCs w:val="28"/>
              </w:rPr>
              <w:fldChar w:fldCharType="separate"/>
            </w:r>
            <w:r w:rsidR="00725003" w:rsidRPr="00725003">
              <w:rPr>
                <w:rFonts w:asciiTheme="minorBidi" w:hAnsiTheme="minorBidi"/>
                <w:noProof/>
                <w:webHidden/>
                <w:sz w:val="28"/>
                <w:szCs w:val="28"/>
              </w:rPr>
              <w:t>12</w:t>
            </w:r>
            <w:r w:rsidR="00725003" w:rsidRPr="00725003">
              <w:rPr>
                <w:rFonts w:asciiTheme="minorBidi" w:hAnsiTheme="minorBidi"/>
                <w:noProof/>
                <w:webHidden/>
                <w:sz w:val="28"/>
                <w:szCs w:val="28"/>
              </w:rPr>
              <w:fldChar w:fldCharType="end"/>
            </w:r>
          </w:hyperlink>
        </w:p>
        <w:p w14:paraId="7401FB49" w14:textId="21AB2A86" w:rsidR="00725003" w:rsidRPr="00725003" w:rsidRDefault="00BD0D20" w:rsidP="00725003">
          <w:pPr>
            <w:pStyle w:val="TOC2"/>
            <w:tabs>
              <w:tab w:val="right" w:leader="dot" w:pos="9350"/>
            </w:tabs>
            <w:spacing w:line="360" w:lineRule="auto"/>
            <w:rPr>
              <w:rFonts w:asciiTheme="minorBidi" w:eastAsiaTheme="minorEastAsia" w:hAnsiTheme="minorBidi"/>
              <w:noProof/>
              <w:kern w:val="2"/>
              <w:sz w:val="28"/>
              <w:szCs w:val="28"/>
              <w:lang w:val="en-US"/>
              <w14:ligatures w14:val="standardContextual"/>
            </w:rPr>
          </w:pPr>
          <w:hyperlink w:anchor="_Toc242879937" w:history="1">
            <w:r w:rsidR="00725003" w:rsidRPr="00725003">
              <w:rPr>
                <w:rStyle w:val="Hyperlink"/>
                <w:rFonts w:asciiTheme="minorBidi" w:hAnsiTheme="minorBidi"/>
                <w:noProof/>
                <w:sz w:val="28"/>
                <w:szCs w:val="28"/>
              </w:rPr>
              <w:t>3.1 Reflective Analysis of AI Use</w:t>
            </w:r>
            <w:r w:rsidR="00725003" w:rsidRPr="00725003">
              <w:rPr>
                <w:rFonts w:asciiTheme="minorBidi" w:hAnsiTheme="minorBidi"/>
                <w:noProof/>
                <w:webHidden/>
                <w:sz w:val="28"/>
                <w:szCs w:val="28"/>
              </w:rPr>
              <w:tab/>
            </w:r>
            <w:r w:rsidR="00725003" w:rsidRPr="00725003">
              <w:rPr>
                <w:rFonts w:asciiTheme="minorBidi" w:hAnsiTheme="minorBidi"/>
                <w:noProof/>
                <w:webHidden/>
                <w:sz w:val="28"/>
                <w:szCs w:val="28"/>
              </w:rPr>
              <w:fldChar w:fldCharType="begin"/>
            </w:r>
            <w:r w:rsidR="00725003" w:rsidRPr="00725003">
              <w:rPr>
                <w:rFonts w:asciiTheme="minorBidi" w:hAnsiTheme="minorBidi"/>
                <w:noProof/>
                <w:webHidden/>
                <w:sz w:val="28"/>
                <w:szCs w:val="28"/>
              </w:rPr>
              <w:instrText xml:space="preserve"> PAGEREF _Toc242879937 \h </w:instrText>
            </w:r>
            <w:r w:rsidR="00725003" w:rsidRPr="00725003">
              <w:rPr>
                <w:rFonts w:asciiTheme="minorBidi" w:hAnsiTheme="minorBidi"/>
                <w:noProof/>
                <w:webHidden/>
                <w:sz w:val="28"/>
                <w:szCs w:val="28"/>
              </w:rPr>
            </w:r>
            <w:r w:rsidR="00725003" w:rsidRPr="00725003">
              <w:rPr>
                <w:rFonts w:asciiTheme="minorBidi" w:hAnsiTheme="minorBidi"/>
                <w:noProof/>
                <w:webHidden/>
                <w:sz w:val="28"/>
                <w:szCs w:val="28"/>
              </w:rPr>
              <w:fldChar w:fldCharType="separate"/>
            </w:r>
            <w:r w:rsidR="00725003" w:rsidRPr="00725003">
              <w:rPr>
                <w:rFonts w:asciiTheme="minorBidi" w:hAnsiTheme="minorBidi"/>
                <w:noProof/>
                <w:webHidden/>
                <w:sz w:val="28"/>
                <w:szCs w:val="28"/>
              </w:rPr>
              <w:t>12</w:t>
            </w:r>
            <w:r w:rsidR="00725003" w:rsidRPr="00725003">
              <w:rPr>
                <w:rFonts w:asciiTheme="minorBidi" w:hAnsiTheme="minorBidi"/>
                <w:noProof/>
                <w:webHidden/>
                <w:sz w:val="28"/>
                <w:szCs w:val="28"/>
              </w:rPr>
              <w:fldChar w:fldCharType="end"/>
            </w:r>
          </w:hyperlink>
        </w:p>
        <w:p w14:paraId="0B1220A0" w14:textId="7861C312" w:rsidR="00725003" w:rsidRPr="00725003" w:rsidRDefault="00BD0D20" w:rsidP="00725003">
          <w:pPr>
            <w:pStyle w:val="TOC2"/>
            <w:tabs>
              <w:tab w:val="right" w:leader="dot" w:pos="9350"/>
            </w:tabs>
            <w:spacing w:line="360" w:lineRule="auto"/>
            <w:rPr>
              <w:rFonts w:asciiTheme="minorBidi" w:eastAsiaTheme="minorEastAsia" w:hAnsiTheme="minorBidi"/>
              <w:noProof/>
              <w:kern w:val="2"/>
              <w:sz w:val="28"/>
              <w:szCs w:val="28"/>
              <w:lang w:val="en-US"/>
              <w14:ligatures w14:val="standardContextual"/>
            </w:rPr>
          </w:pPr>
          <w:hyperlink w:anchor="_Toc242879938" w:history="1">
            <w:r w:rsidR="00725003" w:rsidRPr="00725003">
              <w:rPr>
                <w:rStyle w:val="Hyperlink"/>
                <w:rFonts w:asciiTheme="minorBidi" w:hAnsiTheme="minorBidi"/>
                <w:noProof/>
                <w:sz w:val="28"/>
                <w:szCs w:val="28"/>
              </w:rPr>
              <w:t>3.2 Personal Capability Development Plan</w:t>
            </w:r>
            <w:r w:rsidR="00725003" w:rsidRPr="00725003">
              <w:rPr>
                <w:rFonts w:asciiTheme="minorBidi" w:hAnsiTheme="minorBidi"/>
                <w:noProof/>
                <w:webHidden/>
                <w:sz w:val="28"/>
                <w:szCs w:val="28"/>
              </w:rPr>
              <w:tab/>
            </w:r>
            <w:r w:rsidR="00725003" w:rsidRPr="00725003">
              <w:rPr>
                <w:rFonts w:asciiTheme="minorBidi" w:hAnsiTheme="minorBidi"/>
                <w:noProof/>
                <w:webHidden/>
                <w:sz w:val="28"/>
                <w:szCs w:val="28"/>
              </w:rPr>
              <w:fldChar w:fldCharType="begin"/>
            </w:r>
            <w:r w:rsidR="00725003" w:rsidRPr="00725003">
              <w:rPr>
                <w:rFonts w:asciiTheme="minorBidi" w:hAnsiTheme="minorBidi"/>
                <w:noProof/>
                <w:webHidden/>
                <w:sz w:val="28"/>
                <w:szCs w:val="28"/>
              </w:rPr>
              <w:instrText xml:space="preserve"> PAGEREF _Toc242879938 \h </w:instrText>
            </w:r>
            <w:r w:rsidR="00725003" w:rsidRPr="00725003">
              <w:rPr>
                <w:rFonts w:asciiTheme="minorBidi" w:hAnsiTheme="minorBidi"/>
                <w:noProof/>
                <w:webHidden/>
                <w:sz w:val="28"/>
                <w:szCs w:val="28"/>
              </w:rPr>
            </w:r>
            <w:r w:rsidR="00725003" w:rsidRPr="00725003">
              <w:rPr>
                <w:rFonts w:asciiTheme="minorBidi" w:hAnsiTheme="minorBidi"/>
                <w:noProof/>
                <w:webHidden/>
                <w:sz w:val="28"/>
                <w:szCs w:val="28"/>
              </w:rPr>
              <w:fldChar w:fldCharType="separate"/>
            </w:r>
            <w:r w:rsidR="00725003" w:rsidRPr="00725003">
              <w:rPr>
                <w:rFonts w:asciiTheme="minorBidi" w:hAnsiTheme="minorBidi"/>
                <w:noProof/>
                <w:webHidden/>
                <w:sz w:val="28"/>
                <w:szCs w:val="28"/>
              </w:rPr>
              <w:t>13</w:t>
            </w:r>
            <w:r w:rsidR="00725003" w:rsidRPr="00725003">
              <w:rPr>
                <w:rFonts w:asciiTheme="minorBidi" w:hAnsiTheme="minorBidi"/>
                <w:noProof/>
                <w:webHidden/>
                <w:sz w:val="28"/>
                <w:szCs w:val="28"/>
              </w:rPr>
              <w:fldChar w:fldCharType="end"/>
            </w:r>
          </w:hyperlink>
        </w:p>
        <w:p w14:paraId="517A4C67" w14:textId="6FAC5641" w:rsidR="00725003" w:rsidRPr="00725003" w:rsidRDefault="00BD0D20" w:rsidP="00725003">
          <w:pPr>
            <w:pStyle w:val="TOC1"/>
            <w:tabs>
              <w:tab w:val="right" w:leader="dot" w:pos="9350"/>
            </w:tabs>
            <w:spacing w:line="360" w:lineRule="auto"/>
            <w:rPr>
              <w:rFonts w:asciiTheme="minorBidi" w:eastAsiaTheme="minorEastAsia" w:hAnsiTheme="minorBidi"/>
              <w:noProof/>
              <w:kern w:val="2"/>
              <w:sz w:val="28"/>
              <w:szCs w:val="28"/>
              <w:lang w:val="en-US"/>
              <w14:ligatures w14:val="standardContextual"/>
            </w:rPr>
          </w:pPr>
          <w:hyperlink w:anchor="_Toc242879939" w:history="1">
            <w:r w:rsidR="00725003" w:rsidRPr="00725003">
              <w:rPr>
                <w:rStyle w:val="Hyperlink"/>
                <w:rFonts w:asciiTheme="minorBidi" w:hAnsiTheme="minorBidi"/>
                <w:noProof/>
                <w:sz w:val="28"/>
                <w:szCs w:val="28"/>
              </w:rPr>
              <w:t>References</w:t>
            </w:r>
            <w:r w:rsidR="00725003" w:rsidRPr="00725003">
              <w:rPr>
                <w:rFonts w:asciiTheme="minorBidi" w:hAnsiTheme="minorBidi"/>
                <w:noProof/>
                <w:webHidden/>
                <w:sz w:val="28"/>
                <w:szCs w:val="28"/>
              </w:rPr>
              <w:tab/>
            </w:r>
            <w:r w:rsidR="00725003" w:rsidRPr="00725003">
              <w:rPr>
                <w:rFonts w:asciiTheme="minorBidi" w:hAnsiTheme="minorBidi"/>
                <w:noProof/>
                <w:webHidden/>
                <w:sz w:val="28"/>
                <w:szCs w:val="28"/>
              </w:rPr>
              <w:fldChar w:fldCharType="begin"/>
            </w:r>
            <w:r w:rsidR="00725003" w:rsidRPr="00725003">
              <w:rPr>
                <w:rFonts w:asciiTheme="minorBidi" w:hAnsiTheme="minorBidi"/>
                <w:noProof/>
                <w:webHidden/>
                <w:sz w:val="28"/>
                <w:szCs w:val="28"/>
              </w:rPr>
              <w:instrText xml:space="preserve"> PAGEREF _Toc242879939 \h </w:instrText>
            </w:r>
            <w:r w:rsidR="00725003" w:rsidRPr="00725003">
              <w:rPr>
                <w:rFonts w:asciiTheme="minorBidi" w:hAnsiTheme="minorBidi"/>
                <w:noProof/>
                <w:webHidden/>
                <w:sz w:val="28"/>
                <w:szCs w:val="28"/>
              </w:rPr>
            </w:r>
            <w:r w:rsidR="00725003" w:rsidRPr="00725003">
              <w:rPr>
                <w:rFonts w:asciiTheme="minorBidi" w:hAnsiTheme="minorBidi"/>
                <w:noProof/>
                <w:webHidden/>
                <w:sz w:val="28"/>
                <w:szCs w:val="28"/>
              </w:rPr>
              <w:fldChar w:fldCharType="separate"/>
            </w:r>
            <w:r w:rsidR="00725003" w:rsidRPr="00725003">
              <w:rPr>
                <w:rFonts w:asciiTheme="minorBidi" w:hAnsiTheme="minorBidi"/>
                <w:noProof/>
                <w:webHidden/>
                <w:sz w:val="28"/>
                <w:szCs w:val="28"/>
              </w:rPr>
              <w:t>14</w:t>
            </w:r>
            <w:r w:rsidR="00725003" w:rsidRPr="00725003">
              <w:rPr>
                <w:rFonts w:asciiTheme="minorBidi" w:hAnsiTheme="minorBidi"/>
                <w:noProof/>
                <w:webHidden/>
                <w:sz w:val="28"/>
                <w:szCs w:val="28"/>
              </w:rPr>
              <w:fldChar w:fldCharType="end"/>
            </w:r>
          </w:hyperlink>
        </w:p>
        <w:p w14:paraId="703DEFBD" w14:textId="5BD1E0AF" w:rsidR="009B565E" w:rsidRPr="00725003" w:rsidRDefault="009B565E" w:rsidP="00725003">
          <w:pPr>
            <w:spacing w:line="360" w:lineRule="auto"/>
            <w:jc w:val="both"/>
            <w:rPr>
              <w:rFonts w:asciiTheme="minorBidi" w:hAnsiTheme="minorBidi"/>
              <w:sz w:val="28"/>
              <w:szCs w:val="28"/>
            </w:rPr>
          </w:pPr>
          <w:r w:rsidRPr="00725003">
            <w:rPr>
              <w:rFonts w:asciiTheme="minorBidi" w:hAnsiTheme="minorBidi"/>
              <w:b/>
              <w:bCs/>
              <w:sz w:val="28"/>
              <w:szCs w:val="28"/>
            </w:rPr>
            <w:fldChar w:fldCharType="end"/>
          </w:r>
        </w:p>
      </w:sdtContent>
    </w:sdt>
    <w:p w14:paraId="6F3C9E79" w14:textId="5B84B7F4" w:rsidR="009B565E" w:rsidRPr="00725003" w:rsidRDefault="009B565E" w:rsidP="00725003">
      <w:pPr>
        <w:spacing w:line="360" w:lineRule="auto"/>
        <w:rPr>
          <w:rFonts w:asciiTheme="minorBidi" w:eastAsiaTheme="majorEastAsia" w:hAnsiTheme="minorBidi"/>
          <w:b/>
          <w:color w:val="1F3864" w:themeColor="accent1" w:themeShade="80"/>
          <w:sz w:val="28"/>
          <w:szCs w:val="28"/>
        </w:rPr>
      </w:pPr>
      <w:r w:rsidRPr="00725003">
        <w:rPr>
          <w:rFonts w:asciiTheme="minorBidi" w:hAnsiTheme="minorBidi"/>
          <w:sz w:val="28"/>
          <w:szCs w:val="28"/>
        </w:rPr>
        <w:br w:type="page"/>
      </w:r>
    </w:p>
    <w:p w14:paraId="252D1390" w14:textId="6FB43405" w:rsidR="00576507" w:rsidRPr="006E14AF" w:rsidRDefault="00576507" w:rsidP="009B565E">
      <w:pPr>
        <w:pStyle w:val="Heading1"/>
      </w:pPr>
      <w:bookmarkStart w:id="1" w:name="_Toc242879929"/>
      <w:r w:rsidRPr="006E14AF">
        <w:t>Introduction</w:t>
      </w:r>
      <w:bookmarkEnd w:id="0"/>
      <w:bookmarkEnd w:id="1"/>
    </w:p>
    <w:p w14:paraId="13521CC1" w14:textId="7B4E4827" w:rsidR="005B36EE" w:rsidRPr="006E14AF" w:rsidRDefault="006E14AF" w:rsidP="006E14AF">
      <w:pPr>
        <w:spacing w:line="360" w:lineRule="auto"/>
        <w:jc w:val="both"/>
        <w:rPr>
          <w:rFonts w:ascii="Arial" w:hAnsi="Arial" w:cs="Arial"/>
          <w:sz w:val="24"/>
          <w:szCs w:val="24"/>
        </w:rPr>
      </w:pPr>
      <w:r w:rsidRPr="006E14AF">
        <w:rPr>
          <w:rFonts w:ascii="Arial" w:hAnsi="Arial" w:cs="Arial"/>
          <w:sz w:val="24"/>
          <w:szCs w:val="24"/>
        </w:rPr>
        <w:t xml:space="preserve">NexSpace Health Systems (NHSX) operates within a rapidly evolving digital healthcare environment, where organisational success increasingly depends on the effective integration of people, technology and innovative working practices. </w:t>
      </w:r>
      <w:r w:rsidR="005B36EE" w:rsidRPr="006E14AF">
        <w:rPr>
          <w:rStyle w:val="cursor-pointer"/>
          <w:rFonts w:ascii="Arial" w:hAnsi="Arial" w:cs="Arial"/>
          <w:sz w:val="24"/>
          <w:szCs w:val="24"/>
        </w:rPr>
        <w:t>Its growth throughout the United Kingdom, India and the United Arab Emirates, as well as its investment in artificial intelligence (AI), have opened doors for innovation and posed a huge challenge to its workforce.</w:t>
      </w:r>
      <w:r w:rsidR="005B36EE" w:rsidRPr="006E14AF">
        <w:rPr>
          <w:rFonts w:ascii="Arial" w:hAnsi="Arial" w:cs="Arial"/>
          <w:sz w:val="24"/>
          <w:szCs w:val="24"/>
        </w:rPr>
        <w:t xml:space="preserve"> </w:t>
      </w:r>
      <w:r w:rsidR="005B36EE" w:rsidRPr="006E14AF">
        <w:rPr>
          <w:rStyle w:val="cursor-pointer"/>
          <w:rFonts w:ascii="Arial" w:hAnsi="Arial" w:cs="Arial"/>
          <w:sz w:val="24"/>
          <w:szCs w:val="24"/>
        </w:rPr>
        <w:t>Innovation can be supported by flexible working if it is given the right opportunities and coordination, whereas traditional hierarchical structures can limit decision making and employee involvement (Jiang et al., 2023).</w:t>
      </w:r>
      <w:r w:rsidR="005B36EE" w:rsidRPr="006E14AF">
        <w:rPr>
          <w:rFonts w:ascii="Arial" w:hAnsi="Arial" w:cs="Arial"/>
          <w:sz w:val="24"/>
          <w:szCs w:val="24"/>
        </w:rPr>
        <w:t xml:space="preserve"> </w:t>
      </w:r>
      <w:r w:rsidR="005B36EE" w:rsidRPr="006E14AF">
        <w:rPr>
          <w:rStyle w:val="cursor-pointer"/>
          <w:rFonts w:ascii="Arial" w:hAnsi="Arial" w:cs="Arial"/>
          <w:sz w:val="24"/>
          <w:szCs w:val="24"/>
        </w:rPr>
        <w:t>However, there is emerging evidence that uncoordinated hybrid working can have a negative impact on collaboration and innovative activity (Gibbs et al., 2024).</w:t>
      </w:r>
      <w:r w:rsidR="005B36EE" w:rsidRPr="006E14AF">
        <w:rPr>
          <w:rFonts w:ascii="Arial" w:hAnsi="Arial" w:cs="Arial"/>
          <w:sz w:val="24"/>
          <w:szCs w:val="24"/>
        </w:rPr>
        <w:t xml:space="preserve"> </w:t>
      </w:r>
      <w:r w:rsidR="005B36EE" w:rsidRPr="006E14AF">
        <w:rPr>
          <w:rStyle w:val="cursor-pointer"/>
          <w:rFonts w:ascii="Arial" w:hAnsi="Arial" w:cs="Arial"/>
          <w:sz w:val="24"/>
          <w:szCs w:val="24"/>
        </w:rPr>
        <w:t>NHSX will need to reimagine work and enhance employee development, wellbeing and retention.</w:t>
      </w:r>
      <w:r w:rsidR="005B36EE" w:rsidRPr="006E14AF">
        <w:rPr>
          <w:rFonts w:ascii="Arial" w:hAnsi="Arial" w:cs="Arial"/>
          <w:sz w:val="24"/>
          <w:szCs w:val="24"/>
        </w:rPr>
        <w:t xml:space="preserve"> </w:t>
      </w:r>
    </w:p>
    <w:p w14:paraId="4D544664" w14:textId="49BBC543" w:rsidR="00576507" w:rsidRPr="006E14AF" w:rsidRDefault="005B36EE" w:rsidP="0017648D">
      <w:pPr>
        <w:spacing w:line="360" w:lineRule="auto"/>
        <w:jc w:val="both"/>
        <w:rPr>
          <w:rFonts w:ascii="Arial" w:hAnsi="Arial" w:cs="Arial"/>
          <w:sz w:val="24"/>
          <w:szCs w:val="24"/>
        </w:rPr>
      </w:pPr>
      <w:r w:rsidRPr="006E14AF">
        <w:rPr>
          <w:rStyle w:val="cursor-pointer"/>
          <w:rFonts w:ascii="Arial" w:hAnsi="Arial" w:cs="Arial"/>
          <w:sz w:val="24"/>
          <w:szCs w:val="24"/>
        </w:rPr>
        <w:t>This report critically assesses the current working practices and is used to establish a strategic talent environment for NHSX.</w:t>
      </w:r>
      <w:r w:rsidRPr="006E14AF">
        <w:rPr>
          <w:rFonts w:ascii="Arial" w:hAnsi="Arial" w:cs="Arial"/>
          <w:sz w:val="24"/>
          <w:szCs w:val="24"/>
        </w:rPr>
        <w:t xml:space="preserve"> </w:t>
      </w:r>
      <w:r w:rsidRPr="006E14AF">
        <w:rPr>
          <w:rStyle w:val="cursor-pointer"/>
          <w:rFonts w:ascii="Arial" w:hAnsi="Arial" w:cs="Arial"/>
          <w:sz w:val="24"/>
          <w:szCs w:val="24"/>
        </w:rPr>
        <w:t>Task A looks at agile, hybrid and flexible working, autonomy and collaboration of employees.</w:t>
      </w:r>
      <w:r w:rsidRPr="006E14AF">
        <w:rPr>
          <w:rFonts w:ascii="Arial" w:hAnsi="Arial" w:cs="Arial"/>
          <w:sz w:val="24"/>
          <w:szCs w:val="24"/>
        </w:rPr>
        <w:t xml:space="preserve"> </w:t>
      </w:r>
      <w:r w:rsidRPr="006E14AF">
        <w:rPr>
          <w:rStyle w:val="cursor-pointer"/>
          <w:rFonts w:ascii="Arial" w:hAnsi="Arial" w:cs="Arial"/>
          <w:sz w:val="24"/>
          <w:szCs w:val="24"/>
        </w:rPr>
        <w:t>Task B develops a talent growth strategy based on learning, psychological safety and employee development.</w:t>
      </w:r>
      <w:r w:rsidRPr="006E14AF">
        <w:rPr>
          <w:rFonts w:ascii="Arial" w:hAnsi="Arial" w:cs="Arial"/>
          <w:sz w:val="24"/>
          <w:szCs w:val="24"/>
        </w:rPr>
        <w:t xml:space="preserve"> </w:t>
      </w:r>
      <w:r w:rsidRPr="006E14AF">
        <w:rPr>
          <w:rStyle w:val="cursor-pointer"/>
          <w:rFonts w:ascii="Arial" w:hAnsi="Arial" w:cs="Arial"/>
          <w:sz w:val="24"/>
          <w:szCs w:val="24"/>
        </w:rPr>
        <w:t>Task C is a reflection on AI and professional skills and employability</w:t>
      </w:r>
      <w:r w:rsidR="00576507" w:rsidRPr="006E14AF">
        <w:rPr>
          <w:rFonts w:ascii="Arial" w:hAnsi="Arial" w:cs="Arial"/>
          <w:sz w:val="24"/>
          <w:szCs w:val="24"/>
        </w:rPr>
        <w:t>.</w:t>
      </w:r>
    </w:p>
    <w:p w14:paraId="13FF1800" w14:textId="12E4541F" w:rsidR="003735EA" w:rsidRPr="006E14AF" w:rsidRDefault="003735EA" w:rsidP="00D47BD6">
      <w:pPr>
        <w:pStyle w:val="Heading1"/>
        <w:numPr>
          <w:ilvl w:val="0"/>
          <w:numId w:val="1"/>
        </w:numPr>
      </w:pPr>
      <w:bookmarkStart w:id="2" w:name="_Toc242214923"/>
      <w:bookmarkStart w:id="3" w:name="_Toc242879930"/>
      <w:r w:rsidRPr="006E14AF">
        <w:t>TASK A: Designing Innovative Working Practices</w:t>
      </w:r>
      <w:bookmarkEnd w:id="2"/>
      <w:bookmarkEnd w:id="3"/>
    </w:p>
    <w:p w14:paraId="35C0BE26" w14:textId="33F0ABCA" w:rsidR="005B36EE" w:rsidRPr="006E14AF" w:rsidRDefault="005B36EE" w:rsidP="0017648D">
      <w:pPr>
        <w:spacing w:line="360" w:lineRule="auto"/>
        <w:jc w:val="both"/>
        <w:rPr>
          <w:rFonts w:ascii="Arial" w:hAnsi="Arial" w:cs="Arial"/>
          <w:sz w:val="24"/>
          <w:szCs w:val="24"/>
        </w:rPr>
      </w:pPr>
      <w:r w:rsidRPr="006E14AF">
        <w:rPr>
          <w:rStyle w:val="cursor-pointer"/>
          <w:rFonts w:ascii="Arial" w:hAnsi="Arial" w:cs="Arial"/>
          <w:sz w:val="24"/>
          <w:szCs w:val="24"/>
        </w:rPr>
        <w:t>The necessity to make swift decisions and innovate has grown as NexSpace Health Systems (NHSX) expands globally and invests in AI, necessitating a redesign of working practices.</w:t>
      </w:r>
      <w:r w:rsidRPr="006E14AF">
        <w:rPr>
          <w:rFonts w:ascii="Arial" w:hAnsi="Arial" w:cs="Arial"/>
          <w:sz w:val="24"/>
          <w:szCs w:val="24"/>
        </w:rPr>
        <w:t xml:space="preserve"> </w:t>
      </w:r>
      <w:r w:rsidRPr="006E14AF">
        <w:rPr>
          <w:rStyle w:val="cursor-pointer"/>
          <w:rFonts w:ascii="Arial" w:hAnsi="Arial" w:cs="Arial"/>
          <w:sz w:val="24"/>
          <w:szCs w:val="24"/>
        </w:rPr>
        <w:t xml:space="preserve">While traditional work design offers control and responsibilities, too much hierarchy can </w:t>
      </w:r>
      <w:r w:rsidR="0015690D" w:rsidRPr="006E14AF">
        <w:rPr>
          <w:rStyle w:val="cursor-pointer"/>
          <w:rFonts w:ascii="Arial" w:hAnsi="Arial" w:cs="Arial"/>
          <w:sz w:val="24"/>
          <w:szCs w:val="24"/>
        </w:rPr>
        <w:t>impede</w:t>
      </w:r>
      <w:r w:rsidRPr="006E14AF">
        <w:rPr>
          <w:rStyle w:val="cursor-pointer"/>
          <w:rFonts w:ascii="Arial" w:hAnsi="Arial" w:cs="Arial"/>
          <w:sz w:val="24"/>
          <w:szCs w:val="24"/>
        </w:rPr>
        <w:t xml:space="preserve"> employee involvement and response time.</w:t>
      </w:r>
      <w:r w:rsidRPr="006E14AF">
        <w:rPr>
          <w:rFonts w:ascii="Arial" w:hAnsi="Arial" w:cs="Arial"/>
          <w:sz w:val="24"/>
          <w:szCs w:val="24"/>
        </w:rPr>
        <w:t xml:space="preserve"> </w:t>
      </w:r>
      <w:r w:rsidRPr="006E14AF">
        <w:rPr>
          <w:rStyle w:val="cursor-pointer"/>
          <w:rFonts w:ascii="Arial" w:hAnsi="Arial" w:cs="Arial"/>
          <w:sz w:val="24"/>
          <w:szCs w:val="24"/>
        </w:rPr>
        <w:t>Autonomy, cooperation, flexibility and adaptability are all highlighted as key factors in contemporary approaches.</w:t>
      </w:r>
      <w:r w:rsidRPr="006E14AF">
        <w:rPr>
          <w:rFonts w:ascii="Arial" w:hAnsi="Arial" w:cs="Arial"/>
          <w:sz w:val="24"/>
          <w:szCs w:val="24"/>
        </w:rPr>
        <w:t xml:space="preserve"> </w:t>
      </w:r>
      <w:r w:rsidRPr="006E14AF">
        <w:rPr>
          <w:rStyle w:val="cursor-pointer"/>
          <w:rFonts w:ascii="Arial" w:hAnsi="Arial" w:cs="Arial"/>
          <w:sz w:val="24"/>
          <w:szCs w:val="24"/>
        </w:rPr>
        <w:t>What NHSX is not looking to do is to take away structure, but to mix in employee engagement and team decision-making.</w:t>
      </w:r>
      <w:r w:rsidRPr="006E14AF">
        <w:rPr>
          <w:rFonts w:ascii="Arial" w:hAnsi="Arial" w:cs="Arial"/>
          <w:sz w:val="24"/>
          <w:szCs w:val="24"/>
        </w:rPr>
        <w:t xml:space="preserve"> </w:t>
      </w:r>
    </w:p>
    <w:p w14:paraId="1A519C41" w14:textId="77777777" w:rsidR="006E14AF" w:rsidRPr="006E14AF" w:rsidRDefault="006E14AF" w:rsidP="0017648D">
      <w:pPr>
        <w:spacing w:line="360" w:lineRule="auto"/>
        <w:jc w:val="both"/>
        <w:rPr>
          <w:rFonts w:ascii="Arial" w:hAnsi="Arial" w:cs="Arial"/>
          <w:sz w:val="24"/>
          <w:szCs w:val="24"/>
        </w:rPr>
      </w:pPr>
    </w:p>
    <w:p w14:paraId="44FBEEB4" w14:textId="716F0493" w:rsidR="003735EA" w:rsidRPr="006E14AF" w:rsidRDefault="00D47BD6" w:rsidP="009B565E">
      <w:pPr>
        <w:pStyle w:val="Heading2"/>
      </w:pPr>
      <w:bookmarkStart w:id="4" w:name="_Toc242214924"/>
      <w:bookmarkStart w:id="5" w:name="_Toc242879931"/>
      <w:r>
        <w:t xml:space="preserve">1.1 </w:t>
      </w:r>
      <w:r w:rsidR="003735EA" w:rsidRPr="006E14AF">
        <w:t>Critical Evaluation of Traditional and Contemporary Work Design</w:t>
      </w:r>
      <w:bookmarkEnd w:id="4"/>
      <w:bookmarkEnd w:id="5"/>
    </w:p>
    <w:p w14:paraId="2192223E" w14:textId="30AF7BB9" w:rsidR="00D47BD6" w:rsidRPr="00D47BD6" w:rsidRDefault="005B36EE" w:rsidP="00D47BD6">
      <w:pPr>
        <w:spacing w:line="360" w:lineRule="auto"/>
        <w:jc w:val="both"/>
        <w:rPr>
          <w:rFonts w:ascii="Arial" w:hAnsi="Arial" w:cs="Arial"/>
          <w:sz w:val="24"/>
          <w:szCs w:val="24"/>
        </w:rPr>
      </w:pPr>
      <w:r w:rsidRPr="006E14AF">
        <w:rPr>
          <w:rStyle w:val="cursor-pointer"/>
          <w:rFonts w:ascii="Arial" w:hAnsi="Arial" w:cs="Arial"/>
          <w:sz w:val="24"/>
          <w:szCs w:val="24"/>
        </w:rPr>
        <w:t>Traditional work design is based on the principle of a hierarchy of authority and distinct roles, as well as centralised decision making.</w:t>
      </w:r>
      <w:r w:rsidRPr="006E14AF">
        <w:rPr>
          <w:rFonts w:ascii="Arial" w:hAnsi="Arial" w:cs="Arial"/>
          <w:sz w:val="24"/>
          <w:szCs w:val="24"/>
        </w:rPr>
        <w:t xml:space="preserve"> </w:t>
      </w:r>
      <w:r w:rsidRPr="006E14AF">
        <w:rPr>
          <w:rStyle w:val="cursor-pointer"/>
          <w:rFonts w:ascii="Arial" w:hAnsi="Arial" w:cs="Arial"/>
          <w:sz w:val="24"/>
          <w:szCs w:val="24"/>
        </w:rPr>
        <w:t>Consistency and accountability are important, as NHSX will need to take clinical quality, data protection and regulation into account, as these arrangements do.</w:t>
      </w:r>
      <w:r w:rsidRPr="006E14AF">
        <w:rPr>
          <w:rFonts w:ascii="Arial" w:hAnsi="Arial" w:cs="Arial"/>
          <w:sz w:val="24"/>
          <w:szCs w:val="24"/>
        </w:rPr>
        <w:t xml:space="preserve"> </w:t>
      </w:r>
      <w:r w:rsidR="00D47BD6" w:rsidRPr="006E14AF">
        <w:rPr>
          <w:rStyle w:val="cursor-pointer"/>
          <w:rFonts w:ascii="Arial" w:hAnsi="Arial" w:cs="Arial"/>
          <w:sz w:val="24"/>
          <w:szCs w:val="24"/>
        </w:rPr>
        <w:t>But</w:t>
      </w:r>
      <w:r w:rsidRPr="006E14AF">
        <w:rPr>
          <w:rStyle w:val="cursor-pointer"/>
          <w:rFonts w:ascii="Arial" w:hAnsi="Arial" w:cs="Arial"/>
          <w:sz w:val="24"/>
          <w:szCs w:val="24"/>
        </w:rPr>
        <w:t xml:space="preserve"> too much managerial oversight can stifle the use of special knowledge and experimentation.</w:t>
      </w:r>
      <w:r w:rsidRPr="006E14AF">
        <w:rPr>
          <w:rFonts w:ascii="Arial" w:hAnsi="Arial" w:cs="Arial"/>
          <w:sz w:val="24"/>
          <w:szCs w:val="24"/>
        </w:rPr>
        <w:t xml:space="preserve"> </w:t>
      </w:r>
      <w:r w:rsidRPr="006E14AF">
        <w:rPr>
          <w:rStyle w:val="cursor-pointer"/>
          <w:rFonts w:ascii="Arial" w:hAnsi="Arial" w:cs="Arial"/>
          <w:sz w:val="24"/>
          <w:szCs w:val="24"/>
        </w:rPr>
        <w:t>This is an issue because NHSX is reliant on specialist digital expertise.</w:t>
      </w:r>
      <w:r w:rsidR="00D47BD6">
        <w:rPr>
          <w:rStyle w:val="cursor-pointer"/>
          <w:rFonts w:ascii="Arial" w:hAnsi="Arial" w:cs="Arial"/>
          <w:sz w:val="24"/>
          <w:szCs w:val="24"/>
        </w:rPr>
        <w:t xml:space="preserve"> </w:t>
      </w:r>
      <w:r w:rsidR="00D47BD6" w:rsidRPr="00D47BD6">
        <w:rPr>
          <w:rFonts w:ascii="Arial" w:hAnsi="Arial" w:cs="Arial"/>
          <w:sz w:val="24"/>
          <w:szCs w:val="24"/>
          <w:lang w:val="en-US"/>
        </w:rPr>
        <w:t>The main differences between traditional and contemporary work design are summarised in Table 1.</w:t>
      </w:r>
    </w:p>
    <w:p w14:paraId="1F4DFFD1" w14:textId="614F64BF" w:rsidR="00D47BD6" w:rsidRDefault="00D47BD6" w:rsidP="00D47BD6">
      <w:pPr>
        <w:spacing w:line="360" w:lineRule="auto"/>
        <w:jc w:val="both"/>
        <w:rPr>
          <w:rStyle w:val="cursor-pointer"/>
          <w:rFonts w:ascii="Arial" w:hAnsi="Arial" w:cs="Arial"/>
          <w:b/>
          <w:bCs/>
          <w:sz w:val="24"/>
          <w:szCs w:val="24"/>
          <w:u w:val="single"/>
        </w:rPr>
      </w:pPr>
      <w:r w:rsidRPr="00D47BD6">
        <w:rPr>
          <w:rFonts w:ascii="Arial" w:hAnsi="Arial" w:cs="Arial"/>
          <w:b/>
          <w:bCs/>
          <w:sz w:val="24"/>
          <w:szCs w:val="24"/>
          <w:u w:val="single"/>
        </w:rPr>
        <w:t>Table 1: Comparison of Traditional and Contemporary Work Design</w:t>
      </w:r>
    </w:p>
    <w:p w14:paraId="08299B15" w14:textId="511EA287" w:rsidR="00D47BD6" w:rsidRDefault="00D47BD6" w:rsidP="00D47BD6">
      <w:pPr>
        <w:spacing w:line="360" w:lineRule="auto"/>
        <w:jc w:val="both"/>
        <w:rPr>
          <w:rStyle w:val="cursor-pointer"/>
          <w:rFonts w:ascii="Arial" w:hAnsi="Arial" w:cs="Arial"/>
          <w:b/>
          <w:bCs/>
          <w:sz w:val="24"/>
          <w:szCs w:val="24"/>
          <w:u w:val="single"/>
        </w:rPr>
      </w:pPr>
      <w:r w:rsidRPr="00D47BD6">
        <w:rPr>
          <w:rStyle w:val="cursor-pointer"/>
          <w:rFonts w:ascii="Arial" w:hAnsi="Arial" w:cs="Arial"/>
          <w:b/>
          <w:bCs/>
          <w:noProof/>
          <w:sz w:val="24"/>
          <w:szCs w:val="24"/>
          <w:lang w:eastAsia="en-GB"/>
        </w:rPr>
        <w:drawing>
          <wp:inline distT="0" distB="0" distL="0" distR="0" wp14:anchorId="056E8D19" wp14:editId="3B252A34">
            <wp:extent cx="6096000" cy="3505200"/>
            <wp:effectExtent l="0" t="0" r="0" b="0"/>
            <wp:docPr id="3453142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563" t="5190" r="-1563" b="8018"/>
                    <a:stretch>
                      <a:fillRect/>
                    </a:stretch>
                  </pic:blipFill>
                  <pic:spPr bwMode="auto">
                    <a:xfrm>
                      <a:off x="0" y="0"/>
                      <a:ext cx="6096000" cy="3505200"/>
                    </a:xfrm>
                    <a:prstGeom prst="rect">
                      <a:avLst/>
                    </a:prstGeom>
                    <a:noFill/>
                    <a:ln>
                      <a:noFill/>
                    </a:ln>
                    <a:extLst>
                      <a:ext uri="{53640926-AAD7-44D8-BBD7-CCE9431645EC}">
                        <a14:shadowObscured xmlns:a14="http://schemas.microsoft.com/office/drawing/2010/main"/>
                      </a:ext>
                    </a:extLst>
                  </pic:spPr>
                </pic:pic>
              </a:graphicData>
            </a:graphic>
          </wp:inline>
        </w:drawing>
      </w:r>
    </w:p>
    <w:p w14:paraId="44CF7301" w14:textId="0D3D6A05" w:rsidR="00D47BD6" w:rsidRPr="00D47BD6" w:rsidRDefault="00D47BD6" w:rsidP="00D47BD6">
      <w:pPr>
        <w:spacing w:line="360" w:lineRule="auto"/>
        <w:jc w:val="both"/>
        <w:rPr>
          <w:rStyle w:val="cursor-pointer"/>
          <w:rFonts w:ascii="Arial" w:hAnsi="Arial" w:cs="Arial"/>
          <w:i/>
          <w:iCs/>
          <w:sz w:val="24"/>
          <w:szCs w:val="24"/>
        </w:rPr>
      </w:pPr>
      <w:r w:rsidRPr="00D47BD6">
        <w:rPr>
          <w:rFonts w:ascii="Arial" w:hAnsi="Arial" w:cs="Arial"/>
          <w:i/>
          <w:iCs/>
          <w:sz w:val="24"/>
          <w:szCs w:val="24"/>
        </w:rPr>
        <w:t>Source: Author’s own table, informed by Kaushik and Mukherjee (2022), Nguyen et al. (2024), Gibbs, Mengel and Siemroth (2024), and Steegh et al. (2025).</w:t>
      </w:r>
    </w:p>
    <w:p w14:paraId="31A7523F" w14:textId="77777777" w:rsidR="005B36EE" w:rsidRPr="006E14AF" w:rsidRDefault="005B36EE" w:rsidP="0017648D">
      <w:pPr>
        <w:spacing w:line="360" w:lineRule="auto"/>
        <w:jc w:val="both"/>
        <w:rPr>
          <w:rStyle w:val="cursor-pointer"/>
          <w:rFonts w:ascii="Arial" w:hAnsi="Arial" w:cs="Arial"/>
          <w:sz w:val="24"/>
          <w:szCs w:val="24"/>
        </w:rPr>
      </w:pPr>
      <w:r w:rsidRPr="006E14AF">
        <w:rPr>
          <w:rStyle w:val="cursor-pointer"/>
          <w:rFonts w:ascii="Arial" w:hAnsi="Arial" w:cs="Arial"/>
          <w:sz w:val="24"/>
          <w:szCs w:val="24"/>
        </w:rPr>
        <w:t xml:space="preserve">The </w:t>
      </w:r>
      <w:r w:rsidRPr="006E14AF">
        <w:rPr>
          <w:rStyle w:val="cursor-pointer"/>
          <w:rFonts w:ascii="Arial" w:hAnsi="Arial" w:cs="Arial"/>
          <w:b/>
          <w:sz w:val="24"/>
          <w:szCs w:val="24"/>
        </w:rPr>
        <w:t>High-Performance Work System (HPWS)</w:t>
      </w:r>
      <w:r w:rsidRPr="006E14AF">
        <w:rPr>
          <w:rStyle w:val="cursor-pointer"/>
          <w:rFonts w:ascii="Arial" w:hAnsi="Arial" w:cs="Arial"/>
          <w:sz w:val="24"/>
          <w:szCs w:val="24"/>
        </w:rPr>
        <w:t xml:space="preserve"> joins employee development, performance management, training, recruitment and involvement to enhance the capacity of organisations.</w:t>
      </w:r>
      <w:r w:rsidRPr="006E14AF">
        <w:rPr>
          <w:rFonts w:ascii="Arial" w:hAnsi="Arial" w:cs="Arial"/>
          <w:sz w:val="24"/>
          <w:szCs w:val="24"/>
        </w:rPr>
        <w:t xml:space="preserve"> </w:t>
      </w:r>
      <w:r w:rsidRPr="006E14AF">
        <w:rPr>
          <w:rStyle w:val="cursor-pointer"/>
          <w:rFonts w:ascii="Arial" w:hAnsi="Arial" w:cs="Arial"/>
          <w:sz w:val="24"/>
          <w:szCs w:val="24"/>
        </w:rPr>
        <w:t>Agility and technology adoption have been identified as new traits of HPWS, but the effect of these traits on outcomes is contingent on the congruence of HR practices and employees' needs (Kaushik and Mukherjee, 2022).</w:t>
      </w:r>
      <w:r w:rsidRPr="006E14AF">
        <w:rPr>
          <w:rFonts w:ascii="Arial" w:hAnsi="Arial" w:cs="Arial"/>
          <w:sz w:val="24"/>
          <w:szCs w:val="24"/>
        </w:rPr>
        <w:t xml:space="preserve"> </w:t>
      </w:r>
      <w:r w:rsidRPr="006E14AF">
        <w:rPr>
          <w:rStyle w:val="cursor-pointer"/>
          <w:rFonts w:ascii="Arial" w:hAnsi="Arial" w:cs="Arial"/>
          <w:sz w:val="24"/>
          <w:szCs w:val="24"/>
        </w:rPr>
        <w:t>NHSX can enhance capability via training and development using HPWS.</w:t>
      </w:r>
      <w:r w:rsidRPr="006E14AF">
        <w:rPr>
          <w:rFonts w:ascii="Arial" w:hAnsi="Arial" w:cs="Arial"/>
          <w:sz w:val="24"/>
          <w:szCs w:val="24"/>
        </w:rPr>
        <w:t xml:space="preserve"> </w:t>
      </w:r>
      <w:r w:rsidRPr="006E14AF">
        <w:rPr>
          <w:rStyle w:val="cursor-pointer"/>
          <w:rFonts w:ascii="Arial" w:hAnsi="Arial" w:cs="Arial"/>
          <w:sz w:val="24"/>
          <w:szCs w:val="24"/>
        </w:rPr>
        <w:t>An excessive focus on measurable performance, however, may lead to pressure and negatively affect wellbeing.</w:t>
      </w:r>
      <w:r w:rsidRPr="006E14AF">
        <w:rPr>
          <w:rFonts w:ascii="Arial" w:hAnsi="Arial" w:cs="Arial"/>
          <w:sz w:val="24"/>
          <w:szCs w:val="24"/>
        </w:rPr>
        <w:t xml:space="preserve"> </w:t>
      </w:r>
      <w:r w:rsidRPr="006E14AF">
        <w:rPr>
          <w:rStyle w:val="cursor-pointer"/>
          <w:rFonts w:ascii="Arial" w:hAnsi="Arial" w:cs="Arial"/>
          <w:sz w:val="24"/>
          <w:szCs w:val="24"/>
        </w:rPr>
        <w:t>HPWS should therefore help to promote sustainable performance and not just productivity.</w:t>
      </w:r>
    </w:p>
    <w:p w14:paraId="5E533EF7" w14:textId="77777777" w:rsidR="005B36EE" w:rsidRPr="006E14AF" w:rsidRDefault="005B36EE" w:rsidP="0017648D">
      <w:pPr>
        <w:spacing w:line="360" w:lineRule="auto"/>
        <w:jc w:val="both"/>
        <w:rPr>
          <w:rStyle w:val="cursor-pointer"/>
          <w:rFonts w:ascii="Arial" w:hAnsi="Arial" w:cs="Arial"/>
          <w:sz w:val="24"/>
          <w:szCs w:val="24"/>
        </w:rPr>
      </w:pPr>
      <w:r w:rsidRPr="006E14AF">
        <w:rPr>
          <w:rStyle w:val="cursor-pointer"/>
          <w:rFonts w:ascii="Arial" w:hAnsi="Arial" w:cs="Arial"/>
          <w:b/>
          <w:sz w:val="24"/>
          <w:szCs w:val="24"/>
        </w:rPr>
        <w:t>High-Involvement Work Systems (HIWS)</w:t>
      </w:r>
      <w:r w:rsidRPr="006E14AF">
        <w:rPr>
          <w:rStyle w:val="cursor-pointer"/>
          <w:rFonts w:ascii="Arial" w:hAnsi="Arial" w:cs="Arial"/>
          <w:sz w:val="24"/>
          <w:szCs w:val="24"/>
        </w:rPr>
        <w:t xml:space="preserve"> focus on employee participation, sharing of information, power to make decisions and knowledge.</w:t>
      </w:r>
      <w:r w:rsidRPr="006E14AF">
        <w:rPr>
          <w:rFonts w:ascii="Arial" w:hAnsi="Arial" w:cs="Arial"/>
          <w:sz w:val="24"/>
          <w:szCs w:val="24"/>
        </w:rPr>
        <w:t xml:space="preserve"> </w:t>
      </w:r>
      <w:r w:rsidRPr="006E14AF">
        <w:rPr>
          <w:rStyle w:val="cursor-pointer"/>
          <w:rFonts w:ascii="Arial" w:hAnsi="Arial" w:cs="Arial"/>
          <w:sz w:val="24"/>
          <w:szCs w:val="24"/>
        </w:rPr>
        <w:t>New research indicates that these are all conducive to creativity, knowledge sharing and resilience online (Nguyen et al., 2024).</w:t>
      </w:r>
      <w:r w:rsidRPr="006E14AF">
        <w:rPr>
          <w:rFonts w:ascii="Arial" w:hAnsi="Arial" w:cs="Arial"/>
          <w:sz w:val="24"/>
          <w:szCs w:val="24"/>
        </w:rPr>
        <w:t xml:space="preserve"> </w:t>
      </w:r>
      <w:r w:rsidRPr="006E14AF">
        <w:rPr>
          <w:rStyle w:val="cursor-pointer"/>
          <w:rFonts w:ascii="Arial" w:hAnsi="Arial" w:cs="Arial"/>
          <w:sz w:val="24"/>
          <w:szCs w:val="24"/>
        </w:rPr>
        <w:t>This is important for NHSX as specialist employers might have knowledge which senior managers don't.</w:t>
      </w:r>
      <w:r w:rsidRPr="006E14AF">
        <w:rPr>
          <w:rFonts w:ascii="Arial" w:hAnsi="Arial" w:cs="Arial"/>
          <w:sz w:val="24"/>
          <w:szCs w:val="24"/>
        </w:rPr>
        <w:t xml:space="preserve"> </w:t>
      </w:r>
      <w:r w:rsidRPr="006E14AF">
        <w:rPr>
          <w:rStyle w:val="cursor-pointer"/>
          <w:rFonts w:ascii="Arial" w:hAnsi="Arial" w:cs="Arial"/>
          <w:sz w:val="24"/>
          <w:szCs w:val="24"/>
        </w:rPr>
        <w:t>Improved decision quality and innovation, then, may result from greater team influence.</w:t>
      </w:r>
      <w:r w:rsidRPr="006E14AF">
        <w:rPr>
          <w:rFonts w:ascii="Arial" w:hAnsi="Arial" w:cs="Arial"/>
          <w:sz w:val="24"/>
          <w:szCs w:val="24"/>
        </w:rPr>
        <w:t xml:space="preserve"> </w:t>
      </w:r>
      <w:r w:rsidRPr="006E14AF">
        <w:rPr>
          <w:rStyle w:val="cursor-pointer"/>
          <w:rFonts w:ascii="Arial" w:hAnsi="Arial" w:cs="Arial"/>
          <w:sz w:val="24"/>
          <w:szCs w:val="24"/>
        </w:rPr>
        <w:t>But it takes skills, information and accountability to be involved.</w:t>
      </w:r>
      <w:r w:rsidRPr="006E14AF">
        <w:rPr>
          <w:rFonts w:ascii="Arial" w:hAnsi="Arial" w:cs="Arial"/>
          <w:sz w:val="24"/>
          <w:szCs w:val="24"/>
        </w:rPr>
        <w:t xml:space="preserve"> </w:t>
      </w:r>
      <w:r w:rsidRPr="006E14AF">
        <w:rPr>
          <w:rStyle w:val="cursor-pointer"/>
          <w:rFonts w:ascii="Arial" w:hAnsi="Arial" w:cs="Arial"/>
          <w:sz w:val="24"/>
          <w:szCs w:val="24"/>
        </w:rPr>
        <w:t>The possibilities of decentralisation without governance might lead to different decisions being made in the UK, India and UAE.</w:t>
      </w:r>
    </w:p>
    <w:p w14:paraId="0D8C8082" w14:textId="77777777" w:rsidR="005B36EE" w:rsidRPr="006E14AF" w:rsidRDefault="005B36EE" w:rsidP="0017648D">
      <w:pPr>
        <w:spacing w:line="360" w:lineRule="auto"/>
        <w:jc w:val="both"/>
        <w:rPr>
          <w:rStyle w:val="cursor-pointer"/>
          <w:rFonts w:ascii="Arial" w:hAnsi="Arial" w:cs="Arial"/>
          <w:sz w:val="24"/>
          <w:szCs w:val="24"/>
        </w:rPr>
      </w:pPr>
      <w:r w:rsidRPr="006E14AF">
        <w:rPr>
          <w:rStyle w:val="cursor-pointer"/>
          <w:rFonts w:ascii="Arial" w:hAnsi="Arial" w:cs="Arial"/>
          <w:sz w:val="24"/>
          <w:szCs w:val="24"/>
        </w:rPr>
        <w:t>Another modern choice is ‘agile working'.</w:t>
      </w:r>
      <w:r w:rsidRPr="006E14AF">
        <w:rPr>
          <w:rFonts w:ascii="Arial" w:hAnsi="Arial" w:cs="Arial"/>
          <w:sz w:val="24"/>
          <w:szCs w:val="24"/>
        </w:rPr>
        <w:t xml:space="preserve"> </w:t>
      </w:r>
      <w:r w:rsidRPr="006E14AF">
        <w:rPr>
          <w:rStyle w:val="cursor-pointer"/>
          <w:rFonts w:ascii="Arial" w:hAnsi="Arial" w:cs="Arial"/>
          <w:sz w:val="24"/>
          <w:szCs w:val="24"/>
        </w:rPr>
        <w:t>Agile approaches allow the team to work in an iterative manner, be able to incorporate feedback and change priorities.</w:t>
      </w:r>
      <w:r w:rsidRPr="006E14AF">
        <w:rPr>
          <w:rFonts w:ascii="Arial" w:hAnsi="Arial" w:cs="Arial"/>
          <w:sz w:val="24"/>
          <w:szCs w:val="24"/>
        </w:rPr>
        <w:t xml:space="preserve"> </w:t>
      </w:r>
      <w:r w:rsidRPr="006E14AF">
        <w:rPr>
          <w:rStyle w:val="cursor-pointer"/>
          <w:rFonts w:ascii="Arial" w:hAnsi="Arial" w:cs="Arial"/>
          <w:sz w:val="24"/>
          <w:szCs w:val="24"/>
        </w:rPr>
        <w:t>In 71 agile teams, evidence of agile working was positively associated with adaptive team performance, and in part explained by goal specificity (Steegh et al., 2025).</w:t>
      </w:r>
      <w:r w:rsidRPr="006E14AF">
        <w:rPr>
          <w:rFonts w:ascii="Arial" w:hAnsi="Arial" w:cs="Arial"/>
          <w:sz w:val="24"/>
          <w:szCs w:val="24"/>
        </w:rPr>
        <w:t xml:space="preserve"> </w:t>
      </w:r>
      <w:r w:rsidRPr="006E14AF">
        <w:rPr>
          <w:rStyle w:val="cursor-pointer"/>
          <w:rFonts w:ascii="Arial" w:hAnsi="Arial" w:cs="Arial"/>
          <w:sz w:val="24"/>
          <w:szCs w:val="24"/>
        </w:rPr>
        <w:t>NHSX should therefore be able to give clear outcomes and flexibility to implementation.</w:t>
      </w:r>
    </w:p>
    <w:p w14:paraId="7DE8E7C1" w14:textId="543BD2A2" w:rsidR="00D47BD6" w:rsidRPr="00D47BD6" w:rsidRDefault="005B36EE" w:rsidP="00893FAB">
      <w:pPr>
        <w:spacing w:line="360" w:lineRule="auto"/>
        <w:jc w:val="both"/>
        <w:rPr>
          <w:rFonts w:ascii="Arial" w:hAnsi="Arial" w:cs="Arial"/>
          <w:sz w:val="24"/>
          <w:szCs w:val="24"/>
          <w:lang w:val="en-US"/>
        </w:rPr>
      </w:pPr>
      <w:r w:rsidRPr="006E14AF">
        <w:rPr>
          <w:rStyle w:val="cursor-pointer"/>
          <w:rFonts w:ascii="Arial" w:hAnsi="Arial" w:cs="Arial"/>
          <w:sz w:val="24"/>
          <w:szCs w:val="24"/>
        </w:rPr>
        <w:t xml:space="preserve">While work-life balance and autonomy may be achieved through flexible and hybrid working, </w:t>
      </w:r>
      <w:r w:rsidR="00893FAB" w:rsidRPr="00893FAB">
        <w:rPr>
          <w:rFonts w:ascii="Arial" w:hAnsi="Arial" w:cs="Arial"/>
          <w:sz w:val="24"/>
          <w:szCs w:val="24"/>
        </w:rPr>
        <w:t>this does not necessarily ensure</w:t>
      </w:r>
      <w:r w:rsidR="00893FAB">
        <w:rPr>
          <w:rFonts w:ascii="Arial" w:hAnsi="Arial" w:cs="Arial"/>
          <w:sz w:val="24"/>
          <w:szCs w:val="24"/>
        </w:rPr>
        <w:t xml:space="preserve"> </w:t>
      </w:r>
      <w:r w:rsidRPr="006E14AF">
        <w:rPr>
          <w:rStyle w:val="cursor-pointer"/>
          <w:rFonts w:ascii="Arial" w:hAnsi="Arial" w:cs="Arial"/>
          <w:sz w:val="24"/>
          <w:szCs w:val="24"/>
        </w:rPr>
        <w:t>a corresponding improvement in innovation.</w:t>
      </w:r>
      <w:r w:rsidRPr="006E14AF">
        <w:rPr>
          <w:rFonts w:ascii="Arial" w:hAnsi="Arial" w:cs="Arial"/>
          <w:sz w:val="24"/>
          <w:szCs w:val="24"/>
        </w:rPr>
        <w:t xml:space="preserve"> </w:t>
      </w:r>
      <w:r w:rsidRPr="006E14AF">
        <w:rPr>
          <w:rStyle w:val="cursor-pointer"/>
          <w:rFonts w:ascii="Arial" w:hAnsi="Arial" w:cs="Arial"/>
          <w:sz w:val="24"/>
          <w:szCs w:val="24"/>
        </w:rPr>
        <w:t>A study by Gibbs, Mengel and Siemroth (2024) of over 48,000 workers in an IT organisation in India indicates that innovation levels are lower during times of remote and hybrid working, especially when teams are poorly aligned.</w:t>
      </w:r>
      <w:r w:rsidRPr="006E14AF">
        <w:rPr>
          <w:rFonts w:ascii="Arial" w:hAnsi="Arial" w:cs="Arial"/>
          <w:sz w:val="24"/>
          <w:szCs w:val="24"/>
        </w:rPr>
        <w:t xml:space="preserve"> </w:t>
      </w:r>
      <w:r w:rsidR="00D47BD6" w:rsidRPr="00D47BD6">
        <w:rPr>
          <w:rFonts w:ascii="Arial" w:hAnsi="Arial" w:cs="Arial"/>
          <w:sz w:val="24"/>
          <w:szCs w:val="24"/>
          <w:lang w:val="en-US"/>
        </w:rPr>
        <w:t>NHSX should therefore introduce a structured flexible-working policy supported by clear communication and coordinated team activities to maintain collaboration and innovation.</w:t>
      </w:r>
    </w:p>
    <w:p w14:paraId="0D558E2E" w14:textId="6B0FC2EF" w:rsidR="005B36EE" w:rsidRPr="006E14AF" w:rsidRDefault="005B36EE" w:rsidP="00D47BD6">
      <w:pPr>
        <w:spacing w:line="360" w:lineRule="auto"/>
        <w:jc w:val="both"/>
        <w:rPr>
          <w:rFonts w:ascii="Arial" w:hAnsi="Arial" w:cs="Arial"/>
          <w:sz w:val="24"/>
          <w:szCs w:val="24"/>
        </w:rPr>
      </w:pPr>
    </w:p>
    <w:p w14:paraId="71B481FF" w14:textId="43AA3D65" w:rsidR="003735EA" w:rsidRPr="006E14AF" w:rsidRDefault="003735EA" w:rsidP="009B565E">
      <w:pPr>
        <w:spacing w:line="360" w:lineRule="auto"/>
        <w:jc w:val="center"/>
        <w:rPr>
          <w:rFonts w:ascii="Arial" w:hAnsi="Arial" w:cs="Arial"/>
          <w:sz w:val="24"/>
          <w:szCs w:val="24"/>
        </w:rPr>
      </w:pPr>
      <w:r w:rsidRPr="006E14AF">
        <w:rPr>
          <w:rFonts w:ascii="Arial" w:hAnsi="Arial" w:cs="Arial"/>
          <w:noProof/>
          <w:sz w:val="24"/>
          <w:szCs w:val="24"/>
          <w:lang w:eastAsia="en-GB"/>
        </w:rPr>
        <w:drawing>
          <wp:inline distT="0" distB="0" distL="0" distR="0" wp14:anchorId="0FE6C084" wp14:editId="6CD25AAF">
            <wp:extent cx="6088388" cy="2381250"/>
            <wp:effectExtent l="0" t="0" r="7620" b="0"/>
            <wp:docPr id="12341810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9221" b="8550"/>
                    <a:stretch>
                      <a:fillRect/>
                    </a:stretch>
                  </pic:blipFill>
                  <pic:spPr bwMode="auto">
                    <a:xfrm>
                      <a:off x="0" y="0"/>
                      <a:ext cx="6130328" cy="2397653"/>
                    </a:xfrm>
                    <a:prstGeom prst="rect">
                      <a:avLst/>
                    </a:prstGeom>
                    <a:noFill/>
                    <a:ln>
                      <a:noFill/>
                    </a:ln>
                    <a:extLst>
                      <a:ext uri="{53640926-AAD7-44D8-BBD7-CCE9431645EC}">
                        <a14:shadowObscured xmlns:a14="http://schemas.microsoft.com/office/drawing/2010/main"/>
                      </a:ext>
                    </a:extLst>
                  </pic:spPr>
                </pic:pic>
              </a:graphicData>
            </a:graphic>
          </wp:inline>
        </w:drawing>
      </w:r>
    </w:p>
    <w:p w14:paraId="4D118645" w14:textId="77777777" w:rsidR="003735EA" w:rsidRPr="006E14AF" w:rsidRDefault="003735EA" w:rsidP="009B565E">
      <w:pPr>
        <w:jc w:val="center"/>
        <w:rPr>
          <w:rFonts w:ascii="Arial" w:hAnsi="Arial" w:cs="Arial"/>
          <w:sz w:val="24"/>
          <w:szCs w:val="24"/>
        </w:rPr>
      </w:pPr>
      <w:r w:rsidRPr="006E14AF">
        <w:rPr>
          <w:rFonts w:ascii="Arial" w:hAnsi="Arial" w:cs="Arial"/>
          <w:b/>
          <w:sz w:val="24"/>
          <w:szCs w:val="24"/>
        </w:rPr>
        <w:t>Figure 1:</w:t>
      </w:r>
      <w:r w:rsidRPr="006E14AF">
        <w:rPr>
          <w:rFonts w:ascii="Arial" w:hAnsi="Arial" w:cs="Arial"/>
          <w:sz w:val="24"/>
          <w:szCs w:val="24"/>
        </w:rPr>
        <w:t xml:space="preserve"> Integrated Innovative Working Framework for NexSpace Health Systems</w:t>
      </w:r>
    </w:p>
    <w:p w14:paraId="4ECB6EB4" w14:textId="103818F3" w:rsidR="003735EA" w:rsidRDefault="003735EA" w:rsidP="009B565E">
      <w:pPr>
        <w:jc w:val="center"/>
        <w:rPr>
          <w:rFonts w:ascii="Arial" w:hAnsi="Arial" w:cs="Arial"/>
          <w:iCs/>
          <w:sz w:val="24"/>
          <w:szCs w:val="24"/>
        </w:rPr>
      </w:pPr>
      <w:r w:rsidRPr="006E14AF">
        <w:rPr>
          <w:rFonts w:ascii="Arial" w:hAnsi="Arial" w:cs="Arial"/>
          <w:b/>
          <w:iCs/>
          <w:sz w:val="24"/>
          <w:szCs w:val="24"/>
        </w:rPr>
        <w:t>Source:</w:t>
      </w:r>
      <w:r w:rsidRPr="006E14AF">
        <w:rPr>
          <w:rFonts w:ascii="Arial" w:hAnsi="Arial" w:cs="Arial"/>
          <w:iCs/>
          <w:sz w:val="24"/>
          <w:szCs w:val="24"/>
        </w:rPr>
        <w:t xml:space="preserve"> Author's own framework, informed by Steegh et al. (2025), Nguyen et al. (2024)</w:t>
      </w:r>
    </w:p>
    <w:p w14:paraId="24F4E429" w14:textId="77777777" w:rsidR="00D47BD6" w:rsidRPr="006E14AF" w:rsidRDefault="00D47BD6" w:rsidP="009B565E">
      <w:pPr>
        <w:jc w:val="center"/>
        <w:rPr>
          <w:rFonts w:ascii="Arial" w:hAnsi="Arial" w:cs="Arial"/>
          <w:sz w:val="24"/>
          <w:szCs w:val="24"/>
        </w:rPr>
      </w:pPr>
    </w:p>
    <w:p w14:paraId="6D62DEE2" w14:textId="38728A41" w:rsidR="003735EA" w:rsidRPr="00D47BD6" w:rsidRDefault="00D47BD6" w:rsidP="00D47BD6">
      <w:pPr>
        <w:pStyle w:val="Heading2"/>
      </w:pPr>
      <w:bookmarkStart w:id="6" w:name="_Toc242214925"/>
      <w:bookmarkStart w:id="7" w:name="_Toc242879932"/>
      <w:r>
        <w:t xml:space="preserve">1.2 </w:t>
      </w:r>
      <w:r w:rsidR="003735EA" w:rsidRPr="006E14AF">
        <w:t>Recommended Innovative Working Practices for NHSX</w:t>
      </w:r>
      <w:bookmarkEnd w:id="6"/>
      <w:bookmarkEnd w:id="7"/>
    </w:p>
    <w:p w14:paraId="57D4D832" w14:textId="77777777" w:rsidR="009B565E" w:rsidRPr="006E14AF" w:rsidRDefault="009B565E" w:rsidP="009B565E"/>
    <w:p w14:paraId="78454BC4" w14:textId="77777777" w:rsidR="00893FAB" w:rsidRPr="00893FAB" w:rsidRDefault="00893FAB" w:rsidP="00893FAB">
      <w:pPr>
        <w:spacing w:line="360" w:lineRule="auto"/>
        <w:jc w:val="both"/>
        <w:rPr>
          <w:rFonts w:ascii="Arial" w:hAnsi="Arial" w:cs="Arial"/>
          <w:sz w:val="24"/>
          <w:szCs w:val="24"/>
          <w:lang w:val="en-US"/>
        </w:rPr>
      </w:pPr>
      <w:r w:rsidRPr="00893FAB">
        <w:rPr>
          <w:rFonts w:ascii="Arial" w:hAnsi="Arial" w:cs="Arial"/>
          <w:sz w:val="24"/>
          <w:szCs w:val="24"/>
          <w:lang w:val="en-US"/>
        </w:rPr>
        <w:t>NHSX should implement an integrated Agile-Connected Work Framework to address the lack of collaboration and innovation through five complementary practices.</w:t>
      </w:r>
    </w:p>
    <w:p w14:paraId="0625672F" w14:textId="77777777" w:rsidR="00893FAB" w:rsidRDefault="00893FAB" w:rsidP="0017648D">
      <w:pPr>
        <w:spacing w:line="360" w:lineRule="auto"/>
        <w:jc w:val="both"/>
        <w:rPr>
          <w:rStyle w:val="cursor-pointer"/>
          <w:rFonts w:ascii="Arial" w:hAnsi="Arial" w:cs="Arial"/>
          <w:sz w:val="24"/>
          <w:szCs w:val="24"/>
        </w:rPr>
      </w:pPr>
      <w:r w:rsidRPr="00893FAB">
        <w:rPr>
          <w:rStyle w:val="cursor-pointer"/>
          <w:rFonts w:ascii="Arial" w:hAnsi="Arial" w:cs="Arial"/>
          <w:sz w:val="24"/>
          <w:szCs w:val="24"/>
        </w:rPr>
        <w:t>First, NHSX needs to create agile multidisciplinary teams to tackle the lack of collaboration and innovation. The members of these teams should be AI experts, software developers, health care professionals, data analysts, and project managers. These experts can be united to share knowledge, minimising functional silos and enabling clinical and technical knowledge to contribute at the earliest stages of product development.</w:t>
      </w:r>
    </w:p>
    <w:p w14:paraId="6A2EC0F2" w14:textId="0419838F" w:rsidR="00893FAB" w:rsidRPr="00893FAB" w:rsidRDefault="00893FAB" w:rsidP="00893FAB">
      <w:pPr>
        <w:spacing w:line="360" w:lineRule="auto"/>
        <w:jc w:val="both"/>
        <w:rPr>
          <w:rStyle w:val="cursor-pointer"/>
          <w:rFonts w:ascii="Arial" w:hAnsi="Arial" w:cs="Arial"/>
          <w:lang w:val="en-US"/>
        </w:rPr>
      </w:pPr>
      <w:r w:rsidRPr="00893FAB">
        <w:rPr>
          <w:rStyle w:val="cursor-pointer"/>
          <w:rFonts w:ascii="Arial" w:hAnsi="Arial" w:cs="Arial"/>
          <w:sz w:val="24"/>
          <w:szCs w:val="24"/>
        </w:rPr>
        <w:t xml:space="preserve">Second, NHSX needs to have a clear flexible working policy to facilitate coordination issues with current hybrid working arrangements. There should be flexibility around where the worker can work, depending on their role, and there should be set core working hours for teams to meet, for workshops and knowledge sharing. Good communication and a shared understanding of how work will be arranged can help to ensure there is continuity </w:t>
      </w:r>
      <w:r w:rsidRPr="00893FAB">
        <w:rPr>
          <w:rFonts w:ascii="Arial" w:hAnsi="Arial" w:cs="Arial"/>
          <w:sz w:val="24"/>
          <w:szCs w:val="24"/>
          <w:lang w:val="en-US"/>
        </w:rPr>
        <w:t>without relying on unrestricted remote working (Gibbs, Mengel and Siemroth, 2024).</w:t>
      </w:r>
    </w:p>
    <w:p w14:paraId="213C69D4" w14:textId="52660926" w:rsidR="00893FAB" w:rsidRPr="00893FAB" w:rsidRDefault="00893FAB" w:rsidP="00893FAB">
      <w:pPr>
        <w:spacing w:line="360" w:lineRule="auto"/>
        <w:jc w:val="both"/>
        <w:rPr>
          <w:rStyle w:val="cursor-pointer"/>
          <w:rFonts w:ascii="Arial" w:hAnsi="Arial" w:cs="Arial"/>
          <w:lang w:val="en-US"/>
        </w:rPr>
      </w:pPr>
      <w:r w:rsidRPr="00893FAB">
        <w:rPr>
          <w:rStyle w:val="cursor-pointer"/>
          <w:rFonts w:ascii="Arial" w:hAnsi="Arial" w:cs="Arial"/>
          <w:sz w:val="24"/>
          <w:szCs w:val="24"/>
        </w:rPr>
        <w:t xml:space="preserve">Third, NHSX needs to adopt agile decision-making processes to rectify the situation of </w:t>
      </w:r>
      <w:r w:rsidRPr="00893FAB">
        <w:rPr>
          <w:rFonts w:ascii="Arial" w:hAnsi="Arial" w:cs="Arial"/>
          <w:sz w:val="24"/>
          <w:szCs w:val="24"/>
          <w:lang w:val="en-US"/>
        </w:rPr>
        <w:t>delays caused by excessive managerial control.</w:t>
      </w:r>
      <w:r w:rsidRPr="00893FAB">
        <w:rPr>
          <w:rStyle w:val="cursor-pointer"/>
          <w:rFonts w:ascii="Arial" w:hAnsi="Arial" w:cs="Arial"/>
          <w:sz w:val="24"/>
          <w:szCs w:val="24"/>
        </w:rPr>
        <w:t xml:space="preserve"> Multidisciplinary teams should be established to make operational decisions and staff members should be empowered to solve operational issues with their specialized expertise. Managers need to set out clear strategic goals, quality goals and risk limits and give teams freedom to devise strategies to reach agreed outcomes. This can enhance responsiveness, employee ownership and accountability (Nguyen et al., 2024).</w:t>
      </w:r>
    </w:p>
    <w:p w14:paraId="1E7D6BD9" w14:textId="77777777" w:rsidR="00893FAB" w:rsidRPr="00893FAB" w:rsidRDefault="00893FAB" w:rsidP="00893FAB">
      <w:pPr>
        <w:spacing w:line="360" w:lineRule="auto"/>
        <w:jc w:val="both"/>
        <w:rPr>
          <w:rStyle w:val="cursor-pointer"/>
          <w:rFonts w:ascii="Arial" w:hAnsi="Arial" w:cs="Arial"/>
          <w:sz w:val="24"/>
          <w:szCs w:val="24"/>
        </w:rPr>
      </w:pPr>
      <w:r w:rsidRPr="00893FAB">
        <w:rPr>
          <w:rStyle w:val="cursor-pointer"/>
          <w:rFonts w:ascii="Arial" w:hAnsi="Arial" w:cs="Arial"/>
          <w:sz w:val="24"/>
          <w:szCs w:val="24"/>
        </w:rPr>
        <w:t>Fourth, NHSX should build agile project teams to deal with the need to respond to evolving clinical and technological needs. The teams should adopt short cycles of development, schedule regular reviews and seek feedback from relevant stakeholders. Within each project there should be clear objectives and agreed priorities which enable teams to identify problems at an early stage and adapt their work if appropriate (Steegh et al., 2025).</w:t>
      </w:r>
    </w:p>
    <w:p w14:paraId="0CB4AF2A" w14:textId="77777777" w:rsidR="00893FAB" w:rsidRDefault="00893FAB" w:rsidP="00893FAB">
      <w:pPr>
        <w:spacing w:line="360" w:lineRule="auto"/>
        <w:jc w:val="both"/>
        <w:rPr>
          <w:rStyle w:val="cursor-pointer"/>
          <w:rFonts w:ascii="Arial" w:hAnsi="Arial" w:cs="Arial"/>
          <w:sz w:val="24"/>
          <w:szCs w:val="24"/>
        </w:rPr>
      </w:pPr>
      <w:r w:rsidRPr="00893FAB">
        <w:rPr>
          <w:rStyle w:val="cursor-pointer"/>
          <w:rFonts w:ascii="Arial" w:hAnsi="Arial" w:cs="Arial"/>
          <w:sz w:val="24"/>
          <w:szCs w:val="24"/>
        </w:rPr>
        <w:t>Finally, NHSX needs to improve digital collaboration tools to overcome communication and knowledge-sharing challenges in the UK, India and UAE. Platforms need to be integrated to facilitate project management, sharing and collaboration between multidisciplinary teams. Organisational knowledge may be accessed more easily through a digital repository and online meetings can be planned to facilitate discussion and coordination. These tools should be used to enhance agile and flexible working and not to replace direct employee interaction.</w:t>
      </w:r>
    </w:p>
    <w:p w14:paraId="33806541" w14:textId="0E151374" w:rsidR="00893FAB" w:rsidRDefault="00893FAB" w:rsidP="00893FAB">
      <w:pPr>
        <w:spacing w:line="360" w:lineRule="auto"/>
        <w:jc w:val="both"/>
        <w:rPr>
          <w:rStyle w:val="cursor-pointer"/>
          <w:rFonts w:ascii="Arial" w:hAnsi="Arial" w:cs="Arial"/>
          <w:sz w:val="24"/>
          <w:szCs w:val="24"/>
        </w:rPr>
      </w:pPr>
      <w:r w:rsidRPr="00893FAB">
        <w:rPr>
          <w:rStyle w:val="cursor-pointer"/>
          <w:rFonts w:ascii="Arial" w:hAnsi="Arial" w:cs="Arial"/>
          <w:sz w:val="24"/>
          <w:szCs w:val="24"/>
        </w:rPr>
        <w:t>Overall, the Agile-Connected Work Framework can contribute to NHSX's goals of tackling collaboration and innovation issues with coordinated flexible working, delegated decision making and digital collaboration support. Clear objectives, governance and accountability should ensure that employee autonomy does not affect the quality or the coordination of activities and does not mean a loss of organisational performance.</w:t>
      </w:r>
    </w:p>
    <w:p w14:paraId="39D0E7E5" w14:textId="77777777" w:rsidR="00893FAB" w:rsidRDefault="00893FAB" w:rsidP="00893FAB">
      <w:pPr>
        <w:spacing w:line="360" w:lineRule="auto"/>
        <w:jc w:val="both"/>
        <w:rPr>
          <w:rStyle w:val="cursor-pointer"/>
          <w:rFonts w:ascii="Arial" w:hAnsi="Arial" w:cs="Arial"/>
          <w:sz w:val="24"/>
          <w:szCs w:val="24"/>
        </w:rPr>
      </w:pPr>
    </w:p>
    <w:p w14:paraId="27D61865" w14:textId="0E04F25B" w:rsidR="00C7451B" w:rsidRPr="006E14AF" w:rsidRDefault="00C7451B" w:rsidP="00D47BD6">
      <w:pPr>
        <w:pStyle w:val="Heading1"/>
        <w:numPr>
          <w:ilvl w:val="0"/>
          <w:numId w:val="1"/>
        </w:numPr>
        <w:jc w:val="center"/>
      </w:pPr>
      <w:bookmarkStart w:id="8" w:name="_Toc242214926"/>
      <w:bookmarkStart w:id="9" w:name="_Toc242879933"/>
      <w:r w:rsidRPr="006E14AF">
        <w:t>TASK B: Breeding an Environment Where Talent May Grow</w:t>
      </w:r>
      <w:bookmarkEnd w:id="8"/>
      <w:bookmarkEnd w:id="9"/>
    </w:p>
    <w:p w14:paraId="644A2CCD" w14:textId="77777777" w:rsidR="00722737" w:rsidRPr="006E14AF" w:rsidRDefault="00722737" w:rsidP="0017648D">
      <w:pPr>
        <w:spacing w:line="360" w:lineRule="auto"/>
        <w:jc w:val="both"/>
        <w:rPr>
          <w:rStyle w:val="cursor-pointer"/>
          <w:rFonts w:ascii="Arial" w:hAnsi="Arial" w:cs="Arial"/>
          <w:sz w:val="24"/>
          <w:szCs w:val="24"/>
        </w:rPr>
      </w:pPr>
      <w:r w:rsidRPr="006E14AF">
        <w:rPr>
          <w:rStyle w:val="cursor-pointer"/>
          <w:rFonts w:ascii="Arial" w:hAnsi="Arial" w:cs="Arial"/>
          <w:sz w:val="24"/>
          <w:szCs w:val="24"/>
        </w:rPr>
        <w:t>NexSpace Health Systems (NHSX) needs a talent ecosystem where employees are able to learn, share their ideas and grow their career.</w:t>
      </w:r>
      <w:r w:rsidRPr="006E14AF">
        <w:rPr>
          <w:rFonts w:ascii="Arial" w:hAnsi="Arial" w:cs="Arial"/>
          <w:sz w:val="24"/>
          <w:szCs w:val="24"/>
        </w:rPr>
        <w:t xml:space="preserve"> </w:t>
      </w:r>
      <w:r w:rsidRPr="006E14AF">
        <w:rPr>
          <w:rStyle w:val="cursor-pointer"/>
          <w:rFonts w:ascii="Arial" w:hAnsi="Arial" w:cs="Arial"/>
          <w:sz w:val="24"/>
          <w:szCs w:val="24"/>
        </w:rPr>
        <w:t>If high-performing staff have been leaving, it means that recruitment is not enough.</w:t>
      </w:r>
      <w:r w:rsidRPr="006E14AF">
        <w:rPr>
          <w:rFonts w:ascii="Arial" w:hAnsi="Arial" w:cs="Arial"/>
          <w:sz w:val="24"/>
          <w:szCs w:val="24"/>
        </w:rPr>
        <w:t xml:space="preserve"> </w:t>
      </w:r>
      <w:r w:rsidRPr="006E14AF">
        <w:rPr>
          <w:rStyle w:val="cursor-pointer"/>
          <w:rFonts w:ascii="Arial" w:hAnsi="Arial" w:cs="Arial"/>
          <w:sz w:val="24"/>
          <w:szCs w:val="24"/>
        </w:rPr>
        <w:t>Learning, autonomy, psychological safety and development needs to be integral to NHSX's day to day work.</w:t>
      </w:r>
      <w:r w:rsidRPr="006E14AF">
        <w:rPr>
          <w:rFonts w:ascii="Arial" w:hAnsi="Arial" w:cs="Arial"/>
          <w:sz w:val="24"/>
          <w:szCs w:val="24"/>
        </w:rPr>
        <w:t xml:space="preserve"> </w:t>
      </w:r>
      <w:r w:rsidRPr="006E14AF">
        <w:rPr>
          <w:rStyle w:val="cursor-pointer"/>
          <w:rFonts w:ascii="Arial" w:hAnsi="Arial" w:cs="Arial"/>
          <w:sz w:val="24"/>
          <w:szCs w:val="24"/>
        </w:rPr>
        <w:t>The ability to be resilient and engaged is what learning organisations can do to support innovation (Mohammad, Sağsan and Şeşen, 2024).</w:t>
      </w:r>
      <w:r w:rsidRPr="006E14AF">
        <w:rPr>
          <w:rFonts w:ascii="Arial" w:hAnsi="Arial" w:cs="Arial"/>
          <w:sz w:val="24"/>
          <w:szCs w:val="24"/>
        </w:rPr>
        <w:t xml:space="preserve"> </w:t>
      </w:r>
      <w:r w:rsidRPr="006E14AF">
        <w:rPr>
          <w:rStyle w:val="cursor-pointer"/>
          <w:rFonts w:ascii="Arial" w:hAnsi="Arial" w:cs="Arial"/>
          <w:sz w:val="24"/>
          <w:szCs w:val="24"/>
        </w:rPr>
        <w:t>NHSX needs to shift its focus from nurturing current talent to building a culture that facilitates learning, experimenting, growing.</w:t>
      </w:r>
    </w:p>
    <w:p w14:paraId="572BFD9E" w14:textId="124D84ED" w:rsidR="00C7451B" w:rsidRPr="006E14AF" w:rsidRDefault="00D47BD6" w:rsidP="009B565E">
      <w:pPr>
        <w:pStyle w:val="Heading2"/>
      </w:pPr>
      <w:bookmarkStart w:id="10" w:name="_Toc242214927"/>
      <w:bookmarkStart w:id="11" w:name="_Toc242879934"/>
      <w:r>
        <w:t xml:space="preserve">2.1 </w:t>
      </w:r>
      <w:r w:rsidR="00C7451B" w:rsidRPr="006E14AF">
        <w:t>Critical Evaluation of Environments Where Talent Flourishes</w:t>
      </w:r>
      <w:bookmarkEnd w:id="10"/>
      <w:bookmarkEnd w:id="11"/>
    </w:p>
    <w:p w14:paraId="2838AD68" w14:textId="216141F4" w:rsidR="00893FAB" w:rsidRDefault="00893FAB" w:rsidP="0017648D">
      <w:pPr>
        <w:spacing w:line="360" w:lineRule="auto"/>
        <w:jc w:val="both"/>
        <w:rPr>
          <w:rStyle w:val="cursor-pointer"/>
          <w:rFonts w:ascii="Arial" w:hAnsi="Arial" w:cs="Arial"/>
          <w:sz w:val="24"/>
          <w:szCs w:val="24"/>
        </w:rPr>
      </w:pPr>
      <w:r w:rsidRPr="00893FAB">
        <w:rPr>
          <w:rStyle w:val="cursor-pointer"/>
          <w:rFonts w:ascii="Arial" w:hAnsi="Arial" w:cs="Arial"/>
          <w:sz w:val="24"/>
          <w:szCs w:val="24"/>
        </w:rPr>
        <w:t>The Learning Organisation approach centers on learning and sharing of knowledge. It applies to NHSX because the absence of learning opportunities may hinder employees to learn the skills they need for AI and digital health care. Integrating learning into the everyday work can help NHSX to foster staff knowledge-sharing and implementation of new skills. But without opportunities to put the training to the test in actual work situations, it may not boost performance.</w:t>
      </w:r>
    </w:p>
    <w:p w14:paraId="44BF5D2C" w14:textId="77777777" w:rsidR="005B3FD0" w:rsidRPr="005B3FD0" w:rsidRDefault="005B3FD0" w:rsidP="0017648D">
      <w:pPr>
        <w:spacing w:line="360" w:lineRule="auto"/>
        <w:jc w:val="both"/>
        <w:rPr>
          <w:rStyle w:val="cursor-pointer"/>
          <w:rFonts w:ascii="Arial" w:hAnsi="Arial" w:cs="Arial"/>
          <w:bCs/>
          <w:sz w:val="24"/>
          <w:szCs w:val="24"/>
        </w:rPr>
      </w:pPr>
      <w:r w:rsidRPr="005B3FD0">
        <w:rPr>
          <w:rStyle w:val="cursor-pointer"/>
          <w:rFonts w:ascii="Arial" w:hAnsi="Arial" w:cs="Arial"/>
          <w:bCs/>
          <w:sz w:val="24"/>
          <w:szCs w:val="24"/>
        </w:rPr>
        <w:t>Psychological safety is the workplace atmosphere where employees are free to voice their opinions and ask questions even if they disagree with the decision or think it's a bad idea without fear of being made to look foolish. It could have implications for NHSX as staff wellbeing can be impacted if staff does not feel able to raise concerns or discuss mistakes. Managers should foster respectful communication, constructive feedback and open discussion in order to create a sense of support among employees. Psychological safety, however, should not be without accountability as NHSX is in the digital health space and must uphold clinical, technical and ethical standards (Jin and Peng, 2024).</w:t>
      </w:r>
    </w:p>
    <w:p w14:paraId="05B78BD3" w14:textId="77777777" w:rsidR="005B3FD0" w:rsidRPr="005B3FD0" w:rsidRDefault="005B3FD0" w:rsidP="005B3FD0">
      <w:pPr>
        <w:spacing w:line="360" w:lineRule="auto"/>
        <w:jc w:val="both"/>
        <w:rPr>
          <w:rFonts w:ascii="Arial" w:hAnsi="Arial" w:cs="Arial"/>
          <w:bCs/>
          <w:sz w:val="24"/>
          <w:szCs w:val="24"/>
          <w:lang w:val="en-US"/>
        </w:rPr>
      </w:pPr>
      <w:r w:rsidRPr="005B3FD0">
        <w:rPr>
          <w:rFonts w:ascii="Arial" w:hAnsi="Arial" w:cs="Arial"/>
          <w:bCs/>
          <w:sz w:val="24"/>
          <w:szCs w:val="24"/>
          <w:lang w:val="en-US"/>
        </w:rPr>
        <w:t>The theory of job crafting is a theory that states that employees can make adjustments to their work tasks, working relationships and use of resources in order to make the work more pleasant. It's applicable to NHSX because poor career progression can demoralise and diminish staff retention. Cross-functional projects and training opportunities to build new skills and assign appropriate responsibilities to employees can aid in professional development. But job crafting needs to be managed carefully as altering the job demands can also lead to an increase in workload, which can have a negative impact on the employee's wellbeing (Holman et al., 2024).</w:t>
      </w:r>
    </w:p>
    <w:p w14:paraId="5A365250" w14:textId="77777777" w:rsidR="005B3FD0" w:rsidRPr="005B3FD0" w:rsidRDefault="005B3FD0" w:rsidP="005B3FD0">
      <w:pPr>
        <w:spacing w:line="360" w:lineRule="auto"/>
        <w:jc w:val="both"/>
        <w:rPr>
          <w:rFonts w:ascii="Arial" w:hAnsi="Arial" w:cs="Arial"/>
          <w:bCs/>
          <w:sz w:val="24"/>
          <w:szCs w:val="24"/>
          <w:lang w:val="en-US"/>
        </w:rPr>
      </w:pPr>
      <w:r w:rsidRPr="005B3FD0">
        <w:rPr>
          <w:rFonts w:ascii="Arial" w:hAnsi="Arial" w:cs="Arial"/>
          <w:bCs/>
          <w:sz w:val="24"/>
          <w:szCs w:val="24"/>
          <w:lang w:val="en-US"/>
        </w:rPr>
        <w:t>According to Self-Determination Theory, the three psychological needs that impact on employee motivation and wellbeing are autonomy, competence, and relatedness. Providing staff with the right level of control over their work, the opportunity to build skills and supportive working relationships could enhance their experience of work at NHSX. Job Crafting also supports this theory as it requires employees to have enough autonomy and assistance to enable them to "craft" certain sections of their jobs to grow and get better. To prevent higher pressure on employees, autonomy must be accompanied by clear responsibilities and manageable workloads, though (Tiffin et al., 2024).</w:t>
      </w:r>
    </w:p>
    <w:p w14:paraId="6BCFA97A" w14:textId="41EA7279" w:rsidR="00C7451B" w:rsidRDefault="00C7451B" w:rsidP="005B3FD0">
      <w:pPr>
        <w:spacing w:line="360" w:lineRule="auto"/>
        <w:jc w:val="both"/>
        <w:rPr>
          <w:rFonts w:ascii="Arial" w:hAnsi="Arial" w:cs="Arial"/>
          <w:b/>
          <w:sz w:val="24"/>
          <w:szCs w:val="24"/>
        </w:rPr>
      </w:pPr>
      <w:r w:rsidRPr="006E14AF">
        <w:rPr>
          <w:rFonts w:ascii="Arial" w:hAnsi="Arial" w:cs="Arial"/>
          <w:b/>
          <w:sz w:val="24"/>
          <w:szCs w:val="24"/>
        </w:rPr>
        <w:t>Table 1: Critical Evaluation of Talent Development Approaches for NHSX</w:t>
      </w:r>
    </w:p>
    <w:tbl>
      <w:tblPr>
        <w:tblStyle w:val="TableGrid"/>
        <w:tblW w:w="0" w:type="auto"/>
        <w:tblLook w:val="04A0" w:firstRow="1" w:lastRow="0" w:firstColumn="1" w:lastColumn="0" w:noHBand="0" w:noVBand="1"/>
      </w:tblPr>
      <w:tblGrid>
        <w:gridCol w:w="2654"/>
        <w:gridCol w:w="2195"/>
        <w:gridCol w:w="4727"/>
      </w:tblGrid>
      <w:tr w:rsidR="005B3FD0" w:rsidRPr="005B3FD0" w14:paraId="28021261" w14:textId="77777777" w:rsidTr="005B3FD0">
        <w:tc>
          <w:tcPr>
            <w:tcW w:w="0" w:type="auto"/>
            <w:hideMark/>
          </w:tcPr>
          <w:p w14:paraId="710090C6" w14:textId="77777777" w:rsidR="005B3FD0" w:rsidRPr="005B3FD0" w:rsidRDefault="005B3FD0" w:rsidP="005B3FD0">
            <w:pPr>
              <w:spacing w:after="160"/>
              <w:jc w:val="both"/>
              <w:rPr>
                <w:rFonts w:ascii="Arial" w:hAnsi="Arial" w:cs="Arial"/>
                <w:b/>
                <w:bCs/>
                <w:sz w:val="24"/>
                <w:szCs w:val="24"/>
                <w:lang w:val="en-US"/>
              </w:rPr>
            </w:pPr>
            <w:r w:rsidRPr="005B3FD0">
              <w:rPr>
                <w:rFonts w:ascii="Arial" w:hAnsi="Arial" w:cs="Arial"/>
                <w:b/>
                <w:bCs/>
                <w:sz w:val="24"/>
                <w:szCs w:val="24"/>
                <w:lang w:val="en-US"/>
              </w:rPr>
              <w:t>Organisational problem</w:t>
            </w:r>
          </w:p>
        </w:tc>
        <w:tc>
          <w:tcPr>
            <w:tcW w:w="0" w:type="auto"/>
            <w:hideMark/>
          </w:tcPr>
          <w:p w14:paraId="3DBEFE3B" w14:textId="77777777" w:rsidR="005B3FD0" w:rsidRPr="005B3FD0" w:rsidRDefault="005B3FD0" w:rsidP="005B3FD0">
            <w:pPr>
              <w:spacing w:after="160"/>
              <w:jc w:val="both"/>
              <w:rPr>
                <w:rFonts w:ascii="Arial" w:hAnsi="Arial" w:cs="Arial"/>
                <w:b/>
                <w:bCs/>
                <w:sz w:val="24"/>
                <w:szCs w:val="24"/>
                <w:lang w:val="en-US"/>
              </w:rPr>
            </w:pPr>
            <w:r w:rsidRPr="005B3FD0">
              <w:rPr>
                <w:rFonts w:ascii="Arial" w:hAnsi="Arial" w:cs="Arial"/>
                <w:b/>
                <w:bCs/>
                <w:sz w:val="24"/>
                <w:szCs w:val="24"/>
                <w:lang w:val="en-US"/>
              </w:rPr>
              <w:t>Approach</w:t>
            </w:r>
          </w:p>
        </w:tc>
        <w:tc>
          <w:tcPr>
            <w:tcW w:w="0" w:type="auto"/>
            <w:hideMark/>
          </w:tcPr>
          <w:p w14:paraId="632BF27A" w14:textId="77777777" w:rsidR="005B3FD0" w:rsidRPr="005B3FD0" w:rsidRDefault="005B3FD0" w:rsidP="005B3FD0">
            <w:pPr>
              <w:spacing w:after="160"/>
              <w:jc w:val="both"/>
              <w:rPr>
                <w:rFonts w:ascii="Arial" w:hAnsi="Arial" w:cs="Arial"/>
                <w:b/>
                <w:bCs/>
                <w:sz w:val="24"/>
                <w:szCs w:val="24"/>
                <w:lang w:val="en-US"/>
              </w:rPr>
            </w:pPr>
            <w:r w:rsidRPr="005B3FD0">
              <w:rPr>
                <w:rFonts w:ascii="Arial" w:hAnsi="Arial" w:cs="Arial"/>
                <w:b/>
                <w:bCs/>
                <w:sz w:val="24"/>
                <w:szCs w:val="24"/>
                <w:lang w:val="en-US"/>
              </w:rPr>
              <w:t>Critical limitation</w:t>
            </w:r>
          </w:p>
        </w:tc>
      </w:tr>
      <w:tr w:rsidR="005B3FD0" w:rsidRPr="005B3FD0" w14:paraId="34AA8ECC" w14:textId="77777777" w:rsidTr="005B3FD0">
        <w:tc>
          <w:tcPr>
            <w:tcW w:w="0" w:type="auto"/>
            <w:hideMark/>
          </w:tcPr>
          <w:p w14:paraId="7287E7D4" w14:textId="77777777" w:rsidR="005B3FD0" w:rsidRPr="005B3FD0" w:rsidRDefault="005B3FD0" w:rsidP="005B3FD0">
            <w:pPr>
              <w:spacing w:after="160"/>
              <w:rPr>
                <w:rFonts w:ascii="Arial" w:hAnsi="Arial" w:cs="Arial"/>
                <w:bCs/>
                <w:sz w:val="24"/>
                <w:szCs w:val="24"/>
                <w:lang w:val="en-US"/>
              </w:rPr>
            </w:pPr>
            <w:r w:rsidRPr="005B3FD0">
              <w:rPr>
                <w:rFonts w:ascii="Arial" w:hAnsi="Arial" w:cs="Arial"/>
                <w:bCs/>
                <w:sz w:val="24"/>
                <w:szCs w:val="24"/>
                <w:lang w:val="en-US"/>
              </w:rPr>
              <w:t>Lack of learning opportunities</w:t>
            </w:r>
          </w:p>
        </w:tc>
        <w:tc>
          <w:tcPr>
            <w:tcW w:w="0" w:type="auto"/>
            <w:hideMark/>
          </w:tcPr>
          <w:p w14:paraId="62D5B2FD" w14:textId="77777777" w:rsidR="005B3FD0" w:rsidRPr="005B3FD0" w:rsidRDefault="005B3FD0" w:rsidP="005B3FD0">
            <w:pPr>
              <w:spacing w:after="160"/>
              <w:rPr>
                <w:rFonts w:ascii="Arial" w:hAnsi="Arial" w:cs="Arial"/>
                <w:bCs/>
                <w:sz w:val="24"/>
                <w:szCs w:val="24"/>
                <w:lang w:val="en-US"/>
              </w:rPr>
            </w:pPr>
            <w:r w:rsidRPr="005B3FD0">
              <w:rPr>
                <w:rFonts w:ascii="Arial" w:hAnsi="Arial" w:cs="Arial"/>
                <w:bCs/>
                <w:sz w:val="24"/>
                <w:szCs w:val="24"/>
                <w:lang w:val="en-US"/>
              </w:rPr>
              <w:t>Learning Organisation</w:t>
            </w:r>
          </w:p>
        </w:tc>
        <w:tc>
          <w:tcPr>
            <w:tcW w:w="0" w:type="auto"/>
            <w:hideMark/>
          </w:tcPr>
          <w:p w14:paraId="3B40813B" w14:textId="77777777" w:rsidR="005B3FD0" w:rsidRPr="005B3FD0" w:rsidRDefault="005B3FD0" w:rsidP="005B3FD0">
            <w:pPr>
              <w:spacing w:after="160"/>
              <w:rPr>
                <w:rFonts w:ascii="Arial" w:hAnsi="Arial" w:cs="Arial"/>
                <w:bCs/>
                <w:sz w:val="24"/>
                <w:szCs w:val="24"/>
                <w:lang w:val="en-US"/>
              </w:rPr>
            </w:pPr>
            <w:r w:rsidRPr="005B3FD0">
              <w:rPr>
                <w:rFonts w:ascii="Arial" w:hAnsi="Arial" w:cs="Arial"/>
                <w:bCs/>
                <w:sz w:val="24"/>
                <w:szCs w:val="24"/>
                <w:lang w:val="en-US"/>
              </w:rPr>
              <w:t>Training may not improve performance unless employees apply their learning in practice.</w:t>
            </w:r>
          </w:p>
        </w:tc>
      </w:tr>
      <w:tr w:rsidR="005B3FD0" w:rsidRPr="005B3FD0" w14:paraId="68F6836D" w14:textId="77777777" w:rsidTr="005B3FD0">
        <w:tc>
          <w:tcPr>
            <w:tcW w:w="0" w:type="auto"/>
            <w:hideMark/>
          </w:tcPr>
          <w:p w14:paraId="0E350433" w14:textId="77777777" w:rsidR="005B3FD0" w:rsidRPr="005B3FD0" w:rsidRDefault="005B3FD0" w:rsidP="005B3FD0">
            <w:pPr>
              <w:spacing w:after="160"/>
              <w:rPr>
                <w:rFonts w:ascii="Arial" w:hAnsi="Arial" w:cs="Arial"/>
                <w:bCs/>
                <w:sz w:val="24"/>
                <w:szCs w:val="24"/>
                <w:lang w:val="en-US"/>
              </w:rPr>
            </w:pPr>
            <w:r w:rsidRPr="005B3FD0">
              <w:rPr>
                <w:rFonts w:ascii="Arial" w:hAnsi="Arial" w:cs="Arial"/>
                <w:bCs/>
                <w:sz w:val="24"/>
                <w:szCs w:val="24"/>
                <w:lang w:val="en-US"/>
              </w:rPr>
              <w:t>Employee wellbeing concerns</w:t>
            </w:r>
          </w:p>
        </w:tc>
        <w:tc>
          <w:tcPr>
            <w:tcW w:w="0" w:type="auto"/>
            <w:hideMark/>
          </w:tcPr>
          <w:p w14:paraId="22EED512" w14:textId="77777777" w:rsidR="005B3FD0" w:rsidRPr="005B3FD0" w:rsidRDefault="005B3FD0" w:rsidP="005B3FD0">
            <w:pPr>
              <w:spacing w:after="160"/>
              <w:rPr>
                <w:rFonts w:ascii="Arial" w:hAnsi="Arial" w:cs="Arial"/>
                <w:bCs/>
                <w:sz w:val="24"/>
                <w:szCs w:val="24"/>
                <w:lang w:val="en-US"/>
              </w:rPr>
            </w:pPr>
            <w:r w:rsidRPr="005B3FD0">
              <w:rPr>
                <w:rFonts w:ascii="Arial" w:hAnsi="Arial" w:cs="Arial"/>
                <w:bCs/>
                <w:sz w:val="24"/>
                <w:szCs w:val="24"/>
                <w:lang w:val="en-US"/>
              </w:rPr>
              <w:t>Psychological Safety</w:t>
            </w:r>
          </w:p>
        </w:tc>
        <w:tc>
          <w:tcPr>
            <w:tcW w:w="0" w:type="auto"/>
            <w:hideMark/>
          </w:tcPr>
          <w:p w14:paraId="3F70E463" w14:textId="77777777" w:rsidR="005B3FD0" w:rsidRPr="005B3FD0" w:rsidRDefault="005B3FD0" w:rsidP="005B3FD0">
            <w:pPr>
              <w:spacing w:after="160"/>
              <w:rPr>
                <w:rFonts w:ascii="Arial" w:hAnsi="Arial" w:cs="Arial"/>
                <w:bCs/>
                <w:sz w:val="24"/>
                <w:szCs w:val="24"/>
                <w:lang w:val="en-US"/>
              </w:rPr>
            </w:pPr>
            <w:r w:rsidRPr="005B3FD0">
              <w:rPr>
                <w:rFonts w:ascii="Arial" w:hAnsi="Arial" w:cs="Arial"/>
                <w:bCs/>
                <w:sz w:val="24"/>
                <w:szCs w:val="24"/>
                <w:lang w:val="en-US"/>
              </w:rPr>
              <w:t>Open communication must be balanced with accountability and professional standards.</w:t>
            </w:r>
          </w:p>
        </w:tc>
      </w:tr>
      <w:tr w:rsidR="005B3FD0" w:rsidRPr="005B3FD0" w14:paraId="1039971C" w14:textId="77777777" w:rsidTr="005B3FD0">
        <w:tc>
          <w:tcPr>
            <w:tcW w:w="0" w:type="auto"/>
            <w:hideMark/>
          </w:tcPr>
          <w:p w14:paraId="541CE827" w14:textId="77777777" w:rsidR="005B3FD0" w:rsidRPr="005B3FD0" w:rsidRDefault="005B3FD0" w:rsidP="005B3FD0">
            <w:pPr>
              <w:spacing w:after="160"/>
              <w:rPr>
                <w:rFonts w:ascii="Arial" w:hAnsi="Arial" w:cs="Arial"/>
                <w:bCs/>
                <w:sz w:val="24"/>
                <w:szCs w:val="24"/>
                <w:lang w:val="en-US"/>
              </w:rPr>
            </w:pPr>
            <w:r w:rsidRPr="005B3FD0">
              <w:rPr>
                <w:rFonts w:ascii="Arial" w:hAnsi="Arial" w:cs="Arial"/>
                <w:bCs/>
                <w:sz w:val="24"/>
                <w:szCs w:val="24"/>
                <w:lang w:val="en-US"/>
              </w:rPr>
              <w:t>Limited career progression</w:t>
            </w:r>
          </w:p>
        </w:tc>
        <w:tc>
          <w:tcPr>
            <w:tcW w:w="0" w:type="auto"/>
            <w:hideMark/>
          </w:tcPr>
          <w:p w14:paraId="74030E29" w14:textId="77777777" w:rsidR="005B3FD0" w:rsidRPr="005B3FD0" w:rsidRDefault="005B3FD0" w:rsidP="005B3FD0">
            <w:pPr>
              <w:spacing w:after="160"/>
              <w:rPr>
                <w:rFonts w:ascii="Arial" w:hAnsi="Arial" w:cs="Arial"/>
                <w:bCs/>
                <w:sz w:val="24"/>
                <w:szCs w:val="24"/>
                <w:lang w:val="en-US"/>
              </w:rPr>
            </w:pPr>
            <w:r w:rsidRPr="005B3FD0">
              <w:rPr>
                <w:rFonts w:ascii="Arial" w:hAnsi="Arial" w:cs="Arial"/>
                <w:bCs/>
                <w:sz w:val="24"/>
                <w:szCs w:val="24"/>
                <w:lang w:val="en-US"/>
              </w:rPr>
              <w:t>Job Crafting</w:t>
            </w:r>
          </w:p>
        </w:tc>
        <w:tc>
          <w:tcPr>
            <w:tcW w:w="0" w:type="auto"/>
            <w:hideMark/>
          </w:tcPr>
          <w:p w14:paraId="34432D9C" w14:textId="77777777" w:rsidR="005B3FD0" w:rsidRPr="005B3FD0" w:rsidRDefault="005B3FD0" w:rsidP="005B3FD0">
            <w:pPr>
              <w:spacing w:after="160"/>
              <w:rPr>
                <w:rFonts w:ascii="Arial" w:hAnsi="Arial" w:cs="Arial"/>
                <w:bCs/>
                <w:sz w:val="24"/>
                <w:szCs w:val="24"/>
                <w:lang w:val="en-US"/>
              </w:rPr>
            </w:pPr>
            <w:r w:rsidRPr="005B3FD0">
              <w:rPr>
                <w:rFonts w:ascii="Arial" w:hAnsi="Arial" w:cs="Arial"/>
                <w:bCs/>
                <w:sz w:val="24"/>
                <w:szCs w:val="24"/>
                <w:lang w:val="en-US"/>
              </w:rPr>
              <w:t>Changes to job responsibilities may increase workload if not managed carefully.</w:t>
            </w:r>
          </w:p>
        </w:tc>
      </w:tr>
      <w:tr w:rsidR="005B3FD0" w:rsidRPr="005B3FD0" w14:paraId="41B7D35C" w14:textId="77777777" w:rsidTr="005B3FD0">
        <w:tc>
          <w:tcPr>
            <w:tcW w:w="0" w:type="auto"/>
            <w:hideMark/>
          </w:tcPr>
          <w:p w14:paraId="0C66D40F" w14:textId="77777777" w:rsidR="005B3FD0" w:rsidRPr="005B3FD0" w:rsidRDefault="005B3FD0" w:rsidP="005B3FD0">
            <w:pPr>
              <w:spacing w:after="160"/>
              <w:rPr>
                <w:rFonts w:ascii="Arial" w:hAnsi="Arial" w:cs="Arial"/>
                <w:bCs/>
                <w:sz w:val="24"/>
                <w:szCs w:val="24"/>
                <w:lang w:val="en-US"/>
              </w:rPr>
            </w:pPr>
            <w:r w:rsidRPr="005B3FD0">
              <w:rPr>
                <w:rFonts w:ascii="Arial" w:hAnsi="Arial" w:cs="Arial"/>
                <w:bCs/>
                <w:sz w:val="24"/>
                <w:szCs w:val="24"/>
                <w:lang w:val="en-US"/>
              </w:rPr>
              <w:t>Motivation and autonomy concerns</w:t>
            </w:r>
          </w:p>
        </w:tc>
        <w:tc>
          <w:tcPr>
            <w:tcW w:w="0" w:type="auto"/>
            <w:hideMark/>
          </w:tcPr>
          <w:p w14:paraId="5FE1F07B" w14:textId="77777777" w:rsidR="005B3FD0" w:rsidRPr="005B3FD0" w:rsidRDefault="005B3FD0" w:rsidP="005B3FD0">
            <w:pPr>
              <w:spacing w:after="160"/>
              <w:rPr>
                <w:rFonts w:ascii="Arial" w:hAnsi="Arial" w:cs="Arial"/>
                <w:bCs/>
                <w:sz w:val="24"/>
                <w:szCs w:val="24"/>
                <w:lang w:val="en-US"/>
              </w:rPr>
            </w:pPr>
            <w:r w:rsidRPr="005B3FD0">
              <w:rPr>
                <w:rFonts w:ascii="Arial" w:hAnsi="Arial" w:cs="Arial"/>
                <w:bCs/>
                <w:sz w:val="24"/>
                <w:szCs w:val="24"/>
                <w:lang w:val="en-US"/>
              </w:rPr>
              <w:t>Self-Determination Theory</w:t>
            </w:r>
          </w:p>
        </w:tc>
        <w:tc>
          <w:tcPr>
            <w:tcW w:w="0" w:type="auto"/>
            <w:hideMark/>
          </w:tcPr>
          <w:p w14:paraId="79D37EE3" w14:textId="77777777" w:rsidR="005B3FD0" w:rsidRPr="005B3FD0" w:rsidRDefault="005B3FD0" w:rsidP="005B3FD0">
            <w:pPr>
              <w:spacing w:after="160"/>
              <w:rPr>
                <w:rFonts w:ascii="Arial" w:hAnsi="Arial" w:cs="Arial"/>
                <w:bCs/>
                <w:sz w:val="24"/>
                <w:szCs w:val="24"/>
                <w:lang w:val="en-US"/>
              </w:rPr>
            </w:pPr>
            <w:r w:rsidRPr="005B3FD0">
              <w:rPr>
                <w:rFonts w:ascii="Arial" w:hAnsi="Arial" w:cs="Arial"/>
                <w:bCs/>
                <w:sz w:val="24"/>
                <w:szCs w:val="24"/>
                <w:lang w:val="en-US"/>
              </w:rPr>
              <w:t>Autonomy without sufficient guidance and support may increase employee pressure.</w:t>
            </w:r>
          </w:p>
        </w:tc>
      </w:tr>
    </w:tbl>
    <w:p w14:paraId="26DC351A" w14:textId="15D922B7" w:rsidR="005B3FD0" w:rsidRPr="005B3FD0" w:rsidRDefault="005B3FD0" w:rsidP="005B3FD0">
      <w:pPr>
        <w:spacing w:line="360" w:lineRule="auto"/>
        <w:jc w:val="both"/>
        <w:rPr>
          <w:rFonts w:ascii="Arial" w:hAnsi="Arial" w:cs="Arial"/>
          <w:bCs/>
          <w:i/>
          <w:iCs/>
          <w:sz w:val="24"/>
          <w:szCs w:val="24"/>
        </w:rPr>
      </w:pPr>
      <w:r w:rsidRPr="005B3FD0">
        <w:rPr>
          <w:rFonts w:ascii="Arial" w:hAnsi="Arial" w:cs="Arial"/>
          <w:bCs/>
          <w:i/>
          <w:iCs/>
          <w:sz w:val="24"/>
          <w:szCs w:val="24"/>
        </w:rPr>
        <w:t>Source: Author's own table, informed by Mohammad, Sağsan and Şeşen (2024), Jin and Peng (2024), Holman et al. (2024), and Tiffin et al. (2024).</w:t>
      </w:r>
    </w:p>
    <w:p w14:paraId="60321D0A" w14:textId="77777777" w:rsidR="00725003" w:rsidRPr="00725003" w:rsidRDefault="00725003" w:rsidP="00725003">
      <w:pPr>
        <w:spacing w:line="360" w:lineRule="auto"/>
        <w:jc w:val="both"/>
        <w:rPr>
          <w:rFonts w:asciiTheme="minorBidi" w:hAnsiTheme="minorBidi"/>
          <w:b/>
          <w:i/>
          <w:sz w:val="24"/>
          <w:szCs w:val="24"/>
          <w:lang w:val="en-US"/>
        </w:rPr>
      </w:pPr>
      <w:bookmarkStart w:id="12" w:name="_Toc242214928"/>
      <w:r w:rsidRPr="00725003">
        <w:rPr>
          <w:rFonts w:asciiTheme="minorBidi" w:hAnsiTheme="minorBidi"/>
          <w:sz w:val="24"/>
          <w:szCs w:val="24"/>
          <w:lang w:val="en-US"/>
        </w:rPr>
        <w:t>The four approaches are related but touch on different kinds of talent-management issues at NHSX. The Learning Organisation approach is about continuous learning, Psychological Safety is about employee wellbeing, Job Crafting is about career progression and Self-Determination Theory is about autonomy and motivation. These can serve as a foundation for establishing a favorable work climate, but their success is contingent on proper implementation and management.</w:t>
      </w:r>
    </w:p>
    <w:p w14:paraId="29DB1E74" w14:textId="18CF3507" w:rsidR="00C7451B" w:rsidRPr="006E14AF" w:rsidRDefault="00D47BD6" w:rsidP="009B565E">
      <w:pPr>
        <w:pStyle w:val="Heading2"/>
      </w:pPr>
      <w:bookmarkStart w:id="13" w:name="_Toc242879935"/>
      <w:r>
        <w:t xml:space="preserve">2.2 </w:t>
      </w:r>
      <w:r w:rsidR="00C7451B" w:rsidRPr="006E14AF">
        <w:t>Strategic Talent Growth Strategy for NHSX</w:t>
      </w:r>
      <w:bookmarkEnd w:id="12"/>
      <w:bookmarkEnd w:id="13"/>
    </w:p>
    <w:p w14:paraId="6E09320E" w14:textId="77777777" w:rsidR="00722737" w:rsidRPr="006E14AF" w:rsidRDefault="00722737" w:rsidP="0017648D">
      <w:pPr>
        <w:spacing w:line="360" w:lineRule="auto"/>
        <w:jc w:val="both"/>
        <w:rPr>
          <w:rFonts w:ascii="Arial" w:hAnsi="Arial" w:cs="Arial"/>
          <w:sz w:val="24"/>
          <w:szCs w:val="24"/>
        </w:rPr>
      </w:pPr>
      <w:r w:rsidRPr="006E14AF">
        <w:rPr>
          <w:rStyle w:val="cursor-pointer"/>
          <w:rFonts w:ascii="Arial" w:hAnsi="Arial" w:cs="Arial"/>
          <w:sz w:val="24"/>
          <w:szCs w:val="24"/>
        </w:rPr>
        <w:t>NHSX needs to create an NHSX Talent Growth Ecosystem with five pillars.</w:t>
      </w:r>
      <w:r w:rsidRPr="006E14AF">
        <w:rPr>
          <w:rFonts w:ascii="Arial" w:hAnsi="Arial" w:cs="Arial"/>
          <w:sz w:val="24"/>
          <w:szCs w:val="24"/>
        </w:rPr>
        <w:t xml:space="preserve"> </w:t>
      </w:r>
    </w:p>
    <w:p w14:paraId="4267CCBD" w14:textId="77777777" w:rsidR="00725003" w:rsidRPr="00725003" w:rsidRDefault="00725003" w:rsidP="00725003">
      <w:pPr>
        <w:spacing w:line="360" w:lineRule="auto"/>
        <w:jc w:val="both"/>
        <w:rPr>
          <w:rFonts w:ascii="Arial" w:hAnsi="Arial" w:cs="Arial"/>
          <w:sz w:val="24"/>
          <w:szCs w:val="24"/>
          <w:lang w:val="en-US"/>
        </w:rPr>
      </w:pPr>
      <w:r w:rsidRPr="00725003">
        <w:rPr>
          <w:rFonts w:ascii="Arial" w:hAnsi="Arial" w:cs="Arial"/>
          <w:sz w:val="24"/>
          <w:szCs w:val="24"/>
          <w:lang w:val="en-US"/>
        </w:rPr>
        <w:t>First, NHSX has to overcome the deficiency in the provision of learning opportunities through the integration of learning and capability development into everyday work. Training should focus on AI and data analytics, digital healthcare and leadership and be supported by digital learning, certifications and peer learning. The knowledge needs to be applied through practical projects and quarterly capability reviews will uncover skills gaps and additional development needs. In this way, continuous learning and innovation in the organizations can be supported (Mohammad, Sağsan and Şeşen, 2024).</w:t>
      </w:r>
    </w:p>
    <w:p w14:paraId="1259DE8F" w14:textId="1CFAEE85" w:rsidR="00725003" w:rsidRPr="00C31747" w:rsidRDefault="00725003" w:rsidP="00C31747">
      <w:pPr>
        <w:pStyle w:val="NormalWeb"/>
        <w:spacing w:line="360" w:lineRule="auto"/>
        <w:jc w:val="both"/>
        <w:rPr>
          <w:rFonts w:ascii="Arial" w:eastAsia="Times New Roman" w:hAnsi="Arial" w:cs="Arial"/>
          <w:lang w:eastAsia="en-GB"/>
        </w:rPr>
      </w:pPr>
      <w:r w:rsidRPr="00C31747">
        <w:rPr>
          <w:rFonts w:ascii="Arial" w:hAnsi="Arial" w:cs="Arial"/>
          <w:lang w:val="en-US"/>
        </w:rPr>
        <w:t>Second, NHSX should work to overcome poor career progression by creating clear and transparent career paths. Technical staff members should be afforded means of advancement to an increased level of specialization or managerial responsibilities without the loss of technical skills. By means of mentoring, coaching and clear promotion guidelines, employees should be supported in discovering development opportunities and planning their own career. These actions can positively affect employee motivation and retention by providing greater opportunities for profes</w:t>
      </w:r>
      <w:r w:rsidR="00A5495A">
        <w:rPr>
          <w:rFonts w:ascii="Arial" w:hAnsi="Arial" w:cs="Arial"/>
          <w:lang w:val="en-US"/>
        </w:rPr>
        <w:t xml:space="preserve">sional development (Almashyakhi, </w:t>
      </w:r>
      <w:r w:rsidRPr="00C31747">
        <w:rPr>
          <w:rFonts w:ascii="Arial" w:hAnsi="Arial" w:cs="Arial"/>
          <w:lang w:val="en-US"/>
        </w:rPr>
        <w:t>2024).</w:t>
      </w:r>
      <w:r w:rsidR="00C31747" w:rsidRPr="00C31747">
        <w:rPr>
          <w:rFonts w:ascii="Arial" w:hAnsi="Arial" w:cs="Arial"/>
        </w:rPr>
        <w:t xml:space="preserve"> </w:t>
      </w:r>
      <w:r w:rsidR="00C31747" w:rsidRPr="00C31747">
        <w:rPr>
          <w:rFonts w:ascii="Arial" w:eastAsia="Times New Roman" w:hAnsi="Arial" w:cs="Arial"/>
          <w:lang w:eastAsia="en-GB"/>
        </w:rPr>
        <w:t>Continuing professional development and workplace training may also support employee retention by reducing employees’ intention to leave their jobs (Shiri et al., 2023).</w:t>
      </w:r>
    </w:p>
    <w:p w14:paraId="6D279EB5" w14:textId="77777777" w:rsidR="00725003" w:rsidRPr="00725003" w:rsidRDefault="00725003" w:rsidP="00725003">
      <w:pPr>
        <w:spacing w:line="360" w:lineRule="auto"/>
        <w:jc w:val="both"/>
        <w:rPr>
          <w:rFonts w:ascii="Arial" w:hAnsi="Arial" w:cs="Arial"/>
          <w:sz w:val="24"/>
          <w:szCs w:val="24"/>
          <w:lang w:val="en-US"/>
        </w:rPr>
      </w:pPr>
      <w:r w:rsidRPr="00725003">
        <w:rPr>
          <w:rFonts w:ascii="Arial" w:hAnsi="Arial" w:cs="Arial"/>
          <w:sz w:val="24"/>
          <w:szCs w:val="24"/>
          <w:lang w:val="en-US"/>
        </w:rPr>
        <w:t>Thirdly, NHSX should foster better employee wellbeing by developing a psychologically safe working environment. Foster disagreement respectfully, offer constructive criticism and don't be afraid to criticize employees without embarrassment. Frequent innovation forums to discuss what fails can be a channel for ideas and learning from failures. But experimentation should be limited to the clinical, technical and ethical parameters. These practices can help to promote employee wellbeing and innovative performance (Jin and Peng, 2024).</w:t>
      </w:r>
    </w:p>
    <w:p w14:paraId="597DC343" w14:textId="733396E5" w:rsidR="00725003" w:rsidRDefault="00725003" w:rsidP="00725003">
      <w:pPr>
        <w:spacing w:line="360" w:lineRule="auto"/>
        <w:jc w:val="both"/>
        <w:rPr>
          <w:rFonts w:ascii="Arial" w:hAnsi="Arial" w:cs="Arial"/>
          <w:sz w:val="24"/>
          <w:szCs w:val="24"/>
          <w:lang w:val="en-US"/>
        </w:rPr>
      </w:pPr>
      <w:r w:rsidRPr="00725003">
        <w:rPr>
          <w:rFonts w:ascii="Arial" w:hAnsi="Arial" w:cs="Arial"/>
          <w:sz w:val="24"/>
          <w:szCs w:val="24"/>
          <w:lang w:val="en-US"/>
        </w:rPr>
        <w:t>Fourth, a structured approach to job crafting opportunities should be encouraged by NHSX to promote career development and employee autonomy. Staff should be encouraged to work on projects with others and acquire new skills and appropriate duties within the context of their career aspirations. The setting of clear goals, monitoring workloads and offering guidance are important areas in which managers can assist while simultaneously giving workers some latitude in how they perform their work. This can also help build employee motivation, professional development, and minimize excessive workload and employee strain (Holman et al., 2024; Tiffin et al., 2024).</w:t>
      </w:r>
    </w:p>
    <w:p w14:paraId="47CDE0AB" w14:textId="42B29EAA" w:rsidR="00C7451B" w:rsidRPr="006E14AF" w:rsidRDefault="00C7451B" w:rsidP="00725003">
      <w:pPr>
        <w:spacing w:line="360" w:lineRule="auto"/>
        <w:jc w:val="center"/>
        <w:rPr>
          <w:rFonts w:ascii="Arial" w:hAnsi="Arial" w:cs="Arial"/>
          <w:sz w:val="24"/>
          <w:szCs w:val="24"/>
        </w:rPr>
      </w:pPr>
      <w:r w:rsidRPr="006E14AF">
        <w:rPr>
          <w:rFonts w:ascii="Arial" w:hAnsi="Arial" w:cs="Arial"/>
          <w:noProof/>
          <w:sz w:val="24"/>
          <w:szCs w:val="24"/>
          <w:lang w:eastAsia="en-GB"/>
        </w:rPr>
        <w:drawing>
          <wp:inline distT="0" distB="0" distL="0" distR="0" wp14:anchorId="2CD7C0FA" wp14:editId="4CE2E0D8">
            <wp:extent cx="6363335" cy="2495550"/>
            <wp:effectExtent l="0" t="0" r="0" b="0"/>
            <wp:docPr id="19530907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6221" b="6691"/>
                    <a:stretch>
                      <a:fillRect/>
                    </a:stretch>
                  </pic:blipFill>
                  <pic:spPr bwMode="auto">
                    <a:xfrm>
                      <a:off x="0" y="0"/>
                      <a:ext cx="6392924" cy="2507154"/>
                    </a:xfrm>
                    <a:prstGeom prst="rect">
                      <a:avLst/>
                    </a:prstGeom>
                    <a:noFill/>
                    <a:ln>
                      <a:noFill/>
                    </a:ln>
                    <a:extLst>
                      <a:ext uri="{53640926-AAD7-44D8-BBD7-CCE9431645EC}">
                        <a14:shadowObscured xmlns:a14="http://schemas.microsoft.com/office/drawing/2010/main"/>
                      </a:ext>
                    </a:extLst>
                  </pic:spPr>
                </pic:pic>
              </a:graphicData>
            </a:graphic>
          </wp:inline>
        </w:drawing>
      </w:r>
      <w:r w:rsidRPr="006E14AF">
        <w:rPr>
          <w:rFonts w:ascii="Arial" w:hAnsi="Arial" w:cs="Arial"/>
          <w:b/>
          <w:sz w:val="24"/>
          <w:szCs w:val="24"/>
        </w:rPr>
        <w:t>Figure 2:</w:t>
      </w:r>
      <w:r w:rsidRPr="006E14AF">
        <w:rPr>
          <w:rFonts w:ascii="Arial" w:hAnsi="Arial" w:cs="Arial"/>
          <w:sz w:val="24"/>
          <w:szCs w:val="24"/>
        </w:rPr>
        <w:t xml:space="preserve"> NHSX Talent Growth Ecosystem</w:t>
      </w:r>
    </w:p>
    <w:p w14:paraId="2C4C0DDF" w14:textId="77777777" w:rsidR="00C7451B" w:rsidRPr="006E14AF" w:rsidRDefault="00C7451B" w:rsidP="009B565E">
      <w:pPr>
        <w:spacing w:line="360" w:lineRule="auto"/>
        <w:jc w:val="center"/>
        <w:rPr>
          <w:rFonts w:ascii="Arial" w:hAnsi="Arial" w:cs="Arial"/>
          <w:sz w:val="24"/>
          <w:szCs w:val="24"/>
        </w:rPr>
      </w:pPr>
      <w:r w:rsidRPr="006E14AF">
        <w:rPr>
          <w:rFonts w:ascii="Arial" w:hAnsi="Arial" w:cs="Arial"/>
          <w:b/>
          <w:iCs/>
          <w:sz w:val="24"/>
          <w:szCs w:val="24"/>
        </w:rPr>
        <w:t>Source:</w:t>
      </w:r>
      <w:r w:rsidRPr="006E14AF">
        <w:rPr>
          <w:rFonts w:ascii="Arial" w:hAnsi="Arial" w:cs="Arial"/>
          <w:iCs/>
          <w:sz w:val="24"/>
          <w:szCs w:val="24"/>
        </w:rPr>
        <w:t xml:space="preserve"> Author's own framework, informed by Mohammad, Sağsan and Şeşen (2024), Jin and Peng (2024), Holman et al. (2024) and Tiffin et al. (2024).</w:t>
      </w:r>
    </w:p>
    <w:p w14:paraId="28D421D5" w14:textId="77777777" w:rsidR="003E341D" w:rsidRPr="00725003" w:rsidRDefault="00C11D0F" w:rsidP="00725003">
      <w:pPr>
        <w:spacing w:line="360" w:lineRule="auto"/>
        <w:jc w:val="both"/>
        <w:rPr>
          <w:rFonts w:asciiTheme="minorBidi" w:hAnsiTheme="minorBidi"/>
          <w:sz w:val="24"/>
          <w:szCs w:val="24"/>
        </w:rPr>
      </w:pPr>
      <w:r w:rsidRPr="006E14AF">
        <w:rPr>
          <w:rStyle w:val="cursor-pointer"/>
          <w:rFonts w:ascii="Arial" w:hAnsi="Arial" w:cs="Arial"/>
          <w:sz w:val="24"/>
          <w:szCs w:val="24"/>
        </w:rPr>
        <w:t>Fifth, the employee experience and employee retention should be the</w:t>
      </w:r>
      <w:r w:rsidRPr="006E14AF">
        <w:rPr>
          <w:rStyle w:val="cursor-pointer"/>
          <w:rFonts w:ascii="Arial" w:hAnsi="Arial" w:cs="Arial"/>
          <w:b/>
          <w:sz w:val="24"/>
          <w:szCs w:val="24"/>
        </w:rPr>
        <w:t xml:space="preserve"> </w:t>
      </w:r>
      <w:r w:rsidR="00383FB6" w:rsidRPr="006E14AF">
        <w:rPr>
          <w:rStyle w:val="Strong"/>
          <w:rFonts w:ascii="Arial" w:hAnsi="Arial" w:cs="Arial"/>
          <w:b w:val="0"/>
          <w:sz w:val="24"/>
          <w:szCs w:val="24"/>
        </w:rPr>
        <w:t>monitored continuously</w:t>
      </w:r>
      <w:r w:rsidRPr="006E14AF">
        <w:rPr>
          <w:rStyle w:val="cursor-pointer"/>
          <w:rFonts w:ascii="Arial" w:hAnsi="Arial" w:cs="Arial"/>
          <w:b/>
          <w:sz w:val="24"/>
          <w:szCs w:val="24"/>
        </w:rPr>
        <w:t>.</w:t>
      </w:r>
      <w:r w:rsidRPr="006E14AF">
        <w:rPr>
          <w:rFonts w:ascii="Arial" w:hAnsi="Arial" w:cs="Arial"/>
          <w:b/>
          <w:sz w:val="24"/>
          <w:szCs w:val="24"/>
        </w:rPr>
        <w:t xml:space="preserve"> </w:t>
      </w:r>
      <w:r w:rsidRPr="006E14AF">
        <w:rPr>
          <w:rStyle w:val="cursor-pointer"/>
          <w:rFonts w:ascii="Arial" w:hAnsi="Arial" w:cs="Arial"/>
          <w:sz w:val="24"/>
          <w:szCs w:val="24"/>
        </w:rPr>
        <w:t>The engagement survey, career discussions and wellbeing review should be used by NHSX to explore barriers to retention.</w:t>
      </w:r>
      <w:r w:rsidRPr="006E14AF">
        <w:rPr>
          <w:rFonts w:ascii="Arial" w:hAnsi="Arial" w:cs="Arial"/>
          <w:sz w:val="24"/>
          <w:szCs w:val="24"/>
        </w:rPr>
        <w:t xml:space="preserve"> </w:t>
      </w:r>
      <w:r w:rsidRPr="006E14AF">
        <w:rPr>
          <w:rStyle w:val="cursor-pointer"/>
          <w:rFonts w:ascii="Arial" w:hAnsi="Arial" w:cs="Arial"/>
          <w:sz w:val="24"/>
          <w:szCs w:val="24"/>
        </w:rPr>
        <w:t>Ability gaps and retention risk are some things that talent analytics can help uncover, but should only complement managerial judgment.</w:t>
      </w:r>
      <w:r w:rsidRPr="006E14AF">
        <w:rPr>
          <w:rFonts w:ascii="Arial" w:hAnsi="Arial" w:cs="Arial"/>
          <w:sz w:val="24"/>
          <w:szCs w:val="24"/>
        </w:rPr>
        <w:t xml:space="preserve"> </w:t>
      </w:r>
      <w:r w:rsidRPr="006E14AF">
        <w:rPr>
          <w:rStyle w:val="cursor-pointer"/>
          <w:rFonts w:ascii="Arial" w:hAnsi="Arial" w:cs="Arial"/>
          <w:sz w:val="24"/>
          <w:szCs w:val="24"/>
        </w:rPr>
        <w:t xml:space="preserve">Turnover, promotion, learning and engagement should be included amongst </w:t>
      </w:r>
      <w:r w:rsidRPr="00725003">
        <w:rPr>
          <w:rStyle w:val="cursor-pointer"/>
          <w:rFonts w:asciiTheme="minorBidi" w:hAnsiTheme="minorBidi"/>
          <w:sz w:val="24"/>
          <w:szCs w:val="24"/>
        </w:rPr>
        <w:t>the indicators.</w:t>
      </w:r>
      <w:r w:rsidRPr="00725003">
        <w:rPr>
          <w:rFonts w:asciiTheme="minorBidi" w:hAnsiTheme="minorBidi"/>
          <w:sz w:val="24"/>
          <w:szCs w:val="24"/>
        </w:rPr>
        <w:t xml:space="preserve"> </w:t>
      </w:r>
      <w:bookmarkStart w:id="14" w:name="_Toc242214929"/>
    </w:p>
    <w:p w14:paraId="46EF609B" w14:textId="77777777" w:rsidR="00725003" w:rsidRPr="00725003" w:rsidRDefault="00725003" w:rsidP="00725003">
      <w:pPr>
        <w:spacing w:line="360" w:lineRule="auto"/>
        <w:jc w:val="both"/>
        <w:rPr>
          <w:rFonts w:asciiTheme="minorBidi" w:hAnsiTheme="minorBidi"/>
          <w:b/>
          <w:sz w:val="24"/>
          <w:szCs w:val="24"/>
          <w:lang w:val="en-US"/>
        </w:rPr>
      </w:pPr>
      <w:r w:rsidRPr="00725003">
        <w:rPr>
          <w:rFonts w:asciiTheme="minorBidi" w:hAnsiTheme="minorBidi"/>
          <w:sz w:val="24"/>
          <w:szCs w:val="24"/>
          <w:lang w:val="en-US"/>
        </w:rPr>
        <w:t>In summary, NHSX should integrate learning opportunities, psychological safety, career development and employee autonomy into its talent strategy. Development gaps can be addressed through regular training, supportive management and career pathways can help improve employee wellbeing and support employee retention. Engagement, participation in learning and staff turnover will be tracked to assess the effectiveness of these measures.</w:t>
      </w:r>
    </w:p>
    <w:p w14:paraId="5CC41563" w14:textId="5CFA62DF" w:rsidR="009B565E" w:rsidRPr="006E14AF" w:rsidRDefault="0054614C" w:rsidP="00725003">
      <w:pPr>
        <w:pStyle w:val="Heading1"/>
        <w:numPr>
          <w:ilvl w:val="0"/>
          <w:numId w:val="1"/>
        </w:numPr>
      </w:pPr>
      <w:bookmarkStart w:id="15" w:name="_Toc242879936"/>
      <w:r w:rsidRPr="006E14AF">
        <w:t>TASK C: Reflective Report</w:t>
      </w:r>
      <w:bookmarkEnd w:id="14"/>
      <w:bookmarkEnd w:id="15"/>
    </w:p>
    <w:p w14:paraId="067B6C40" w14:textId="47F478CA" w:rsidR="00A5495A" w:rsidRPr="00A5495A" w:rsidRDefault="00C11D0F" w:rsidP="00A5495A">
      <w:pPr>
        <w:pStyle w:val="NormalWeb"/>
        <w:spacing w:line="360" w:lineRule="auto"/>
        <w:jc w:val="both"/>
        <w:rPr>
          <w:rFonts w:ascii="Arial" w:eastAsia="Times New Roman" w:hAnsi="Arial" w:cs="Arial"/>
          <w:lang w:eastAsia="en-GB"/>
        </w:rPr>
      </w:pPr>
      <w:r w:rsidRPr="00A5495A">
        <w:rPr>
          <w:rStyle w:val="cursor-pointer"/>
          <w:rFonts w:ascii="Arial" w:hAnsi="Arial" w:cs="Arial"/>
        </w:rPr>
        <w:t>Recruitment, workforce planning, learning, performance and retention decision-making can be reinforced with Artificial Intelligence (AI) and Human Resource Management (HRM).</w:t>
      </w:r>
      <w:r w:rsidRPr="00A5495A">
        <w:rPr>
          <w:rFonts w:ascii="Arial" w:hAnsi="Arial" w:cs="Arial"/>
        </w:rPr>
        <w:t xml:space="preserve"> </w:t>
      </w:r>
      <w:r w:rsidRPr="00A5495A">
        <w:rPr>
          <w:rStyle w:val="cursor-pointer"/>
          <w:rFonts w:ascii="Arial" w:hAnsi="Arial" w:cs="Arial"/>
        </w:rPr>
        <w:t>Studies point out the potential benefits of AI in enhancing HR tasks and the issues it poses regarding human involvement and accountability (Dima et al., 2024).</w:t>
      </w:r>
      <w:r w:rsidRPr="00A5495A">
        <w:rPr>
          <w:rFonts w:ascii="Arial" w:hAnsi="Arial" w:cs="Arial"/>
        </w:rPr>
        <w:t xml:space="preserve"> </w:t>
      </w:r>
      <w:r w:rsidRPr="00A5495A">
        <w:rPr>
          <w:rStyle w:val="cursor-pointer"/>
          <w:rFonts w:ascii="Arial" w:hAnsi="Arial" w:cs="Arial"/>
        </w:rPr>
        <w:t>AI should be used as a tool for decision-making, not decision-making itself, however.</w:t>
      </w:r>
      <w:r w:rsidRPr="00A5495A">
        <w:rPr>
          <w:rFonts w:ascii="Arial" w:hAnsi="Arial" w:cs="Arial"/>
        </w:rPr>
        <w:t xml:space="preserve"> </w:t>
      </w:r>
      <w:r w:rsidRPr="00A5495A">
        <w:rPr>
          <w:rStyle w:val="cursor-pointer"/>
          <w:rFonts w:ascii="Arial" w:hAnsi="Arial" w:cs="Arial"/>
        </w:rPr>
        <w:t>Algorithmic recruitment can generate fairness issues if the algorithm fails to mitigate biases in the information used, or if managers are too dependent on the recommendations provided by the algorithm (Cai, Zhang and Zhang, 2024).</w:t>
      </w:r>
      <w:r w:rsidRPr="00A5495A">
        <w:rPr>
          <w:rFonts w:ascii="Arial" w:hAnsi="Arial" w:cs="Arial"/>
        </w:rPr>
        <w:t xml:space="preserve"> </w:t>
      </w:r>
      <w:r w:rsidRPr="00A5495A">
        <w:rPr>
          <w:rStyle w:val="cursor-pointer"/>
          <w:rFonts w:ascii="Arial" w:hAnsi="Arial" w:cs="Arial"/>
        </w:rPr>
        <w:t>Hence, HR must review the outputs generated by AI, uphold confidentiality, take care of employee situations and maintain accountability.</w:t>
      </w:r>
      <w:r w:rsidRPr="00A5495A">
        <w:rPr>
          <w:rFonts w:ascii="Arial" w:hAnsi="Arial" w:cs="Arial"/>
        </w:rPr>
        <w:t xml:space="preserve"> </w:t>
      </w:r>
      <w:r w:rsidRPr="00A5495A">
        <w:rPr>
          <w:rStyle w:val="cursor-pointer"/>
          <w:rFonts w:ascii="Arial" w:hAnsi="Arial" w:cs="Arial"/>
        </w:rPr>
        <w:t>There is still a need for human empathy as factors like emotions, relationships, and circumstances in employment decisions are not fully comprehended by AI.</w:t>
      </w:r>
      <w:r w:rsidRPr="00A5495A">
        <w:rPr>
          <w:rFonts w:ascii="Arial" w:hAnsi="Arial" w:cs="Arial"/>
        </w:rPr>
        <w:t xml:space="preserve"> </w:t>
      </w:r>
      <w:r w:rsidRPr="00A5495A">
        <w:rPr>
          <w:rStyle w:val="cursor-pointer"/>
          <w:rFonts w:ascii="Arial" w:hAnsi="Arial" w:cs="Arial"/>
        </w:rPr>
        <w:t>Agency, transparency and ethical responsibility must be maintained with human oversight (Haipeter et al., 2024).</w:t>
      </w:r>
      <w:r w:rsidR="00A5495A" w:rsidRPr="00A5495A">
        <w:rPr>
          <w:rFonts w:ascii="Arial" w:hAnsi="Arial" w:cs="Arial"/>
        </w:rPr>
        <w:t xml:space="preserve"> </w:t>
      </w:r>
      <w:r w:rsidR="00A5495A" w:rsidRPr="00A5495A">
        <w:rPr>
          <w:rFonts w:ascii="Arial" w:eastAsia="Times New Roman" w:hAnsi="Arial" w:cs="Arial"/>
          <w:lang w:eastAsia="en-GB"/>
        </w:rPr>
        <w:t>A human-centred approach to AI implementation is also important because HR professionals must consider employee needs, trust and ethical implications when integrating AI into workplace processes (Fenwick et al., 2024).</w:t>
      </w:r>
    </w:p>
    <w:p w14:paraId="1AAB731F" w14:textId="77777777" w:rsidR="00C11D0F" w:rsidRPr="006E14AF" w:rsidRDefault="00C11D0F" w:rsidP="0017648D">
      <w:pPr>
        <w:spacing w:line="360" w:lineRule="auto"/>
        <w:jc w:val="both"/>
        <w:rPr>
          <w:rStyle w:val="cursor-pointer"/>
          <w:rFonts w:ascii="Arial" w:hAnsi="Arial" w:cs="Arial"/>
          <w:sz w:val="24"/>
          <w:szCs w:val="24"/>
        </w:rPr>
      </w:pPr>
    </w:p>
    <w:p w14:paraId="691FB57F" w14:textId="73EE58F2" w:rsidR="0054614C" w:rsidRPr="006E14AF" w:rsidRDefault="00725003" w:rsidP="009B565E">
      <w:pPr>
        <w:pStyle w:val="Heading2"/>
      </w:pPr>
      <w:bookmarkStart w:id="16" w:name="_Toc242214930"/>
      <w:bookmarkStart w:id="17" w:name="_Toc242879937"/>
      <w:r>
        <w:t xml:space="preserve">3.1 </w:t>
      </w:r>
      <w:r w:rsidR="0054614C" w:rsidRPr="006E14AF">
        <w:t>Reflective Analysis of AI Use</w:t>
      </w:r>
      <w:bookmarkEnd w:id="16"/>
      <w:bookmarkEnd w:id="17"/>
    </w:p>
    <w:p w14:paraId="1E2D449C" w14:textId="546B87E5" w:rsidR="00C11D0F" w:rsidRPr="006E14AF" w:rsidRDefault="00C11D0F" w:rsidP="0017648D">
      <w:pPr>
        <w:spacing w:line="360" w:lineRule="auto"/>
        <w:jc w:val="both"/>
        <w:rPr>
          <w:rStyle w:val="cursor-pointer"/>
          <w:rFonts w:ascii="Arial" w:hAnsi="Arial" w:cs="Arial"/>
          <w:sz w:val="24"/>
          <w:szCs w:val="24"/>
        </w:rPr>
      </w:pPr>
      <w:r w:rsidRPr="006E14AF">
        <w:rPr>
          <w:rStyle w:val="cursor-pointer"/>
          <w:rFonts w:ascii="Arial" w:hAnsi="Arial" w:cs="Arial"/>
          <w:sz w:val="24"/>
          <w:szCs w:val="24"/>
        </w:rPr>
        <w:t>The first time I used AI is when I was researching for academic purposes.</w:t>
      </w:r>
      <w:r w:rsidRPr="006E14AF">
        <w:rPr>
          <w:rFonts w:ascii="Arial" w:hAnsi="Arial" w:cs="Arial"/>
          <w:sz w:val="24"/>
          <w:szCs w:val="24"/>
        </w:rPr>
        <w:t xml:space="preserve"> </w:t>
      </w:r>
      <w:r w:rsidRPr="006E14AF">
        <w:rPr>
          <w:rStyle w:val="cursor-pointer"/>
          <w:rFonts w:ascii="Arial" w:hAnsi="Arial" w:cs="Arial"/>
          <w:sz w:val="24"/>
          <w:szCs w:val="24"/>
        </w:rPr>
        <w:t>I applied AI to find themes, organise information, and come up with perspectives.</w:t>
      </w:r>
      <w:r w:rsidRPr="006E14AF">
        <w:rPr>
          <w:rFonts w:ascii="Arial" w:hAnsi="Arial" w:cs="Arial"/>
          <w:sz w:val="24"/>
          <w:szCs w:val="24"/>
        </w:rPr>
        <w:t xml:space="preserve"> </w:t>
      </w:r>
      <w:r w:rsidRPr="006E14AF">
        <w:rPr>
          <w:rStyle w:val="cursor-pointer"/>
          <w:rFonts w:ascii="Arial" w:hAnsi="Arial" w:cs="Arial"/>
          <w:sz w:val="24"/>
          <w:szCs w:val="24"/>
        </w:rPr>
        <w:t xml:space="preserve">This was a </w:t>
      </w:r>
      <w:r w:rsidR="00796FE0" w:rsidRPr="006E14AF">
        <w:rPr>
          <w:rFonts w:ascii="Arial" w:hAnsi="Arial" w:cs="Arial"/>
          <w:sz w:val="24"/>
          <w:szCs w:val="24"/>
        </w:rPr>
        <w:t>improved</w:t>
      </w:r>
      <w:r w:rsidRPr="006E14AF">
        <w:rPr>
          <w:rStyle w:val="cursor-pointer"/>
          <w:rFonts w:ascii="Arial" w:hAnsi="Arial" w:cs="Arial"/>
          <w:sz w:val="24"/>
          <w:szCs w:val="24"/>
        </w:rPr>
        <w:t xml:space="preserve"> efficiency and made me think about things that otherwise I would not have thought about.</w:t>
      </w:r>
      <w:r w:rsidRPr="006E14AF">
        <w:rPr>
          <w:rFonts w:ascii="Arial" w:hAnsi="Arial" w:cs="Arial"/>
          <w:sz w:val="24"/>
          <w:szCs w:val="24"/>
        </w:rPr>
        <w:t xml:space="preserve"> </w:t>
      </w:r>
      <w:r w:rsidRPr="006E14AF">
        <w:rPr>
          <w:rStyle w:val="cursor-pointer"/>
          <w:rFonts w:ascii="Arial" w:hAnsi="Arial" w:cs="Arial"/>
          <w:sz w:val="24"/>
          <w:szCs w:val="24"/>
        </w:rPr>
        <w:t>But assimilation of information produced without checking may lead to a decrease in critical thinking.</w:t>
      </w:r>
      <w:r w:rsidRPr="006E14AF">
        <w:rPr>
          <w:rFonts w:ascii="Arial" w:hAnsi="Arial" w:cs="Arial"/>
          <w:sz w:val="24"/>
          <w:szCs w:val="24"/>
        </w:rPr>
        <w:t xml:space="preserve"> </w:t>
      </w:r>
      <w:r w:rsidRPr="006E14AF">
        <w:rPr>
          <w:rStyle w:val="cursor-pointer"/>
          <w:rFonts w:ascii="Arial" w:hAnsi="Arial" w:cs="Arial"/>
          <w:sz w:val="24"/>
          <w:szCs w:val="24"/>
        </w:rPr>
        <w:t>Thus, I developed my ability to ask questions about outputs and examine evidence on my own.</w:t>
      </w:r>
    </w:p>
    <w:p w14:paraId="6F7740F0" w14:textId="77777777" w:rsidR="00C11D0F" w:rsidRPr="006E14AF" w:rsidRDefault="00C11D0F" w:rsidP="0017648D">
      <w:pPr>
        <w:spacing w:line="360" w:lineRule="auto"/>
        <w:jc w:val="both"/>
        <w:rPr>
          <w:rStyle w:val="cursor-pointer"/>
          <w:rFonts w:ascii="Arial" w:hAnsi="Arial" w:cs="Arial"/>
          <w:sz w:val="24"/>
          <w:szCs w:val="24"/>
        </w:rPr>
      </w:pPr>
      <w:r w:rsidRPr="006E14AF">
        <w:rPr>
          <w:rStyle w:val="cursor-pointer"/>
          <w:rFonts w:ascii="Arial" w:hAnsi="Arial" w:cs="Arial"/>
          <w:sz w:val="24"/>
          <w:szCs w:val="24"/>
        </w:rPr>
        <w:t>My second application was in the form of academic writing.</w:t>
      </w:r>
      <w:r w:rsidRPr="006E14AF">
        <w:rPr>
          <w:rFonts w:ascii="Arial" w:hAnsi="Arial" w:cs="Arial"/>
          <w:sz w:val="24"/>
          <w:szCs w:val="24"/>
        </w:rPr>
        <w:t xml:space="preserve"> </w:t>
      </w:r>
      <w:r w:rsidRPr="006E14AF">
        <w:rPr>
          <w:rStyle w:val="cursor-pointer"/>
          <w:rFonts w:ascii="Arial" w:hAnsi="Arial" w:cs="Arial"/>
          <w:sz w:val="24"/>
          <w:szCs w:val="24"/>
        </w:rPr>
        <w:t>AI contributed to enhancement of structure, clarity and grammar.</w:t>
      </w:r>
      <w:r w:rsidRPr="006E14AF">
        <w:rPr>
          <w:rFonts w:ascii="Arial" w:hAnsi="Arial" w:cs="Arial"/>
          <w:sz w:val="24"/>
          <w:szCs w:val="24"/>
        </w:rPr>
        <w:t xml:space="preserve"> </w:t>
      </w:r>
      <w:r w:rsidRPr="006E14AF">
        <w:rPr>
          <w:rStyle w:val="cursor-pointer"/>
          <w:rFonts w:ascii="Arial" w:hAnsi="Arial" w:cs="Arial"/>
          <w:sz w:val="24"/>
          <w:szCs w:val="24"/>
        </w:rPr>
        <w:t>This deepened my communication as I was able to identify similarities and areas for improvement.</w:t>
      </w:r>
      <w:r w:rsidRPr="006E14AF">
        <w:rPr>
          <w:rFonts w:ascii="Arial" w:hAnsi="Arial" w:cs="Arial"/>
          <w:sz w:val="24"/>
          <w:szCs w:val="24"/>
        </w:rPr>
        <w:t xml:space="preserve"> </w:t>
      </w:r>
      <w:r w:rsidRPr="006E14AF">
        <w:rPr>
          <w:rStyle w:val="cursor-pointer"/>
          <w:rFonts w:ascii="Arial" w:hAnsi="Arial" w:cs="Arial"/>
          <w:sz w:val="24"/>
          <w:szCs w:val="24"/>
        </w:rPr>
        <w:t>But too much reliance might decrease my capacity to argue on my own.</w:t>
      </w:r>
      <w:r w:rsidRPr="006E14AF">
        <w:rPr>
          <w:rFonts w:ascii="Arial" w:hAnsi="Arial" w:cs="Arial"/>
          <w:sz w:val="24"/>
          <w:szCs w:val="24"/>
        </w:rPr>
        <w:t xml:space="preserve"> </w:t>
      </w:r>
      <w:r w:rsidRPr="006E14AF">
        <w:rPr>
          <w:rStyle w:val="cursor-pointer"/>
          <w:rFonts w:ascii="Arial" w:hAnsi="Arial" w:cs="Arial"/>
          <w:sz w:val="24"/>
          <w:szCs w:val="24"/>
        </w:rPr>
        <w:t>I thus considered AI more of an editor and learning assistant than an author.</w:t>
      </w:r>
    </w:p>
    <w:p w14:paraId="3C4F2D60" w14:textId="786F49F4" w:rsidR="00C11D0F" w:rsidRPr="006E14AF" w:rsidRDefault="00796FE0" w:rsidP="0017648D">
      <w:pPr>
        <w:spacing w:line="360" w:lineRule="auto"/>
        <w:jc w:val="both"/>
        <w:rPr>
          <w:rStyle w:val="cursor-pointer"/>
          <w:rFonts w:ascii="Arial" w:hAnsi="Arial" w:cs="Arial"/>
          <w:sz w:val="24"/>
          <w:szCs w:val="24"/>
        </w:rPr>
      </w:pPr>
      <w:r w:rsidRPr="006E14AF">
        <w:rPr>
          <w:rFonts w:ascii="Arial" w:hAnsi="Arial" w:cs="Arial"/>
          <w:sz w:val="24"/>
          <w:szCs w:val="24"/>
        </w:rPr>
        <w:t xml:space="preserve">My third use of AI involved problem-solving </w:t>
      </w:r>
      <w:r w:rsidR="00C11D0F" w:rsidRPr="006E14AF">
        <w:rPr>
          <w:rStyle w:val="cursor-pointer"/>
          <w:rFonts w:ascii="Arial" w:hAnsi="Arial" w:cs="Arial"/>
          <w:sz w:val="24"/>
          <w:szCs w:val="24"/>
        </w:rPr>
        <w:t>and decision supporting.</w:t>
      </w:r>
      <w:r w:rsidR="00C11D0F" w:rsidRPr="006E14AF">
        <w:rPr>
          <w:rFonts w:ascii="Arial" w:hAnsi="Arial" w:cs="Arial"/>
          <w:sz w:val="24"/>
          <w:szCs w:val="24"/>
        </w:rPr>
        <w:t xml:space="preserve"> </w:t>
      </w:r>
      <w:r w:rsidR="00C11D0F" w:rsidRPr="006E14AF">
        <w:rPr>
          <w:rStyle w:val="cursor-pointer"/>
          <w:rFonts w:ascii="Arial" w:hAnsi="Arial" w:cs="Arial"/>
          <w:sz w:val="24"/>
          <w:szCs w:val="24"/>
        </w:rPr>
        <w:t>Utilized AI for task structuring and alternatives comparison.</w:t>
      </w:r>
      <w:r w:rsidR="00C11D0F" w:rsidRPr="006E14AF">
        <w:rPr>
          <w:rFonts w:ascii="Arial" w:hAnsi="Arial" w:cs="Arial"/>
          <w:sz w:val="24"/>
          <w:szCs w:val="24"/>
        </w:rPr>
        <w:t xml:space="preserve"> </w:t>
      </w:r>
      <w:r w:rsidR="00C11D0F" w:rsidRPr="006E14AF">
        <w:rPr>
          <w:rStyle w:val="cursor-pointer"/>
          <w:rFonts w:ascii="Arial" w:hAnsi="Arial" w:cs="Arial"/>
          <w:sz w:val="24"/>
          <w:szCs w:val="24"/>
        </w:rPr>
        <w:t>Helped me to be able to divide up problems into smaller parts.</w:t>
      </w:r>
      <w:r w:rsidR="00C11D0F" w:rsidRPr="006E14AF">
        <w:rPr>
          <w:rFonts w:ascii="Arial" w:hAnsi="Arial" w:cs="Arial"/>
          <w:sz w:val="24"/>
          <w:szCs w:val="24"/>
        </w:rPr>
        <w:t xml:space="preserve"> </w:t>
      </w:r>
      <w:r w:rsidR="00C11D0F" w:rsidRPr="006E14AF">
        <w:rPr>
          <w:rStyle w:val="cursor-pointer"/>
          <w:rFonts w:ascii="Arial" w:hAnsi="Arial" w:cs="Arial"/>
          <w:sz w:val="24"/>
          <w:szCs w:val="24"/>
        </w:rPr>
        <w:t>However, AI recommendations may seem convincing, if the underlying assumptions are not correct.</w:t>
      </w:r>
      <w:r w:rsidR="00C11D0F" w:rsidRPr="006E14AF">
        <w:rPr>
          <w:rFonts w:ascii="Arial" w:hAnsi="Arial" w:cs="Arial"/>
          <w:sz w:val="24"/>
          <w:szCs w:val="24"/>
        </w:rPr>
        <w:t xml:space="preserve"> </w:t>
      </w:r>
      <w:r w:rsidR="00C11D0F" w:rsidRPr="006E14AF">
        <w:rPr>
          <w:rStyle w:val="cursor-pointer"/>
          <w:rFonts w:ascii="Arial" w:hAnsi="Arial" w:cs="Arial"/>
          <w:sz w:val="24"/>
          <w:szCs w:val="24"/>
        </w:rPr>
        <w:t>This helped to cement my scepticism and reaffirmed the importance of human judgment.</w:t>
      </w:r>
    </w:p>
    <w:p w14:paraId="7F15EDBE" w14:textId="76BA0495" w:rsidR="0054614C" w:rsidRDefault="00725003" w:rsidP="009B565E">
      <w:pPr>
        <w:pStyle w:val="Heading2"/>
      </w:pPr>
      <w:bookmarkStart w:id="18" w:name="_Toc242214931"/>
      <w:bookmarkStart w:id="19" w:name="_Toc242879938"/>
      <w:r>
        <w:t xml:space="preserve">3.2 </w:t>
      </w:r>
      <w:r w:rsidR="0054614C" w:rsidRPr="006E14AF">
        <w:t>Personal Capability Development Plan</w:t>
      </w:r>
      <w:bookmarkEnd w:id="18"/>
      <w:bookmarkEnd w:id="19"/>
    </w:p>
    <w:p w14:paraId="63936798" w14:textId="77777777" w:rsidR="003E341D" w:rsidRPr="003E341D" w:rsidRDefault="003E341D" w:rsidP="003E341D"/>
    <w:tbl>
      <w:tblPr>
        <w:tblStyle w:val="TableGrid"/>
        <w:tblW w:w="0" w:type="auto"/>
        <w:tblLook w:val="04A0" w:firstRow="1" w:lastRow="0" w:firstColumn="1" w:lastColumn="0" w:noHBand="0" w:noVBand="1"/>
      </w:tblPr>
      <w:tblGrid>
        <w:gridCol w:w="1908"/>
        <w:gridCol w:w="4110"/>
        <w:gridCol w:w="3558"/>
      </w:tblGrid>
      <w:tr w:rsidR="003E341D" w:rsidRPr="003E341D" w14:paraId="028F9C5D" w14:textId="77777777" w:rsidTr="003E341D">
        <w:tc>
          <w:tcPr>
            <w:tcW w:w="0" w:type="auto"/>
            <w:hideMark/>
          </w:tcPr>
          <w:p w14:paraId="78658C6D" w14:textId="77777777" w:rsidR="003E341D" w:rsidRPr="003E341D" w:rsidRDefault="003E341D" w:rsidP="003E341D">
            <w:pPr>
              <w:spacing w:after="160" w:line="360" w:lineRule="auto"/>
              <w:jc w:val="both"/>
              <w:rPr>
                <w:rFonts w:asciiTheme="minorBidi" w:hAnsiTheme="minorBidi"/>
                <w:b/>
                <w:bCs/>
                <w:sz w:val="24"/>
                <w:szCs w:val="24"/>
                <w:lang w:val="en-US"/>
              </w:rPr>
            </w:pPr>
            <w:r w:rsidRPr="003E341D">
              <w:rPr>
                <w:rFonts w:asciiTheme="minorBidi" w:hAnsiTheme="minorBidi"/>
                <w:b/>
                <w:bCs/>
                <w:sz w:val="24"/>
                <w:szCs w:val="24"/>
                <w:lang w:val="en-US"/>
              </w:rPr>
              <w:t>Development area</w:t>
            </w:r>
          </w:p>
        </w:tc>
        <w:tc>
          <w:tcPr>
            <w:tcW w:w="0" w:type="auto"/>
            <w:hideMark/>
          </w:tcPr>
          <w:p w14:paraId="6AC91B78" w14:textId="77777777" w:rsidR="003E341D" w:rsidRPr="003E341D" w:rsidRDefault="003E341D" w:rsidP="003E341D">
            <w:pPr>
              <w:spacing w:after="160" w:line="360" w:lineRule="auto"/>
              <w:jc w:val="both"/>
              <w:rPr>
                <w:rFonts w:asciiTheme="minorBidi" w:hAnsiTheme="minorBidi"/>
                <w:b/>
                <w:bCs/>
                <w:sz w:val="24"/>
                <w:szCs w:val="24"/>
                <w:lang w:val="en-US"/>
              </w:rPr>
            </w:pPr>
            <w:r w:rsidRPr="003E341D">
              <w:rPr>
                <w:rFonts w:asciiTheme="minorBidi" w:hAnsiTheme="minorBidi"/>
                <w:b/>
                <w:bCs/>
                <w:sz w:val="24"/>
                <w:szCs w:val="24"/>
                <w:lang w:val="en-US"/>
              </w:rPr>
              <w:t>Planned action</w:t>
            </w:r>
          </w:p>
        </w:tc>
        <w:tc>
          <w:tcPr>
            <w:tcW w:w="0" w:type="auto"/>
            <w:hideMark/>
          </w:tcPr>
          <w:p w14:paraId="402FBDC2" w14:textId="77777777" w:rsidR="003E341D" w:rsidRPr="003E341D" w:rsidRDefault="003E341D" w:rsidP="003E341D">
            <w:pPr>
              <w:spacing w:after="160" w:line="360" w:lineRule="auto"/>
              <w:jc w:val="both"/>
              <w:rPr>
                <w:rFonts w:asciiTheme="minorBidi" w:hAnsiTheme="minorBidi"/>
                <w:b/>
                <w:bCs/>
                <w:sz w:val="24"/>
                <w:szCs w:val="24"/>
                <w:lang w:val="en-US"/>
              </w:rPr>
            </w:pPr>
            <w:r w:rsidRPr="003E341D">
              <w:rPr>
                <w:rFonts w:asciiTheme="minorBidi" w:hAnsiTheme="minorBidi"/>
                <w:b/>
                <w:bCs/>
                <w:sz w:val="24"/>
                <w:szCs w:val="24"/>
                <w:lang w:val="en-US"/>
              </w:rPr>
              <w:t>Intended outcome</w:t>
            </w:r>
          </w:p>
        </w:tc>
      </w:tr>
      <w:tr w:rsidR="003E341D" w:rsidRPr="003E341D" w14:paraId="59C259CF" w14:textId="77777777" w:rsidTr="003E341D">
        <w:tc>
          <w:tcPr>
            <w:tcW w:w="0" w:type="auto"/>
            <w:hideMark/>
          </w:tcPr>
          <w:p w14:paraId="5A6E49F1" w14:textId="77777777" w:rsidR="003E341D" w:rsidRPr="003E341D" w:rsidRDefault="003E341D" w:rsidP="003E341D">
            <w:pPr>
              <w:spacing w:after="160" w:line="360" w:lineRule="auto"/>
              <w:jc w:val="both"/>
              <w:rPr>
                <w:rFonts w:asciiTheme="minorBidi" w:hAnsiTheme="minorBidi"/>
                <w:b/>
                <w:bCs/>
                <w:sz w:val="24"/>
                <w:szCs w:val="24"/>
                <w:lang w:val="en-US"/>
              </w:rPr>
            </w:pPr>
            <w:r w:rsidRPr="003E341D">
              <w:rPr>
                <w:rFonts w:asciiTheme="minorBidi" w:hAnsiTheme="minorBidi"/>
                <w:b/>
                <w:bCs/>
                <w:sz w:val="24"/>
                <w:szCs w:val="24"/>
                <w:lang w:val="en-US"/>
              </w:rPr>
              <w:t>AI literacy</w:t>
            </w:r>
          </w:p>
        </w:tc>
        <w:tc>
          <w:tcPr>
            <w:tcW w:w="0" w:type="auto"/>
            <w:hideMark/>
          </w:tcPr>
          <w:p w14:paraId="54177832" w14:textId="77777777" w:rsidR="003E341D" w:rsidRPr="003E341D" w:rsidRDefault="003E341D" w:rsidP="003E341D">
            <w:pPr>
              <w:spacing w:after="160" w:line="360" w:lineRule="auto"/>
              <w:rPr>
                <w:rFonts w:asciiTheme="minorBidi" w:hAnsiTheme="minorBidi"/>
                <w:sz w:val="24"/>
                <w:szCs w:val="24"/>
                <w:lang w:val="en-US"/>
              </w:rPr>
            </w:pPr>
            <w:r w:rsidRPr="003E341D">
              <w:rPr>
                <w:rFonts w:asciiTheme="minorBidi" w:hAnsiTheme="minorBidi"/>
                <w:sz w:val="24"/>
                <w:szCs w:val="24"/>
                <w:lang w:val="en-US"/>
              </w:rPr>
              <w:t>Practise using AI tools and evaluating the accuracy and potential bias of their outputs.</w:t>
            </w:r>
          </w:p>
        </w:tc>
        <w:tc>
          <w:tcPr>
            <w:tcW w:w="0" w:type="auto"/>
            <w:hideMark/>
          </w:tcPr>
          <w:p w14:paraId="236AF83F" w14:textId="77777777" w:rsidR="003E341D" w:rsidRPr="003E341D" w:rsidRDefault="003E341D" w:rsidP="003E341D">
            <w:pPr>
              <w:spacing w:after="160" w:line="360" w:lineRule="auto"/>
              <w:rPr>
                <w:rFonts w:asciiTheme="minorBidi" w:hAnsiTheme="minorBidi"/>
                <w:sz w:val="24"/>
                <w:szCs w:val="24"/>
                <w:lang w:val="en-US"/>
              </w:rPr>
            </w:pPr>
            <w:r w:rsidRPr="003E341D">
              <w:rPr>
                <w:rFonts w:asciiTheme="minorBidi" w:hAnsiTheme="minorBidi"/>
                <w:sz w:val="24"/>
                <w:szCs w:val="24"/>
                <w:lang w:val="en-US"/>
              </w:rPr>
              <w:t>Develop the ability to use AI critically in HR-related tasks.</w:t>
            </w:r>
          </w:p>
        </w:tc>
      </w:tr>
      <w:tr w:rsidR="003E341D" w:rsidRPr="003E341D" w14:paraId="2D3BA1A4" w14:textId="77777777" w:rsidTr="003E341D">
        <w:tc>
          <w:tcPr>
            <w:tcW w:w="0" w:type="auto"/>
            <w:hideMark/>
          </w:tcPr>
          <w:p w14:paraId="0FFC3AA3" w14:textId="77777777" w:rsidR="003E341D" w:rsidRPr="003E341D" w:rsidRDefault="003E341D" w:rsidP="003E341D">
            <w:pPr>
              <w:spacing w:after="160" w:line="360" w:lineRule="auto"/>
              <w:jc w:val="both"/>
              <w:rPr>
                <w:rFonts w:asciiTheme="minorBidi" w:hAnsiTheme="minorBidi"/>
                <w:b/>
                <w:bCs/>
                <w:sz w:val="24"/>
                <w:szCs w:val="24"/>
                <w:lang w:val="en-US"/>
              </w:rPr>
            </w:pPr>
            <w:r w:rsidRPr="003E341D">
              <w:rPr>
                <w:rFonts w:asciiTheme="minorBidi" w:hAnsiTheme="minorBidi"/>
                <w:b/>
                <w:bCs/>
                <w:sz w:val="24"/>
                <w:szCs w:val="24"/>
                <w:lang w:val="en-US"/>
              </w:rPr>
              <w:t>Excel</w:t>
            </w:r>
          </w:p>
        </w:tc>
        <w:tc>
          <w:tcPr>
            <w:tcW w:w="0" w:type="auto"/>
            <w:hideMark/>
          </w:tcPr>
          <w:p w14:paraId="5A6229EC" w14:textId="77777777" w:rsidR="003E341D" w:rsidRPr="003E341D" w:rsidRDefault="003E341D" w:rsidP="003E341D">
            <w:pPr>
              <w:spacing w:after="160" w:line="360" w:lineRule="auto"/>
              <w:rPr>
                <w:rFonts w:asciiTheme="minorBidi" w:hAnsiTheme="minorBidi"/>
                <w:sz w:val="24"/>
                <w:szCs w:val="24"/>
                <w:lang w:val="en-US"/>
              </w:rPr>
            </w:pPr>
            <w:r w:rsidRPr="003E341D">
              <w:rPr>
                <w:rFonts w:asciiTheme="minorBidi" w:hAnsiTheme="minorBidi"/>
                <w:sz w:val="24"/>
                <w:szCs w:val="24"/>
                <w:lang w:val="en-US"/>
              </w:rPr>
              <w:t>Practise spreadsheet functions, data organisation and basic data analysis.</w:t>
            </w:r>
          </w:p>
        </w:tc>
        <w:tc>
          <w:tcPr>
            <w:tcW w:w="0" w:type="auto"/>
            <w:hideMark/>
          </w:tcPr>
          <w:p w14:paraId="02EF311C" w14:textId="77777777" w:rsidR="003E341D" w:rsidRPr="003E341D" w:rsidRDefault="003E341D" w:rsidP="003E341D">
            <w:pPr>
              <w:spacing w:after="160" w:line="360" w:lineRule="auto"/>
              <w:rPr>
                <w:rFonts w:asciiTheme="minorBidi" w:hAnsiTheme="minorBidi"/>
                <w:sz w:val="24"/>
                <w:szCs w:val="24"/>
                <w:lang w:val="en-US"/>
              </w:rPr>
            </w:pPr>
            <w:r w:rsidRPr="003E341D">
              <w:rPr>
                <w:rFonts w:asciiTheme="minorBidi" w:hAnsiTheme="minorBidi"/>
                <w:sz w:val="24"/>
                <w:szCs w:val="24"/>
                <w:lang w:val="en-US"/>
              </w:rPr>
              <w:t>Improve the ability to organise and interpret workforce data.</w:t>
            </w:r>
          </w:p>
        </w:tc>
      </w:tr>
      <w:tr w:rsidR="003E341D" w:rsidRPr="003E341D" w14:paraId="2883F5E5" w14:textId="77777777" w:rsidTr="003E341D">
        <w:tc>
          <w:tcPr>
            <w:tcW w:w="0" w:type="auto"/>
            <w:hideMark/>
          </w:tcPr>
          <w:p w14:paraId="63B4D956" w14:textId="77777777" w:rsidR="003E341D" w:rsidRPr="003E341D" w:rsidRDefault="003E341D" w:rsidP="003E341D">
            <w:pPr>
              <w:spacing w:after="160" w:line="360" w:lineRule="auto"/>
              <w:jc w:val="both"/>
              <w:rPr>
                <w:rFonts w:asciiTheme="minorBidi" w:hAnsiTheme="minorBidi"/>
                <w:b/>
                <w:bCs/>
                <w:sz w:val="24"/>
                <w:szCs w:val="24"/>
                <w:lang w:val="en-US"/>
              </w:rPr>
            </w:pPr>
            <w:r w:rsidRPr="003E341D">
              <w:rPr>
                <w:rFonts w:asciiTheme="minorBidi" w:hAnsiTheme="minorBidi"/>
                <w:b/>
                <w:bCs/>
                <w:sz w:val="24"/>
                <w:szCs w:val="24"/>
                <w:lang w:val="en-US"/>
              </w:rPr>
              <w:t>HR analytics</w:t>
            </w:r>
          </w:p>
        </w:tc>
        <w:tc>
          <w:tcPr>
            <w:tcW w:w="0" w:type="auto"/>
            <w:hideMark/>
          </w:tcPr>
          <w:p w14:paraId="2C029109" w14:textId="77777777" w:rsidR="003E341D" w:rsidRPr="003E341D" w:rsidRDefault="003E341D" w:rsidP="003E341D">
            <w:pPr>
              <w:spacing w:after="160" w:line="360" w:lineRule="auto"/>
              <w:rPr>
                <w:rFonts w:asciiTheme="minorBidi" w:hAnsiTheme="minorBidi"/>
                <w:sz w:val="24"/>
                <w:szCs w:val="24"/>
                <w:lang w:val="en-US"/>
              </w:rPr>
            </w:pPr>
            <w:r w:rsidRPr="003E341D">
              <w:rPr>
                <w:rFonts w:asciiTheme="minorBidi" w:hAnsiTheme="minorBidi"/>
                <w:sz w:val="24"/>
                <w:szCs w:val="24"/>
                <w:lang w:val="en-US"/>
              </w:rPr>
              <w:t>Learn to analyse employee turnover, engagement and training data.</w:t>
            </w:r>
          </w:p>
        </w:tc>
        <w:tc>
          <w:tcPr>
            <w:tcW w:w="0" w:type="auto"/>
            <w:hideMark/>
          </w:tcPr>
          <w:p w14:paraId="7982C31C" w14:textId="77777777" w:rsidR="003E341D" w:rsidRPr="003E341D" w:rsidRDefault="003E341D" w:rsidP="003E341D">
            <w:pPr>
              <w:spacing w:after="160" w:line="360" w:lineRule="auto"/>
              <w:rPr>
                <w:rFonts w:asciiTheme="minorBidi" w:hAnsiTheme="minorBidi"/>
                <w:sz w:val="24"/>
                <w:szCs w:val="24"/>
                <w:lang w:val="en-US"/>
              </w:rPr>
            </w:pPr>
            <w:r w:rsidRPr="003E341D">
              <w:rPr>
                <w:rFonts w:asciiTheme="minorBidi" w:hAnsiTheme="minorBidi"/>
                <w:sz w:val="24"/>
                <w:szCs w:val="24"/>
                <w:lang w:val="en-US"/>
              </w:rPr>
              <w:t>Develop the ability to use workforce information to support HR decisions.</w:t>
            </w:r>
          </w:p>
        </w:tc>
      </w:tr>
    </w:tbl>
    <w:p w14:paraId="697D1B3F" w14:textId="77777777" w:rsidR="003E341D" w:rsidRPr="003E341D" w:rsidRDefault="003E341D" w:rsidP="003E341D">
      <w:pPr>
        <w:spacing w:line="360" w:lineRule="auto"/>
        <w:jc w:val="both"/>
        <w:rPr>
          <w:rFonts w:asciiTheme="minorBidi" w:hAnsiTheme="minorBidi"/>
          <w:b/>
          <w:bCs/>
          <w:sz w:val="24"/>
          <w:szCs w:val="24"/>
          <w:lang w:val="en-US"/>
        </w:rPr>
      </w:pPr>
      <w:r w:rsidRPr="003E341D">
        <w:rPr>
          <w:rFonts w:asciiTheme="minorBidi" w:hAnsiTheme="minorBidi"/>
          <w:b/>
          <w:bCs/>
          <w:sz w:val="24"/>
          <w:szCs w:val="24"/>
          <w:lang w:val="en-US"/>
        </w:rPr>
        <w:t>Source: Author's own work.</w:t>
      </w:r>
    </w:p>
    <w:p w14:paraId="45E6F722" w14:textId="77777777" w:rsidR="0017648D" w:rsidRPr="006E14AF" w:rsidRDefault="0017648D" w:rsidP="004071DB">
      <w:pPr>
        <w:spacing w:line="360" w:lineRule="auto"/>
        <w:jc w:val="both"/>
        <w:rPr>
          <w:rFonts w:asciiTheme="minorBidi" w:hAnsiTheme="minorBidi"/>
          <w:b/>
          <w:bCs/>
          <w:sz w:val="24"/>
          <w:szCs w:val="24"/>
        </w:rPr>
      </w:pPr>
    </w:p>
    <w:p w14:paraId="416F3E6A" w14:textId="77777777" w:rsidR="0017648D" w:rsidRPr="006E14AF" w:rsidRDefault="0017648D">
      <w:pPr>
        <w:rPr>
          <w:rFonts w:asciiTheme="minorBidi" w:hAnsiTheme="minorBidi"/>
          <w:b/>
          <w:bCs/>
          <w:sz w:val="24"/>
          <w:szCs w:val="24"/>
        </w:rPr>
      </w:pPr>
      <w:r w:rsidRPr="006E14AF">
        <w:rPr>
          <w:rFonts w:asciiTheme="minorBidi" w:hAnsiTheme="minorBidi"/>
          <w:b/>
          <w:bCs/>
          <w:sz w:val="24"/>
          <w:szCs w:val="24"/>
        </w:rPr>
        <w:br w:type="page"/>
      </w:r>
    </w:p>
    <w:p w14:paraId="0BF4A120" w14:textId="6C743702" w:rsidR="004071DB" w:rsidRPr="006E14AF" w:rsidRDefault="004071DB" w:rsidP="009B565E">
      <w:pPr>
        <w:pStyle w:val="Heading1"/>
      </w:pPr>
      <w:bookmarkStart w:id="20" w:name="_Toc242879939"/>
      <w:r w:rsidRPr="006E14AF">
        <w:t>References</w:t>
      </w:r>
      <w:bookmarkEnd w:id="20"/>
    </w:p>
    <w:p w14:paraId="75358351" w14:textId="6F56E560" w:rsidR="00C776E2" w:rsidRPr="006E14AF" w:rsidRDefault="00C776E2" w:rsidP="009B565E">
      <w:pPr>
        <w:spacing w:line="360" w:lineRule="auto"/>
        <w:ind w:left="720" w:hanging="720"/>
        <w:rPr>
          <w:rFonts w:ascii="Arial" w:hAnsi="Arial" w:cs="Arial"/>
          <w:sz w:val="24"/>
          <w:szCs w:val="24"/>
        </w:rPr>
      </w:pPr>
      <w:r w:rsidRPr="006E14AF">
        <w:rPr>
          <w:rFonts w:ascii="Arial" w:hAnsi="Arial" w:cs="Arial"/>
          <w:sz w:val="24"/>
          <w:szCs w:val="24"/>
        </w:rPr>
        <w:t xml:space="preserve">Almashyakhi, A.M. (2024) ‘Talent Management Practices and Employee Retention: Does It Make a Difference?’, </w:t>
      </w:r>
      <w:r w:rsidRPr="006E14AF">
        <w:rPr>
          <w:rFonts w:ascii="Arial" w:hAnsi="Arial" w:cs="Arial"/>
          <w:i/>
          <w:iCs/>
          <w:sz w:val="24"/>
          <w:szCs w:val="24"/>
        </w:rPr>
        <w:t>Merits</w:t>
      </w:r>
      <w:r w:rsidRPr="006E14AF">
        <w:rPr>
          <w:rFonts w:ascii="Arial" w:hAnsi="Arial" w:cs="Arial"/>
          <w:sz w:val="24"/>
          <w:szCs w:val="24"/>
        </w:rPr>
        <w:t xml:space="preserve">, 4(4), pp. 453–462. </w:t>
      </w:r>
      <w:hyperlink r:id="rId13" w:history="1">
        <w:r w:rsidRPr="006E14AF">
          <w:rPr>
            <w:rStyle w:val="Hyperlink"/>
            <w:rFonts w:ascii="Arial" w:hAnsi="Arial" w:cs="Arial"/>
            <w:sz w:val="24"/>
            <w:szCs w:val="24"/>
          </w:rPr>
          <w:t>https://doi.org/10.3390/merits4040032</w:t>
        </w:r>
      </w:hyperlink>
      <w:r w:rsidRPr="006E14AF">
        <w:rPr>
          <w:rFonts w:ascii="Arial" w:hAnsi="Arial" w:cs="Arial"/>
          <w:sz w:val="24"/>
          <w:szCs w:val="24"/>
        </w:rPr>
        <w:t xml:space="preserve">. </w:t>
      </w:r>
    </w:p>
    <w:p w14:paraId="20FBC233" w14:textId="77777777" w:rsidR="00C776E2" w:rsidRPr="006E14AF" w:rsidRDefault="00C776E2" w:rsidP="009B565E">
      <w:pPr>
        <w:spacing w:line="360" w:lineRule="auto"/>
        <w:ind w:left="720" w:hanging="720"/>
        <w:rPr>
          <w:rFonts w:ascii="Arial" w:hAnsi="Arial" w:cs="Arial"/>
          <w:sz w:val="24"/>
          <w:szCs w:val="24"/>
        </w:rPr>
      </w:pPr>
      <w:r w:rsidRPr="006E14AF">
        <w:rPr>
          <w:rFonts w:ascii="Arial" w:hAnsi="Arial" w:cs="Arial"/>
          <w:sz w:val="24"/>
          <w:szCs w:val="24"/>
        </w:rPr>
        <w:t xml:space="preserve">Cai, F., Zhang, J. and Zhang, L. (2024) ‘The Impact of Artificial Intelligence Replacing Humans in Making Human Resource Management Decisions on Fairness: A Case of Resume Screening’, </w:t>
      </w:r>
      <w:r w:rsidRPr="006E14AF">
        <w:rPr>
          <w:rFonts w:ascii="Arial" w:hAnsi="Arial" w:cs="Arial"/>
          <w:i/>
          <w:iCs/>
          <w:sz w:val="24"/>
          <w:szCs w:val="24"/>
        </w:rPr>
        <w:t>Sustainability</w:t>
      </w:r>
      <w:r w:rsidRPr="006E14AF">
        <w:rPr>
          <w:rFonts w:ascii="Arial" w:hAnsi="Arial" w:cs="Arial"/>
          <w:sz w:val="24"/>
          <w:szCs w:val="24"/>
        </w:rPr>
        <w:t xml:space="preserve">, 16(9), 3840. </w:t>
      </w:r>
      <w:hyperlink r:id="rId14" w:history="1">
        <w:r w:rsidRPr="006E14AF">
          <w:rPr>
            <w:rStyle w:val="Hyperlink"/>
            <w:rFonts w:ascii="Arial" w:hAnsi="Arial" w:cs="Arial"/>
            <w:sz w:val="24"/>
            <w:szCs w:val="24"/>
          </w:rPr>
          <w:t>https://doi.org/10.3390/su16093840</w:t>
        </w:r>
      </w:hyperlink>
      <w:r w:rsidRPr="006E14AF">
        <w:rPr>
          <w:rFonts w:ascii="Arial" w:hAnsi="Arial" w:cs="Arial"/>
          <w:sz w:val="24"/>
          <w:szCs w:val="24"/>
        </w:rPr>
        <w:t xml:space="preserve">. </w:t>
      </w:r>
    </w:p>
    <w:p w14:paraId="7555D718" w14:textId="77777777" w:rsidR="00C776E2" w:rsidRPr="006E14AF" w:rsidRDefault="00C776E2" w:rsidP="009B565E">
      <w:pPr>
        <w:spacing w:line="360" w:lineRule="auto"/>
        <w:ind w:left="720" w:hanging="720"/>
        <w:rPr>
          <w:rFonts w:ascii="Arial" w:hAnsi="Arial" w:cs="Arial"/>
          <w:sz w:val="24"/>
          <w:szCs w:val="24"/>
        </w:rPr>
      </w:pPr>
      <w:r w:rsidRPr="006E14AF">
        <w:rPr>
          <w:rFonts w:ascii="Arial" w:hAnsi="Arial" w:cs="Arial"/>
          <w:sz w:val="24"/>
          <w:szCs w:val="24"/>
        </w:rPr>
        <w:t xml:space="preserve">Dima, J., Gilbert, M.-H., Dextras-Gauthier, J. and Giraud, L. (2024) ‘The effects of artificial intelligence on human resource activities and the roles of the human resource triad: opportunities and challenges’, </w:t>
      </w:r>
      <w:r w:rsidRPr="006E14AF">
        <w:rPr>
          <w:rFonts w:ascii="Arial" w:hAnsi="Arial" w:cs="Arial"/>
          <w:i/>
          <w:iCs/>
          <w:sz w:val="24"/>
          <w:szCs w:val="24"/>
        </w:rPr>
        <w:t>Frontiers in Psychology</w:t>
      </w:r>
      <w:r w:rsidRPr="006E14AF">
        <w:rPr>
          <w:rFonts w:ascii="Arial" w:hAnsi="Arial" w:cs="Arial"/>
          <w:sz w:val="24"/>
          <w:szCs w:val="24"/>
        </w:rPr>
        <w:t xml:space="preserve">, 15, 1360401. </w:t>
      </w:r>
      <w:hyperlink r:id="rId15" w:history="1">
        <w:r w:rsidRPr="006E14AF">
          <w:rPr>
            <w:rStyle w:val="Hyperlink"/>
            <w:rFonts w:ascii="Arial" w:hAnsi="Arial" w:cs="Arial"/>
            <w:sz w:val="24"/>
            <w:szCs w:val="24"/>
          </w:rPr>
          <w:t>https://doi.org/10.3389/fpsyg.2024.1360401</w:t>
        </w:r>
      </w:hyperlink>
      <w:r w:rsidRPr="006E14AF">
        <w:rPr>
          <w:rFonts w:ascii="Arial" w:hAnsi="Arial" w:cs="Arial"/>
          <w:sz w:val="24"/>
          <w:szCs w:val="24"/>
        </w:rPr>
        <w:t xml:space="preserve">. </w:t>
      </w:r>
      <w:hyperlink r:id="rId16" w:history="1">
        <w:r w:rsidRPr="006E14AF">
          <w:rPr>
            <w:rStyle w:val="Hyperlink"/>
            <w:rFonts w:ascii="Arial" w:hAnsi="Arial" w:cs="Arial"/>
            <w:sz w:val="24"/>
            <w:szCs w:val="24"/>
          </w:rPr>
          <w:t>Frontiers</w:t>
        </w:r>
      </w:hyperlink>
    </w:p>
    <w:p w14:paraId="7929B93D" w14:textId="77777777" w:rsidR="00C776E2" w:rsidRPr="006E14AF" w:rsidRDefault="00C776E2" w:rsidP="009B565E">
      <w:pPr>
        <w:spacing w:line="360" w:lineRule="auto"/>
        <w:ind w:left="720" w:hanging="720"/>
        <w:rPr>
          <w:rFonts w:ascii="Arial" w:hAnsi="Arial" w:cs="Arial"/>
          <w:sz w:val="24"/>
          <w:szCs w:val="24"/>
        </w:rPr>
      </w:pPr>
      <w:r w:rsidRPr="006E14AF">
        <w:rPr>
          <w:rFonts w:ascii="Arial" w:hAnsi="Arial" w:cs="Arial"/>
          <w:sz w:val="24"/>
          <w:szCs w:val="24"/>
        </w:rPr>
        <w:t xml:space="preserve">Fenwick, A., Molnar, G. and Frangos, P. (2024) ‘Revisiting the role of HR in the age of AI: bringing humans and machines closer together in the workplace’, </w:t>
      </w:r>
      <w:r w:rsidRPr="006E14AF">
        <w:rPr>
          <w:rFonts w:ascii="Arial" w:hAnsi="Arial" w:cs="Arial"/>
          <w:i/>
          <w:iCs/>
          <w:sz w:val="24"/>
          <w:szCs w:val="24"/>
        </w:rPr>
        <w:t>Frontiers in Artificial Intelligence</w:t>
      </w:r>
      <w:r w:rsidRPr="006E14AF">
        <w:rPr>
          <w:rFonts w:ascii="Arial" w:hAnsi="Arial" w:cs="Arial"/>
          <w:sz w:val="24"/>
          <w:szCs w:val="24"/>
        </w:rPr>
        <w:t xml:space="preserve">, 6, 1272823. </w:t>
      </w:r>
      <w:hyperlink r:id="rId17" w:history="1">
        <w:r w:rsidRPr="006E14AF">
          <w:rPr>
            <w:rStyle w:val="Hyperlink"/>
            <w:rFonts w:ascii="Arial" w:hAnsi="Arial" w:cs="Arial"/>
            <w:sz w:val="24"/>
            <w:szCs w:val="24"/>
          </w:rPr>
          <w:t>https://doi.org/10.3389/frai.2023.1272823</w:t>
        </w:r>
      </w:hyperlink>
      <w:r w:rsidRPr="006E14AF">
        <w:rPr>
          <w:rFonts w:ascii="Arial" w:hAnsi="Arial" w:cs="Arial"/>
          <w:sz w:val="24"/>
          <w:szCs w:val="24"/>
        </w:rPr>
        <w:t xml:space="preserve">. </w:t>
      </w:r>
    </w:p>
    <w:p w14:paraId="50B44D60" w14:textId="77777777" w:rsidR="00C776E2" w:rsidRPr="006E14AF" w:rsidRDefault="00C776E2" w:rsidP="009B565E">
      <w:pPr>
        <w:spacing w:line="360" w:lineRule="auto"/>
        <w:ind w:left="720" w:hanging="720"/>
        <w:rPr>
          <w:rFonts w:ascii="Arial" w:hAnsi="Arial" w:cs="Arial"/>
          <w:sz w:val="24"/>
          <w:szCs w:val="24"/>
        </w:rPr>
      </w:pPr>
      <w:r w:rsidRPr="006E14AF">
        <w:rPr>
          <w:rFonts w:ascii="Arial" w:hAnsi="Arial" w:cs="Arial"/>
          <w:sz w:val="24"/>
          <w:szCs w:val="24"/>
        </w:rPr>
        <w:t xml:space="preserve">Gibbs, M., Mengel, F. and Siemroth, C. (2024) ‘Employee innovation during office work, work from home and hybrid work’, </w:t>
      </w:r>
      <w:r w:rsidRPr="006E14AF">
        <w:rPr>
          <w:rFonts w:ascii="Arial" w:hAnsi="Arial" w:cs="Arial"/>
          <w:i/>
          <w:iCs/>
          <w:sz w:val="24"/>
          <w:szCs w:val="24"/>
        </w:rPr>
        <w:t>Scientific Reports</w:t>
      </w:r>
      <w:r w:rsidRPr="006E14AF">
        <w:rPr>
          <w:rFonts w:ascii="Arial" w:hAnsi="Arial" w:cs="Arial"/>
          <w:sz w:val="24"/>
          <w:szCs w:val="24"/>
        </w:rPr>
        <w:t xml:space="preserve">, 14, 17117. </w:t>
      </w:r>
      <w:hyperlink r:id="rId18" w:history="1">
        <w:r w:rsidRPr="006E14AF">
          <w:rPr>
            <w:rStyle w:val="Hyperlink"/>
            <w:rFonts w:ascii="Arial" w:hAnsi="Arial" w:cs="Arial"/>
            <w:sz w:val="24"/>
            <w:szCs w:val="24"/>
          </w:rPr>
          <w:t>https://doi.org/10.1038/s41598-024-67122-6</w:t>
        </w:r>
      </w:hyperlink>
      <w:r w:rsidRPr="006E14AF">
        <w:rPr>
          <w:rFonts w:ascii="Arial" w:hAnsi="Arial" w:cs="Arial"/>
          <w:sz w:val="24"/>
          <w:szCs w:val="24"/>
        </w:rPr>
        <w:t xml:space="preserve">. </w:t>
      </w:r>
    </w:p>
    <w:p w14:paraId="30092B3A" w14:textId="77777777" w:rsidR="00C776E2" w:rsidRPr="006E14AF" w:rsidRDefault="00C776E2" w:rsidP="009B565E">
      <w:pPr>
        <w:spacing w:line="360" w:lineRule="auto"/>
        <w:ind w:left="720" w:hanging="720"/>
        <w:rPr>
          <w:rFonts w:ascii="Arial" w:hAnsi="Arial" w:cs="Arial"/>
          <w:sz w:val="24"/>
          <w:szCs w:val="24"/>
        </w:rPr>
      </w:pPr>
      <w:r w:rsidRPr="006E14AF">
        <w:rPr>
          <w:rFonts w:ascii="Arial" w:hAnsi="Arial" w:cs="Arial"/>
          <w:sz w:val="24"/>
          <w:szCs w:val="24"/>
        </w:rPr>
        <w:t xml:space="preserve">Haipeter, T., Wannöffel, M., Daus, J.-T. and Schaffarczik, S. (2024) ‘Human-centered AI through employee participation’, </w:t>
      </w:r>
      <w:r w:rsidRPr="006E14AF">
        <w:rPr>
          <w:rFonts w:ascii="Arial" w:hAnsi="Arial" w:cs="Arial"/>
          <w:i/>
          <w:iCs/>
          <w:sz w:val="24"/>
          <w:szCs w:val="24"/>
        </w:rPr>
        <w:t>Frontiers in Artificial Intelligence</w:t>
      </w:r>
      <w:r w:rsidRPr="006E14AF">
        <w:rPr>
          <w:rFonts w:ascii="Arial" w:hAnsi="Arial" w:cs="Arial"/>
          <w:sz w:val="24"/>
          <w:szCs w:val="24"/>
        </w:rPr>
        <w:t xml:space="preserve">, 7, 1272102. </w:t>
      </w:r>
      <w:hyperlink r:id="rId19" w:history="1">
        <w:r w:rsidRPr="006E14AF">
          <w:rPr>
            <w:rStyle w:val="Hyperlink"/>
            <w:rFonts w:ascii="Arial" w:hAnsi="Arial" w:cs="Arial"/>
            <w:sz w:val="24"/>
            <w:szCs w:val="24"/>
          </w:rPr>
          <w:t>https://doi.org/10.3389/frai.2024.1272102</w:t>
        </w:r>
      </w:hyperlink>
      <w:r w:rsidRPr="006E14AF">
        <w:rPr>
          <w:rFonts w:ascii="Arial" w:hAnsi="Arial" w:cs="Arial"/>
          <w:sz w:val="24"/>
          <w:szCs w:val="24"/>
        </w:rPr>
        <w:t xml:space="preserve">. </w:t>
      </w:r>
    </w:p>
    <w:p w14:paraId="6ACC1141" w14:textId="77777777" w:rsidR="00C776E2" w:rsidRPr="006E14AF" w:rsidRDefault="00C776E2" w:rsidP="009B565E">
      <w:pPr>
        <w:spacing w:line="360" w:lineRule="auto"/>
        <w:ind w:left="720" w:hanging="720"/>
        <w:rPr>
          <w:rFonts w:ascii="Arial" w:hAnsi="Arial" w:cs="Arial"/>
          <w:sz w:val="24"/>
          <w:szCs w:val="24"/>
        </w:rPr>
      </w:pPr>
      <w:r w:rsidRPr="006E14AF">
        <w:rPr>
          <w:rFonts w:ascii="Arial" w:hAnsi="Arial" w:cs="Arial"/>
          <w:sz w:val="24"/>
          <w:szCs w:val="24"/>
        </w:rPr>
        <w:t xml:space="preserve">Holman, D., Escaffi-Schwarz, M., Vasquez, C.A., Irmer, J.P. and Zapf, D. (2024) ‘Does job crafting affect employee outcomes via job characteristics? A meta-analytic test of a key job crafting mechanism’, </w:t>
      </w:r>
      <w:r w:rsidRPr="006E14AF">
        <w:rPr>
          <w:rFonts w:ascii="Arial" w:hAnsi="Arial" w:cs="Arial"/>
          <w:i/>
          <w:iCs/>
          <w:sz w:val="24"/>
          <w:szCs w:val="24"/>
        </w:rPr>
        <w:t>Journal of Occupational and Organizational Psychology</w:t>
      </w:r>
      <w:r w:rsidRPr="006E14AF">
        <w:rPr>
          <w:rFonts w:ascii="Arial" w:hAnsi="Arial" w:cs="Arial"/>
          <w:sz w:val="24"/>
          <w:szCs w:val="24"/>
        </w:rPr>
        <w:t xml:space="preserve">, 97(1), pp. 47–73. </w:t>
      </w:r>
      <w:hyperlink r:id="rId20" w:history="1">
        <w:r w:rsidRPr="006E14AF">
          <w:rPr>
            <w:rStyle w:val="Hyperlink"/>
            <w:rFonts w:ascii="Arial" w:hAnsi="Arial" w:cs="Arial"/>
            <w:sz w:val="24"/>
            <w:szCs w:val="24"/>
          </w:rPr>
          <w:t>https://doi.org/10.1111/joop.12450</w:t>
        </w:r>
      </w:hyperlink>
      <w:r w:rsidRPr="006E14AF">
        <w:rPr>
          <w:rFonts w:ascii="Arial" w:hAnsi="Arial" w:cs="Arial"/>
          <w:sz w:val="24"/>
          <w:szCs w:val="24"/>
        </w:rPr>
        <w:t xml:space="preserve">. </w:t>
      </w:r>
    </w:p>
    <w:p w14:paraId="046B63DE" w14:textId="77777777" w:rsidR="00C776E2" w:rsidRPr="006E14AF" w:rsidRDefault="00C776E2" w:rsidP="009B565E">
      <w:pPr>
        <w:spacing w:line="360" w:lineRule="auto"/>
        <w:ind w:left="720" w:hanging="720"/>
        <w:rPr>
          <w:rFonts w:ascii="Arial" w:hAnsi="Arial" w:cs="Arial"/>
          <w:sz w:val="24"/>
          <w:szCs w:val="24"/>
        </w:rPr>
      </w:pPr>
      <w:r w:rsidRPr="006E14AF">
        <w:rPr>
          <w:rFonts w:ascii="Arial" w:hAnsi="Arial" w:cs="Arial"/>
          <w:sz w:val="24"/>
          <w:szCs w:val="24"/>
        </w:rPr>
        <w:t xml:space="preserve">Jiang, L., Pan, Z., Luo, Y., Guo, Z. and Kou, D. (2023) ‘More flexible and more innovative: the impact of flexible work arrangements on the innovation behavior </w:t>
      </w:r>
      <w:bookmarkStart w:id="21" w:name="_GoBack"/>
      <w:bookmarkEnd w:id="21"/>
      <w:r w:rsidRPr="006E14AF">
        <w:rPr>
          <w:rFonts w:ascii="Arial" w:hAnsi="Arial" w:cs="Arial"/>
          <w:sz w:val="24"/>
          <w:szCs w:val="24"/>
        </w:rPr>
        <w:t xml:space="preserve">of knowledge employees’, </w:t>
      </w:r>
      <w:r w:rsidRPr="006E14AF">
        <w:rPr>
          <w:rFonts w:ascii="Arial" w:hAnsi="Arial" w:cs="Arial"/>
          <w:i/>
          <w:iCs/>
          <w:sz w:val="24"/>
          <w:szCs w:val="24"/>
        </w:rPr>
        <w:t>Frontiers in Psychology</w:t>
      </w:r>
      <w:r w:rsidRPr="006E14AF">
        <w:rPr>
          <w:rFonts w:ascii="Arial" w:hAnsi="Arial" w:cs="Arial"/>
          <w:sz w:val="24"/>
          <w:szCs w:val="24"/>
        </w:rPr>
        <w:t xml:space="preserve">, 14, 1053242. </w:t>
      </w:r>
      <w:hyperlink r:id="rId21" w:history="1">
        <w:r w:rsidRPr="006E14AF">
          <w:rPr>
            <w:rStyle w:val="Hyperlink"/>
            <w:rFonts w:ascii="Arial" w:hAnsi="Arial" w:cs="Arial"/>
            <w:sz w:val="24"/>
            <w:szCs w:val="24"/>
          </w:rPr>
          <w:t>https://doi.org/10.3389/fpsyg.2023.1053242</w:t>
        </w:r>
      </w:hyperlink>
    </w:p>
    <w:p w14:paraId="26E2E250" w14:textId="77777777" w:rsidR="00C776E2" w:rsidRPr="006E14AF" w:rsidRDefault="00C776E2" w:rsidP="009B565E">
      <w:pPr>
        <w:spacing w:line="360" w:lineRule="auto"/>
        <w:ind w:left="720" w:hanging="720"/>
        <w:rPr>
          <w:rFonts w:ascii="Arial" w:hAnsi="Arial" w:cs="Arial"/>
          <w:sz w:val="24"/>
          <w:szCs w:val="24"/>
        </w:rPr>
      </w:pPr>
      <w:r w:rsidRPr="006E14AF">
        <w:rPr>
          <w:rFonts w:ascii="Arial" w:hAnsi="Arial" w:cs="Arial"/>
          <w:sz w:val="24"/>
          <w:szCs w:val="24"/>
        </w:rPr>
        <w:t xml:space="preserve">Jin, H. and Peng, Y. (2024) ‘The impact of team psychological safety on employee innovative performance: a study with communication behavior as a mediator variable’, </w:t>
      </w:r>
      <w:r w:rsidRPr="006E14AF">
        <w:rPr>
          <w:rFonts w:ascii="Arial" w:hAnsi="Arial" w:cs="Arial"/>
          <w:i/>
          <w:iCs/>
          <w:sz w:val="24"/>
          <w:szCs w:val="24"/>
        </w:rPr>
        <w:t>PLOS ONE</w:t>
      </w:r>
      <w:r w:rsidRPr="006E14AF">
        <w:rPr>
          <w:rFonts w:ascii="Arial" w:hAnsi="Arial" w:cs="Arial"/>
          <w:sz w:val="24"/>
          <w:szCs w:val="24"/>
        </w:rPr>
        <w:t xml:space="preserve">, 19(10), e0306629. </w:t>
      </w:r>
      <w:hyperlink r:id="rId22" w:history="1">
        <w:r w:rsidRPr="006E14AF">
          <w:rPr>
            <w:rStyle w:val="Hyperlink"/>
            <w:rFonts w:ascii="Arial" w:hAnsi="Arial" w:cs="Arial"/>
            <w:sz w:val="24"/>
            <w:szCs w:val="24"/>
          </w:rPr>
          <w:t>https://doi.org/10.1371/journal.pone.0306629</w:t>
        </w:r>
      </w:hyperlink>
      <w:r w:rsidRPr="006E14AF">
        <w:rPr>
          <w:rFonts w:ascii="Arial" w:hAnsi="Arial" w:cs="Arial"/>
          <w:sz w:val="24"/>
          <w:szCs w:val="24"/>
        </w:rPr>
        <w:t xml:space="preserve">. </w:t>
      </w:r>
    </w:p>
    <w:p w14:paraId="6910E669" w14:textId="77777777" w:rsidR="00C776E2" w:rsidRPr="006E14AF" w:rsidRDefault="00C776E2" w:rsidP="009B565E">
      <w:pPr>
        <w:spacing w:line="360" w:lineRule="auto"/>
        <w:ind w:left="720" w:hanging="720"/>
        <w:rPr>
          <w:rFonts w:ascii="Arial" w:hAnsi="Arial" w:cs="Arial"/>
          <w:sz w:val="24"/>
          <w:szCs w:val="24"/>
        </w:rPr>
      </w:pPr>
      <w:r w:rsidRPr="006E14AF">
        <w:rPr>
          <w:rFonts w:ascii="Arial" w:hAnsi="Arial" w:cs="Arial"/>
          <w:sz w:val="24"/>
          <w:szCs w:val="24"/>
        </w:rPr>
        <w:t xml:space="preserve">Kaushik, D. and Mukherjee, U. (2022) ‘High-performance work system: a systematic review of literature’, </w:t>
      </w:r>
      <w:r w:rsidRPr="006E14AF">
        <w:rPr>
          <w:rFonts w:ascii="Arial" w:hAnsi="Arial" w:cs="Arial"/>
          <w:i/>
          <w:iCs/>
          <w:sz w:val="24"/>
          <w:szCs w:val="24"/>
        </w:rPr>
        <w:t>International Journal of Organizational Analysis</w:t>
      </w:r>
      <w:r w:rsidRPr="006E14AF">
        <w:rPr>
          <w:rFonts w:ascii="Arial" w:hAnsi="Arial" w:cs="Arial"/>
          <w:sz w:val="24"/>
          <w:szCs w:val="24"/>
        </w:rPr>
        <w:t xml:space="preserve">, 30(6), pp. 1624–1643. </w:t>
      </w:r>
      <w:hyperlink r:id="rId23" w:history="1">
        <w:r w:rsidRPr="006E14AF">
          <w:rPr>
            <w:rStyle w:val="Hyperlink"/>
            <w:rFonts w:ascii="Arial" w:hAnsi="Arial" w:cs="Arial"/>
            <w:sz w:val="24"/>
            <w:szCs w:val="24"/>
          </w:rPr>
          <w:t>https://doi.org/10.1108/IJOA-07-2020-2282</w:t>
        </w:r>
      </w:hyperlink>
      <w:r w:rsidRPr="006E14AF">
        <w:rPr>
          <w:rFonts w:ascii="Arial" w:hAnsi="Arial" w:cs="Arial"/>
          <w:sz w:val="24"/>
          <w:szCs w:val="24"/>
        </w:rPr>
        <w:t xml:space="preserve">. </w:t>
      </w:r>
    </w:p>
    <w:p w14:paraId="486431B2" w14:textId="77777777" w:rsidR="00C776E2" w:rsidRPr="006E14AF" w:rsidRDefault="00C776E2" w:rsidP="009B565E">
      <w:pPr>
        <w:spacing w:line="360" w:lineRule="auto"/>
        <w:ind w:left="720" w:hanging="720"/>
        <w:rPr>
          <w:rFonts w:ascii="Arial" w:hAnsi="Arial" w:cs="Arial"/>
          <w:sz w:val="24"/>
          <w:szCs w:val="24"/>
        </w:rPr>
      </w:pPr>
      <w:r w:rsidRPr="006E14AF">
        <w:rPr>
          <w:rFonts w:ascii="Arial" w:hAnsi="Arial" w:cs="Arial"/>
          <w:sz w:val="24"/>
          <w:szCs w:val="24"/>
        </w:rPr>
        <w:t xml:space="preserve">Mohammad, S., Sağsan, M. and Şeşen, H. (2024) ‘The Impact of “Learning Organizations” on Innovation: The Mediating Role of “Employee Resilience” and Work Engagement’, </w:t>
      </w:r>
      <w:r w:rsidRPr="006E14AF">
        <w:rPr>
          <w:rFonts w:ascii="Arial" w:hAnsi="Arial" w:cs="Arial"/>
          <w:i/>
          <w:iCs/>
          <w:sz w:val="24"/>
          <w:szCs w:val="24"/>
        </w:rPr>
        <w:t>SAGE Open</w:t>
      </w:r>
      <w:r w:rsidRPr="006E14AF">
        <w:rPr>
          <w:rFonts w:ascii="Arial" w:hAnsi="Arial" w:cs="Arial"/>
          <w:sz w:val="24"/>
          <w:szCs w:val="24"/>
        </w:rPr>
        <w:t xml:space="preserve">, 14. </w:t>
      </w:r>
      <w:hyperlink r:id="rId24" w:history="1">
        <w:r w:rsidRPr="006E14AF">
          <w:rPr>
            <w:rStyle w:val="Hyperlink"/>
            <w:rFonts w:ascii="Arial" w:hAnsi="Arial" w:cs="Arial"/>
            <w:sz w:val="24"/>
            <w:szCs w:val="24"/>
          </w:rPr>
          <w:t>https://doi.org/10.1177/21582440241289185</w:t>
        </w:r>
      </w:hyperlink>
      <w:r w:rsidRPr="006E14AF">
        <w:rPr>
          <w:rFonts w:ascii="Arial" w:hAnsi="Arial" w:cs="Arial"/>
          <w:sz w:val="24"/>
          <w:szCs w:val="24"/>
        </w:rPr>
        <w:t xml:space="preserve">. </w:t>
      </w:r>
    </w:p>
    <w:p w14:paraId="46D3548D" w14:textId="77777777" w:rsidR="00C776E2" w:rsidRPr="006E14AF" w:rsidRDefault="00C776E2" w:rsidP="009B565E">
      <w:pPr>
        <w:spacing w:line="360" w:lineRule="auto"/>
        <w:ind w:left="720" w:hanging="720"/>
        <w:rPr>
          <w:rFonts w:ascii="Arial" w:hAnsi="Arial" w:cs="Arial"/>
          <w:sz w:val="24"/>
          <w:szCs w:val="24"/>
        </w:rPr>
      </w:pPr>
      <w:r w:rsidRPr="006E14AF">
        <w:rPr>
          <w:rFonts w:ascii="Arial" w:hAnsi="Arial" w:cs="Arial"/>
          <w:sz w:val="24"/>
          <w:szCs w:val="24"/>
        </w:rPr>
        <w:t xml:space="preserve">Nguyen, M., Malik, A., Sharma, P., Kingshott, R. and Gugnani, R. (2024) ‘High involvement work system and organizational and employee resilience: Impact of digitalisation in crisis situations’, </w:t>
      </w:r>
      <w:r w:rsidRPr="006E14AF">
        <w:rPr>
          <w:rFonts w:ascii="Arial" w:hAnsi="Arial" w:cs="Arial"/>
          <w:i/>
          <w:iCs/>
          <w:sz w:val="24"/>
          <w:szCs w:val="24"/>
        </w:rPr>
        <w:t>Technological Forecasting and Social Change</w:t>
      </w:r>
      <w:r w:rsidRPr="006E14AF">
        <w:rPr>
          <w:rFonts w:ascii="Arial" w:hAnsi="Arial" w:cs="Arial"/>
          <w:sz w:val="24"/>
          <w:szCs w:val="24"/>
        </w:rPr>
        <w:t xml:space="preserve">, 205, 123510. </w:t>
      </w:r>
      <w:hyperlink r:id="rId25" w:history="1">
        <w:r w:rsidRPr="006E14AF">
          <w:rPr>
            <w:rStyle w:val="Hyperlink"/>
            <w:rFonts w:ascii="Arial" w:hAnsi="Arial" w:cs="Arial"/>
            <w:sz w:val="24"/>
            <w:szCs w:val="24"/>
          </w:rPr>
          <w:t>https://doi.org/10.1016/j.techfore.2024.123510</w:t>
        </w:r>
      </w:hyperlink>
      <w:r w:rsidRPr="006E14AF">
        <w:rPr>
          <w:rFonts w:ascii="Arial" w:hAnsi="Arial" w:cs="Arial"/>
          <w:sz w:val="24"/>
          <w:szCs w:val="24"/>
        </w:rPr>
        <w:t>.</w:t>
      </w:r>
    </w:p>
    <w:p w14:paraId="345F8BBA" w14:textId="77777777" w:rsidR="00C776E2" w:rsidRDefault="00C776E2" w:rsidP="009B565E">
      <w:pPr>
        <w:spacing w:line="360" w:lineRule="auto"/>
        <w:ind w:left="720" w:hanging="720"/>
        <w:rPr>
          <w:rFonts w:ascii="Arial" w:hAnsi="Arial" w:cs="Arial"/>
          <w:sz w:val="24"/>
          <w:szCs w:val="24"/>
        </w:rPr>
      </w:pPr>
      <w:r w:rsidRPr="006E14AF">
        <w:rPr>
          <w:rFonts w:ascii="Arial" w:hAnsi="Arial" w:cs="Arial"/>
          <w:sz w:val="24"/>
          <w:szCs w:val="24"/>
        </w:rPr>
        <w:t xml:space="preserve">Steegh, R., Van De Voorde, K., Paauwe, J. and Peeters, T. (2025) ‘The agile way of working and team adaptive performance: A goal-setting perspective’, </w:t>
      </w:r>
      <w:r w:rsidRPr="006E14AF">
        <w:rPr>
          <w:rFonts w:ascii="Arial" w:hAnsi="Arial" w:cs="Arial"/>
          <w:i/>
          <w:iCs/>
          <w:sz w:val="24"/>
          <w:szCs w:val="24"/>
        </w:rPr>
        <w:t>Journal of Business Research</w:t>
      </w:r>
      <w:r w:rsidRPr="006E14AF">
        <w:rPr>
          <w:rFonts w:ascii="Arial" w:hAnsi="Arial" w:cs="Arial"/>
          <w:sz w:val="24"/>
          <w:szCs w:val="24"/>
        </w:rPr>
        <w:t xml:space="preserve">, 189, 115163. </w:t>
      </w:r>
      <w:hyperlink r:id="rId26" w:history="1">
        <w:r w:rsidRPr="006E14AF">
          <w:rPr>
            <w:rStyle w:val="Hyperlink"/>
            <w:rFonts w:ascii="Arial" w:hAnsi="Arial" w:cs="Arial"/>
            <w:sz w:val="24"/>
            <w:szCs w:val="24"/>
          </w:rPr>
          <w:t>https://doi.org/10.1016/j.jbusres.2024.115163</w:t>
        </w:r>
      </w:hyperlink>
      <w:r w:rsidRPr="006E14AF">
        <w:rPr>
          <w:rFonts w:ascii="Arial" w:hAnsi="Arial" w:cs="Arial"/>
          <w:sz w:val="24"/>
          <w:szCs w:val="24"/>
        </w:rPr>
        <w:t xml:space="preserve">. </w:t>
      </w:r>
    </w:p>
    <w:p w14:paraId="17C20D74" w14:textId="77777777" w:rsidR="00C31747" w:rsidRDefault="00C31747" w:rsidP="00C31747">
      <w:pPr>
        <w:pStyle w:val="NormalWeb"/>
        <w:spacing w:line="360" w:lineRule="auto"/>
        <w:ind w:left="567" w:hanging="567"/>
        <w:jc w:val="both"/>
      </w:pPr>
      <w:r w:rsidRPr="00C31747">
        <w:rPr>
          <w:rFonts w:ascii="Arial" w:hAnsi="Arial" w:cs="Arial"/>
        </w:rPr>
        <w:t xml:space="preserve">Shiri, R., El-Metwally, A., Sallinen, M., Pöyry, M., Härmä, M. and Toppinen-Tanner, S. (2023) ‘The role of continuing professional training or development in maintaining current employment: A systematic review’, </w:t>
      </w:r>
      <w:r w:rsidRPr="00C31747">
        <w:rPr>
          <w:rStyle w:val="Emphasis"/>
          <w:rFonts w:ascii="Arial" w:hAnsi="Arial" w:cs="Arial"/>
        </w:rPr>
        <w:t>Healthcare</w:t>
      </w:r>
      <w:r w:rsidRPr="00C31747">
        <w:rPr>
          <w:rFonts w:ascii="Arial" w:hAnsi="Arial" w:cs="Arial"/>
        </w:rPr>
        <w:t xml:space="preserve">, 11(21), 2900. Available at: </w:t>
      </w:r>
      <w:hyperlink r:id="rId27" w:history="1">
        <w:r w:rsidRPr="00C31747">
          <w:rPr>
            <w:rStyle w:val="Hyperlink"/>
            <w:rFonts w:ascii="Arial" w:hAnsi="Arial" w:cs="Arial"/>
          </w:rPr>
          <w:t>https://doi.org/10.3390/healthcare11212900</w:t>
        </w:r>
      </w:hyperlink>
      <w:r>
        <w:t>.</w:t>
      </w:r>
    </w:p>
    <w:p w14:paraId="508024A1" w14:textId="77777777" w:rsidR="00C776E2" w:rsidRDefault="00C776E2" w:rsidP="00C31747">
      <w:pPr>
        <w:spacing w:line="360" w:lineRule="auto"/>
        <w:ind w:left="567" w:hanging="567"/>
        <w:rPr>
          <w:rFonts w:ascii="Arial" w:hAnsi="Arial" w:cs="Arial"/>
          <w:sz w:val="24"/>
          <w:szCs w:val="24"/>
        </w:rPr>
      </w:pPr>
      <w:r w:rsidRPr="006E14AF">
        <w:rPr>
          <w:rFonts w:ascii="Arial" w:hAnsi="Arial" w:cs="Arial"/>
          <w:sz w:val="24"/>
          <w:szCs w:val="24"/>
        </w:rPr>
        <w:t xml:space="preserve">Tiffin, P.A., Cabrera, R., Dexter-Smith, S. and Van den Broeck, A. (2024) ‘Capturing autonomy, competence, and relatedness at work: further examining and validating an English language version of the work-related basic need satisfaction scale’, </w:t>
      </w:r>
      <w:r w:rsidRPr="006E14AF">
        <w:rPr>
          <w:rFonts w:ascii="Arial" w:hAnsi="Arial" w:cs="Arial"/>
          <w:iCs/>
          <w:sz w:val="24"/>
          <w:szCs w:val="24"/>
        </w:rPr>
        <w:t>Frontiers in Psychology</w:t>
      </w:r>
      <w:r w:rsidRPr="006E14AF">
        <w:rPr>
          <w:rFonts w:ascii="Arial" w:hAnsi="Arial" w:cs="Arial"/>
          <w:sz w:val="24"/>
          <w:szCs w:val="24"/>
        </w:rPr>
        <w:t xml:space="preserve">, 15, 1304309. </w:t>
      </w:r>
      <w:hyperlink r:id="rId28" w:history="1">
        <w:r w:rsidRPr="006E14AF">
          <w:rPr>
            <w:rStyle w:val="Hyperlink"/>
            <w:rFonts w:ascii="Arial" w:hAnsi="Arial" w:cs="Arial"/>
            <w:sz w:val="24"/>
            <w:szCs w:val="24"/>
          </w:rPr>
          <w:t>https://doi.org/10.3389/fpsyg.2024.1304309</w:t>
        </w:r>
      </w:hyperlink>
      <w:r w:rsidRPr="006E14AF">
        <w:rPr>
          <w:rFonts w:ascii="Arial" w:hAnsi="Arial" w:cs="Arial"/>
          <w:sz w:val="24"/>
          <w:szCs w:val="24"/>
        </w:rPr>
        <w:t xml:space="preserve">. </w:t>
      </w:r>
    </w:p>
    <w:p w14:paraId="69A96B52" w14:textId="77777777" w:rsidR="00C31747" w:rsidRPr="006E14AF" w:rsidRDefault="00C31747" w:rsidP="009B565E">
      <w:pPr>
        <w:spacing w:line="360" w:lineRule="auto"/>
        <w:ind w:left="720" w:hanging="720"/>
        <w:rPr>
          <w:rFonts w:ascii="Arial" w:hAnsi="Arial" w:cs="Arial"/>
          <w:sz w:val="24"/>
          <w:szCs w:val="24"/>
        </w:rPr>
      </w:pPr>
    </w:p>
    <w:p w14:paraId="2A573D29" w14:textId="77777777" w:rsidR="003735EA" w:rsidRPr="009B565E" w:rsidRDefault="003735EA" w:rsidP="009B565E">
      <w:pPr>
        <w:spacing w:line="360" w:lineRule="auto"/>
        <w:ind w:left="720" w:hanging="720"/>
        <w:jc w:val="both"/>
        <w:rPr>
          <w:rFonts w:ascii="Arial" w:hAnsi="Arial" w:cs="Arial"/>
          <w:sz w:val="24"/>
          <w:szCs w:val="24"/>
        </w:rPr>
      </w:pPr>
    </w:p>
    <w:sectPr w:rsidR="003735EA" w:rsidRPr="009B565E" w:rsidSect="009B565E">
      <w:footerReference w:type="default" r:id="rId29"/>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CD85E3" w14:textId="77777777" w:rsidR="00BD0D20" w:rsidRPr="006E14AF" w:rsidRDefault="00BD0D20" w:rsidP="00C776E2">
      <w:pPr>
        <w:spacing w:after="0" w:line="240" w:lineRule="auto"/>
      </w:pPr>
      <w:r w:rsidRPr="006E14AF">
        <w:separator/>
      </w:r>
    </w:p>
  </w:endnote>
  <w:endnote w:type="continuationSeparator" w:id="0">
    <w:p w14:paraId="33CC0507" w14:textId="77777777" w:rsidR="00BD0D20" w:rsidRPr="006E14AF" w:rsidRDefault="00BD0D20" w:rsidP="00C776E2">
      <w:pPr>
        <w:spacing w:after="0" w:line="240" w:lineRule="auto"/>
      </w:pPr>
      <w:r w:rsidRPr="006E14A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7418581"/>
      <w:docPartObj>
        <w:docPartGallery w:val="Page Numbers (Bottom of Page)"/>
        <w:docPartUnique/>
      </w:docPartObj>
    </w:sdtPr>
    <w:sdtEndPr>
      <w:rPr>
        <w:color w:val="7F7F7F" w:themeColor="background1" w:themeShade="7F"/>
        <w:spacing w:val="60"/>
      </w:rPr>
    </w:sdtEndPr>
    <w:sdtContent>
      <w:p w14:paraId="2967F06B" w14:textId="673876B3" w:rsidR="00C776E2" w:rsidRPr="006E14AF" w:rsidRDefault="00C776E2">
        <w:pPr>
          <w:pStyle w:val="Footer"/>
          <w:pBdr>
            <w:top w:val="single" w:sz="4" w:space="1" w:color="D9D9D9" w:themeColor="background1" w:themeShade="D9"/>
          </w:pBdr>
          <w:rPr>
            <w:b/>
            <w:bCs/>
          </w:rPr>
        </w:pPr>
        <w:r w:rsidRPr="006E14AF">
          <w:fldChar w:fldCharType="begin"/>
        </w:r>
        <w:r w:rsidRPr="006E14AF">
          <w:instrText xml:space="preserve"> PAGE   \* MERGEFORMAT </w:instrText>
        </w:r>
        <w:r w:rsidRPr="006E14AF">
          <w:fldChar w:fldCharType="separate"/>
        </w:r>
        <w:r w:rsidR="00BD0D20" w:rsidRPr="00BD0D20">
          <w:rPr>
            <w:b/>
            <w:bCs/>
            <w:noProof/>
          </w:rPr>
          <w:t>1</w:t>
        </w:r>
        <w:r w:rsidRPr="006E14AF">
          <w:rPr>
            <w:b/>
            <w:bCs/>
          </w:rPr>
          <w:fldChar w:fldCharType="end"/>
        </w:r>
        <w:r w:rsidRPr="006E14AF">
          <w:rPr>
            <w:b/>
            <w:bCs/>
          </w:rPr>
          <w:t xml:space="preserve"> | </w:t>
        </w:r>
        <w:r w:rsidRPr="006E14AF">
          <w:rPr>
            <w:color w:val="7F7F7F" w:themeColor="background1" w:themeShade="7F"/>
            <w:spacing w:val="60"/>
          </w:rPr>
          <w:t>Page</w:t>
        </w:r>
      </w:p>
    </w:sdtContent>
  </w:sdt>
  <w:p w14:paraId="7BA1D41A" w14:textId="77777777" w:rsidR="00C776E2" w:rsidRPr="006E14AF" w:rsidRDefault="00C776E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535A5B" w14:textId="77777777" w:rsidR="00BD0D20" w:rsidRPr="006E14AF" w:rsidRDefault="00BD0D20" w:rsidP="00C776E2">
      <w:pPr>
        <w:spacing w:after="0" w:line="240" w:lineRule="auto"/>
      </w:pPr>
      <w:r w:rsidRPr="006E14AF">
        <w:separator/>
      </w:r>
    </w:p>
  </w:footnote>
  <w:footnote w:type="continuationSeparator" w:id="0">
    <w:p w14:paraId="39171F5B" w14:textId="77777777" w:rsidR="00BD0D20" w:rsidRPr="006E14AF" w:rsidRDefault="00BD0D20" w:rsidP="00C776E2">
      <w:pPr>
        <w:spacing w:after="0" w:line="240" w:lineRule="auto"/>
      </w:pPr>
      <w:r w:rsidRPr="006E14AF">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7B1A9B"/>
    <w:multiLevelType w:val="hybridMultilevel"/>
    <w:tmpl w:val="45B6CED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49"/>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6507"/>
    <w:rsid w:val="000F5421"/>
    <w:rsid w:val="0015690D"/>
    <w:rsid w:val="0017648D"/>
    <w:rsid w:val="002C4892"/>
    <w:rsid w:val="00351602"/>
    <w:rsid w:val="003735EA"/>
    <w:rsid w:val="00383FB6"/>
    <w:rsid w:val="003D6111"/>
    <w:rsid w:val="003E341D"/>
    <w:rsid w:val="004071DB"/>
    <w:rsid w:val="004208FD"/>
    <w:rsid w:val="0054614C"/>
    <w:rsid w:val="00576507"/>
    <w:rsid w:val="005B36EE"/>
    <w:rsid w:val="005B3FD0"/>
    <w:rsid w:val="0060509D"/>
    <w:rsid w:val="006075E3"/>
    <w:rsid w:val="00640619"/>
    <w:rsid w:val="006E14AF"/>
    <w:rsid w:val="006F50CC"/>
    <w:rsid w:val="00722737"/>
    <w:rsid w:val="00725003"/>
    <w:rsid w:val="007706BA"/>
    <w:rsid w:val="00796FE0"/>
    <w:rsid w:val="00893FAB"/>
    <w:rsid w:val="009B565E"/>
    <w:rsid w:val="009B6C29"/>
    <w:rsid w:val="00A5495A"/>
    <w:rsid w:val="00B41FBB"/>
    <w:rsid w:val="00BD0D20"/>
    <w:rsid w:val="00C11D0F"/>
    <w:rsid w:val="00C31747"/>
    <w:rsid w:val="00C7451B"/>
    <w:rsid w:val="00C776E2"/>
    <w:rsid w:val="00CB0896"/>
    <w:rsid w:val="00D23008"/>
    <w:rsid w:val="00D47BD6"/>
    <w:rsid w:val="00D951C5"/>
    <w:rsid w:val="00DA3D36"/>
    <w:rsid w:val="00EE2076"/>
    <w:rsid w:val="00F34337"/>
    <w:rsid w:val="00FD058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68B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4337"/>
    <w:rPr>
      <w:lang w:val="en-GB"/>
    </w:rPr>
  </w:style>
  <w:style w:type="paragraph" w:styleId="Heading1">
    <w:name w:val="heading 1"/>
    <w:basedOn w:val="Normal"/>
    <w:next w:val="Normal"/>
    <w:link w:val="Heading1Char"/>
    <w:uiPriority w:val="9"/>
    <w:qFormat/>
    <w:rsid w:val="009B565E"/>
    <w:pPr>
      <w:keepNext/>
      <w:keepLines/>
      <w:spacing w:before="360" w:after="80"/>
      <w:outlineLvl w:val="0"/>
    </w:pPr>
    <w:rPr>
      <w:rFonts w:ascii="Arial" w:eastAsiaTheme="majorEastAsia" w:hAnsi="Arial" w:cstheme="majorBidi"/>
      <w:b/>
      <w:color w:val="1F3864" w:themeColor="accent1" w:themeShade="80"/>
      <w:sz w:val="36"/>
      <w:szCs w:val="40"/>
    </w:rPr>
  </w:style>
  <w:style w:type="paragraph" w:styleId="Heading2">
    <w:name w:val="heading 2"/>
    <w:basedOn w:val="Normal"/>
    <w:next w:val="Normal"/>
    <w:link w:val="Heading2Char"/>
    <w:uiPriority w:val="9"/>
    <w:unhideWhenUsed/>
    <w:qFormat/>
    <w:rsid w:val="009B565E"/>
    <w:pPr>
      <w:keepNext/>
      <w:keepLines/>
      <w:spacing w:before="160" w:after="80"/>
      <w:outlineLvl w:val="1"/>
    </w:pPr>
    <w:rPr>
      <w:rFonts w:ascii="Arial" w:eastAsiaTheme="majorEastAsia" w:hAnsi="Arial" w:cstheme="majorBidi"/>
      <w:b/>
      <w:i/>
      <w:color w:val="000000" w:themeColor="text1"/>
      <w:sz w:val="32"/>
      <w:szCs w:val="32"/>
      <w:u w:val="single"/>
    </w:rPr>
  </w:style>
  <w:style w:type="paragraph" w:styleId="Heading3">
    <w:name w:val="heading 3"/>
    <w:basedOn w:val="Normal"/>
    <w:next w:val="Normal"/>
    <w:link w:val="Heading3Char"/>
    <w:uiPriority w:val="9"/>
    <w:semiHidden/>
    <w:unhideWhenUsed/>
    <w:qFormat/>
    <w:rsid w:val="0057650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7650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7650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765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65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65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65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PlainTable21">
    <w:name w:val="Plain Table 21"/>
    <w:basedOn w:val="TableNormal"/>
    <w:uiPriority w:val="42"/>
    <w:qFormat/>
    <w:rsid w:val="004208FD"/>
    <w:pPr>
      <w:spacing w:after="0" w:line="240" w:lineRule="auto"/>
    </w:pPr>
    <w:rPr>
      <w:sz w:val="20"/>
      <w:szCs w:val="20"/>
      <w:lang w:val="en-GB" w:eastAsia="en-GB"/>
    </w:rPr>
    <w:tblPr>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ListParagraph">
    <w:name w:val="List Paragraph"/>
    <w:basedOn w:val="Normal"/>
    <w:uiPriority w:val="34"/>
    <w:qFormat/>
    <w:rsid w:val="00F34337"/>
    <w:pPr>
      <w:ind w:left="720"/>
      <w:contextualSpacing/>
    </w:pPr>
  </w:style>
  <w:style w:type="character" w:customStyle="1" w:styleId="Heading1Char">
    <w:name w:val="Heading 1 Char"/>
    <w:basedOn w:val="DefaultParagraphFont"/>
    <w:link w:val="Heading1"/>
    <w:uiPriority w:val="9"/>
    <w:rsid w:val="009B565E"/>
    <w:rPr>
      <w:rFonts w:ascii="Arial" w:eastAsiaTheme="majorEastAsia" w:hAnsi="Arial" w:cstheme="majorBidi"/>
      <w:b/>
      <w:color w:val="1F3864" w:themeColor="accent1" w:themeShade="80"/>
      <w:sz w:val="36"/>
      <w:szCs w:val="40"/>
    </w:rPr>
  </w:style>
  <w:style w:type="character" w:customStyle="1" w:styleId="Heading2Char">
    <w:name w:val="Heading 2 Char"/>
    <w:basedOn w:val="DefaultParagraphFont"/>
    <w:link w:val="Heading2"/>
    <w:uiPriority w:val="9"/>
    <w:rsid w:val="009B565E"/>
    <w:rPr>
      <w:rFonts w:ascii="Arial" w:eastAsiaTheme="majorEastAsia" w:hAnsi="Arial" w:cstheme="majorBidi"/>
      <w:b/>
      <w:i/>
      <w:color w:val="000000" w:themeColor="text1"/>
      <w:sz w:val="32"/>
      <w:szCs w:val="32"/>
      <w:u w:val="single"/>
    </w:rPr>
  </w:style>
  <w:style w:type="character" w:customStyle="1" w:styleId="Heading3Char">
    <w:name w:val="Heading 3 Char"/>
    <w:basedOn w:val="DefaultParagraphFont"/>
    <w:link w:val="Heading3"/>
    <w:uiPriority w:val="9"/>
    <w:semiHidden/>
    <w:rsid w:val="0057650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7650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7650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765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65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65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6507"/>
    <w:rPr>
      <w:rFonts w:eastAsiaTheme="majorEastAsia" w:cstheme="majorBidi"/>
      <w:color w:val="272727" w:themeColor="text1" w:themeTint="D8"/>
    </w:rPr>
  </w:style>
  <w:style w:type="paragraph" w:styleId="Title">
    <w:name w:val="Title"/>
    <w:basedOn w:val="Normal"/>
    <w:next w:val="Normal"/>
    <w:link w:val="TitleChar"/>
    <w:uiPriority w:val="10"/>
    <w:qFormat/>
    <w:rsid w:val="005765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65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65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65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6507"/>
    <w:pPr>
      <w:spacing w:before="160"/>
      <w:jc w:val="center"/>
    </w:pPr>
    <w:rPr>
      <w:i/>
      <w:iCs/>
      <w:color w:val="404040" w:themeColor="text1" w:themeTint="BF"/>
    </w:rPr>
  </w:style>
  <w:style w:type="character" w:customStyle="1" w:styleId="QuoteChar">
    <w:name w:val="Quote Char"/>
    <w:basedOn w:val="DefaultParagraphFont"/>
    <w:link w:val="Quote"/>
    <w:uiPriority w:val="29"/>
    <w:rsid w:val="00576507"/>
    <w:rPr>
      <w:i/>
      <w:iCs/>
      <w:color w:val="404040" w:themeColor="text1" w:themeTint="BF"/>
    </w:rPr>
  </w:style>
  <w:style w:type="character" w:styleId="IntenseEmphasis">
    <w:name w:val="Intense Emphasis"/>
    <w:basedOn w:val="DefaultParagraphFont"/>
    <w:uiPriority w:val="21"/>
    <w:qFormat/>
    <w:rsid w:val="00576507"/>
    <w:rPr>
      <w:i/>
      <w:iCs/>
      <w:color w:val="2F5496" w:themeColor="accent1" w:themeShade="BF"/>
    </w:rPr>
  </w:style>
  <w:style w:type="paragraph" w:styleId="IntenseQuote">
    <w:name w:val="Intense Quote"/>
    <w:basedOn w:val="Normal"/>
    <w:next w:val="Normal"/>
    <w:link w:val="IntenseQuoteChar"/>
    <w:uiPriority w:val="30"/>
    <w:qFormat/>
    <w:rsid w:val="0057650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76507"/>
    <w:rPr>
      <w:i/>
      <w:iCs/>
      <w:color w:val="2F5496" w:themeColor="accent1" w:themeShade="BF"/>
    </w:rPr>
  </w:style>
  <w:style w:type="character" w:styleId="IntenseReference">
    <w:name w:val="Intense Reference"/>
    <w:basedOn w:val="DefaultParagraphFont"/>
    <w:uiPriority w:val="32"/>
    <w:qFormat/>
    <w:rsid w:val="00576507"/>
    <w:rPr>
      <w:b/>
      <w:bCs/>
      <w:smallCaps/>
      <w:color w:val="2F5496" w:themeColor="accent1" w:themeShade="BF"/>
      <w:spacing w:val="5"/>
    </w:rPr>
  </w:style>
  <w:style w:type="table" w:styleId="TableGrid">
    <w:name w:val="Table Grid"/>
    <w:basedOn w:val="TableNormal"/>
    <w:uiPriority w:val="39"/>
    <w:rsid w:val="00C745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4071DB"/>
    <w:rPr>
      <w:color w:val="0563C1" w:themeColor="hyperlink"/>
      <w:u w:val="single"/>
    </w:rPr>
  </w:style>
  <w:style w:type="character" w:customStyle="1" w:styleId="UnresolvedMention1">
    <w:name w:val="Unresolved Mention1"/>
    <w:basedOn w:val="DefaultParagraphFont"/>
    <w:uiPriority w:val="99"/>
    <w:semiHidden/>
    <w:unhideWhenUsed/>
    <w:rsid w:val="004071DB"/>
    <w:rPr>
      <w:color w:val="605E5C"/>
      <w:shd w:val="clear" w:color="auto" w:fill="E1DFDD"/>
    </w:rPr>
  </w:style>
  <w:style w:type="paragraph" w:styleId="Header">
    <w:name w:val="header"/>
    <w:basedOn w:val="Normal"/>
    <w:link w:val="HeaderChar"/>
    <w:uiPriority w:val="99"/>
    <w:unhideWhenUsed/>
    <w:rsid w:val="00C776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76E2"/>
  </w:style>
  <w:style w:type="paragraph" w:styleId="Footer">
    <w:name w:val="footer"/>
    <w:basedOn w:val="Normal"/>
    <w:link w:val="FooterChar"/>
    <w:uiPriority w:val="99"/>
    <w:unhideWhenUsed/>
    <w:rsid w:val="00C776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76E2"/>
  </w:style>
  <w:style w:type="character" w:customStyle="1" w:styleId="cursor-pointer">
    <w:name w:val="cursor-pointer"/>
    <w:basedOn w:val="DefaultParagraphFont"/>
    <w:rsid w:val="005B36EE"/>
  </w:style>
  <w:style w:type="character" w:styleId="Strong">
    <w:name w:val="Strong"/>
    <w:basedOn w:val="DefaultParagraphFont"/>
    <w:uiPriority w:val="22"/>
    <w:qFormat/>
    <w:rsid w:val="00CB0896"/>
    <w:rPr>
      <w:b/>
      <w:bCs/>
    </w:rPr>
  </w:style>
  <w:style w:type="paragraph" w:styleId="TOCHeading">
    <w:name w:val="TOC Heading"/>
    <w:basedOn w:val="Heading1"/>
    <w:next w:val="Normal"/>
    <w:uiPriority w:val="39"/>
    <w:unhideWhenUsed/>
    <w:qFormat/>
    <w:rsid w:val="009B565E"/>
    <w:pPr>
      <w:spacing w:before="240" w:after="0"/>
      <w:outlineLvl w:val="9"/>
    </w:pPr>
    <w:rPr>
      <w:rFonts w:asciiTheme="majorHAnsi" w:hAnsiTheme="majorHAnsi"/>
      <w:b w:val="0"/>
      <w:color w:val="2F5496" w:themeColor="accent1" w:themeShade="BF"/>
      <w:sz w:val="32"/>
      <w:szCs w:val="32"/>
    </w:rPr>
  </w:style>
  <w:style w:type="paragraph" w:styleId="TOC1">
    <w:name w:val="toc 1"/>
    <w:basedOn w:val="Normal"/>
    <w:next w:val="Normal"/>
    <w:autoRedefine/>
    <w:uiPriority w:val="39"/>
    <w:unhideWhenUsed/>
    <w:rsid w:val="009B565E"/>
    <w:pPr>
      <w:spacing w:after="100"/>
    </w:pPr>
  </w:style>
  <w:style w:type="paragraph" w:styleId="TOC2">
    <w:name w:val="toc 2"/>
    <w:basedOn w:val="Normal"/>
    <w:next w:val="Normal"/>
    <w:autoRedefine/>
    <w:uiPriority w:val="39"/>
    <w:unhideWhenUsed/>
    <w:rsid w:val="009B565E"/>
    <w:pPr>
      <w:spacing w:after="100"/>
      <w:ind w:left="220"/>
    </w:pPr>
  </w:style>
  <w:style w:type="paragraph" w:styleId="NoSpacing">
    <w:name w:val="No Spacing"/>
    <w:uiPriority w:val="1"/>
    <w:qFormat/>
    <w:rsid w:val="006E14AF"/>
    <w:pPr>
      <w:spacing w:after="0" w:line="240" w:lineRule="auto"/>
    </w:pPr>
  </w:style>
  <w:style w:type="paragraph" w:styleId="NormalWeb">
    <w:name w:val="Normal (Web)"/>
    <w:basedOn w:val="Normal"/>
    <w:uiPriority w:val="99"/>
    <w:unhideWhenUsed/>
    <w:rsid w:val="00D47BD6"/>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C317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1747"/>
    <w:rPr>
      <w:rFonts w:ascii="Tahoma" w:hAnsi="Tahoma" w:cs="Tahoma"/>
      <w:sz w:val="16"/>
      <w:szCs w:val="16"/>
      <w:lang w:val="en-GB"/>
    </w:rPr>
  </w:style>
  <w:style w:type="character" w:styleId="Emphasis">
    <w:name w:val="Emphasis"/>
    <w:basedOn w:val="DefaultParagraphFont"/>
    <w:uiPriority w:val="20"/>
    <w:qFormat/>
    <w:rsid w:val="00C31747"/>
    <w:rPr>
      <w:i/>
      <w:iCs/>
    </w:rPr>
  </w:style>
  <w:style w:type="character" w:styleId="FollowedHyperlink">
    <w:name w:val="FollowedHyperlink"/>
    <w:basedOn w:val="DefaultParagraphFont"/>
    <w:uiPriority w:val="99"/>
    <w:semiHidden/>
    <w:unhideWhenUsed/>
    <w:rsid w:val="00C31747"/>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4337"/>
    <w:rPr>
      <w:lang w:val="en-GB"/>
    </w:rPr>
  </w:style>
  <w:style w:type="paragraph" w:styleId="Heading1">
    <w:name w:val="heading 1"/>
    <w:basedOn w:val="Normal"/>
    <w:next w:val="Normal"/>
    <w:link w:val="Heading1Char"/>
    <w:uiPriority w:val="9"/>
    <w:qFormat/>
    <w:rsid w:val="009B565E"/>
    <w:pPr>
      <w:keepNext/>
      <w:keepLines/>
      <w:spacing w:before="360" w:after="80"/>
      <w:outlineLvl w:val="0"/>
    </w:pPr>
    <w:rPr>
      <w:rFonts w:ascii="Arial" w:eastAsiaTheme="majorEastAsia" w:hAnsi="Arial" w:cstheme="majorBidi"/>
      <w:b/>
      <w:color w:val="1F3864" w:themeColor="accent1" w:themeShade="80"/>
      <w:sz w:val="36"/>
      <w:szCs w:val="40"/>
    </w:rPr>
  </w:style>
  <w:style w:type="paragraph" w:styleId="Heading2">
    <w:name w:val="heading 2"/>
    <w:basedOn w:val="Normal"/>
    <w:next w:val="Normal"/>
    <w:link w:val="Heading2Char"/>
    <w:uiPriority w:val="9"/>
    <w:unhideWhenUsed/>
    <w:qFormat/>
    <w:rsid w:val="009B565E"/>
    <w:pPr>
      <w:keepNext/>
      <w:keepLines/>
      <w:spacing w:before="160" w:after="80"/>
      <w:outlineLvl w:val="1"/>
    </w:pPr>
    <w:rPr>
      <w:rFonts w:ascii="Arial" w:eastAsiaTheme="majorEastAsia" w:hAnsi="Arial" w:cstheme="majorBidi"/>
      <w:b/>
      <w:i/>
      <w:color w:val="000000" w:themeColor="text1"/>
      <w:sz w:val="32"/>
      <w:szCs w:val="32"/>
      <w:u w:val="single"/>
    </w:rPr>
  </w:style>
  <w:style w:type="paragraph" w:styleId="Heading3">
    <w:name w:val="heading 3"/>
    <w:basedOn w:val="Normal"/>
    <w:next w:val="Normal"/>
    <w:link w:val="Heading3Char"/>
    <w:uiPriority w:val="9"/>
    <w:semiHidden/>
    <w:unhideWhenUsed/>
    <w:qFormat/>
    <w:rsid w:val="0057650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7650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7650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765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65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65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65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PlainTable21">
    <w:name w:val="Plain Table 21"/>
    <w:basedOn w:val="TableNormal"/>
    <w:uiPriority w:val="42"/>
    <w:qFormat/>
    <w:rsid w:val="004208FD"/>
    <w:pPr>
      <w:spacing w:after="0" w:line="240" w:lineRule="auto"/>
    </w:pPr>
    <w:rPr>
      <w:sz w:val="20"/>
      <w:szCs w:val="20"/>
      <w:lang w:val="en-GB" w:eastAsia="en-GB"/>
    </w:rPr>
    <w:tblPr>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ListParagraph">
    <w:name w:val="List Paragraph"/>
    <w:basedOn w:val="Normal"/>
    <w:uiPriority w:val="34"/>
    <w:qFormat/>
    <w:rsid w:val="00F34337"/>
    <w:pPr>
      <w:ind w:left="720"/>
      <w:contextualSpacing/>
    </w:pPr>
  </w:style>
  <w:style w:type="character" w:customStyle="1" w:styleId="Heading1Char">
    <w:name w:val="Heading 1 Char"/>
    <w:basedOn w:val="DefaultParagraphFont"/>
    <w:link w:val="Heading1"/>
    <w:uiPriority w:val="9"/>
    <w:rsid w:val="009B565E"/>
    <w:rPr>
      <w:rFonts w:ascii="Arial" w:eastAsiaTheme="majorEastAsia" w:hAnsi="Arial" w:cstheme="majorBidi"/>
      <w:b/>
      <w:color w:val="1F3864" w:themeColor="accent1" w:themeShade="80"/>
      <w:sz w:val="36"/>
      <w:szCs w:val="40"/>
    </w:rPr>
  </w:style>
  <w:style w:type="character" w:customStyle="1" w:styleId="Heading2Char">
    <w:name w:val="Heading 2 Char"/>
    <w:basedOn w:val="DefaultParagraphFont"/>
    <w:link w:val="Heading2"/>
    <w:uiPriority w:val="9"/>
    <w:rsid w:val="009B565E"/>
    <w:rPr>
      <w:rFonts w:ascii="Arial" w:eastAsiaTheme="majorEastAsia" w:hAnsi="Arial" w:cstheme="majorBidi"/>
      <w:b/>
      <w:i/>
      <w:color w:val="000000" w:themeColor="text1"/>
      <w:sz w:val="32"/>
      <w:szCs w:val="32"/>
      <w:u w:val="single"/>
    </w:rPr>
  </w:style>
  <w:style w:type="character" w:customStyle="1" w:styleId="Heading3Char">
    <w:name w:val="Heading 3 Char"/>
    <w:basedOn w:val="DefaultParagraphFont"/>
    <w:link w:val="Heading3"/>
    <w:uiPriority w:val="9"/>
    <w:semiHidden/>
    <w:rsid w:val="0057650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7650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7650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765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65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65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6507"/>
    <w:rPr>
      <w:rFonts w:eastAsiaTheme="majorEastAsia" w:cstheme="majorBidi"/>
      <w:color w:val="272727" w:themeColor="text1" w:themeTint="D8"/>
    </w:rPr>
  </w:style>
  <w:style w:type="paragraph" w:styleId="Title">
    <w:name w:val="Title"/>
    <w:basedOn w:val="Normal"/>
    <w:next w:val="Normal"/>
    <w:link w:val="TitleChar"/>
    <w:uiPriority w:val="10"/>
    <w:qFormat/>
    <w:rsid w:val="005765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65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65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65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6507"/>
    <w:pPr>
      <w:spacing w:before="160"/>
      <w:jc w:val="center"/>
    </w:pPr>
    <w:rPr>
      <w:i/>
      <w:iCs/>
      <w:color w:val="404040" w:themeColor="text1" w:themeTint="BF"/>
    </w:rPr>
  </w:style>
  <w:style w:type="character" w:customStyle="1" w:styleId="QuoteChar">
    <w:name w:val="Quote Char"/>
    <w:basedOn w:val="DefaultParagraphFont"/>
    <w:link w:val="Quote"/>
    <w:uiPriority w:val="29"/>
    <w:rsid w:val="00576507"/>
    <w:rPr>
      <w:i/>
      <w:iCs/>
      <w:color w:val="404040" w:themeColor="text1" w:themeTint="BF"/>
    </w:rPr>
  </w:style>
  <w:style w:type="character" w:styleId="IntenseEmphasis">
    <w:name w:val="Intense Emphasis"/>
    <w:basedOn w:val="DefaultParagraphFont"/>
    <w:uiPriority w:val="21"/>
    <w:qFormat/>
    <w:rsid w:val="00576507"/>
    <w:rPr>
      <w:i/>
      <w:iCs/>
      <w:color w:val="2F5496" w:themeColor="accent1" w:themeShade="BF"/>
    </w:rPr>
  </w:style>
  <w:style w:type="paragraph" w:styleId="IntenseQuote">
    <w:name w:val="Intense Quote"/>
    <w:basedOn w:val="Normal"/>
    <w:next w:val="Normal"/>
    <w:link w:val="IntenseQuoteChar"/>
    <w:uiPriority w:val="30"/>
    <w:qFormat/>
    <w:rsid w:val="0057650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76507"/>
    <w:rPr>
      <w:i/>
      <w:iCs/>
      <w:color w:val="2F5496" w:themeColor="accent1" w:themeShade="BF"/>
    </w:rPr>
  </w:style>
  <w:style w:type="character" w:styleId="IntenseReference">
    <w:name w:val="Intense Reference"/>
    <w:basedOn w:val="DefaultParagraphFont"/>
    <w:uiPriority w:val="32"/>
    <w:qFormat/>
    <w:rsid w:val="00576507"/>
    <w:rPr>
      <w:b/>
      <w:bCs/>
      <w:smallCaps/>
      <w:color w:val="2F5496" w:themeColor="accent1" w:themeShade="BF"/>
      <w:spacing w:val="5"/>
    </w:rPr>
  </w:style>
  <w:style w:type="table" w:styleId="TableGrid">
    <w:name w:val="Table Grid"/>
    <w:basedOn w:val="TableNormal"/>
    <w:uiPriority w:val="39"/>
    <w:rsid w:val="00C745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4071DB"/>
    <w:rPr>
      <w:color w:val="0563C1" w:themeColor="hyperlink"/>
      <w:u w:val="single"/>
    </w:rPr>
  </w:style>
  <w:style w:type="character" w:customStyle="1" w:styleId="UnresolvedMention1">
    <w:name w:val="Unresolved Mention1"/>
    <w:basedOn w:val="DefaultParagraphFont"/>
    <w:uiPriority w:val="99"/>
    <w:semiHidden/>
    <w:unhideWhenUsed/>
    <w:rsid w:val="004071DB"/>
    <w:rPr>
      <w:color w:val="605E5C"/>
      <w:shd w:val="clear" w:color="auto" w:fill="E1DFDD"/>
    </w:rPr>
  </w:style>
  <w:style w:type="paragraph" w:styleId="Header">
    <w:name w:val="header"/>
    <w:basedOn w:val="Normal"/>
    <w:link w:val="HeaderChar"/>
    <w:uiPriority w:val="99"/>
    <w:unhideWhenUsed/>
    <w:rsid w:val="00C776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76E2"/>
  </w:style>
  <w:style w:type="paragraph" w:styleId="Footer">
    <w:name w:val="footer"/>
    <w:basedOn w:val="Normal"/>
    <w:link w:val="FooterChar"/>
    <w:uiPriority w:val="99"/>
    <w:unhideWhenUsed/>
    <w:rsid w:val="00C776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76E2"/>
  </w:style>
  <w:style w:type="character" w:customStyle="1" w:styleId="cursor-pointer">
    <w:name w:val="cursor-pointer"/>
    <w:basedOn w:val="DefaultParagraphFont"/>
    <w:rsid w:val="005B36EE"/>
  </w:style>
  <w:style w:type="character" w:styleId="Strong">
    <w:name w:val="Strong"/>
    <w:basedOn w:val="DefaultParagraphFont"/>
    <w:uiPriority w:val="22"/>
    <w:qFormat/>
    <w:rsid w:val="00CB0896"/>
    <w:rPr>
      <w:b/>
      <w:bCs/>
    </w:rPr>
  </w:style>
  <w:style w:type="paragraph" w:styleId="TOCHeading">
    <w:name w:val="TOC Heading"/>
    <w:basedOn w:val="Heading1"/>
    <w:next w:val="Normal"/>
    <w:uiPriority w:val="39"/>
    <w:unhideWhenUsed/>
    <w:qFormat/>
    <w:rsid w:val="009B565E"/>
    <w:pPr>
      <w:spacing w:before="240" w:after="0"/>
      <w:outlineLvl w:val="9"/>
    </w:pPr>
    <w:rPr>
      <w:rFonts w:asciiTheme="majorHAnsi" w:hAnsiTheme="majorHAnsi"/>
      <w:b w:val="0"/>
      <w:color w:val="2F5496" w:themeColor="accent1" w:themeShade="BF"/>
      <w:sz w:val="32"/>
      <w:szCs w:val="32"/>
    </w:rPr>
  </w:style>
  <w:style w:type="paragraph" w:styleId="TOC1">
    <w:name w:val="toc 1"/>
    <w:basedOn w:val="Normal"/>
    <w:next w:val="Normal"/>
    <w:autoRedefine/>
    <w:uiPriority w:val="39"/>
    <w:unhideWhenUsed/>
    <w:rsid w:val="009B565E"/>
    <w:pPr>
      <w:spacing w:after="100"/>
    </w:pPr>
  </w:style>
  <w:style w:type="paragraph" w:styleId="TOC2">
    <w:name w:val="toc 2"/>
    <w:basedOn w:val="Normal"/>
    <w:next w:val="Normal"/>
    <w:autoRedefine/>
    <w:uiPriority w:val="39"/>
    <w:unhideWhenUsed/>
    <w:rsid w:val="009B565E"/>
    <w:pPr>
      <w:spacing w:after="100"/>
      <w:ind w:left="220"/>
    </w:pPr>
  </w:style>
  <w:style w:type="paragraph" w:styleId="NoSpacing">
    <w:name w:val="No Spacing"/>
    <w:uiPriority w:val="1"/>
    <w:qFormat/>
    <w:rsid w:val="006E14AF"/>
    <w:pPr>
      <w:spacing w:after="0" w:line="240" w:lineRule="auto"/>
    </w:pPr>
  </w:style>
  <w:style w:type="paragraph" w:styleId="NormalWeb">
    <w:name w:val="Normal (Web)"/>
    <w:basedOn w:val="Normal"/>
    <w:uiPriority w:val="99"/>
    <w:unhideWhenUsed/>
    <w:rsid w:val="00D47BD6"/>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C317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1747"/>
    <w:rPr>
      <w:rFonts w:ascii="Tahoma" w:hAnsi="Tahoma" w:cs="Tahoma"/>
      <w:sz w:val="16"/>
      <w:szCs w:val="16"/>
      <w:lang w:val="en-GB"/>
    </w:rPr>
  </w:style>
  <w:style w:type="character" w:styleId="Emphasis">
    <w:name w:val="Emphasis"/>
    <w:basedOn w:val="DefaultParagraphFont"/>
    <w:uiPriority w:val="20"/>
    <w:qFormat/>
    <w:rsid w:val="00C31747"/>
    <w:rPr>
      <w:i/>
      <w:iCs/>
    </w:rPr>
  </w:style>
  <w:style w:type="character" w:styleId="FollowedHyperlink">
    <w:name w:val="FollowedHyperlink"/>
    <w:basedOn w:val="DefaultParagraphFont"/>
    <w:uiPriority w:val="99"/>
    <w:semiHidden/>
    <w:unhideWhenUsed/>
    <w:rsid w:val="00C3174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144394">
      <w:bodyDiv w:val="1"/>
      <w:marLeft w:val="0"/>
      <w:marRight w:val="0"/>
      <w:marTop w:val="0"/>
      <w:marBottom w:val="0"/>
      <w:divBdr>
        <w:top w:val="none" w:sz="0" w:space="0" w:color="auto"/>
        <w:left w:val="none" w:sz="0" w:space="0" w:color="auto"/>
        <w:bottom w:val="none" w:sz="0" w:space="0" w:color="auto"/>
        <w:right w:val="none" w:sz="0" w:space="0" w:color="auto"/>
      </w:divBdr>
    </w:div>
    <w:div w:id="389811525">
      <w:bodyDiv w:val="1"/>
      <w:marLeft w:val="0"/>
      <w:marRight w:val="0"/>
      <w:marTop w:val="0"/>
      <w:marBottom w:val="0"/>
      <w:divBdr>
        <w:top w:val="none" w:sz="0" w:space="0" w:color="auto"/>
        <w:left w:val="none" w:sz="0" w:space="0" w:color="auto"/>
        <w:bottom w:val="none" w:sz="0" w:space="0" w:color="auto"/>
        <w:right w:val="none" w:sz="0" w:space="0" w:color="auto"/>
      </w:divBdr>
    </w:div>
    <w:div w:id="765225315">
      <w:bodyDiv w:val="1"/>
      <w:marLeft w:val="0"/>
      <w:marRight w:val="0"/>
      <w:marTop w:val="0"/>
      <w:marBottom w:val="0"/>
      <w:divBdr>
        <w:top w:val="none" w:sz="0" w:space="0" w:color="auto"/>
        <w:left w:val="none" w:sz="0" w:space="0" w:color="auto"/>
        <w:bottom w:val="none" w:sz="0" w:space="0" w:color="auto"/>
        <w:right w:val="none" w:sz="0" w:space="0" w:color="auto"/>
      </w:divBdr>
    </w:div>
    <w:div w:id="853572792">
      <w:bodyDiv w:val="1"/>
      <w:marLeft w:val="0"/>
      <w:marRight w:val="0"/>
      <w:marTop w:val="0"/>
      <w:marBottom w:val="0"/>
      <w:divBdr>
        <w:top w:val="none" w:sz="0" w:space="0" w:color="auto"/>
        <w:left w:val="none" w:sz="0" w:space="0" w:color="auto"/>
        <w:bottom w:val="none" w:sz="0" w:space="0" w:color="auto"/>
        <w:right w:val="none" w:sz="0" w:space="0" w:color="auto"/>
      </w:divBdr>
    </w:div>
    <w:div w:id="1973750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3390/merits4040032?utm_source=chatgpt.com" TargetMode="External"/><Relationship Id="rId18" Type="http://schemas.openxmlformats.org/officeDocument/2006/relationships/hyperlink" Target="https://doi.org/10.1038/s41598-024-67122-6" TargetMode="External"/><Relationship Id="rId26" Type="http://schemas.openxmlformats.org/officeDocument/2006/relationships/hyperlink" Target="https://doi.org/10.1016/j.jbusres.2024.115163?utm_source=chatgpt.com" TargetMode="External"/><Relationship Id="rId3" Type="http://schemas.openxmlformats.org/officeDocument/2006/relationships/styles" Target="styles.xml"/><Relationship Id="rId21" Type="http://schemas.openxmlformats.org/officeDocument/2006/relationships/hyperlink" Target="https://doi.org/10.3389/fpsyg.2023.1053242" TargetMode="Externa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yperlink" Target="https://doi.org/10.3389/frai.2023.1272823" TargetMode="External"/><Relationship Id="rId25" Type="http://schemas.openxmlformats.org/officeDocument/2006/relationships/hyperlink" Target="https://doi.org/10.1016/j.techfore.2024.123510" TargetMode="External"/><Relationship Id="rId2" Type="http://schemas.openxmlformats.org/officeDocument/2006/relationships/numbering" Target="numbering.xml"/><Relationship Id="rId16" Type="http://schemas.openxmlformats.org/officeDocument/2006/relationships/hyperlink" Target="https://www.frontiersin.org/journals/psychology/articles/10.3389/fpsyg.2024.1360401/full?utm_source=chatgpt.com" TargetMode="External"/><Relationship Id="rId20" Type="http://schemas.openxmlformats.org/officeDocument/2006/relationships/hyperlink" Target="https://doi.org/10.1111/joop.12450"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doi.org/10.1177/21582440241289185" TargetMode="External"/><Relationship Id="rId5" Type="http://schemas.openxmlformats.org/officeDocument/2006/relationships/settings" Target="settings.xml"/><Relationship Id="rId15" Type="http://schemas.openxmlformats.org/officeDocument/2006/relationships/hyperlink" Target="https://doi.org/10.3389/fpsyg.2024.1360401?utm_source=chatgpt.com" TargetMode="External"/><Relationship Id="rId23" Type="http://schemas.openxmlformats.org/officeDocument/2006/relationships/hyperlink" Target="https://doi.org/10.1108/IJOA-07-2020-2282" TargetMode="External"/><Relationship Id="rId28" Type="http://schemas.openxmlformats.org/officeDocument/2006/relationships/hyperlink" Target="https://doi.org/10.3389/fpsyg.2024.1304309" TargetMode="External"/><Relationship Id="rId10" Type="http://schemas.openxmlformats.org/officeDocument/2006/relationships/image" Target="media/image2.png"/><Relationship Id="rId19" Type="http://schemas.openxmlformats.org/officeDocument/2006/relationships/hyperlink" Target="https://doi.org/10.3389/frai.2024.1272102"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doi.org/10.3390/su16093840" TargetMode="External"/><Relationship Id="rId22" Type="http://schemas.openxmlformats.org/officeDocument/2006/relationships/hyperlink" Target="https://doi.org/10.1371/journal.pone.0306629?utm_source=chatgpt.com" TargetMode="External"/><Relationship Id="rId27" Type="http://schemas.openxmlformats.org/officeDocument/2006/relationships/hyperlink" Target="https://doi.org/10.3390/healthcare11212900"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AFA8EF-6093-43AA-91CB-8372150FB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3931</Words>
  <Characters>22409</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Laptop Solutions</cp:lastModifiedBy>
  <cp:revision>2</cp:revision>
  <dcterms:created xsi:type="dcterms:W3CDTF">2026-10-14T13:51:00Z</dcterms:created>
  <dcterms:modified xsi:type="dcterms:W3CDTF">2026-10-14T13:51:00Z</dcterms:modified>
</cp:coreProperties>
</file>