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09953659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p w14:paraId="3A944440" w14:textId="60FB8A96" w:rsidR="00D352CC" w:rsidRDefault="00D352C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50B13EE" wp14:editId="7CD7D3AB">
                    <wp:simplePos x="0" y="0"/>
                    <wp:positionH relativeFrom="page">
                      <wp:posOffset>446405</wp:posOffset>
                    </wp:positionH>
                    <wp:positionV relativeFrom="page">
                      <wp:posOffset>777875</wp:posOffset>
                    </wp:positionV>
                    <wp:extent cx="6864436" cy="9148928"/>
                    <wp:effectExtent l="0" t="0" r="0" b="0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436" cy="9148928"/>
                              <a:chOff x="0" y="0"/>
                              <a:chExt cx="6864436" cy="91489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1197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10D83EE" w14:textId="77777777" w:rsidR="008C1865" w:rsidRPr="002B6B28" w:rsidRDefault="008C1865" w:rsidP="008C1865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2B6B28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Student name: BOGDAN ION VIDOI</w:t>
                                  </w:r>
                                </w:p>
                                <w:p w14:paraId="7E8AF78E" w14:textId="748B3FC8" w:rsidR="008C1865" w:rsidRPr="002B6B28" w:rsidRDefault="008C1865" w:rsidP="008C1865">
                                  <w:pPr>
                                    <w:spacing w:line="360" w:lineRule="auto"/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</w:pPr>
                                  <w:r w:rsidRPr="002B6B2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Student ID number:</w:t>
                                  </w:r>
                                  <w:r w:rsidR="004850B2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 xml:space="preserve"> 2209545</w:t>
                                  </w:r>
                                </w:p>
                                <w:p w14:paraId="34480856" w14:textId="77777777" w:rsidR="008C1865" w:rsidRPr="002B6B28" w:rsidRDefault="008C1865" w:rsidP="008C1865">
                                  <w:pPr>
                                    <w:spacing w:line="360" w:lineRule="auto"/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</w:pPr>
                                  <w:r w:rsidRPr="002B6B2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Module: Financial Management for the Hotel Industry</w:t>
                                  </w:r>
                                </w:p>
                                <w:p w14:paraId="4A749319" w14:textId="77777777" w:rsidR="008C1865" w:rsidRPr="002B6B28" w:rsidRDefault="008C1865" w:rsidP="008C1865">
                                  <w:pPr>
                                    <w:spacing w:line="360" w:lineRule="auto"/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</w:pPr>
                                  <w:r w:rsidRPr="002B6B2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Module code: BMIH5007</w:t>
                                  </w:r>
                                </w:p>
                                <w:p w14:paraId="753C0756" w14:textId="77777777" w:rsidR="008C1865" w:rsidRPr="002B6B28" w:rsidRDefault="008C1865" w:rsidP="008C1865">
                                  <w:pPr>
                                    <w:spacing w:line="360" w:lineRule="auto"/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</w:pPr>
                                  <w:r w:rsidRPr="002B6B2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Lecturer: Tristan Hawkins</w:t>
                                  </w:r>
                                </w:p>
                                <w:p w14:paraId="1AF2659B" w14:textId="6C76B4A1" w:rsidR="008C1865" w:rsidRPr="002B6B28" w:rsidRDefault="008C1865" w:rsidP="008C1865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2B6B2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Word Count: 2</w:t>
                                  </w:r>
                                  <w:r w:rsidR="00A46C3C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1</w:t>
                                  </w:r>
                                  <w:r w:rsidR="00BB1BC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59</w:t>
                                  </w:r>
                                  <w:r w:rsidR="00A46C3C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 xml:space="preserve"> (including </w:t>
                                  </w:r>
                                  <w:r w:rsidR="008D2ABE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in</w:t>
                                  </w:r>
                                  <w:r w:rsidR="00BB1BC8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-t</w:t>
                                  </w:r>
                                  <w:r w:rsidR="008D2ABE">
                                    <w:rPr>
                                      <w:rFonts w:ascii="Arial" w:eastAsiaTheme="minorEastAsia" w:hAnsi="Arial" w:cs="Arial"/>
                                      <w:kern w:val="0"/>
                                      <w:sz w:val="24"/>
                                      <w:szCs w:val="24"/>
                                      <w:lang w:eastAsia="en-GB"/>
                                      <w14:ligatures w14:val="none"/>
                                    </w:rPr>
                                    <w:t>ext citations)</w:t>
                                  </w:r>
                                </w:p>
                                <w:p w14:paraId="3C75C1A2" w14:textId="6F611C03" w:rsidR="00D352CC" w:rsidRDefault="00D352CC" w:rsidP="00D352CC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436" y="1556484"/>
                                <a:ext cx="6858000" cy="195506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B795743" w14:textId="1D4E9068" w:rsidR="00D352CC" w:rsidRPr="00204417" w:rsidRDefault="00204417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204417">
                                    <w:rPr>
                                      <w:rFonts w:ascii="Times New Roman" w:hAnsi="Times New Roman" w:cs="Times New Roman"/>
                                      <w:sz w:val="36"/>
                                      <w:szCs w:val="36"/>
                                    </w:rPr>
                                    <w:t>Title: Report Case Study: The Seacrest Lodge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50B13EE" id="Group 62" o:spid="_x0000_s1026" style="position:absolute;margin-left:35.15pt;margin-top:61.25pt;width:540.5pt;height:720.4pt;z-index:-251657216;mso-width-percent:882;mso-position-horizontal-relative:page;mso-position-vertical-relative:page;mso-width-percent:882" coordsize="68644,914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1197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p w14:paraId="010D83EE" w14:textId="77777777" w:rsidR="008C1865" w:rsidRPr="002B6B28" w:rsidRDefault="008C1865" w:rsidP="008C1865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B6B2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Student name: BOGDAN ION VIDOI</w:t>
                            </w:r>
                          </w:p>
                          <w:p w14:paraId="7E8AF78E" w14:textId="748B3FC8" w:rsidR="008C1865" w:rsidRPr="002B6B28" w:rsidRDefault="008C1865" w:rsidP="008C1865">
                            <w:pPr>
                              <w:spacing w:line="360" w:lineRule="auto"/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B6B2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Student ID number:</w:t>
                            </w:r>
                            <w:r w:rsidR="004850B2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 xml:space="preserve"> 2209545</w:t>
                            </w:r>
                          </w:p>
                          <w:p w14:paraId="34480856" w14:textId="77777777" w:rsidR="008C1865" w:rsidRPr="002B6B28" w:rsidRDefault="008C1865" w:rsidP="008C1865">
                            <w:pPr>
                              <w:spacing w:line="360" w:lineRule="auto"/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B6B2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Module: Financial Management for the Hotel Industry</w:t>
                            </w:r>
                          </w:p>
                          <w:p w14:paraId="4A749319" w14:textId="77777777" w:rsidR="008C1865" w:rsidRPr="002B6B28" w:rsidRDefault="008C1865" w:rsidP="008C1865">
                            <w:pPr>
                              <w:spacing w:line="360" w:lineRule="auto"/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B6B2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Module code: BMIH5007</w:t>
                            </w:r>
                          </w:p>
                          <w:p w14:paraId="753C0756" w14:textId="77777777" w:rsidR="008C1865" w:rsidRPr="002B6B28" w:rsidRDefault="008C1865" w:rsidP="008C1865">
                            <w:pPr>
                              <w:spacing w:line="360" w:lineRule="auto"/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B6B2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Lecturer: Tristan Hawkins</w:t>
                            </w:r>
                          </w:p>
                          <w:p w14:paraId="1AF2659B" w14:textId="6C76B4A1" w:rsidR="008C1865" w:rsidRPr="002B6B28" w:rsidRDefault="008C1865" w:rsidP="008C1865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B6B2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Word Count: 2</w:t>
                            </w:r>
                            <w:r w:rsidR="00A46C3C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1</w:t>
                            </w:r>
                            <w:r w:rsidR="00BB1BC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59</w:t>
                            </w:r>
                            <w:r w:rsidR="00A46C3C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 xml:space="preserve"> (including </w:t>
                            </w:r>
                            <w:r w:rsidR="008D2ABE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in</w:t>
                            </w:r>
                            <w:r w:rsidR="00BB1BC8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-t</w:t>
                            </w:r>
                            <w:r w:rsidR="008D2ABE">
                              <w:rPr>
                                <w:rFonts w:ascii="Arial" w:eastAsiaTheme="minorEastAsia" w:hAnsi="Arial" w:cs="Arial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ext citations)</w:t>
                            </w:r>
                          </w:p>
                          <w:p w14:paraId="3C75C1A2" w14:textId="6F611C03" w:rsidR="00D352CC" w:rsidRDefault="00D352CC" w:rsidP="00D352CC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4;top:15564;width:68580;height:1955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6B795743" w14:textId="1D4E9068" w:rsidR="00D352CC" w:rsidRPr="00204417" w:rsidRDefault="00204417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  <w:r w:rsidRPr="00204417">
                              <w:rPr>
                                <w:rFonts w:ascii="Times New Roman" w:hAnsi="Times New Roman" w:cs="Times New Roman"/>
                                <w:sz w:val="36"/>
                                <w:szCs w:val="36"/>
                              </w:rPr>
                              <w:t>Title: Report Case Study: The Seacrest Lodge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AD09339" w14:textId="59387EF2" w:rsidR="00D352CC" w:rsidRDefault="00D352CC">
          <w:pPr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rFonts w:ascii="Arial" w:hAnsi="Arial" w:cs="Arial"/>
              <w:b/>
              <w:bCs/>
              <w:sz w:val="24"/>
              <w:szCs w:val="24"/>
            </w:rPr>
            <w:br w:type="page"/>
          </w:r>
        </w:p>
      </w:sdtContent>
    </w:sdt>
    <w:p w14:paraId="3BA584B1" w14:textId="5D0DF082" w:rsidR="00F87399" w:rsidRPr="004D7803" w:rsidRDefault="00F87399" w:rsidP="003A7CD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D7803">
        <w:rPr>
          <w:rFonts w:ascii="Arial" w:hAnsi="Arial" w:cs="Arial"/>
          <w:b/>
          <w:bCs/>
          <w:sz w:val="24"/>
          <w:szCs w:val="24"/>
        </w:rPr>
        <w:lastRenderedPageBreak/>
        <w:t>Executive summary</w:t>
      </w:r>
    </w:p>
    <w:p w14:paraId="26DE155B" w14:textId="3948DA0C" w:rsidR="00F87399" w:rsidRPr="004D7803" w:rsidRDefault="00F87399" w:rsidP="003A7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7803">
        <w:rPr>
          <w:rFonts w:ascii="Arial" w:hAnsi="Arial" w:cs="Arial"/>
          <w:sz w:val="24"/>
          <w:szCs w:val="24"/>
        </w:rPr>
        <w:t xml:space="preserve">Seacrest </w:t>
      </w:r>
      <w:r w:rsidR="00C27573">
        <w:rPr>
          <w:rFonts w:ascii="Arial" w:hAnsi="Arial" w:cs="Arial"/>
          <w:sz w:val="24"/>
          <w:szCs w:val="24"/>
        </w:rPr>
        <w:t>Lodge</w:t>
      </w:r>
      <w:r w:rsidRPr="004D7803">
        <w:rPr>
          <w:rFonts w:ascii="Arial" w:hAnsi="Arial" w:cs="Arial"/>
          <w:sz w:val="24"/>
          <w:szCs w:val="24"/>
        </w:rPr>
        <w:t xml:space="preserve">, a prominent vacation destination, has experienced significant challenges in its financial performance over the past three years. Despite initial success, the </w:t>
      </w:r>
      <w:r w:rsidR="00C27573">
        <w:rPr>
          <w:rFonts w:ascii="Arial" w:hAnsi="Arial" w:cs="Arial"/>
          <w:sz w:val="24"/>
          <w:szCs w:val="24"/>
        </w:rPr>
        <w:t>Lodge</w:t>
      </w:r>
      <w:r w:rsidRPr="004D7803">
        <w:rPr>
          <w:rFonts w:ascii="Arial" w:hAnsi="Arial" w:cs="Arial"/>
          <w:sz w:val="24"/>
          <w:szCs w:val="24"/>
        </w:rPr>
        <w:t xml:space="preserve"> has encountered a decline in revenue, profitability, and occupancy rates, coupled with rising operating expenses and debt levels.</w:t>
      </w:r>
      <w:r w:rsidR="00A6460D">
        <w:rPr>
          <w:rFonts w:ascii="Arial" w:hAnsi="Arial" w:cs="Arial"/>
          <w:sz w:val="24"/>
          <w:szCs w:val="24"/>
        </w:rPr>
        <w:t xml:space="preserve"> </w:t>
      </w:r>
      <w:r w:rsidRPr="004D7803">
        <w:rPr>
          <w:rFonts w:ascii="Arial" w:hAnsi="Arial" w:cs="Arial"/>
          <w:sz w:val="24"/>
          <w:szCs w:val="24"/>
        </w:rPr>
        <w:t xml:space="preserve">Seacrest </w:t>
      </w:r>
      <w:r w:rsidR="00C27573">
        <w:rPr>
          <w:rFonts w:ascii="Arial" w:hAnsi="Arial" w:cs="Arial"/>
          <w:sz w:val="24"/>
          <w:szCs w:val="24"/>
        </w:rPr>
        <w:t>Lodge</w:t>
      </w:r>
      <w:r w:rsidR="00BC2413">
        <w:rPr>
          <w:rFonts w:ascii="Arial" w:hAnsi="Arial" w:cs="Arial"/>
          <w:sz w:val="24"/>
          <w:szCs w:val="24"/>
        </w:rPr>
        <w:t>'</w:t>
      </w:r>
      <w:r w:rsidRPr="004D7803">
        <w:rPr>
          <w:rFonts w:ascii="Arial" w:hAnsi="Arial" w:cs="Arial"/>
          <w:sz w:val="24"/>
          <w:szCs w:val="24"/>
        </w:rPr>
        <w:t>s revenue declined from £1,200,000 in 2021 to £950,000 in 2023, reflecting challenges in attracting guests and maintaining market share.</w:t>
      </w:r>
      <w:r w:rsidR="00A6460D">
        <w:rPr>
          <w:rFonts w:ascii="Arial" w:hAnsi="Arial" w:cs="Arial"/>
          <w:sz w:val="24"/>
          <w:szCs w:val="24"/>
        </w:rPr>
        <w:t xml:space="preserve"> At the same time</w:t>
      </w:r>
      <w:r w:rsidR="00597EE0">
        <w:rPr>
          <w:rFonts w:ascii="Arial" w:hAnsi="Arial" w:cs="Arial"/>
          <w:sz w:val="24"/>
          <w:szCs w:val="24"/>
        </w:rPr>
        <w:t>,</w:t>
      </w:r>
      <w:r w:rsidR="00A6460D">
        <w:rPr>
          <w:rFonts w:ascii="Arial" w:hAnsi="Arial" w:cs="Arial"/>
          <w:sz w:val="24"/>
          <w:szCs w:val="24"/>
        </w:rPr>
        <w:t xml:space="preserve"> o</w:t>
      </w:r>
      <w:r w:rsidRPr="004D7803">
        <w:rPr>
          <w:rFonts w:ascii="Arial" w:hAnsi="Arial" w:cs="Arial"/>
          <w:sz w:val="24"/>
          <w:szCs w:val="24"/>
        </w:rPr>
        <w:t>perating expenses escalated from £900,000 in 2021 to £1,100,000 in 2023, leading to a substantial decrease in net income from £300,000 in 2021 to a loss of £150,000 in 2023.</w:t>
      </w:r>
      <w:r w:rsidRPr="003A7CD6">
        <w:rPr>
          <w:rFonts w:ascii="Arial" w:hAnsi="Arial" w:cs="Arial"/>
          <w:sz w:val="24"/>
          <w:szCs w:val="24"/>
        </w:rPr>
        <w:t xml:space="preserve"> </w:t>
      </w:r>
      <w:r w:rsidRPr="004D7803">
        <w:rPr>
          <w:rFonts w:ascii="Arial" w:hAnsi="Arial" w:cs="Arial"/>
          <w:sz w:val="24"/>
          <w:szCs w:val="24"/>
        </w:rPr>
        <w:t xml:space="preserve">The occupancy rate declined from 65% in 2021 to 50% in 2023, while the average room rate decreased from £260 in 2021 to £210 in 2023, indicating </w:t>
      </w:r>
      <w:r w:rsidR="00CB1926">
        <w:rPr>
          <w:rFonts w:ascii="Arial" w:hAnsi="Arial" w:cs="Arial"/>
          <w:sz w:val="24"/>
          <w:szCs w:val="24"/>
        </w:rPr>
        <w:t>pricing and demand management challenges</w:t>
      </w:r>
      <w:r w:rsidRPr="004D7803">
        <w:rPr>
          <w:rFonts w:ascii="Arial" w:hAnsi="Arial" w:cs="Arial"/>
          <w:sz w:val="24"/>
          <w:szCs w:val="24"/>
        </w:rPr>
        <w:t>.</w:t>
      </w:r>
      <w:r w:rsidR="00D309E3">
        <w:rPr>
          <w:rFonts w:ascii="Arial" w:hAnsi="Arial" w:cs="Arial"/>
          <w:sz w:val="24"/>
          <w:szCs w:val="24"/>
        </w:rPr>
        <w:t xml:space="preserve"> </w:t>
      </w:r>
      <w:r w:rsidR="0090273E" w:rsidRPr="003A7CD6">
        <w:rPr>
          <w:rFonts w:ascii="Arial" w:hAnsi="Arial" w:cs="Arial"/>
          <w:sz w:val="24"/>
          <w:szCs w:val="24"/>
        </w:rPr>
        <w:t xml:space="preserve">The key issues </w:t>
      </w:r>
      <w:r w:rsidR="0090273E">
        <w:rPr>
          <w:rFonts w:ascii="Arial" w:hAnsi="Arial" w:cs="Arial"/>
          <w:sz w:val="24"/>
          <w:szCs w:val="24"/>
        </w:rPr>
        <w:t>the report identifies are d</w:t>
      </w:r>
      <w:r w:rsidR="0090273E" w:rsidRPr="004D7803">
        <w:rPr>
          <w:rFonts w:ascii="Arial" w:hAnsi="Arial" w:cs="Arial"/>
          <w:sz w:val="24"/>
          <w:szCs w:val="24"/>
        </w:rPr>
        <w:t xml:space="preserve">eclining </w:t>
      </w:r>
      <w:r w:rsidR="0090273E">
        <w:rPr>
          <w:rFonts w:ascii="Arial" w:hAnsi="Arial" w:cs="Arial"/>
          <w:sz w:val="24"/>
          <w:szCs w:val="24"/>
        </w:rPr>
        <w:t>r</w:t>
      </w:r>
      <w:r w:rsidR="0090273E" w:rsidRPr="004D7803">
        <w:rPr>
          <w:rFonts w:ascii="Arial" w:hAnsi="Arial" w:cs="Arial"/>
          <w:sz w:val="24"/>
          <w:szCs w:val="24"/>
        </w:rPr>
        <w:t xml:space="preserve">evenue and </w:t>
      </w:r>
      <w:r w:rsidR="0090273E">
        <w:rPr>
          <w:rFonts w:ascii="Arial" w:hAnsi="Arial" w:cs="Arial"/>
          <w:sz w:val="24"/>
          <w:szCs w:val="24"/>
        </w:rPr>
        <w:t>p</w:t>
      </w:r>
      <w:r w:rsidR="0090273E" w:rsidRPr="004D7803">
        <w:rPr>
          <w:rFonts w:ascii="Arial" w:hAnsi="Arial" w:cs="Arial"/>
          <w:sz w:val="24"/>
          <w:szCs w:val="24"/>
        </w:rPr>
        <w:t>rofitability alongside</w:t>
      </w:r>
      <w:r w:rsidR="0090273E">
        <w:rPr>
          <w:rFonts w:ascii="Arial" w:hAnsi="Arial" w:cs="Arial"/>
          <w:sz w:val="24"/>
          <w:szCs w:val="24"/>
        </w:rPr>
        <w:t xml:space="preserve"> </w:t>
      </w:r>
      <w:r w:rsidR="0090273E" w:rsidRPr="004D7803">
        <w:rPr>
          <w:rFonts w:ascii="Arial" w:hAnsi="Arial" w:cs="Arial"/>
          <w:sz w:val="24"/>
          <w:szCs w:val="24"/>
        </w:rPr>
        <w:t xml:space="preserve">escalating expenses </w:t>
      </w:r>
      <w:r w:rsidR="0090273E">
        <w:rPr>
          <w:rFonts w:ascii="Arial" w:hAnsi="Arial" w:cs="Arial"/>
          <w:sz w:val="24"/>
          <w:szCs w:val="24"/>
        </w:rPr>
        <w:t xml:space="preserve">that </w:t>
      </w:r>
      <w:r w:rsidR="0090273E" w:rsidRPr="004D7803">
        <w:rPr>
          <w:rFonts w:ascii="Arial" w:hAnsi="Arial" w:cs="Arial"/>
          <w:sz w:val="24"/>
          <w:szCs w:val="24"/>
        </w:rPr>
        <w:t>ha</w:t>
      </w:r>
      <w:r w:rsidR="00BD149A">
        <w:rPr>
          <w:rFonts w:ascii="Arial" w:hAnsi="Arial" w:cs="Arial"/>
          <w:sz w:val="24"/>
          <w:szCs w:val="24"/>
        </w:rPr>
        <w:t>ve</w:t>
      </w:r>
      <w:r w:rsidR="0090273E" w:rsidRPr="004D7803">
        <w:rPr>
          <w:rFonts w:ascii="Arial" w:hAnsi="Arial" w:cs="Arial"/>
          <w:sz w:val="24"/>
          <w:szCs w:val="24"/>
        </w:rPr>
        <w:t xml:space="preserve"> led to consecutive years of net losses, threatening the </w:t>
      </w:r>
      <w:r w:rsidR="00C27573">
        <w:rPr>
          <w:rFonts w:ascii="Arial" w:hAnsi="Arial" w:cs="Arial"/>
          <w:sz w:val="24"/>
          <w:szCs w:val="24"/>
        </w:rPr>
        <w:t>Lodge</w:t>
      </w:r>
      <w:r w:rsidR="00BC2413">
        <w:rPr>
          <w:rFonts w:ascii="Arial" w:hAnsi="Arial" w:cs="Arial"/>
          <w:sz w:val="24"/>
          <w:szCs w:val="24"/>
        </w:rPr>
        <w:t>'</w:t>
      </w:r>
      <w:r w:rsidR="0090273E" w:rsidRPr="004D7803">
        <w:rPr>
          <w:rFonts w:ascii="Arial" w:hAnsi="Arial" w:cs="Arial"/>
          <w:sz w:val="24"/>
          <w:szCs w:val="24"/>
        </w:rPr>
        <w:t>s financial sustainability.</w:t>
      </w:r>
      <w:r w:rsidR="002124A3">
        <w:rPr>
          <w:rFonts w:ascii="Arial" w:hAnsi="Arial" w:cs="Arial"/>
          <w:sz w:val="24"/>
          <w:szCs w:val="24"/>
        </w:rPr>
        <w:t xml:space="preserve"> </w:t>
      </w:r>
      <w:r w:rsidR="0090273E">
        <w:rPr>
          <w:rFonts w:ascii="Arial" w:hAnsi="Arial" w:cs="Arial"/>
          <w:sz w:val="24"/>
          <w:szCs w:val="24"/>
        </w:rPr>
        <w:t xml:space="preserve">Another issue </w:t>
      </w:r>
      <w:r w:rsidR="00BD149A">
        <w:rPr>
          <w:rFonts w:ascii="Arial" w:hAnsi="Arial" w:cs="Arial"/>
          <w:sz w:val="24"/>
          <w:szCs w:val="24"/>
        </w:rPr>
        <w:t>is the decline in occupancy and room rates,</w:t>
      </w:r>
      <w:r w:rsidR="0090273E">
        <w:rPr>
          <w:rFonts w:ascii="Arial" w:hAnsi="Arial" w:cs="Arial"/>
          <w:sz w:val="24"/>
          <w:szCs w:val="24"/>
        </w:rPr>
        <w:t xml:space="preserve"> which</w:t>
      </w:r>
      <w:r w:rsidR="0090273E" w:rsidRPr="004D7803">
        <w:rPr>
          <w:rFonts w:ascii="Arial" w:hAnsi="Arial" w:cs="Arial"/>
          <w:sz w:val="24"/>
          <w:szCs w:val="24"/>
        </w:rPr>
        <w:t xml:space="preserve"> </w:t>
      </w:r>
      <w:r w:rsidR="00BD149A">
        <w:rPr>
          <w:rFonts w:ascii="Arial" w:hAnsi="Arial" w:cs="Arial"/>
          <w:sz w:val="24"/>
          <w:szCs w:val="24"/>
        </w:rPr>
        <w:t>indicates</w:t>
      </w:r>
      <w:r w:rsidR="0090273E" w:rsidRPr="004D7803">
        <w:rPr>
          <w:rFonts w:ascii="Arial" w:hAnsi="Arial" w:cs="Arial"/>
          <w:sz w:val="24"/>
          <w:szCs w:val="24"/>
        </w:rPr>
        <w:t xml:space="preserve"> challenges in attracting guests and optimi</w:t>
      </w:r>
      <w:r w:rsidR="001E209A">
        <w:rPr>
          <w:rFonts w:ascii="Arial" w:hAnsi="Arial" w:cs="Arial"/>
          <w:sz w:val="24"/>
          <w:szCs w:val="24"/>
        </w:rPr>
        <w:t>s</w:t>
      </w:r>
      <w:r w:rsidR="0090273E" w:rsidRPr="004D7803">
        <w:rPr>
          <w:rFonts w:ascii="Arial" w:hAnsi="Arial" w:cs="Arial"/>
          <w:sz w:val="24"/>
          <w:szCs w:val="24"/>
        </w:rPr>
        <w:t>ing pricing strategies to maximi</w:t>
      </w:r>
      <w:r w:rsidR="001E209A">
        <w:rPr>
          <w:rFonts w:ascii="Arial" w:hAnsi="Arial" w:cs="Arial"/>
          <w:sz w:val="24"/>
          <w:szCs w:val="24"/>
        </w:rPr>
        <w:t>s</w:t>
      </w:r>
      <w:r w:rsidR="0090273E" w:rsidRPr="004D7803">
        <w:rPr>
          <w:rFonts w:ascii="Arial" w:hAnsi="Arial" w:cs="Arial"/>
          <w:sz w:val="24"/>
          <w:szCs w:val="24"/>
        </w:rPr>
        <w:t>e revenue.</w:t>
      </w:r>
      <w:r w:rsidR="0090273E" w:rsidRPr="003A7CD6">
        <w:rPr>
          <w:rFonts w:ascii="Arial" w:hAnsi="Arial" w:cs="Arial"/>
          <w:sz w:val="24"/>
          <w:szCs w:val="24"/>
        </w:rPr>
        <w:t xml:space="preserve"> </w:t>
      </w:r>
      <w:r w:rsidR="0090273E">
        <w:rPr>
          <w:rFonts w:ascii="Arial" w:hAnsi="Arial" w:cs="Arial"/>
          <w:sz w:val="24"/>
          <w:szCs w:val="24"/>
        </w:rPr>
        <w:t>At the same time</w:t>
      </w:r>
      <w:r w:rsidR="00BD149A">
        <w:rPr>
          <w:rFonts w:ascii="Arial" w:hAnsi="Arial" w:cs="Arial"/>
          <w:sz w:val="24"/>
          <w:szCs w:val="24"/>
        </w:rPr>
        <w:t>,</w:t>
      </w:r>
      <w:r w:rsidR="0090273E">
        <w:rPr>
          <w:rFonts w:ascii="Arial" w:hAnsi="Arial" w:cs="Arial"/>
          <w:sz w:val="24"/>
          <w:szCs w:val="24"/>
        </w:rPr>
        <w:t xml:space="preserve"> the long</w:t>
      </w:r>
      <w:r w:rsidR="0090273E" w:rsidRPr="004D7803">
        <w:rPr>
          <w:rFonts w:ascii="Arial" w:hAnsi="Arial" w:cs="Arial"/>
          <w:sz w:val="24"/>
          <w:szCs w:val="24"/>
        </w:rPr>
        <w:t xml:space="preserve">-term debt has steadily increased, impacting the </w:t>
      </w:r>
      <w:r w:rsidR="00C27573">
        <w:rPr>
          <w:rFonts w:ascii="Arial" w:hAnsi="Arial" w:cs="Arial"/>
          <w:sz w:val="24"/>
          <w:szCs w:val="24"/>
        </w:rPr>
        <w:t>Lodge</w:t>
      </w:r>
      <w:r w:rsidR="00BC2413">
        <w:rPr>
          <w:rFonts w:ascii="Arial" w:hAnsi="Arial" w:cs="Arial"/>
          <w:sz w:val="24"/>
          <w:szCs w:val="24"/>
        </w:rPr>
        <w:t>'</w:t>
      </w:r>
      <w:r w:rsidR="0090273E" w:rsidRPr="004D7803">
        <w:rPr>
          <w:rFonts w:ascii="Arial" w:hAnsi="Arial" w:cs="Arial"/>
          <w:sz w:val="24"/>
          <w:szCs w:val="24"/>
        </w:rPr>
        <w:t>s financial flexibility and exacerbating financial challenges.</w:t>
      </w:r>
      <w:r w:rsidR="002124A3">
        <w:rPr>
          <w:rFonts w:ascii="Arial" w:hAnsi="Arial" w:cs="Arial"/>
          <w:sz w:val="24"/>
          <w:szCs w:val="24"/>
        </w:rPr>
        <w:t xml:space="preserve"> </w:t>
      </w:r>
      <w:r w:rsidR="00933503">
        <w:rPr>
          <w:rFonts w:ascii="Arial" w:hAnsi="Arial" w:cs="Arial"/>
          <w:sz w:val="24"/>
          <w:szCs w:val="24"/>
        </w:rPr>
        <w:t>T</w:t>
      </w:r>
      <w:r w:rsidRPr="002124A3">
        <w:rPr>
          <w:rFonts w:ascii="Arial" w:hAnsi="Arial" w:cs="Arial"/>
          <w:sz w:val="24"/>
          <w:szCs w:val="24"/>
        </w:rPr>
        <w:t xml:space="preserve">he </w:t>
      </w:r>
      <w:r w:rsidR="00933503" w:rsidRPr="002124A3">
        <w:rPr>
          <w:rFonts w:ascii="Arial" w:hAnsi="Arial" w:cs="Arial"/>
          <w:sz w:val="24"/>
          <w:szCs w:val="24"/>
        </w:rPr>
        <w:t>recommendations</w:t>
      </w:r>
      <w:r w:rsidRPr="002124A3">
        <w:rPr>
          <w:rFonts w:ascii="Arial" w:hAnsi="Arial" w:cs="Arial"/>
          <w:sz w:val="24"/>
          <w:szCs w:val="24"/>
        </w:rPr>
        <w:t xml:space="preserve"> of the report </w:t>
      </w:r>
      <w:r w:rsidR="00933503">
        <w:rPr>
          <w:rFonts w:ascii="Arial" w:hAnsi="Arial" w:cs="Arial"/>
          <w:sz w:val="24"/>
          <w:szCs w:val="24"/>
        </w:rPr>
        <w:t>for</w:t>
      </w:r>
      <w:r w:rsidRPr="004D7803">
        <w:rPr>
          <w:rFonts w:ascii="Arial" w:hAnsi="Arial" w:cs="Arial"/>
          <w:sz w:val="24"/>
          <w:szCs w:val="24"/>
        </w:rPr>
        <w:t xml:space="preserve"> </w:t>
      </w:r>
      <w:r w:rsidR="005D7C70">
        <w:rPr>
          <w:rFonts w:ascii="Arial" w:hAnsi="Arial" w:cs="Arial"/>
          <w:sz w:val="24"/>
          <w:szCs w:val="24"/>
        </w:rPr>
        <w:t>economic</w:t>
      </w:r>
      <w:r w:rsidRPr="004D7803">
        <w:rPr>
          <w:rFonts w:ascii="Arial" w:hAnsi="Arial" w:cs="Arial"/>
          <w:sz w:val="24"/>
          <w:szCs w:val="24"/>
        </w:rPr>
        <w:t xml:space="preserve"> </w:t>
      </w:r>
      <w:r w:rsidR="00B02F87">
        <w:rPr>
          <w:rFonts w:ascii="Arial" w:hAnsi="Arial" w:cs="Arial"/>
          <w:sz w:val="24"/>
          <w:szCs w:val="24"/>
        </w:rPr>
        <w:t>r</w:t>
      </w:r>
      <w:r w:rsidRPr="004D7803">
        <w:rPr>
          <w:rFonts w:ascii="Arial" w:hAnsi="Arial" w:cs="Arial"/>
          <w:sz w:val="24"/>
          <w:szCs w:val="24"/>
        </w:rPr>
        <w:t>ecovery</w:t>
      </w:r>
      <w:r w:rsidRPr="002124A3">
        <w:rPr>
          <w:rFonts w:ascii="Arial" w:hAnsi="Arial" w:cs="Arial"/>
          <w:sz w:val="24"/>
          <w:szCs w:val="24"/>
        </w:rPr>
        <w:t xml:space="preserve"> are</w:t>
      </w:r>
      <w:r w:rsidRPr="003A7CD6">
        <w:rPr>
          <w:rFonts w:ascii="Arial" w:hAnsi="Arial" w:cs="Arial"/>
          <w:b/>
          <w:bCs/>
          <w:sz w:val="24"/>
          <w:szCs w:val="24"/>
        </w:rPr>
        <w:t xml:space="preserve"> </w:t>
      </w:r>
      <w:r w:rsidR="00B02F87">
        <w:rPr>
          <w:rFonts w:ascii="Arial" w:hAnsi="Arial" w:cs="Arial"/>
          <w:sz w:val="24"/>
          <w:szCs w:val="24"/>
        </w:rPr>
        <w:t>r</w:t>
      </w:r>
      <w:r w:rsidRPr="004D7803">
        <w:rPr>
          <w:rFonts w:ascii="Arial" w:hAnsi="Arial" w:cs="Arial"/>
          <w:sz w:val="24"/>
          <w:szCs w:val="24"/>
        </w:rPr>
        <w:t xml:space="preserve">evenue </w:t>
      </w:r>
      <w:r w:rsidR="00B02F87">
        <w:rPr>
          <w:rFonts w:ascii="Arial" w:hAnsi="Arial" w:cs="Arial"/>
          <w:sz w:val="24"/>
          <w:szCs w:val="24"/>
        </w:rPr>
        <w:t>o</w:t>
      </w:r>
      <w:r w:rsidRPr="004D7803">
        <w:rPr>
          <w:rFonts w:ascii="Arial" w:hAnsi="Arial" w:cs="Arial"/>
          <w:sz w:val="24"/>
          <w:szCs w:val="24"/>
        </w:rPr>
        <w:t>ptimi</w:t>
      </w:r>
      <w:r w:rsidR="001E209A">
        <w:rPr>
          <w:rFonts w:ascii="Arial" w:hAnsi="Arial" w:cs="Arial"/>
          <w:sz w:val="24"/>
          <w:szCs w:val="24"/>
        </w:rPr>
        <w:t>s</w:t>
      </w:r>
      <w:r w:rsidRPr="004D7803">
        <w:rPr>
          <w:rFonts w:ascii="Arial" w:hAnsi="Arial" w:cs="Arial"/>
          <w:sz w:val="24"/>
          <w:szCs w:val="24"/>
        </w:rPr>
        <w:t xml:space="preserve">ation </w:t>
      </w:r>
      <w:r w:rsidR="00B02F87">
        <w:rPr>
          <w:rFonts w:ascii="Arial" w:hAnsi="Arial" w:cs="Arial"/>
          <w:sz w:val="24"/>
          <w:szCs w:val="24"/>
        </w:rPr>
        <w:t>s</w:t>
      </w:r>
      <w:r w:rsidRPr="004D7803">
        <w:rPr>
          <w:rFonts w:ascii="Arial" w:hAnsi="Arial" w:cs="Arial"/>
          <w:sz w:val="24"/>
          <w:szCs w:val="24"/>
        </w:rPr>
        <w:t>trategies</w:t>
      </w:r>
      <w:r w:rsidR="00B02F87">
        <w:rPr>
          <w:rFonts w:ascii="Arial" w:hAnsi="Arial" w:cs="Arial"/>
          <w:sz w:val="24"/>
          <w:szCs w:val="24"/>
        </w:rPr>
        <w:t>, i</w:t>
      </w:r>
      <w:r w:rsidRPr="004D7803">
        <w:rPr>
          <w:rFonts w:ascii="Arial" w:hAnsi="Arial" w:cs="Arial"/>
          <w:sz w:val="24"/>
          <w:szCs w:val="24"/>
        </w:rPr>
        <w:t>mplement</w:t>
      </w:r>
      <w:r w:rsidR="00B02F87">
        <w:rPr>
          <w:rFonts w:ascii="Arial" w:hAnsi="Arial" w:cs="Arial"/>
          <w:sz w:val="24"/>
          <w:szCs w:val="24"/>
        </w:rPr>
        <w:t>ing</w:t>
      </w:r>
      <w:r w:rsidRPr="004D7803">
        <w:rPr>
          <w:rFonts w:ascii="Arial" w:hAnsi="Arial" w:cs="Arial"/>
          <w:sz w:val="24"/>
          <w:szCs w:val="24"/>
        </w:rPr>
        <w:t xml:space="preserve"> dynamic pricing and revenue management techniques to maximi</w:t>
      </w:r>
      <w:r w:rsidR="001E209A">
        <w:rPr>
          <w:rFonts w:ascii="Arial" w:hAnsi="Arial" w:cs="Arial"/>
          <w:sz w:val="24"/>
          <w:szCs w:val="24"/>
        </w:rPr>
        <w:t>s</w:t>
      </w:r>
      <w:r w:rsidRPr="004D7803">
        <w:rPr>
          <w:rFonts w:ascii="Arial" w:hAnsi="Arial" w:cs="Arial"/>
          <w:sz w:val="24"/>
          <w:szCs w:val="24"/>
        </w:rPr>
        <w:t>e room revenue and improve RevPAR</w:t>
      </w:r>
      <w:r w:rsidR="00B02F87">
        <w:rPr>
          <w:rFonts w:ascii="Arial" w:hAnsi="Arial" w:cs="Arial"/>
          <w:sz w:val="24"/>
          <w:szCs w:val="24"/>
        </w:rPr>
        <w:t>, c</w:t>
      </w:r>
      <w:r w:rsidRPr="004D7803">
        <w:rPr>
          <w:rFonts w:ascii="Arial" w:hAnsi="Arial" w:cs="Arial"/>
          <w:sz w:val="24"/>
          <w:szCs w:val="24"/>
        </w:rPr>
        <w:t xml:space="preserve">ost </w:t>
      </w:r>
      <w:r w:rsidR="00B02F87">
        <w:rPr>
          <w:rFonts w:ascii="Arial" w:hAnsi="Arial" w:cs="Arial"/>
          <w:sz w:val="24"/>
          <w:szCs w:val="24"/>
        </w:rPr>
        <w:t>c</w:t>
      </w:r>
      <w:r w:rsidRPr="004D7803">
        <w:rPr>
          <w:rFonts w:ascii="Arial" w:hAnsi="Arial" w:cs="Arial"/>
          <w:sz w:val="24"/>
          <w:szCs w:val="24"/>
        </w:rPr>
        <w:t xml:space="preserve">ontrol </w:t>
      </w:r>
      <w:r w:rsidR="00B02F87">
        <w:rPr>
          <w:rFonts w:ascii="Arial" w:hAnsi="Arial" w:cs="Arial"/>
          <w:sz w:val="24"/>
          <w:szCs w:val="24"/>
        </w:rPr>
        <w:t>m</w:t>
      </w:r>
      <w:r w:rsidRPr="004D7803">
        <w:rPr>
          <w:rFonts w:ascii="Arial" w:hAnsi="Arial" w:cs="Arial"/>
          <w:sz w:val="24"/>
          <w:szCs w:val="24"/>
        </w:rPr>
        <w:t>easures</w:t>
      </w:r>
      <w:r w:rsidR="00B02F87">
        <w:rPr>
          <w:rFonts w:ascii="Arial" w:hAnsi="Arial" w:cs="Arial"/>
          <w:sz w:val="24"/>
          <w:szCs w:val="24"/>
        </w:rPr>
        <w:t>,</w:t>
      </w:r>
      <w:r w:rsidRPr="004D7803">
        <w:rPr>
          <w:rFonts w:ascii="Arial" w:hAnsi="Arial" w:cs="Arial"/>
          <w:sz w:val="24"/>
          <w:szCs w:val="24"/>
        </w:rPr>
        <w:t xml:space="preserve"> a thorough review of expenses and implement</w:t>
      </w:r>
      <w:r w:rsidR="00B02F87">
        <w:rPr>
          <w:rFonts w:ascii="Arial" w:hAnsi="Arial" w:cs="Arial"/>
          <w:sz w:val="24"/>
          <w:szCs w:val="24"/>
        </w:rPr>
        <w:t>ing</w:t>
      </w:r>
      <w:r w:rsidRPr="004D7803">
        <w:rPr>
          <w:rFonts w:ascii="Arial" w:hAnsi="Arial" w:cs="Arial"/>
          <w:sz w:val="24"/>
          <w:szCs w:val="24"/>
        </w:rPr>
        <w:t xml:space="preserve"> cost-saving initiatives to mitigate the impact of rising operating expenses</w:t>
      </w:r>
      <w:r w:rsidRPr="003A7CD6">
        <w:rPr>
          <w:rFonts w:ascii="Arial" w:hAnsi="Arial" w:cs="Arial"/>
          <w:sz w:val="24"/>
          <w:szCs w:val="24"/>
        </w:rPr>
        <w:t xml:space="preserve"> </w:t>
      </w:r>
      <w:r w:rsidR="00CE2E02">
        <w:rPr>
          <w:rFonts w:ascii="Arial" w:hAnsi="Arial" w:cs="Arial"/>
          <w:sz w:val="24"/>
          <w:szCs w:val="24"/>
        </w:rPr>
        <w:t>i</w:t>
      </w:r>
      <w:r w:rsidRPr="004D7803">
        <w:rPr>
          <w:rFonts w:ascii="Arial" w:hAnsi="Arial" w:cs="Arial"/>
          <w:sz w:val="24"/>
          <w:szCs w:val="24"/>
        </w:rPr>
        <w:t>nvest</w:t>
      </w:r>
      <w:r w:rsidR="00CE2E02">
        <w:rPr>
          <w:rFonts w:ascii="Arial" w:hAnsi="Arial" w:cs="Arial"/>
          <w:sz w:val="24"/>
          <w:szCs w:val="24"/>
        </w:rPr>
        <w:t>ing</w:t>
      </w:r>
      <w:r w:rsidRPr="004D7803">
        <w:rPr>
          <w:rFonts w:ascii="Arial" w:hAnsi="Arial" w:cs="Arial"/>
          <w:sz w:val="24"/>
          <w:szCs w:val="24"/>
        </w:rPr>
        <w:t xml:space="preserve"> in enhancing the overall guest </w:t>
      </w:r>
      <w:r w:rsidR="00CE2E02">
        <w:rPr>
          <w:rFonts w:ascii="Arial" w:hAnsi="Arial" w:cs="Arial"/>
          <w:sz w:val="24"/>
          <w:szCs w:val="24"/>
        </w:rPr>
        <w:t>e</w:t>
      </w:r>
      <w:r w:rsidRPr="004D7803">
        <w:rPr>
          <w:rFonts w:ascii="Arial" w:hAnsi="Arial" w:cs="Arial"/>
          <w:sz w:val="24"/>
          <w:szCs w:val="24"/>
        </w:rPr>
        <w:t>xperience to drive customer satisfaction, loyalty, and repeat visits</w:t>
      </w:r>
      <w:r w:rsidR="00CE2E02">
        <w:rPr>
          <w:rFonts w:ascii="Arial" w:hAnsi="Arial" w:cs="Arial"/>
          <w:sz w:val="24"/>
          <w:szCs w:val="24"/>
        </w:rPr>
        <w:t xml:space="preserve"> and s</w:t>
      </w:r>
      <w:r w:rsidRPr="004D7803">
        <w:rPr>
          <w:rFonts w:ascii="Arial" w:hAnsi="Arial" w:cs="Arial"/>
          <w:sz w:val="24"/>
          <w:szCs w:val="24"/>
        </w:rPr>
        <w:t xml:space="preserve">trategic </w:t>
      </w:r>
      <w:r w:rsidR="00CE2E02">
        <w:rPr>
          <w:rFonts w:ascii="Arial" w:hAnsi="Arial" w:cs="Arial"/>
          <w:sz w:val="24"/>
          <w:szCs w:val="24"/>
        </w:rPr>
        <w:t>m</w:t>
      </w:r>
      <w:r w:rsidRPr="004D7803">
        <w:rPr>
          <w:rFonts w:ascii="Arial" w:hAnsi="Arial" w:cs="Arial"/>
          <w:sz w:val="24"/>
          <w:szCs w:val="24"/>
        </w:rPr>
        <w:t xml:space="preserve">arketing </w:t>
      </w:r>
      <w:r w:rsidR="00CE2E02">
        <w:rPr>
          <w:rFonts w:ascii="Arial" w:hAnsi="Arial" w:cs="Arial"/>
          <w:sz w:val="24"/>
          <w:szCs w:val="24"/>
        </w:rPr>
        <w:t>i</w:t>
      </w:r>
      <w:r w:rsidRPr="004D7803">
        <w:rPr>
          <w:rFonts w:ascii="Arial" w:hAnsi="Arial" w:cs="Arial"/>
          <w:sz w:val="24"/>
          <w:szCs w:val="24"/>
        </w:rPr>
        <w:t>nitiatives</w:t>
      </w:r>
      <w:r w:rsidR="00CE2E02">
        <w:rPr>
          <w:rFonts w:ascii="Arial" w:hAnsi="Arial" w:cs="Arial"/>
          <w:sz w:val="24"/>
          <w:szCs w:val="24"/>
        </w:rPr>
        <w:t xml:space="preserve"> like</w:t>
      </w:r>
      <w:r w:rsidRPr="004D7803">
        <w:rPr>
          <w:rFonts w:ascii="Arial" w:hAnsi="Arial" w:cs="Arial"/>
          <w:sz w:val="24"/>
          <w:szCs w:val="24"/>
        </w:rPr>
        <w:t xml:space="preserve"> targeted marketing campaigns to reposition Seacrest </w:t>
      </w:r>
      <w:r w:rsidR="00C27573">
        <w:rPr>
          <w:rFonts w:ascii="Arial" w:hAnsi="Arial" w:cs="Arial"/>
          <w:sz w:val="24"/>
          <w:szCs w:val="24"/>
        </w:rPr>
        <w:t>Lodge</w:t>
      </w:r>
      <w:r w:rsidRPr="004D7803">
        <w:rPr>
          <w:rFonts w:ascii="Arial" w:hAnsi="Arial" w:cs="Arial"/>
          <w:sz w:val="24"/>
          <w:szCs w:val="24"/>
        </w:rPr>
        <w:t xml:space="preserve"> as a premier vacation </w:t>
      </w:r>
      <w:r w:rsidR="005A3F3E">
        <w:rPr>
          <w:rFonts w:ascii="Arial" w:hAnsi="Arial" w:cs="Arial"/>
          <w:sz w:val="24"/>
          <w:szCs w:val="24"/>
        </w:rPr>
        <w:t>and f</w:t>
      </w:r>
      <w:r w:rsidRPr="004D7803">
        <w:rPr>
          <w:rFonts w:ascii="Arial" w:hAnsi="Arial" w:cs="Arial"/>
          <w:sz w:val="24"/>
          <w:szCs w:val="24"/>
        </w:rPr>
        <w:t xml:space="preserve">inancial </w:t>
      </w:r>
      <w:r w:rsidR="005A3F3E">
        <w:rPr>
          <w:rFonts w:ascii="Arial" w:hAnsi="Arial" w:cs="Arial"/>
          <w:sz w:val="24"/>
          <w:szCs w:val="24"/>
        </w:rPr>
        <w:t>r</w:t>
      </w:r>
      <w:r w:rsidRPr="004D7803">
        <w:rPr>
          <w:rFonts w:ascii="Arial" w:hAnsi="Arial" w:cs="Arial"/>
          <w:sz w:val="24"/>
          <w:szCs w:val="24"/>
        </w:rPr>
        <w:t>estructuring</w:t>
      </w:r>
      <w:r w:rsidR="005A3F3E">
        <w:rPr>
          <w:rFonts w:ascii="Arial" w:hAnsi="Arial" w:cs="Arial"/>
          <w:sz w:val="24"/>
          <w:szCs w:val="24"/>
        </w:rPr>
        <w:t>.</w:t>
      </w:r>
    </w:p>
    <w:p w14:paraId="0EDE2D7E" w14:textId="633677F9" w:rsidR="00EE5630" w:rsidRPr="003A7CD6" w:rsidRDefault="00EE5630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2199C5B" w14:textId="4DEFB210" w:rsidR="00C8235F" w:rsidRDefault="005A3F3E" w:rsidP="00C8235F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 w:type="page"/>
      </w:r>
    </w:p>
    <w:p w14:paraId="299DB238" w14:textId="7A822BF6" w:rsidR="00C8235F" w:rsidRDefault="00536756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D655D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>Table of content</w:t>
      </w:r>
      <w:r w:rsidR="00D655D1" w:rsidRPr="00D655D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</w:t>
      </w:r>
    </w:p>
    <w:p w14:paraId="5A6DD75B" w14:textId="695E84C1" w:rsidR="008F31CB" w:rsidRDefault="008F31CB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Executive Summary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  <w:t>1</w:t>
      </w:r>
    </w:p>
    <w:p w14:paraId="250E8766" w14:textId="441DFC1C" w:rsidR="00494354" w:rsidRDefault="000A2F9A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Introduction 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3</w:t>
      </w:r>
    </w:p>
    <w:p w14:paraId="698298C8" w14:textId="47787697" w:rsidR="000A2F9A" w:rsidRDefault="000A2F9A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0A2F9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Reasons for Decline in Profitability</w:t>
      </w:r>
      <w:r w:rsidR="00857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- </w:t>
      </w:r>
      <w:r w:rsidR="00857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Reading </w:t>
      </w:r>
      <w:r w:rsidR="00BF38C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the</w:t>
      </w:r>
      <w:r w:rsidR="00857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Income Statement</w:t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3</w:t>
      </w:r>
    </w:p>
    <w:p w14:paraId="27AAC24B" w14:textId="3F6869CD" w:rsidR="000A2F9A" w:rsidRDefault="000A2F9A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0A2F9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Analysing the Balance Sheet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5D092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4</w:t>
      </w:r>
    </w:p>
    <w:p w14:paraId="450036CD" w14:textId="28D015F3" w:rsidR="000A2F9A" w:rsidRDefault="000A2F9A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0A2F9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Occupancy Rate and Average Room Rate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2C3FE0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5D092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6</w:t>
      </w:r>
    </w:p>
    <w:p w14:paraId="026AC997" w14:textId="04163AE1" w:rsidR="002C3FE0" w:rsidRDefault="002C3FE0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Analysis of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Seacrest </w:t>
      </w:r>
      <w:r w:rsidR="00C27573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'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</w:t>
      </w: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financial data linked to relevant theories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  <w:t>7</w:t>
      </w:r>
    </w:p>
    <w:p w14:paraId="7F7AC809" w14:textId="242F407B" w:rsidR="002C3FE0" w:rsidRDefault="002C3FE0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Recommendations for a comprehensive turnaround strategy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D8553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9</w:t>
      </w:r>
    </w:p>
    <w:p w14:paraId="0F842D03" w14:textId="073F9629" w:rsidR="002C3FE0" w:rsidRDefault="002C3FE0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Conclusion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9C01F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1</w:t>
      </w:r>
      <w:r w:rsidR="00D653D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1</w:t>
      </w:r>
    </w:p>
    <w:p w14:paraId="256D99A3" w14:textId="2422DE64" w:rsidR="002C3FE0" w:rsidRDefault="002C3FE0" w:rsidP="000A2F9A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References </w:t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 w:rsidR="00036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ab/>
        <w:t>1</w:t>
      </w:r>
      <w:r w:rsidR="00D8553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2</w:t>
      </w:r>
    </w:p>
    <w:p w14:paraId="4E07A272" w14:textId="77777777" w:rsidR="00BD563D" w:rsidRPr="000A2F9A" w:rsidRDefault="00BD563D" w:rsidP="000A2F9A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689C0888" w14:textId="77777777" w:rsidR="000A2F9A" w:rsidRPr="000A2F9A" w:rsidRDefault="000A2F9A" w:rsidP="000A2F9A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6864250" w14:textId="77777777" w:rsidR="000A2F9A" w:rsidRPr="000A2F9A" w:rsidRDefault="000A2F9A" w:rsidP="000A2F9A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1C97B0E" w14:textId="77777777" w:rsidR="000A2F9A" w:rsidRPr="00D655D1" w:rsidRDefault="000A2F9A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5A2F673F" w14:textId="77777777" w:rsidR="00536756" w:rsidRDefault="00536756">
      <w:pP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br w:type="page"/>
      </w:r>
    </w:p>
    <w:p w14:paraId="5438EFA9" w14:textId="0ED345F4" w:rsidR="0033363A" w:rsidRDefault="00C8235F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2B380E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>Introduction</w:t>
      </w:r>
    </w:p>
    <w:p w14:paraId="1B778036" w14:textId="69BAF363" w:rsidR="00E5350D" w:rsidRPr="0033363A" w:rsidRDefault="008F1957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 analyses</w:t>
      </w:r>
      <w:r w:rsidR="00E5350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="00E5350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financial </w:t>
      </w:r>
      <w:r w:rsidR="000B299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performance</w:t>
      </w:r>
      <w:r w:rsidR="000B29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B299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over</w:t>
      </w:r>
      <w:r w:rsidR="00E5350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past </w:t>
      </w:r>
      <w:r w:rsidR="000B29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three years using</w:t>
      </w:r>
      <w:r w:rsidR="00DA06D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F38C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financial </w:t>
      </w:r>
      <w:r w:rsidR="00DA06D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data from </w:t>
      </w:r>
      <w:r w:rsidR="005D7C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="00DA06D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company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="00DA06D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Income Statement, </w:t>
      </w:r>
      <w:r w:rsidR="00C035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</w:t>
      </w:r>
      <w:r w:rsidR="00DA06D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alance Sheet and </w:t>
      </w:r>
      <w:r w:rsidR="007168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additional financial </w:t>
      </w:r>
      <w:r w:rsidR="00C035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information a</w:t>
      </w:r>
      <w:r w:rsidR="000B29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provided by the company</w:t>
      </w:r>
      <w:r w:rsidR="00C035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AE6AE2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="00AE6AE2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 report</w:t>
      </w:r>
      <w:r w:rsidR="00E5350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observe</w:t>
      </w:r>
      <w:r w:rsidR="00AE6AE2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E5350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 </w:t>
      </w:r>
      <w:r w:rsidR="004A2A7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declining profitability trend, examines the key reasons behind this decline, and then proposes</w:t>
      </w:r>
      <w:r w:rsidR="00E5350D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 comprehensive turnaround strategy</w:t>
      </w:r>
      <w:r w:rsidR="002B380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3336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 the 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financial data analysis, there are</w:t>
      </w:r>
      <w:r w:rsidR="003336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links to relevant financial or marketing theories. </w:t>
      </w:r>
    </w:p>
    <w:p w14:paraId="6DACF76A" w14:textId="77777777" w:rsidR="002B380E" w:rsidRPr="00E5350D" w:rsidRDefault="002B380E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27E4ACB" w14:textId="16327A13" w:rsidR="00E5350D" w:rsidRPr="007A484A" w:rsidRDefault="00E5350D" w:rsidP="007A484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A484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Reasons for Decline in Profitability</w:t>
      </w:r>
      <w:r w:rsidR="00C0353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A2285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–</w:t>
      </w:r>
      <w:r w:rsidR="00C0353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A2285C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Reading </w:t>
      </w:r>
      <w:r w:rsidR="008577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the</w:t>
      </w:r>
      <w:r w:rsidR="00C0353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Income Statement</w:t>
      </w:r>
    </w:p>
    <w:p w14:paraId="520829E8" w14:textId="5B1C4F9A" w:rsidR="00E5350D" w:rsidRPr="00E5350D" w:rsidRDefault="00E5350D" w:rsidP="00425D3D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Decreasing Revenue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According to the company's Income Statement, the Lodge experienced a notable drop in revenue from £1,200,000 in 2021 to £950,000 in 2023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This decline could </w:t>
      </w:r>
      <w:r w:rsidR="00467F1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result from </w:t>
      </w:r>
      <w:r w:rsidR="00CC04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decreased tourist activity, like during the Covid pandemic, continued by changing customer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preferences, or increased competition from other </w:t>
      </w:r>
      <w:r w:rsidR="001128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holiday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destinations</w:t>
      </w:r>
      <w:r w:rsidR="004818B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E3C9328" w14:textId="335853E0" w:rsidR="00E5350D" w:rsidRPr="00E5350D" w:rsidRDefault="00E5350D" w:rsidP="00425D3D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Rising Operating Expenses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Operating expenses have </w:t>
      </w:r>
      <w:r w:rsidR="005D711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steadily increased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over the </w:t>
      </w:r>
      <w:r w:rsidR="005620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last three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years, reaching £1,100,000 in 2023</w:t>
      </w:r>
      <w:r w:rsidR="005D711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FF38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according to its </w:t>
      </w:r>
      <w:r w:rsidR="005620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income </w:t>
      </w:r>
      <w:r w:rsidR="00FF38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statement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This escalation might be due to inflationary pressures, increased maintenance costs, or inefficient cost management practices.</w:t>
      </w:r>
    </w:p>
    <w:p w14:paraId="14E63243" w14:textId="713E4309" w:rsidR="00E5350D" w:rsidRPr="00E5350D" w:rsidRDefault="00E5350D" w:rsidP="00425D3D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Net Loss in 2023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The most alarming indicator is the net loss of £150,000 in 2023, signifying that 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expenses exceeded its revenue, leading to negative profitability. This could result from a combination of declining revenue and escalating </w:t>
      </w:r>
      <w:r w:rsidR="00D55D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cost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CC04F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1E29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</w:t>
      </w:r>
      <w:r w:rsidR="004136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shown in </w:t>
      </w:r>
      <w:r w:rsidR="00D855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its</w:t>
      </w:r>
      <w:r w:rsidR="001E29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Income Statement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E22E7D0" w14:textId="7C9E9FFC" w:rsidR="00E5350D" w:rsidRPr="00E5350D" w:rsidRDefault="00E5350D" w:rsidP="00425D3D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Impact of Real-world Events and Economy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 External factors like the COVID-19 pandemic, economic downturns</w:t>
      </w:r>
      <w:r w:rsidR="00D55D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3437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555B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specifically the </w:t>
      </w:r>
      <w:r w:rsidR="001231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cost-of-living</w:t>
      </w:r>
      <w:r w:rsidR="00555B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A151C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crisis</w:t>
      </w:r>
      <w:r w:rsidR="003437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raising inflation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have contributed to the decline in revenue, as travel and tourism industries were severely impacted during </w:t>
      </w:r>
      <w:r w:rsidR="00A151C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these periods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CF7F940" w14:textId="77777777" w:rsidR="005D0927" w:rsidRDefault="005D0927">
      <w:pPr>
        <w:rPr>
          <w:rFonts w:ascii="Arial" w:eastAsia="Times New Roman" w:hAnsi="Arial" w:cs="Arial"/>
          <w:b/>
          <w:kern w:val="0"/>
          <w:sz w:val="24"/>
          <w:szCs w:val="24"/>
          <w:highlight w:val="lightGray"/>
          <w:lang w:eastAsia="en-GB"/>
          <w14:ligatures w14:val="none"/>
        </w:rPr>
      </w:pPr>
      <w:r>
        <w:rPr>
          <w:rFonts w:ascii="Arial" w:eastAsia="Times New Roman" w:hAnsi="Arial" w:cs="Arial"/>
          <w:b/>
          <w:kern w:val="0"/>
          <w:sz w:val="24"/>
          <w:szCs w:val="24"/>
          <w:highlight w:val="lightGray"/>
          <w:lang w:eastAsia="en-GB"/>
          <w14:ligatures w14:val="none"/>
        </w:rPr>
        <w:br w:type="page"/>
      </w:r>
    </w:p>
    <w:p w14:paraId="2143D969" w14:textId="2A51FEB3" w:rsidR="00E5350D" w:rsidRPr="005D0927" w:rsidRDefault="00425D3D" w:rsidP="005D092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D092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 xml:space="preserve">Analysing the </w:t>
      </w:r>
      <w:r w:rsidR="00E5350D" w:rsidRPr="005D092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Balance Sheet</w:t>
      </w:r>
    </w:p>
    <w:tbl>
      <w:tblPr>
        <w:tblW w:w="8940" w:type="dxa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97"/>
        <w:gridCol w:w="1971"/>
        <w:gridCol w:w="1971"/>
        <w:gridCol w:w="2001"/>
      </w:tblGrid>
      <w:tr w:rsidR="00E5350D" w:rsidRPr="00E5350D" w14:paraId="55FE6EE6" w14:textId="77777777" w:rsidTr="00E5350D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42F8558E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Item</w:t>
            </w:r>
          </w:p>
        </w:tc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4BF6FC35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2021</w:t>
            </w:r>
          </w:p>
        </w:tc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D364C01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2022</w:t>
            </w:r>
          </w:p>
        </w:tc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070E9889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2023</w:t>
            </w:r>
          </w:p>
        </w:tc>
      </w:tr>
      <w:tr w:rsidR="00E5350D" w:rsidRPr="00E5350D" w14:paraId="433B8192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1CF15110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Assets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70BF8EAD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7FD18811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245DF2E2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E5350D" w:rsidRPr="00E5350D" w14:paraId="7CBAF59B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CE6A417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Current Assets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1731EF55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£500,000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71B755B6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£450,000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21600C0C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£400,000</w:t>
            </w:r>
          </w:p>
        </w:tc>
      </w:tr>
      <w:tr w:rsidR="00E5350D" w:rsidRPr="00E5350D" w14:paraId="21412A58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2B6D45ED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Fixed Assets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1A207070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£1,200,000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9863C45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£1,150,000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5DC31D20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£1,100,000</w:t>
            </w:r>
          </w:p>
        </w:tc>
      </w:tr>
      <w:tr w:rsidR="00E5350D" w:rsidRPr="00E5350D" w14:paraId="42BCFD52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C024404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Total Assets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DF82352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£1,700,000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136FE0C6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£1,600,000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460ED98E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£1,500,000</w:t>
            </w:r>
          </w:p>
        </w:tc>
      </w:tr>
      <w:tr w:rsidR="00E5350D" w:rsidRPr="00E5350D" w14:paraId="1B1A2F4F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74EF95F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Liabilities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BC18F65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2BA70663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41ACBEA2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E5350D" w:rsidRPr="00E5350D" w14:paraId="6C39D142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695B719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Current Liabilities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489E2C46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£300,000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77154C5F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£350,000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071FDBA4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£400,000</w:t>
            </w:r>
          </w:p>
        </w:tc>
      </w:tr>
      <w:tr w:rsidR="00E5350D" w:rsidRPr="00E5350D" w14:paraId="025FFA72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011DB10A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Long-term Debt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B1D7B03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£600,000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5050CA3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£650,000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0DC2B9D6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£700,000</w:t>
            </w:r>
          </w:p>
        </w:tc>
      </w:tr>
      <w:tr w:rsidR="00E5350D" w:rsidRPr="00E5350D" w14:paraId="6DAB8000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3717A7A1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Total Liabilities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21869885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£900,000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4395E64E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68B11CD1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£1,100,000</w:t>
            </w:r>
          </w:p>
        </w:tc>
      </w:tr>
      <w:tr w:rsidR="00E5350D" w:rsidRPr="00E5350D" w14:paraId="0676CE6C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75A666D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Equity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12184921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£800,000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48BA2F2F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£600,000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29B100C2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£400,000</w:t>
            </w:r>
          </w:p>
        </w:tc>
      </w:tr>
    </w:tbl>
    <w:p w14:paraId="7D8A5B87" w14:textId="77777777" w:rsidR="00A81DF1" w:rsidRPr="003A7CD6" w:rsidRDefault="00A81DF1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16D9C4B4" w14:textId="19DF9545" w:rsidR="00E5350D" w:rsidRPr="00E5350D" w:rsidRDefault="007A484A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A48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Next</w:t>
      </w:r>
      <w:r w:rsidR="00D55D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the report will analyse key insights into</w:t>
      </w:r>
      <w:r w:rsidRPr="007A48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balance sheet data.</w:t>
      </w:r>
      <w:r w:rsidR="002F0E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balance sheet is the specific </w:t>
      </w:r>
      <w:r w:rsidR="002D258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financial position </w:t>
      </w:r>
      <w:r w:rsidR="000D3F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of a business </w:t>
      </w:r>
      <w:r w:rsidR="002D258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 a point in time (Brigham &amp; Houston, 2020)</w:t>
      </w:r>
      <w:r w:rsidR="00E567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 </w:t>
      </w:r>
      <w:r w:rsidR="004968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snapshot</w:t>
      </w:r>
      <w:r w:rsidR="00E5670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the company</w:t>
      </w:r>
      <w:r w:rsidR="004968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</w:t>
      </w:r>
      <w:r w:rsidR="00F546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express</w:t>
      </w:r>
      <w:r w:rsidR="007956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</w:t>
      </w:r>
      <w:r w:rsidR="006748F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/</w:t>
      </w:r>
      <w:r w:rsidR="00D55D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positions</w:t>
      </w:r>
      <w:r w:rsidR="00F546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</w:t>
      </w:r>
      <w:r w:rsidR="004968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company </w:t>
      </w:r>
      <w:r w:rsidR="00F546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value at </w:t>
      </w:r>
      <w:r w:rsidR="004776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that specific </w:t>
      </w:r>
      <w:r w:rsidR="000D3F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time</w:t>
      </w:r>
      <w:r w:rsidR="00560D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3791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(Cole &amp; Kelly, 2020)</w:t>
      </w:r>
      <w:r w:rsidR="004776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9D321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accounting </w:t>
      </w:r>
      <w:r w:rsidR="001F0F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equation</w:t>
      </w:r>
      <w:r w:rsidR="009D321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the mathematical </w:t>
      </w:r>
      <w:r w:rsidR="00121CD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equation</w:t>
      </w:r>
      <w:r w:rsidR="009D321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the balance sheet: </w:t>
      </w:r>
      <w:r w:rsidR="001F0F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Assets</w:t>
      </w:r>
      <w:r w:rsidR="000D3F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F0FB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= Liability + Equity</w:t>
      </w:r>
      <w:r w:rsidR="00121CD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(id).</w:t>
      </w:r>
    </w:p>
    <w:p w14:paraId="3B5BDB19" w14:textId="4BB08C13" w:rsidR="00E5350D" w:rsidRPr="00E5350D" w:rsidRDefault="00E5350D" w:rsidP="007A484A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Asset Trends</w:t>
      </w:r>
      <w:r w:rsidR="0009339E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09339E" w:rsidRPr="000933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(Resources</w:t>
      </w:r>
      <w:r w:rsidR="001B55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the business</w:t>
      </w:r>
      <w:r w:rsidR="00614F75" w:rsidRPr="00614F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A7C8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614F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Houston, 2020</w:t>
      </w:r>
      <w:r w:rsidR="00DA7C8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09339E" w:rsidRPr="000933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0933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</w:t>
      </w:r>
    </w:p>
    <w:p w14:paraId="4DF12047" w14:textId="64D5D9CD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Current Assets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There has been a gradual decline in current assets from £500,000 in 2021 to £400,000 in 2023. This might indicate </w:t>
      </w:r>
      <w:r w:rsidR="00227D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liquidity issues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or difficulties managing short-term financial obligations</w:t>
      </w:r>
      <w:r w:rsidR="003677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4751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3677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Shields, 2018</w:t>
      </w:r>
      <w:r w:rsidR="004751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 Brigham &amp; Ehrhardt, 2005)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6702799" w14:textId="180FE6FE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Fixed Assets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investment in fixed assets remains relatively stable over the three years, indicating consistent capital expenditure or potentially minimal depreciation</w:t>
      </w:r>
      <w:r w:rsidR="003677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(Shields, 2018)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7ABF054" w14:textId="7C775273" w:rsidR="00E5350D" w:rsidRPr="00E5350D" w:rsidRDefault="00E5350D" w:rsidP="007A484A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Liabilities Analysis</w:t>
      </w:r>
      <w:r w:rsidR="001B555B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1B555B" w:rsidRPr="001B55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7F45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</w:t>
      </w:r>
      <w:r w:rsidR="001B555B" w:rsidRPr="001B55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ebt</w:t>
      </w:r>
      <w:r w:rsidR="007F45A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1B555B" w:rsidRPr="001B55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the Business</w:t>
      </w:r>
      <w:r w:rsidR="00DA7C8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r w:rsidR="00DA7C8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Houston, 2020</w:t>
      </w:r>
      <w:r w:rsidR="00DA7C8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1B555B" w:rsidRPr="001B55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1B55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</w:t>
      </w:r>
    </w:p>
    <w:p w14:paraId="6A2F6E86" w14:textId="74B305A3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>Current Liabilities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There is a notable increase in current liabilities from £300,000 in 2021 to £400,000 in 2023. This suggests increased short-term debt or obligations that </w:t>
      </w:r>
      <w:r w:rsidR="00F062FB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must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be met within the upcoming year</w:t>
      </w:r>
      <w:r w:rsidR="003677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(Shields, 201</w:t>
      </w:r>
      <w:r w:rsidR="00E227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8; </w:t>
      </w:r>
      <w:r w:rsidR="00E227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Houston, 2020</w:t>
      </w:r>
      <w:r w:rsidR="0036772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8B00ABC" w14:textId="53CE4DD9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Long-term Debt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has s</w:t>
      </w:r>
      <w:r w:rsidR="00F062FB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teadily risen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long-term debt, reaching £700,000 in 2023. This escalating debt load might </w:t>
      </w:r>
      <w:r w:rsidR="00F062FB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result from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borrowing for expansion projects, operational needs, or refinancing existing obligations</w:t>
      </w:r>
      <w:r w:rsidR="00E02A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r w:rsidR="00E02A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Houston, 2020</w:t>
      </w:r>
      <w:r w:rsidR="00E02A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4989208" w14:textId="358820A8" w:rsidR="00E5350D" w:rsidRPr="00E5350D" w:rsidRDefault="00E5350D" w:rsidP="007A484A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Equity Trends</w:t>
      </w:r>
      <w:r w:rsidR="0009339E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09339E" w:rsidRPr="000933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(Capital)</w:t>
      </w:r>
      <w:r w:rsidRPr="000933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</w:t>
      </w:r>
      <w:r w:rsidR="000933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C271E89" w14:textId="2FCC9F48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equity has significantly decreased from £800,000 in 2021 to £400,000 in 2023. This decline could be attributed to consecutive years of net losses and potential equity financing or dividend payouts</w:t>
      </w:r>
      <w:r w:rsidR="00950D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(Atkinson et al., 2014)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03CB619D" w14:textId="77777777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Further Analysis:</w:t>
      </w:r>
    </w:p>
    <w:p w14:paraId="2C6C709E" w14:textId="4EDD183F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Leverage Ratio</w:t>
      </w:r>
      <w:r w:rsidR="00DE396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9632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leverage ratio </w:t>
      </w:r>
      <w:r w:rsidR="009632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indicates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its financial risk. This ratio measures the proportion of 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assets financed by debt. A rising leverage ratio indicates increased reliance on debt financing, which can amplify financial risks during economic downturns</w:t>
      </w:r>
      <w:r w:rsidR="00FB3C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(Shields, 2018</w:t>
      </w:r>
      <w:r w:rsidR="00E02A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; </w:t>
      </w:r>
      <w:r w:rsidR="00E02A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Houston, 2020</w:t>
      </w:r>
      <w:r w:rsidR="00FB3C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7293A29" w14:textId="58076618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Working Capital Management</w:t>
      </w:r>
      <w:r w:rsidR="00DE396A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.</w:t>
      </w:r>
      <w:r w:rsidR="00DE396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working capital trends to evaluate its ability to cover short-term obligations. A declining trend in working capital signal</w:t>
      </w:r>
      <w:r w:rsidR="0064672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liquidity challenges and the need for improved cash flow management</w:t>
      </w:r>
      <w:r w:rsidR="00FB3C4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(Brigham &amp; Ehrhardt, 2005; ACCA, 2015)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3A90BC9" w14:textId="2EE497DD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Interest Coverage Ratio</w:t>
      </w:r>
      <w:r w:rsidR="008F40A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indicates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8F40A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ability to service its debt obligations. A decreasing </w:t>
      </w:r>
      <w:r w:rsidR="00F062FB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percentage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indicate</w:t>
      </w:r>
      <w:r w:rsidR="0064672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financial distress and the potential inability to meet interest payments</w:t>
      </w:r>
      <w:r w:rsidR="004331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(Shields, 2018; Brigham &amp; Ehrhardt, 2005</w:t>
      </w:r>
      <w:r w:rsidR="009402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 ACCA, 2015</w:t>
      </w:r>
      <w:r w:rsidR="004331E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4331E2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7361681" w14:textId="6E4137D4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Return on Assets (ROA)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</w:t>
      </w: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Return on Equity (ROE)</w:t>
      </w:r>
      <w:r w:rsidR="00BA36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B537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refer to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profitability relative to its assets and equity. Declining ROA and ROE indicate inefficiencies in asset utili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ation or eroding shareholder value</w:t>
      </w:r>
      <w:r w:rsidR="00AC635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231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(Brigham &amp; Ehrhardt, 2005)</w:t>
      </w:r>
      <w:r w:rsidR="0012315B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F45B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an indicator of </w:t>
      </w:r>
      <w:r w:rsidR="00641CA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investment potential</w:t>
      </w:r>
      <w:r w:rsidR="0064672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641CA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ROE</w:t>
      </w:r>
      <w:r w:rsidR="00B466B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affected</w:t>
      </w:r>
      <w:r w:rsidR="005F78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by trading conditions (</w:t>
      </w:r>
      <w:r w:rsidR="005762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Atkinson et al</w:t>
      </w:r>
      <w:r w:rsidR="004927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57622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2B2EF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2014).</w:t>
      </w:r>
    </w:p>
    <w:p w14:paraId="4E7CC0F2" w14:textId="77777777" w:rsidR="001B60FD" w:rsidRPr="003A7CD6" w:rsidRDefault="001B60FD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19DE3504" w14:textId="094D23F4" w:rsidR="00E5350D" w:rsidRPr="001C3061" w:rsidRDefault="00E5350D" w:rsidP="001C3061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C306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Occupancy Rate and Average Room Rate</w:t>
      </w:r>
    </w:p>
    <w:tbl>
      <w:tblPr>
        <w:tblW w:w="8940" w:type="dxa"/>
        <w:tblCellSpacing w:w="1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06"/>
        <w:gridCol w:w="3537"/>
        <w:gridCol w:w="4297"/>
      </w:tblGrid>
      <w:tr w:rsidR="00E5350D" w:rsidRPr="00E5350D" w14:paraId="361CC4F9" w14:textId="77777777" w:rsidTr="00E5350D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7CA48F59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lastRenderedPageBreak/>
              <w:t>Year</w:t>
            </w:r>
          </w:p>
        </w:tc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501C52AD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Occupancy Rate</w:t>
            </w:r>
          </w:p>
        </w:tc>
        <w:tc>
          <w:tcPr>
            <w:tcW w:w="0" w:type="auto"/>
            <w:tcBorders>
              <w:top w:val="single" w:sz="6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699C8EBD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Average Room Rate</w:t>
            </w:r>
          </w:p>
        </w:tc>
      </w:tr>
      <w:tr w:rsidR="00E5350D" w:rsidRPr="00E5350D" w14:paraId="4ACC5C60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08BD55E8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2021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29569C4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65%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19075ECB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£260</w:t>
            </w:r>
          </w:p>
        </w:tc>
      </w:tr>
      <w:tr w:rsidR="00E5350D" w:rsidRPr="00E5350D" w14:paraId="7CB6B640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1D00A56B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2022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3CD6CBD8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60%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1756EC5F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£240</w:t>
            </w:r>
          </w:p>
        </w:tc>
      </w:tr>
      <w:tr w:rsidR="00E5350D" w:rsidRPr="00E5350D" w14:paraId="21232EB2" w14:textId="77777777" w:rsidTr="00E5350D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087AA8DE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2023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2" w:space="0" w:color="E3E3E3"/>
            </w:tcBorders>
            <w:vAlign w:val="bottom"/>
            <w:hideMark/>
          </w:tcPr>
          <w:p w14:paraId="64AD0A9D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50%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6" w:space="0" w:color="E3E3E3"/>
              <w:bottom w:val="single" w:sz="6" w:space="0" w:color="E3E3E3"/>
              <w:right w:val="single" w:sz="6" w:space="0" w:color="E3E3E3"/>
            </w:tcBorders>
            <w:vAlign w:val="bottom"/>
            <w:hideMark/>
          </w:tcPr>
          <w:p w14:paraId="5D7D0B31" w14:textId="77777777" w:rsidR="00E5350D" w:rsidRPr="00E5350D" w:rsidRDefault="00E5350D" w:rsidP="003A7CD6">
            <w:pPr>
              <w:spacing w:line="360" w:lineRule="auto"/>
              <w:jc w:val="both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5350D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£210</w:t>
            </w:r>
          </w:p>
        </w:tc>
      </w:tr>
    </w:tbl>
    <w:p w14:paraId="28D866AF" w14:textId="77777777" w:rsidR="001C3061" w:rsidRDefault="001C3061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5DC3189C" w14:textId="6F68F6FE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Key Insights:</w:t>
      </w:r>
    </w:p>
    <w:p w14:paraId="2094107C" w14:textId="77777777" w:rsidR="00E5350D" w:rsidRPr="00E5350D" w:rsidRDefault="00E5350D" w:rsidP="001C306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Occupancy Rate Trends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</w:t>
      </w:r>
    </w:p>
    <w:p w14:paraId="6B492987" w14:textId="1C7CB442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occupancy rate has </w:t>
      </w:r>
      <w:r w:rsidR="00A77D0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consistently declined over the three years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dropping from 65% in 2021 to 50% in 2023. This downward trend indicates challenges in attracting guests or maintaining consistent </w:t>
      </w:r>
      <w:r w:rsidR="00A77D0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accommodation demand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0CB20FE" w14:textId="071767FD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declining occupancy rate can </w:t>
      </w:r>
      <w:r w:rsidR="00A77D0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significantly affect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revenue generation, as fewer rooms are being booked and utili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ed by guests.</w:t>
      </w:r>
    </w:p>
    <w:p w14:paraId="3BBDA157" w14:textId="77777777" w:rsidR="00E5350D" w:rsidRPr="00E5350D" w:rsidRDefault="00E5350D" w:rsidP="001C3061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Average Room Rate Trends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</w:t>
      </w:r>
    </w:p>
    <w:p w14:paraId="74E36430" w14:textId="5707C1CA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average room rate has also experienced a decrease annually, declining from £260 in 2021 to £210 in 2023. This downward trend suggests pricing adjustments or changes in market dynamics that have impacted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room pricing strategy.</w:t>
      </w:r>
    </w:p>
    <w:p w14:paraId="5287809E" w14:textId="32E0FC7F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While reducing the average room rate might attract more guests and improve occupancy, </w:t>
      </w:r>
      <w:r w:rsidR="00A77D0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balancing pricing decisions with revenue optimisation and profitability objectives is essential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35E1EEA" w14:textId="77777777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Further Analysis:</w:t>
      </w:r>
    </w:p>
    <w:p w14:paraId="3CD4D7F7" w14:textId="5FA2534C" w:rsidR="00E5350D" w:rsidRPr="003A7CD6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Revenue per Available Room (RevPAR)</w:t>
      </w:r>
      <w:r w:rsidR="001C30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C30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</w:t>
      </w:r>
      <w:r w:rsidR="007312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RevPAR </w:t>
      </w:r>
      <w:r w:rsidR="007312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multiplying the occupancy rate by the average room rate</w:t>
      </w:r>
      <w:r w:rsidR="007312B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="00B80EB6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metric provides insight into 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="00B80EB6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ability to generate revenue from its available room inventory</w:t>
      </w:r>
      <w:r w:rsidR="004277C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(Brigham &amp; Ehrhardt, 2005)</w:t>
      </w:r>
      <w:r w:rsidR="00B80EB6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A declining RevPAR indicate a need for pricing adjustments or marketing initiatives to drive demand</w:t>
      </w:r>
      <w:r w:rsidR="004277C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(id.)</w:t>
      </w:r>
      <w:r w:rsidR="00B80EB6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B80EB6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declining trend in both occupancy </w:t>
      </w:r>
      <w:r w:rsidR="00A77D0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 average room rates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results in a decreasing RevPAR, highlighting the need for strategic interventions to improve revenue performance</w:t>
      </w:r>
      <w:r w:rsidR="006B5A7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231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(Atkinson et al</w:t>
      </w:r>
      <w:r w:rsidR="004927C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1231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2014).</w:t>
      </w:r>
    </w:p>
    <w:p w14:paraId="5EB6C4DA" w14:textId="4AECBE69" w:rsidR="00B80EB6" w:rsidRPr="00E5350D" w:rsidRDefault="00B80EB6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>Yield Management Analysis</w:t>
      </w:r>
      <w:r w:rsidR="00CC322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refers to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Lodge's effectiveness in generating management strategies to optimise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room pricing based on demand fluctuations.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ynamic pricing strategies </w:t>
      </w:r>
      <w:r w:rsidR="00C1690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(Gemmel et al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C1690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2013)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can help maximi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 revenue by adjusting room rates in real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-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time according to demand levels and market conditions.</w:t>
      </w:r>
    </w:p>
    <w:p w14:paraId="38635534" w14:textId="77777777" w:rsidR="00E90782" w:rsidRDefault="00E90782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ABB09B5" w14:textId="6E57B196" w:rsidR="00A81DF1" w:rsidRPr="00E5350D" w:rsidRDefault="00A81DF1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 further analyses the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additional financial information provided for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 performance over the past three years:</w:t>
      </w:r>
    </w:p>
    <w:p w14:paraId="43C78170" w14:textId="77777777" w:rsidR="00F953F4" w:rsidRDefault="00F953F4" w:rsidP="00F953F4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168ECEEA" w14:textId="77777777" w:rsidR="002C3FE0" w:rsidRDefault="002C3FE0" w:rsidP="00F953F4">
      <w:pPr>
        <w:pStyle w:val="ListParagraph"/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4D1EF3EB" w14:textId="25BA2285" w:rsidR="006E688B" w:rsidRPr="00D172C2" w:rsidRDefault="006E688B" w:rsidP="00D172C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Analysis of</w:t>
      </w:r>
      <w:r w:rsidR="00F953F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Seacrest </w:t>
      </w:r>
      <w:r w:rsidR="00C27573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'</w:t>
      </w:r>
      <w:r w:rsidR="00F953F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</w:t>
      </w: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financial data linked to relevant theories</w:t>
      </w:r>
      <w:r w:rsidR="00F953F4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.</w:t>
      </w:r>
    </w:p>
    <w:p w14:paraId="1E52BB9C" w14:textId="7584EF13" w:rsidR="001A267C" w:rsidRDefault="00A34A7D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</w:p>
    <w:p w14:paraId="6773CDFF" w14:textId="4D24F834" w:rsidR="00D9475C" w:rsidRPr="003A7CD6" w:rsidRDefault="00E5350D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Revenue Management Theory (Financial Perspective)</w:t>
      </w:r>
    </w:p>
    <w:p w14:paraId="64A594DF" w14:textId="22617440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experienced a declining average room rate over the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last three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years (£260 in 2021 to £210 in 2023) alongside a decreasing occupancy rate (65% in 2021 to 50% in 2023). This indicates a potential revenue management challenge.</w:t>
      </w:r>
      <w:r w:rsidR="00D9475C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Revenue management theory emphasi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 optimi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 pricing and inventory allocation to maximi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 revenue</w:t>
      </w:r>
      <w:r w:rsidR="005A5B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r w:rsidR="004318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Brigham &amp; Ehrhardt, 2005; </w:t>
      </w:r>
      <w:r w:rsidR="005A5B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Gemmel</w:t>
      </w:r>
      <w:r w:rsidR="00C1690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et al., 2013</w:t>
      </w:r>
      <w:r w:rsidR="003C7DD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3C7DD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could apply dynamic pricing strategies</w:t>
      </w:r>
      <w:r w:rsidR="00A34A7D" w:rsidRPr="00A34A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A34A7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(Armstrong et al., 2015)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such as adjusting room rates based on demand fluctuations, to optimi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 revenue despite changes in occupancy rates.</w:t>
      </w:r>
    </w:p>
    <w:p w14:paraId="3F4D1643" w14:textId="31E55036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Customer Lifetime Value (CLV) Theory (Marketing Perspective):</w:t>
      </w:r>
    </w:p>
    <w:p w14:paraId="60BB7C77" w14:textId="0FB58E46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faced a decline in both occupancy </w:t>
      </w:r>
      <w:r w:rsidR="00536F66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 average room rates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which could indicate challenges in retaining customers and maximi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 their lifetime value.</w:t>
      </w:r>
      <w:r w:rsidR="00D9475C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CLV theory focuses on understanding and maximi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 the long-term value of customers</w:t>
      </w:r>
      <w:r w:rsidR="007B7E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(Gemmel et al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7B7E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2013)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By enhancing the guest experience, implementing loyalty programs, and fostering customer relationships</w:t>
      </w:r>
      <w:r w:rsidR="0082142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7B7E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82142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Armstrong et al., </w:t>
      </w:r>
      <w:r w:rsidR="00140FB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2015)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increase customer retention and lifetime value, ultimately driving sustainable revenue growth.</w:t>
      </w:r>
    </w:p>
    <w:p w14:paraId="13A2CC28" w14:textId="362F2431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Cost-Volume-Profit (CVP) Analysis (Financial Perspective):</w:t>
      </w:r>
    </w:p>
    <w:p w14:paraId="07DA0715" w14:textId="783C34FB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experienced a decline in net income, reaching a loss of £150,000 in 2023, despite fluctuating revenue and operating expenses.</w:t>
      </w:r>
      <w:r w:rsidR="00D8612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CVP analysis examines the relationship between costs, revenue, and profit to assess the financial performance of a business.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could conduct </w:t>
      </w:r>
      <w:r w:rsidR="002B628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CVP analysis to determine its breakeven point, assess cost structure, and identify opportunities to improve profitability through cost reduction or revenue enhancement strategies</w:t>
      </w:r>
      <w:r w:rsidR="002036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(Brigham &amp; Ehrhardt, 2005)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24E612F" w14:textId="4DFB88DA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Brand Equity Theory (Marketing Perspective):</w:t>
      </w:r>
    </w:p>
    <w:p w14:paraId="3FB3F356" w14:textId="3699F2E2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aims to revitali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 its reputation as a premier vacation destination amidst declining financial performance.</w:t>
      </w:r>
      <w:r w:rsidR="0011047B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Brand equity theory emphasi</w:t>
      </w:r>
      <w:r w:rsidR="00C4299D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 the value and strength of a brand in influencing customer perceptions and purchase decisions</w:t>
      </w:r>
      <w:r w:rsidR="002036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r w:rsidR="00C11C9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Armstrong et al., 201</w:t>
      </w:r>
      <w:r w:rsidR="001521F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5)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I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nvesting in marketing, customer experience enhancements, and community engagement,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can build brand equity, attract more guests, and command premium pricing, ultimately driving revenue growth and profitability.</w:t>
      </w:r>
    </w:p>
    <w:p w14:paraId="758B1037" w14:textId="2CE6E3FF" w:rsidR="00E5350D" w:rsidRP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Capital Structure Theory (Financial Perspective):</w:t>
      </w:r>
    </w:p>
    <w:p w14:paraId="7F3844A5" w14:textId="7DC2B8E5" w:rsidR="00E5350D" w:rsidRDefault="00E5350D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has seen a steady rise in long-term debt (£600,000 in 2021 to £700,000 in 2023), contributing to its declining equity.</w:t>
      </w:r>
      <w:r w:rsidR="00EB0B16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Capital structure theory examines </w:t>
      </w:r>
      <w:r w:rsidR="00E4705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 company's mix of debt and equity financing</w:t>
      </w:r>
      <w:r w:rsidR="00D14C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(Brigham &amp; Ehrhardt, 2005</w:t>
      </w:r>
      <w:r w:rsidR="009A33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could assess its capital structure to determine the optimal balance between debt and equity to support its growth objectives while managing financial risk and maintaining financial flexibility</w:t>
      </w:r>
      <w:r w:rsidR="004A2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(SBL, 2018</w:t>
      </w:r>
      <w:r w:rsidR="00EF72D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 Brigham &amp; Ehrhardt, 2005</w:t>
      </w:r>
      <w:r w:rsidR="004A26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B3058BE" w14:textId="38C87F85" w:rsidR="00C25141" w:rsidRPr="003A7CD6" w:rsidRDefault="00CF6AA0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It is also important to understand that financial indicators are only one way to </w:t>
      </w:r>
      <w:r w:rsidR="00BD25C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assess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 busines</w:t>
      </w:r>
      <w:r w:rsidR="006F13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s. </w:t>
      </w:r>
      <w:r w:rsidR="006C66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Several non-financial indicators of success  can also be analysed and used</w:t>
      </w:r>
      <w:r w:rsidR="002568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predictors of future cash</w:t>
      </w:r>
      <w:r w:rsidR="006C66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568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flows in the long run (Campbel</w:t>
      </w:r>
      <w:r w:rsidR="00F873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</w:t>
      </w:r>
      <w:r w:rsidR="002568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et al. 2011</w:t>
      </w:r>
      <w:r w:rsidR="001F76E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</w:t>
      </w:r>
      <w:r w:rsidR="00F873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Kaplan and Norton</w:t>
      </w:r>
      <w:r w:rsidR="006C66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introduced</w:t>
      </w:r>
      <w:r w:rsidR="007153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C66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bala</w:t>
      </w:r>
      <w:r w:rsidR="007153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nce</w:t>
      </w:r>
      <w:r w:rsidR="00AD1C0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</w:t>
      </w:r>
      <w:r w:rsidR="007153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scorecard</w:t>
      </w:r>
      <w:r w:rsidR="00F873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</w:t>
      </w:r>
      <w:r w:rsidR="003419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1992 </w:t>
      </w:r>
      <w:r w:rsidR="007153A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as </w:t>
      </w:r>
      <w:r w:rsidR="003419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tool for managers to examine </w:t>
      </w:r>
      <w:r w:rsidR="00C13F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various</w:t>
      </w:r>
      <w:r w:rsidR="003419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indicators of success</w:t>
      </w:r>
      <w:r w:rsidR="00C13F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for a business</w:t>
      </w:r>
      <w:r w:rsidR="00BD25C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(id.)</w:t>
      </w:r>
      <w:r w:rsidR="00C13F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E433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It analyses the financial indicat</w:t>
      </w:r>
      <w:r w:rsidR="007F07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ors, </w:t>
      </w:r>
      <w:r w:rsidR="00EA08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behaviour</w:t>
      </w:r>
      <w:r w:rsidR="007F076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customer loyalty, internal business processes and the </w:t>
      </w:r>
      <w:r w:rsidR="00EA08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learning and growth aspect</w:t>
      </w:r>
      <w:r w:rsidR="00AD1C0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EA08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E5F1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like</w:t>
      </w:r>
      <w:r w:rsidR="00EA085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entrepreneurship and innovation</w:t>
      </w:r>
      <w:r w:rsidR="00C5419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The</w:t>
      </w:r>
      <w:r w:rsidR="008C5E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growth of market share (a customer indicator)</w:t>
      </w:r>
      <w:r w:rsidR="00C5419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C2FF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is seen as more important than short</w:t>
      </w:r>
      <w:r w:rsidR="00F20B3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-</w:t>
      </w:r>
      <w:r w:rsidR="00FC2FF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term financial indicators. </w:t>
      </w:r>
      <w:r w:rsidR="00C3737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 the case of the </w:t>
      </w:r>
      <w:r w:rsidR="006524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486C4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C3737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we can see a decrease in customer loyalty</w:t>
      </w:r>
      <w:r w:rsidR="00B07E2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/ market share</w:t>
      </w:r>
      <w:r w:rsidR="00C3737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the </w:t>
      </w:r>
      <w:r w:rsidR="006524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occupancy rate decrease</w:t>
      </w:r>
      <w:r w:rsidR="003253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65247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7F8EE210" w14:textId="77777777" w:rsidR="00864827" w:rsidRPr="003A7CD6" w:rsidRDefault="00864827" w:rsidP="003A7CD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01829FB" w14:textId="0919FA94" w:rsidR="00364A5F" w:rsidRPr="00D172C2" w:rsidRDefault="00364A5F" w:rsidP="00D172C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Recommendations </w:t>
      </w:r>
      <w:r w:rsidR="008C08B4"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for a</w:t>
      </w: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</w:t>
      </w:r>
      <w:r w:rsidR="008C08B4"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</w:t>
      </w: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omprehensive </w:t>
      </w:r>
      <w:r w:rsidR="008C08B4"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</w:t>
      </w: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urnaround </w:t>
      </w:r>
      <w:r w:rsidR="008C08B4"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</w:t>
      </w: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trategy</w:t>
      </w:r>
    </w:p>
    <w:p w14:paraId="5A0F4372" w14:textId="2EE028D8" w:rsidR="00364A5F" w:rsidRPr="00E5350D" w:rsidRDefault="00364A5F" w:rsidP="00D172C2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Cost Optimi</w:t>
      </w:r>
      <w:r w:rsidRPr="003A7CD6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ation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</w:t>
      </w:r>
      <w:r w:rsidR="00F20B3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he report proposes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 thorough review of all expenses to identify areas where costs can be reduced without compromising service quality. This might include renegotiating supplier contracts, optimi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 staffing levels, or implementing energy-saving measures to reduce utility bills</w:t>
      </w:r>
      <w:r w:rsidR="004623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(SBL, 2018</w:t>
      </w:r>
      <w:r w:rsidR="00AE517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 Brigham &amp; Ehrhardt, 2005</w:t>
      </w:r>
      <w:r w:rsidR="006949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).</w:t>
      </w:r>
    </w:p>
    <w:p w14:paraId="6E0DCCFC" w14:textId="0B0F38F0" w:rsidR="00CC780E" w:rsidRPr="00D172C2" w:rsidRDefault="00CC780E" w:rsidP="00CC780E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172C2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Revenue Management Strategies</w:t>
      </w:r>
      <w:r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833C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 suggests i</w:t>
      </w:r>
      <w:r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mplementing dynamic pricing </w:t>
      </w:r>
      <w:r w:rsidR="006949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(Baines et al., 2017</w:t>
      </w:r>
      <w:r w:rsidR="00F20B3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</w:t>
      </w:r>
      <w:r w:rsidR="00EF4CC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Armstrong et al., 2015</w:t>
      </w:r>
      <w:r w:rsidR="006949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revenue management techniques </w:t>
      </w:r>
      <w:r w:rsidR="00833C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</w:t>
      </w:r>
      <w:r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optimise room pricing based on demand fluctuations, market dynamics, and competitor actions</w:t>
      </w:r>
      <w:r w:rsidR="0016416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(Armstrong et al., 2015)</w:t>
      </w:r>
      <w:r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This approach can help maximise revenue and profitability by aligning pricing with demand levels.</w:t>
      </w:r>
      <w:r w:rsidR="0057507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C0D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According to </w:t>
      </w:r>
      <w:r w:rsidR="0057507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Hills et al.</w:t>
      </w:r>
      <w:r w:rsidR="00BC0D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(2020)</w:t>
      </w:r>
      <w:r w:rsidR="00322B1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BC0D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AA53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r w:rsidR="00AB43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="00AA53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is suggested that a harvest strategy will</w:t>
      </w:r>
      <w:r w:rsidR="000936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reduce the business cost structure and extract the maximum profits from its assets</w:t>
      </w:r>
      <w:r w:rsidR="00BE55D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optimising cash flow.</w:t>
      </w:r>
    </w:p>
    <w:p w14:paraId="169B4E46" w14:textId="27CE8ADD" w:rsidR="00364A5F" w:rsidRPr="00E5350D" w:rsidRDefault="00364A5F" w:rsidP="00D172C2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Revenue Diversification</w:t>
      </w:r>
      <w:r w:rsidR="00AF42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reports propose 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xplor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new revenue streams or innovative services to attract more guests and increase revenue</w:t>
      </w:r>
      <w:r w:rsidR="0076655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(Baines et al., 2017)</w:t>
      </w:r>
      <w:r w:rsidR="00766554"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This could involve offering packages for special events, collaborating with local tour operators, or introducing additional amenities to enhance the guest experience.</w:t>
      </w:r>
    </w:p>
    <w:p w14:paraId="70C08351" w14:textId="6C33A947" w:rsidR="00AF42DE" w:rsidRDefault="00364A5F" w:rsidP="00AF42DE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Marketing</w:t>
      </w:r>
      <w:r w:rsidR="006803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, </w:t>
      </w:r>
      <w:r w:rsidR="00160326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M</w:t>
      </w:r>
      <w:r w:rsidR="006803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arket </w:t>
      </w:r>
      <w:r w:rsidR="00160326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P</w:t>
      </w:r>
      <w:r w:rsidR="00680371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ositioning</w:t>
      </w: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 xml:space="preserve"> and Branding</w:t>
      </w:r>
      <w:r w:rsidR="00AF42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AF42DE" w:rsidRPr="00CE442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 recommends</w:t>
      </w:r>
      <w:r w:rsidR="00AF42DE"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AF42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</w:t>
      </w:r>
      <w:r w:rsidR="00AF42DE"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ssess</w:t>
      </w:r>
      <w:r w:rsidR="00AF42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</w:t>
      </w:r>
      <w:r w:rsidR="00AF42DE"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="00AF42DE"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market positioning and branding to </w:t>
      </w:r>
      <w:r w:rsidR="00A1377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align with target customer segments and market preferences, adjusting marketing message, promotional activities, and service offerings to </w:t>
      </w:r>
      <w:r w:rsidR="00B744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communicate value and differentiate from competitors effectively</w:t>
      </w:r>
      <w:r w:rsidR="007C36D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(Baines et al., </w:t>
      </w:r>
      <w:r w:rsidR="007F24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2017)</w:t>
      </w:r>
      <w:r w:rsidR="00AF42DE" w:rsidRPr="00D172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F168F72" w14:textId="0B48D3E1" w:rsidR="00364A5F" w:rsidRDefault="00364A5F" w:rsidP="00D172C2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report </w:t>
      </w:r>
      <w:r w:rsidR="00B744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also proposes</w:t>
      </w:r>
      <w:r w:rsidR="00AF42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nvest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comprehensive marketing campaign</w:t>
      </w:r>
      <w:r w:rsidR="00766554" w:rsidRPr="000A75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0A7505" w:rsidRPr="000A75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A7505" w:rsidRPr="000A7505">
        <w:rPr>
          <w:rFonts w:ascii="Arial" w:hAnsi="Arial" w:cs="Arial"/>
          <w:color w:val="111111"/>
          <w:spacing w:val="1"/>
          <w:sz w:val="24"/>
          <w:szCs w:val="24"/>
          <w:shd w:val="clear" w:color="auto" w:fill="FFFFFF"/>
        </w:rPr>
        <w:t xml:space="preserve">to create </w:t>
      </w:r>
      <w:r w:rsidR="00B74489">
        <w:rPr>
          <w:rFonts w:ascii="Arial" w:hAnsi="Arial" w:cs="Arial"/>
          <w:color w:val="111111"/>
          <w:spacing w:val="1"/>
          <w:sz w:val="24"/>
          <w:szCs w:val="24"/>
          <w:shd w:val="clear" w:color="auto" w:fill="FFFFFF"/>
        </w:rPr>
        <w:t xml:space="preserve">a </w:t>
      </w:r>
      <w:r w:rsidR="000A7505" w:rsidRPr="000A7505">
        <w:rPr>
          <w:rFonts w:ascii="Arial" w:hAnsi="Arial" w:cs="Arial"/>
          <w:color w:val="111111"/>
          <w:spacing w:val="1"/>
          <w:sz w:val="24"/>
          <w:szCs w:val="24"/>
          <w:shd w:val="clear" w:color="auto" w:fill="FFFFFF"/>
        </w:rPr>
        <w:t>brand</w:t>
      </w:r>
      <w:r w:rsidR="00013116">
        <w:rPr>
          <w:rFonts w:ascii="Arial" w:hAnsi="Arial" w:cs="Arial"/>
          <w:color w:val="111111"/>
          <w:spacing w:val="1"/>
          <w:sz w:val="24"/>
          <w:szCs w:val="24"/>
          <w:shd w:val="clear" w:color="auto" w:fill="FFFFFF"/>
        </w:rPr>
        <w:t xml:space="preserve"> </w:t>
      </w:r>
      <w:r w:rsidR="007F246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(id.)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A75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to reposition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a premier </w:t>
      </w:r>
      <w:r w:rsidR="00B7448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tourist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destination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employing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digital marketing channels, social media platforms, and partnerships with travel influencers</w:t>
      </w:r>
      <w:r w:rsidR="00777FA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(Armstrong et al., 2015)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reach a wider audience and attract more visitors.</w:t>
      </w:r>
    </w:p>
    <w:p w14:paraId="28FC052C" w14:textId="7567A183" w:rsidR="00833C39" w:rsidRPr="00262318" w:rsidRDefault="00833C39" w:rsidP="00833C39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231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Customer Segmentation</w:t>
      </w:r>
      <w:r w:rsidR="00C442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The report</w:t>
      </w:r>
      <w:r w:rsidR="00C23C6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indicates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23C6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nalys</w:t>
      </w:r>
      <w:r w:rsidR="00C23C6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30D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guests to identify key customer segments and their preferences</w:t>
      </w:r>
      <w:r w:rsidR="00130D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then adapting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marketing efforts and service offerings to specific customer segments</w:t>
      </w:r>
      <w:r w:rsidR="00DA0E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r w:rsidR="001A3A8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Campbell et al., 2011</w:t>
      </w:r>
      <w:r w:rsidR="0076655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; Baines et al., </w:t>
      </w:r>
      <w:r w:rsidR="0076655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2017</w:t>
      </w:r>
      <w:r w:rsidR="008772D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</w:t>
      </w:r>
      <w:r w:rsidR="001B0C4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Gemmel et al</w:t>
      </w:r>
      <w:r w:rsidR="008772D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1B0C4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8772D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2013</w:t>
      </w:r>
      <w:r w:rsidR="0076655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30D3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attract and retain guests, ultimately improving occupancy rates and revenue.</w:t>
      </w:r>
    </w:p>
    <w:p w14:paraId="7F89F535" w14:textId="38B46D01" w:rsidR="00364A5F" w:rsidRDefault="00364A5F" w:rsidP="00D172C2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Customer Experience Enhancement</w:t>
      </w:r>
      <w:r w:rsidR="00794B7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C32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he report suggests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improving customer satisfaction</w:t>
      </w:r>
      <w:r w:rsidR="007137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 enhancing the overall guest experience</w:t>
      </w:r>
      <w:r w:rsidR="00D338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(Brassington and Pettit, 2013)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This </w:t>
      </w:r>
      <w:r w:rsidR="00684817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includes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staff training programs, refurbishing facilities, or introducing personali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ed services to cater to </w:t>
      </w:r>
      <w:r w:rsidR="008B77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guests' diverse need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s.</w:t>
      </w:r>
    </w:p>
    <w:p w14:paraId="039B9D73" w14:textId="7CC688B7" w:rsidR="0065446A" w:rsidRPr="00262318" w:rsidRDefault="0065446A" w:rsidP="00262318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62318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Competitive Benchmarking</w:t>
      </w:r>
      <w:r w:rsidR="002471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851E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="00794B7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he report </w:t>
      </w:r>
      <w:r w:rsidR="006848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proposes 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68481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benchmark its </w:t>
      </w:r>
      <w:r w:rsidR="00684817"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performance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against regional competitors to identify competitive advantage and improvement areas</w:t>
      </w:r>
      <w:r w:rsidR="00DD415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(Campbell et al., 2011)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Benchmarking against industry peers can provide valuable insights for strategic decision-making</w:t>
      </w:r>
      <w:r w:rsidR="00CB210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(W</w:t>
      </w:r>
      <w:r w:rsidR="007D12B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hittington et al., 2023)</w:t>
      </w:r>
      <w:r w:rsidRPr="0026231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A90E890" w14:textId="7A273AE7" w:rsidR="00364A5F" w:rsidRPr="00E5350D" w:rsidRDefault="00364A5F" w:rsidP="00262318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Financial Restructuring</w:t>
      </w:r>
      <w:r w:rsidR="002471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 proposes w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ork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with financial experts to restructure existing debts, renegotiate loan terms, or explore alternative financing options to improve cash flow and reduce financial strain on the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="0086420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</w:t>
      </w:r>
      <w:r w:rsidR="00253B5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SBL</w:t>
      </w:r>
      <w:r w:rsidR="0086420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2018</w:t>
      </w:r>
      <w:r w:rsidR="003139B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; </w:t>
      </w:r>
      <w:r w:rsidR="00D073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Ehrhardt, 2005</w:t>
      </w:r>
      <w:r w:rsidR="008B77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</w:t>
      </w:r>
      <w:r w:rsidR="000C01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C01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 &amp; Houston</w:t>
      </w:r>
      <w:r w:rsidR="000C01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2020</w:t>
      </w:r>
      <w:r w:rsidR="00D073C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436D552" w14:textId="63AF9EDC" w:rsidR="00364A5F" w:rsidRPr="00E5350D" w:rsidRDefault="00364A5F" w:rsidP="00262318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Community Engagement</w:t>
      </w:r>
      <w:r w:rsidR="002471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report encourages </w:t>
      </w:r>
      <w:r w:rsidR="008B77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strengthening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ties with the local community through partnerships, sponsorships, or participation in community events</w:t>
      </w:r>
      <w:r w:rsidR="005117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AD33F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(Thom</w:t>
      </w:r>
      <w:r w:rsidR="00C339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pson et al., </w:t>
      </w:r>
      <w:r w:rsidR="0051172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2022)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This </w:t>
      </w:r>
      <w:r w:rsidR="002471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will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47175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foster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goodwill </w:t>
      </w:r>
      <w:r w:rsidR="008B77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</w:t>
      </w:r>
      <w:r w:rsidR="002471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attract visitors who appreciate socially responsible businesses</w:t>
      </w:r>
      <w:r w:rsidR="00310EC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(Strategy, CSR</w:t>
      </w:r>
      <w:r w:rsidR="000943F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Environmental sustainability in id.)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6A2920A" w14:textId="68AA0AE4" w:rsidR="00364A5F" w:rsidRPr="00E5350D" w:rsidRDefault="00364A5F" w:rsidP="00262318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Continuous Monitoring and Adaptation</w:t>
      </w:r>
      <w:r w:rsidR="0024717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The report recommend</w:t>
      </w:r>
      <w:r w:rsidR="00A9114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mplement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ing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 system for regular monitoring of financial performance metrics and guest feedback</w:t>
      </w:r>
      <w:r w:rsidR="00A12F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(ACCA, 2015</w:t>
      </w:r>
      <w:r w:rsidR="00F92C6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 SBL, 2018</w:t>
      </w:r>
      <w:r w:rsidR="00A12F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This 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will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allow timely adjustments to the turnaround strategy based on evolving market conditions and guest preferences.</w:t>
      </w:r>
    </w:p>
    <w:p w14:paraId="35C96F03" w14:textId="59AB2C91" w:rsidR="00364A5F" w:rsidRDefault="00364A5F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By implementing these strategic initiatives, Seacrest </w:t>
      </w:r>
      <w:r w:rsidR="00C275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Lodge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F1CA2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can develop targeted initiatives to address the declining occupancy </w:t>
      </w:r>
      <w:r w:rsidR="00EF1CA2"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and average room rates</w:t>
      </w:r>
      <w:r w:rsidR="00802A1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</w:t>
      </w:r>
      <w:r w:rsidR="00EF1CA2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02C6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ultimately, it</w:t>
      </w:r>
      <w:r w:rsidR="00EF1CA2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</w:t>
      </w:r>
      <w:r w:rsidR="00EF1CA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 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revitali</w:t>
      </w:r>
      <w:r w:rsidRPr="003A7C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 its financial health, restore its reputation as a premier vacation destination, </w:t>
      </w:r>
      <w:r w:rsidR="00576FDE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enhanc</w:t>
      </w:r>
      <w:r w:rsidR="00597E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</w:t>
      </w:r>
      <w:r w:rsidR="00576FDE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revenue performance</w:t>
      </w:r>
      <w:r w:rsidR="002A537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576FDE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A537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 </w:t>
      </w:r>
      <w:r w:rsidR="00576FDE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restor</w:t>
      </w:r>
      <w:r w:rsidR="00597E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</w:t>
      </w:r>
      <w:r w:rsidR="00576FDE" w:rsidRPr="00E535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profitability</w:t>
      </w:r>
      <w:r w:rsidR="002A537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3978932" w14:textId="77777777" w:rsidR="009C01FC" w:rsidRDefault="009C01F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0190C586" w14:textId="46166117" w:rsidR="00B2716E" w:rsidRPr="00262318" w:rsidRDefault="00303E41" w:rsidP="00262318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2318">
        <w:rPr>
          <w:rFonts w:ascii="Arial" w:hAnsi="Arial" w:cs="Arial"/>
          <w:b/>
          <w:bCs/>
          <w:sz w:val="24"/>
          <w:szCs w:val="24"/>
        </w:rPr>
        <w:lastRenderedPageBreak/>
        <w:t>Conclusion:</w:t>
      </w:r>
      <w:r w:rsidRPr="00262318">
        <w:rPr>
          <w:rFonts w:ascii="Arial" w:hAnsi="Arial" w:cs="Arial"/>
          <w:sz w:val="24"/>
          <w:szCs w:val="24"/>
        </w:rPr>
        <w:t xml:space="preserve"> </w:t>
      </w:r>
    </w:p>
    <w:p w14:paraId="7041FB96" w14:textId="5A555FAD" w:rsidR="00303E41" w:rsidRDefault="00303E41" w:rsidP="00303E4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7803">
        <w:rPr>
          <w:rFonts w:ascii="Arial" w:hAnsi="Arial" w:cs="Arial"/>
          <w:sz w:val="24"/>
          <w:szCs w:val="24"/>
        </w:rPr>
        <w:t xml:space="preserve">Seacrest </w:t>
      </w:r>
      <w:r w:rsidR="00C27573">
        <w:rPr>
          <w:rFonts w:ascii="Arial" w:hAnsi="Arial" w:cs="Arial"/>
          <w:sz w:val="24"/>
          <w:szCs w:val="24"/>
        </w:rPr>
        <w:t>Lodge</w:t>
      </w:r>
      <w:r w:rsidRPr="004D7803">
        <w:rPr>
          <w:rFonts w:ascii="Arial" w:hAnsi="Arial" w:cs="Arial"/>
          <w:sz w:val="24"/>
          <w:szCs w:val="24"/>
        </w:rPr>
        <w:t xml:space="preserve"> faces critical challenges in restoring its financial health and competitiveness in the </w:t>
      </w:r>
      <w:r w:rsidR="00A07809">
        <w:rPr>
          <w:rFonts w:ascii="Arial" w:hAnsi="Arial" w:cs="Arial"/>
          <w:sz w:val="24"/>
          <w:szCs w:val="24"/>
        </w:rPr>
        <w:t>tourism</w:t>
      </w:r>
      <w:r w:rsidRPr="004D7803">
        <w:rPr>
          <w:rFonts w:ascii="Arial" w:hAnsi="Arial" w:cs="Arial"/>
          <w:sz w:val="24"/>
          <w:szCs w:val="24"/>
        </w:rPr>
        <w:t xml:space="preserve"> destination market. By implementing strategic initiatives to address revenue optimi</w:t>
      </w:r>
      <w:r w:rsidR="001E209A">
        <w:rPr>
          <w:rFonts w:ascii="Arial" w:hAnsi="Arial" w:cs="Arial"/>
          <w:sz w:val="24"/>
          <w:szCs w:val="24"/>
        </w:rPr>
        <w:t>s</w:t>
      </w:r>
      <w:r w:rsidRPr="004D7803">
        <w:rPr>
          <w:rFonts w:ascii="Arial" w:hAnsi="Arial" w:cs="Arial"/>
          <w:sz w:val="24"/>
          <w:szCs w:val="24"/>
        </w:rPr>
        <w:t xml:space="preserve">ation, cost control, and customer experience enhancement, the </w:t>
      </w:r>
      <w:r w:rsidR="00C27573">
        <w:rPr>
          <w:rFonts w:ascii="Arial" w:hAnsi="Arial" w:cs="Arial"/>
          <w:sz w:val="24"/>
          <w:szCs w:val="24"/>
        </w:rPr>
        <w:t>Lodge</w:t>
      </w:r>
      <w:r w:rsidRPr="004D7803">
        <w:rPr>
          <w:rFonts w:ascii="Arial" w:hAnsi="Arial" w:cs="Arial"/>
          <w:sz w:val="24"/>
          <w:szCs w:val="24"/>
        </w:rPr>
        <w:t xml:space="preserve"> can pave the way for sustainable growth and profitability in the long term.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83DCE6E" w14:textId="0467B5D9" w:rsidR="00E678C5" w:rsidRDefault="00E678C5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br w:type="page"/>
      </w:r>
    </w:p>
    <w:p w14:paraId="19B7FC16" w14:textId="5B51156C" w:rsidR="00E90782" w:rsidRDefault="006D5527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6D552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lastRenderedPageBreak/>
        <w:t>References</w:t>
      </w:r>
    </w:p>
    <w:p w14:paraId="35F2148D" w14:textId="77777777" w:rsidR="00F744EF" w:rsidRDefault="00F744EF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43340F6D" w14:textId="77777777" w:rsidR="002C01BD" w:rsidRDefault="00196E36" w:rsidP="002C01BD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ACCA, </w:t>
      </w:r>
      <w:r w:rsidR="003352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(2015). </w:t>
      </w:r>
      <w:r w:rsidR="0033529D" w:rsidRPr="002C01B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Accountant in Business</w:t>
      </w:r>
      <w:r w:rsidR="003352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2C01B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London:</w:t>
      </w:r>
      <w:r w:rsidR="003352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C01B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BPP Learning Media Ltd</w:t>
      </w:r>
    </w:p>
    <w:p w14:paraId="350ECAB2" w14:textId="5BDCFE2B" w:rsidR="00AC4958" w:rsidRPr="00AC4958" w:rsidRDefault="00AC4958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AC495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Armstrong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G., et al., </w:t>
      </w:r>
      <w:r w:rsidR="00822F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(2015). </w:t>
      </w:r>
      <w:r w:rsidR="00822F67" w:rsidRPr="000E670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Marketing, an Introduction</w:t>
      </w:r>
      <w:r w:rsidR="000E670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3</w:t>
      </w:r>
      <w:r w:rsidR="000E6701" w:rsidRPr="000E6701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rd</w:t>
      </w:r>
      <w:r w:rsidR="000E670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ed, Harlow: Pearson</w:t>
      </w:r>
    </w:p>
    <w:p w14:paraId="26A03B0D" w14:textId="0E526C99" w:rsidR="00351A5A" w:rsidRDefault="00351A5A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Atkinson</w:t>
      </w:r>
      <w:r w:rsidR="00822F6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et al., (2014). </w:t>
      </w:r>
      <w:r w:rsidR="00472133" w:rsidRPr="001E522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The </w:t>
      </w:r>
      <w:r w:rsidR="001E522A" w:rsidRPr="001E522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</w:t>
      </w:r>
      <w:r w:rsidR="00472133" w:rsidRPr="001E522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usiness Book</w:t>
      </w:r>
      <w:r w:rsidR="004721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London: Cobalt ID</w:t>
      </w:r>
    </w:p>
    <w:p w14:paraId="20765311" w14:textId="11E9BD29" w:rsidR="00504B5E" w:rsidRDefault="00504B5E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Baines, P</w:t>
      </w:r>
      <w:r w:rsidR="000D09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et al., (2017). </w:t>
      </w:r>
      <w:r w:rsidR="000D0900" w:rsidRPr="00216E7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Marketing</w:t>
      </w:r>
      <w:r w:rsidR="000D09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4</w:t>
      </w:r>
      <w:r w:rsidR="000D0900" w:rsidRPr="000D0900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0D090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 </w:t>
      </w:r>
      <w:r w:rsidR="00216E7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Oxford: Oxford University Press</w:t>
      </w:r>
    </w:p>
    <w:p w14:paraId="62CF7723" w14:textId="6CBC3C72" w:rsidR="00216E79" w:rsidRDefault="00216E79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Brassington</w:t>
      </w:r>
      <w:r w:rsidR="00D872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F., &amp; Pettitt, </w:t>
      </w:r>
      <w:r w:rsidR="00AE6D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S. (2013). </w:t>
      </w:r>
      <w:r w:rsidR="00AE6DDE" w:rsidRPr="00AE6DD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Essentials of marketing</w:t>
      </w:r>
      <w:r w:rsidR="00AE6D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3</w:t>
      </w:r>
      <w:r w:rsidR="00AE6DDE" w:rsidRPr="00AE6DDE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rd</w:t>
      </w:r>
      <w:r w:rsidR="00AE6DD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ed., Harlow: Pearson</w:t>
      </w:r>
    </w:p>
    <w:p w14:paraId="7F9F1014" w14:textId="1FB61068" w:rsidR="00F744EF" w:rsidRDefault="00F744EF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22C1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Brigham, E.F., Ehrhardt, M.</w:t>
      </w:r>
      <w:r w:rsidR="00222C16" w:rsidRPr="00222C1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C., </w:t>
      </w:r>
      <w:r w:rsidR="00222C1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(2005). </w:t>
      </w:r>
      <w:r w:rsidR="00FC7795" w:rsidRPr="00C67A0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Financial management, Theory and Practice</w:t>
      </w:r>
      <w:r w:rsidR="00FC779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International student ed.</w:t>
      </w:r>
      <w:r w:rsidR="00E14F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C67A0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11</w:t>
      </w:r>
      <w:r w:rsidR="00C67A06" w:rsidRPr="00C67A06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C67A0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</w:t>
      </w:r>
      <w:r w:rsidR="00FC779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E14F6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South-Western: Cengage Learning</w:t>
      </w:r>
    </w:p>
    <w:p w14:paraId="63374FE4" w14:textId="38C1F964" w:rsidR="00953A5C" w:rsidRDefault="00953A5C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Brigham, E.F. </w:t>
      </w:r>
      <w:r w:rsidR="00BC02E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&amp; Houston, J.F., (2020) </w:t>
      </w:r>
      <w:r w:rsidR="00BC02E0" w:rsidRPr="00800F3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Fundamentals of Financial </w:t>
      </w:r>
      <w:r w:rsidR="00800F34" w:rsidRPr="00800F3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</w:t>
      </w:r>
      <w:r w:rsidR="00BC02E0" w:rsidRPr="00800F3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anagement </w:t>
      </w:r>
      <w:r w:rsidR="00800F34" w:rsidRPr="00800F3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– Concise Edition</w:t>
      </w:r>
      <w:r w:rsidR="00800F3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10</w:t>
      </w:r>
      <w:r w:rsidR="00800F34" w:rsidRPr="00800F34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800F3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ed., Cengage</w:t>
      </w:r>
    </w:p>
    <w:p w14:paraId="5ECDC9DA" w14:textId="02A0792A" w:rsidR="008748F4" w:rsidRDefault="008748F4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Campbell, D., et al. </w:t>
      </w:r>
      <w:r w:rsidR="006F4C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(2011)</w:t>
      </w:r>
      <w:r w:rsidR="000E02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6F4C4B" w:rsidRPr="000E028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Business </w:t>
      </w:r>
      <w:r w:rsidR="000E0284" w:rsidRPr="000E028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</w:t>
      </w:r>
      <w:r w:rsidR="006F4C4B" w:rsidRPr="000E0284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trategy, an introduction</w:t>
      </w:r>
      <w:r w:rsidR="006F4C4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3d ed. </w:t>
      </w:r>
      <w:r w:rsidR="000E02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London, Palgrave Macmillan</w:t>
      </w:r>
    </w:p>
    <w:p w14:paraId="185969C6" w14:textId="35CDF36F" w:rsidR="006F4FAF" w:rsidRDefault="006F4FAF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CIMA, </w:t>
      </w:r>
      <w:r w:rsidR="00B606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(2015). </w:t>
      </w:r>
      <w:r w:rsidR="00B60626" w:rsidRPr="0018684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Strategic </w:t>
      </w:r>
      <w:r w:rsidR="0018684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</w:t>
      </w:r>
      <w:r w:rsidR="00B60626" w:rsidRPr="00186841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anagement</w:t>
      </w:r>
      <w:r w:rsidR="00B6062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1868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London:</w:t>
      </w:r>
      <w:r w:rsidR="00186841" w:rsidRPr="001868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868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BPP Learning Media Ltd</w:t>
      </w:r>
    </w:p>
    <w:p w14:paraId="287DE4A0" w14:textId="473C7DD4" w:rsidR="00534FB6" w:rsidRDefault="00534FB6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Cole, G.A., </w:t>
      </w:r>
      <w:r w:rsidR="0064186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Kelly, P., </w:t>
      </w:r>
      <w:r w:rsidR="0063461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(2020). </w:t>
      </w:r>
      <w:r w:rsidR="006925FA" w:rsidRPr="006925F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Management, Theory</w:t>
      </w:r>
      <w:r w:rsidR="0063461A" w:rsidRPr="006925F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and Practice</w:t>
      </w:r>
      <w:r w:rsidR="0063461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6925F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Andover: Cengage </w:t>
      </w:r>
      <w:r w:rsidR="000544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</w:t>
      </w:r>
      <w:r w:rsidR="006925F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earning</w:t>
      </w:r>
    </w:p>
    <w:p w14:paraId="59096A84" w14:textId="6850357B" w:rsidR="001841CB" w:rsidRDefault="001841CB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Drury, C., (2018). </w:t>
      </w:r>
      <w:r w:rsidR="0005443A" w:rsidRPr="0005443A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Cost and Management Accounting</w:t>
      </w:r>
      <w:r w:rsidR="000544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9</w:t>
      </w:r>
      <w:r w:rsidR="0005443A" w:rsidRPr="0005443A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0544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 Cengage Learning</w:t>
      </w:r>
    </w:p>
    <w:p w14:paraId="3913D9E6" w14:textId="2E2F7EAF" w:rsidR="003F6D15" w:rsidRDefault="003F6D15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Gemmel, P., </w:t>
      </w:r>
      <w:r w:rsidR="00737B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Van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Loo</w:t>
      </w:r>
      <w:r w:rsidR="00737B4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y, B.V., Van Dierdonck, R., </w:t>
      </w:r>
      <w:r w:rsidR="00F818C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(2013), </w:t>
      </w:r>
      <w:r w:rsidR="00F818C2" w:rsidRPr="00F818C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Service Management, An </w:t>
      </w:r>
      <w:r w:rsidR="00F818C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</w:t>
      </w:r>
      <w:r w:rsidR="00F818C2" w:rsidRPr="00F818C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ntegrated Approach</w:t>
      </w:r>
      <w:r w:rsidR="00F818C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, </w:t>
      </w:r>
      <w:r w:rsidR="00F818C2" w:rsidRPr="007C6DA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3</w:t>
      </w:r>
      <w:r w:rsidR="00F818C2" w:rsidRPr="007C6DA2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rd</w:t>
      </w:r>
      <w:r w:rsidR="007C6DA2" w:rsidRPr="007C6DA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</w:t>
      </w:r>
      <w:r w:rsidR="007C6DA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, </w:t>
      </w:r>
      <w:r w:rsidR="007C6DA2" w:rsidRPr="007C6DA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Harlow: Pearson</w:t>
      </w:r>
    </w:p>
    <w:p w14:paraId="7D8DE80A" w14:textId="662C740C" w:rsidR="00BA6321" w:rsidRDefault="00BA6321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Hill, C.W.L. et al., </w:t>
      </w:r>
      <w:r w:rsidR="008260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(2020)</w:t>
      </w:r>
      <w:r w:rsidR="009A4F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0C496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SBR</w:t>
      </w:r>
      <w:r w:rsidR="0053765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Intl</w:t>
      </w:r>
      <w:r w:rsidR="009A4F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13</w:t>
      </w:r>
      <w:r w:rsidR="009A4F3A" w:rsidRPr="009A4F3A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9A4F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</w:t>
      </w:r>
      <w:r w:rsidR="000A6D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9A4F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Boston: Cengage Learning</w:t>
      </w:r>
    </w:p>
    <w:p w14:paraId="1C7531B6" w14:textId="604DD287" w:rsidR="00862D11" w:rsidRDefault="00862D11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Kelly, P.P. &amp; As</w:t>
      </w:r>
      <w:r w:rsidR="00CA53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hwin, A. (2013)</w:t>
      </w:r>
      <w:r w:rsidR="0003689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CA53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CA533A" w:rsidRPr="0018685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The Business Environment</w:t>
      </w:r>
      <w:r w:rsidR="00CA533A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Cengage </w:t>
      </w:r>
    </w:p>
    <w:p w14:paraId="55D8DC86" w14:textId="466BD149" w:rsidR="00C10CD1" w:rsidRPr="00F818C2" w:rsidRDefault="006D7E7D" w:rsidP="003A7CD6">
      <w:pPr>
        <w:spacing w:line="360" w:lineRule="auto"/>
        <w:jc w:val="both"/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McLaney</w:t>
      </w:r>
      <w:r w:rsidR="00A31C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E., (2017). </w:t>
      </w:r>
      <w:r w:rsidR="00A31C41" w:rsidRPr="006D7E7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Business Finance</w:t>
      </w:r>
      <w:r w:rsidR="00A31C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11</w:t>
      </w:r>
      <w:r w:rsidR="00A31C41" w:rsidRPr="00A31C41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A31C4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ed.,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Harlow: Pearson</w:t>
      </w:r>
    </w:p>
    <w:p w14:paraId="6D6CB65E" w14:textId="72C6D9A9" w:rsidR="00C67A06" w:rsidRDefault="00EE4A1A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SBL, (2018)</w:t>
      </w:r>
      <w:r w:rsidR="00B535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535C8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Strategic Business Leader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3115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content review by ACCA</w:t>
      </w:r>
      <w:r w:rsidR="00BC241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'</w:t>
      </w:r>
      <w:r w:rsidR="003115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 team, </w:t>
      </w:r>
      <w:r w:rsidR="006879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London</w:t>
      </w:r>
      <w:r w:rsidR="00B535C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</w:t>
      </w:r>
      <w:r w:rsidR="0031159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BPP Learning Media Ltd.</w:t>
      </w:r>
    </w:p>
    <w:p w14:paraId="32E65494" w14:textId="21E8138A" w:rsidR="0053765E" w:rsidRDefault="0053765E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SBR Intl</w:t>
      </w:r>
      <w:r w:rsidR="00751CD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(2018)</w:t>
      </w:r>
      <w:r w:rsidR="006879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751CD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879BB" w:rsidRPr="006879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</w:t>
      </w:r>
      <w:r w:rsidR="00751CD0" w:rsidRPr="006879B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trategic Business Reporting</w:t>
      </w:r>
      <w:r w:rsidR="00751CD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ACCA </w:t>
      </w:r>
      <w:r w:rsidR="006879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approved, London: </w:t>
      </w:r>
      <w:r w:rsidR="006879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BPP Learning Media Ltd</w:t>
      </w:r>
      <w:r w:rsidR="006879B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2BF2E49" w14:textId="1893738E" w:rsidR="005C265B" w:rsidRDefault="005C265B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Shields, G., (2018), </w:t>
      </w:r>
      <w:r w:rsidRPr="006F4FAF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Accounting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027A6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UK: Amazon</w:t>
      </w:r>
    </w:p>
    <w:p w14:paraId="0031F851" w14:textId="70419BFD" w:rsidR="00BB7022" w:rsidRDefault="00BB7022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Thompson, A. et al., </w:t>
      </w:r>
      <w:r w:rsidR="002C43B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(2022). 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Crafting and Executing Strategy</w:t>
      </w:r>
      <w:r w:rsidR="00242A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concepts and cases, 23</w:t>
      </w:r>
      <w:r w:rsidR="00242A21" w:rsidRPr="00242A21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rd</w:t>
      </w:r>
      <w:r w:rsidR="00242A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ed., </w:t>
      </w:r>
      <w:r w:rsidR="006525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NY:</w:t>
      </w:r>
      <w:r w:rsidR="002C43B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McGraw Hill</w:t>
      </w:r>
    </w:p>
    <w:p w14:paraId="7C1337F3" w14:textId="561E42E0" w:rsidR="000016BF" w:rsidRPr="00222C16" w:rsidRDefault="000016BF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Whittington, R., et al., </w:t>
      </w:r>
      <w:r w:rsidR="00FC22E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(2023). Exploring Strategy, Text and Cases</w:t>
      </w:r>
      <w:r w:rsidR="003B42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13</w:t>
      </w:r>
      <w:r w:rsidR="003B422C" w:rsidRPr="003B422C">
        <w:rPr>
          <w:rFonts w:ascii="Arial" w:eastAsia="Times New Roman" w:hAnsi="Arial" w:cs="Arial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3B42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ed., Harlow: Pearson</w:t>
      </w:r>
    </w:p>
    <w:p w14:paraId="1EC5AA04" w14:textId="77777777" w:rsidR="00364A5F" w:rsidRDefault="00364A5F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DDA4890" w14:textId="1E4DDEA7" w:rsidR="00EA0945" w:rsidRPr="00C01927" w:rsidRDefault="00EA0945" w:rsidP="003A7CD6">
      <w:pPr>
        <w:spacing w:line="360" w:lineRule="auto"/>
        <w:jc w:val="both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C0192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Websites:</w:t>
      </w:r>
    </w:p>
    <w:p w14:paraId="45F7BBBE" w14:textId="553AD124" w:rsidR="008C22B5" w:rsidRDefault="008C22B5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American Accounting Association </w:t>
      </w:r>
      <w:hyperlink r:id="rId8" w:history="1">
        <w:r w:rsidR="008F732F" w:rsidRPr="003E36D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https://aaahq.org</w:t>
        </w:r>
      </w:hyperlink>
      <w:r w:rsidR="008F732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2194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last accessed 27.02.2024</w:t>
      </w:r>
      <w:r w:rsidR="00003BC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</w:p>
    <w:p w14:paraId="7FE169C4" w14:textId="4178ABCE" w:rsidR="00EA0945" w:rsidRPr="00E5350D" w:rsidRDefault="009302FA" w:rsidP="003A7CD6">
      <w:pPr>
        <w:spacing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CIMA, </w:t>
      </w:r>
      <w:hyperlink r:id="rId9" w:history="1">
        <w:r w:rsidRPr="003E36D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www.cimaglobal.com</w:t>
        </w:r>
      </w:hyperlink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 </w:t>
      </w:r>
      <w:r w:rsidR="00EC18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hartered </w:t>
      </w:r>
      <w:r w:rsidR="00EC185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nstitute of Management Accountants</w:t>
      </w:r>
      <w:r w:rsidR="00B2194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B2194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last accessed 27.02.2024</w:t>
      </w:r>
      <w:r w:rsidR="00003BC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</w:p>
    <w:p w14:paraId="51D0BEA4" w14:textId="77777777" w:rsidR="00492F1F" w:rsidRPr="003A7CD6" w:rsidRDefault="00492F1F" w:rsidP="003A7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4A7C16" w14:textId="77777777" w:rsidR="003A353D" w:rsidRPr="003A7CD6" w:rsidRDefault="003A353D" w:rsidP="003A7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A353D" w:rsidRPr="003A7CD6" w:rsidSect="00D352CC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977391" w14:textId="77777777" w:rsidR="003848A8" w:rsidRDefault="003848A8" w:rsidP="003848A8">
      <w:pPr>
        <w:spacing w:after="0" w:line="240" w:lineRule="auto"/>
      </w:pPr>
      <w:r>
        <w:separator/>
      </w:r>
    </w:p>
  </w:endnote>
  <w:endnote w:type="continuationSeparator" w:id="0">
    <w:p w14:paraId="254BCF3F" w14:textId="77777777" w:rsidR="003848A8" w:rsidRDefault="003848A8" w:rsidP="003848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78367966"/>
      <w:docPartObj>
        <w:docPartGallery w:val="Page Numbers (Bottom of Page)"/>
        <w:docPartUnique/>
      </w:docPartObj>
    </w:sdtPr>
    <w:sdtEndPr/>
    <w:sdtContent>
      <w:p w14:paraId="50063294" w14:textId="5C43EDA1" w:rsidR="003848A8" w:rsidRDefault="003848A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4077269" w14:textId="77777777" w:rsidR="003848A8" w:rsidRDefault="003848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79838F" w14:textId="77777777" w:rsidR="003848A8" w:rsidRDefault="003848A8" w:rsidP="003848A8">
      <w:pPr>
        <w:spacing w:after="0" w:line="240" w:lineRule="auto"/>
      </w:pPr>
      <w:r>
        <w:separator/>
      </w:r>
    </w:p>
  </w:footnote>
  <w:footnote w:type="continuationSeparator" w:id="0">
    <w:p w14:paraId="1FAE2B3A" w14:textId="77777777" w:rsidR="003848A8" w:rsidRDefault="003848A8" w:rsidP="003848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5B4C5D" w14:textId="04C26AE0" w:rsidR="003744F7" w:rsidRDefault="003744F7">
    <w:pPr>
      <w:pStyle w:val="Header"/>
    </w:pPr>
    <w:r>
      <w:ptab w:relativeTo="margin" w:alignment="center" w:leader="none"/>
    </w:r>
    <w:r>
      <w:ptab w:relativeTo="margin" w:alignment="right" w:leader="none"/>
    </w:r>
    <w:r w:rsidR="004850B2">
      <w:t>S</w:t>
    </w:r>
    <w:r>
      <w:t>tudent: Bo</w:t>
    </w:r>
    <w:r w:rsidR="004850B2">
      <w:t>gdan Ion Vidoi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2C7228"/>
    <w:multiLevelType w:val="hybridMultilevel"/>
    <w:tmpl w:val="1548DADE"/>
    <w:lvl w:ilvl="0" w:tplc="6478EBB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9B1167"/>
    <w:multiLevelType w:val="multilevel"/>
    <w:tmpl w:val="B8589E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A241196"/>
    <w:multiLevelType w:val="hybridMultilevel"/>
    <w:tmpl w:val="0A2ECB90"/>
    <w:lvl w:ilvl="0" w:tplc="8912F6A6">
      <w:start w:val="5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C062A8"/>
    <w:multiLevelType w:val="multilevel"/>
    <w:tmpl w:val="06066C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0564523"/>
    <w:multiLevelType w:val="multilevel"/>
    <w:tmpl w:val="489C1C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BF425A"/>
    <w:multiLevelType w:val="multilevel"/>
    <w:tmpl w:val="655029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12618913">
    <w:abstractNumId w:val="5"/>
  </w:num>
  <w:num w:numId="2" w16cid:durableId="1779713589">
    <w:abstractNumId w:val="3"/>
  </w:num>
  <w:num w:numId="3" w16cid:durableId="351809645">
    <w:abstractNumId w:val="4"/>
  </w:num>
  <w:num w:numId="4" w16cid:durableId="1272586804">
    <w:abstractNumId w:val="1"/>
  </w:num>
  <w:num w:numId="5" w16cid:durableId="599992597">
    <w:abstractNumId w:val="0"/>
  </w:num>
  <w:num w:numId="6" w16cid:durableId="524444279">
    <w:abstractNumId w:val="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YxMjUyNzM2NTQ0sTRT0lEKTi0uzszPAykwqQUARn9WdywAAAA="/>
  </w:docVars>
  <w:rsids>
    <w:rsidRoot w:val="00DF385C"/>
    <w:rsid w:val="000016BF"/>
    <w:rsid w:val="00003BCD"/>
    <w:rsid w:val="00013116"/>
    <w:rsid w:val="00024EE4"/>
    <w:rsid w:val="00027A61"/>
    <w:rsid w:val="00036771"/>
    <w:rsid w:val="0003689F"/>
    <w:rsid w:val="0005443A"/>
    <w:rsid w:val="000851E1"/>
    <w:rsid w:val="0009339E"/>
    <w:rsid w:val="000936AB"/>
    <w:rsid w:val="000943FE"/>
    <w:rsid w:val="00096202"/>
    <w:rsid w:val="000A2F9A"/>
    <w:rsid w:val="000A6D21"/>
    <w:rsid w:val="000A7505"/>
    <w:rsid w:val="000A7878"/>
    <w:rsid w:val="000B299D"/>
    <w:rsid w:val="000C01ED"/>
    <w:rsid w:val="000C4963"/>
    <w:rsid w:val="000D0900"/>
    <w:rsid w:val="000D3F60"/>
    <w:rsid w:val="000E0284"/>
    <w:rsid w:val="000E5A7E"/>
    <w:rsid w:val="000E6701"/>
    <w:rsid w:val="0011047B"/>
    <w:rsid w:val="00112829"/>
    <w:rsid w:val="00121CD1"/>
    <w:rsid w:val="0012315B"/>
    <w:rsid w:val="00125FE1"/>
    <w:rsid w:val="00130D39"/>
    <w:rsid w:val="00140FB0"/>
    <w:rsid w:val="001521F6"/>
    <w:rsid w:val="00160326"/>
    <w:rsid w:val="00164162"/>
    <w:rsid w:val="001841CB"/>
    <w:rsid w:val="00186841"/>
    <w:rsid w:val="00186852"/>
    <w:rsid w:val="00196E36"/>
    <w:rsid w:val="001A157E"/>
    <w:rsid w:val="001A267C"/>
    <w:rsid w:val="001A3A81"/>
    <w:rsid w:val="001A5634"/>
    <w:rsid w:val="001B0C40"/>
    <w:rsid w:val="001B555B"/>
    <w:rsid w:val="001B60FD"/>
    <w:rsid w:val="001C3061"/>
    <w:rsid w:val="001D2133"/>
    <w:rsid w:val="001E10EB"/>
    <w:rsid w:val="001E209A"/>
    <w:rsid w:val="001E2960"/>
    <w:rsid w:val="001E522A"/>
    <w:rsid w:val="001F0FBF"/>
    <w:rsid w:val="001F76EC"/>
    <w:rsid w:val="00203652"/>
    <w:rsid w:val="00204417"/>
    <w:rsid w:val="002124A3"/>
    <w:rsid w:val="00216E79"/>
    <w:rsid w:val="0022040E"/>
    <w:rsid w:val="00222C16"/>
    <w:rsid w:val="00227DC3"/>
    <w:rsid w:val="00242A21"/>
    <w:rsid w:val="00247175"/>
    <w:rsid w:val="00253B53"/>
    <w:rsid w:val="00255185"/>
    <w:rsid w:val="0025689E"/>
    <w:rsid w:val="00262318"/>
    <w:rsid w:val="00262902"/>
    <w:rsid w:val="0026656D"/>
    <w:rsid w:val="002741EA"/>
    <w:rsid w:val="00282370"/>
    <w:rsid w:val="002A537A"/>
    <w:rsid w:val="002B2EFE"/>
    <w:rsid w:val="002B380E"/>
    <w:rsid w:val="002B628D"/>
    <w:rsid w:val="002C01BD"/>
    <w:rsid w:val="002C0950"/>
    <w:rsid w:val="002C3FE0"/>
    <w:rsid w:val="002C43B4"/>
    <w:rsid w:val="002D258A"/>
    <w:rsid w:val="002F0E9D"/>
    <w:rsid w:val="00303E41"/>
    <w:rsid w:val="00310ECE"/>
    <w:rsid w:val="0031159D"/>
    <w:rsid w:val="003139B0"/>
    <w:rsid w:val="00322B15"/>
    <w:rsid w:val="003253C8"/>
    <w:rsid w:val="0033363A"/>
    <w:rsid w:val="0033529D"/>
    <w:rsid w:val="00336170"/>
    <w:rsid w:val="00341917"/>
    <w:rsid w:val="00343794"/>
    <w:rsid w:val="00351A5A"/>
    <w:rsid w:val="0035387A"/>
    <w:rsid w:val="00364A5F"/>
    <w:rsid w:val="00365393"/>
    <w:rsid w:val="003670A2"/>
    <w:rsid w:val="00367724"/>
    <w:rsid w:val="003744F7"/>
    <w:rsid w:val="003848A8"/>
    <w:rsid w:val="003A353D"/>
    <w:rsid w:val="003A7CD6"/>
    <w:rsid w:val="003B422C"/>
    <w:rsid w:val="003C7DD1"/>
    <w:rsid w:val="003E472D"/>
    <w:rsid w:val="003F6D15"/>
    <w:rsid w:val="0041364A"/>
    <w:rsid w:val="004167E8"/>
    <w:rsid w:val="00425D3D"/>
    <w:rsid w:val="004277CD"/>
    <w:rsid w:val="004318B7"/>
    <w:rsid w:val="004331E2"/>
    <w:rsid w:val="00462394"/>
    <w:rsid w:val="00467F16"/>
    <w:rsid w:val="004712DC"/>
    <w:rsid w:val="00472133"/>
    <w:rsid w:val="0047344E"/>
    <w:rsid w:val="0047515A"/>
    <w:rsid w:val="00477664"/>
    <w:rsid w:val="004818B0"/>
    <w:rsid w:val="004850B2"/>
    <w:rsid w:val="00486C40"/>
    <w:rsid w:val="004927CC"/>
    <w:rsid w:val="00492F1F"/>
    <w:rsid w:val="00494354"/>
    <w:rsid w:val="004968A6"/>
    <w:rsid w:val="004976C4"/>
    <w:rsid w:val="004A2646"/>
    <w:rsid w:val="004A2A78"/>
    <w:rsid w:val="004E1A48"/>
    <w:rsid w:val="004F0FA1"/>
    <w:rsid w:val="00504B5E"/>
    <w:rsid w:val="0051172A"/>
    <w:rsid w:val="00534FB6"/>
    <w:rsid w:val="00536756"/>
    <w:rsid w:val="00536F66"/>
    <w:rsid w:val="0053765E"/>
    <w:rsid w:val="0055558F"/>
    <w:rsid w:val="00555B02"/>
    <w:rsid w:val="00560D13"/>
    <w:rsid w:val="00562029"/>
    <w:rsid w:val="00575071"/>
    <w:rsid w:val="00576229"/>
    <w:rsid w:val="00576FDE"/>
    <w:rsid w:val="0058381E"/>
    <w:rsid w:val="00597EE0"/>
    <w:rsid w:val="005A3F3E"/>
    <w:rsid w:val="005A5BC5"/>
    <w:rsid w:val="005B0914"/>
    <w:rsid w:val="005C265B"/>
    <w:rsid w:val="005C548E"/>
    <w:rsid w:val="005D0927"/>
    <w:rsid w:val="005D711C"/>
    <w:rsid w:val="005D7C70"/>
    <w:rsid w:val="005E24AA"/>
    <w:rsid w:val="005F72B2"/>
    <w:rsid w:val="005F7812"/>
    <w:rsid w:val="00614F75"/>
    <w:rsid w:val="0063461A"/>
    <w:rsid w:val="0064186E"/>
    <w:rsid w:val="00641CAA"/>
    <w:rsid w:val="0064672E"/>
    <w:rsid w:val="00652472"/>
    <w:rsid w:val="00652502"/>
    <w:rsid w:val="0065446A"/>
    <w:rsid w:val="00655A00"/>
    <w:rsid w:val="00670C1A"/>
    <w:rsid w:val="006748F3"/>
    <w:rsid w:val="00680371"/>
    <w:rsid w:val="00684817"/>
    <w:rsid w:val="006879BB"/>
    <w:rsid w:val="006925FA"/>
    <w:rsid w:val="00694900"/>
    <w:rsid w:val="006B5A7A"/>
    <w:rsid w:val="006C664B"/>
    <w:rsid w:val="006D27B9"/>
    <w:rsid w:val="006D5527"/>
    <w:rsid w:val="006D7E7D"/>
    <w:rsid w:val="006E5F15"/>
    <w:rsid w:val="006E688B"/>
    <w:rsid w:val="006F1342"/>
    <w:rsid w:val="006F4C4B"/>
    <w:rsid w:val="006F4FAF"/>
    <w:rsid w:val="007101C8"/>
    <w:rsid w:val="00713714"/>
    <w:rsid w:val="007153A5"/>
    <w:rsid w:val="00716822"/>
    <w:rsid w:val="007312BC"/>
    <w:rsid w:val="00737B4A"/>
    <w:rsid w:val="00747D31"/>
    <w:rsid w:val="00751CD0"/>
    <w:rsid w:val="00766554"/>
    <w:rsid w:val="00777FAF"/>
    <w:rsid w:val="00794B7B"/>
    <w:rsid w:val="00795684"/>
    <w:rsid w:val="007A484A"/>
    <w:rsid w:val="007B1AD6"/>
    <w:rsid w:val="007B7E5B"/>
    <w:rsid w:val="007C36D8"/>
    <w:rsid w:val="007C6DA2"/>
    <w:rsid w:val="007D12B7"/>
    <w:rsid w:val="007F0764"/>
    <w:rsid w:val="007F246F"/>
    <w:rsid w:val="007F35D8"/>
    <w:rsid w:val="007F45AC"/>
    <w:rsid w:val="007F4B82"/>
    <w:rsid w:val="00800F34"/>
    <w:rsid w:val="008021FF"/>
    <w:rsid w:val="00802A19"/>
    <w:rsid w:val="00821420"/>
    <w:rsid w:val="00822F67"/>
    <w:rsid w:val="008240D9"/>
    <w:rsid w:val="0082609E"/>
    <w:rsid w:val="00833C39"/>
    <w:rsid w:val="00857771"/>
    <w:rsid w:val="00862D11"/>
    <w:rsid w:val="00864209"/>
    <w:rsid w:val="0086428B"/>
    <w:rsid w:val="00864827"/>
    <w:rsid w:val="008748F4"/>
    <w:rsid w:val="008772D2"/>
    <w:rsid w:val="008B21F5"/>
    <w:rsid w:val="008B7747"/>
    <w:rsid w:val="008C08B4"/>
    <w:rsid w:val="008C1865"/>
    <w:rsid w:val="008C22B5"/>
    <w:rsid w:val="008C5C2B"/>
    <w:rsid w:val="008C5E42"/>
    <w:rsid w:val="008D2ABE"/>
    <w:rsid w:val="008F0872"/>
    <w:rsid w:val="008F1957"/>
    <w:rsid w:val="008F31CB"/>
    <w:rsid w:val="008F40A0"/>
    <w:rsid w:val="008F732F"/>
    <w:rsid w:val="0090273E"/>
    <w:rsid w:val="009302FA"/>
    <w:rsid w:val="00933503"/>
    <w:rsid w:val="009402C3"/>
    <w:rsid w:val="009501FB"/>
    <w:rsid w:val="00950D45"/>
    <w:rsid w:val="00953A5C"/>
    <w:rsid w:val="009632C3"/>
    <w:rsid w:val="009A33A4"/>
    <w:rsid w:val="009A4F3A"/>
    <w:rsid w:val="009C01FC"/>
    <w:rsid w:val="009D321D"/>
    <w:rsid w:val="009E0615"/>
    <w:rsid w:val="00A03A30"/>
    <w:rsid w:val="00A07809"/>
    <w:rsid w:val="00A12F94"/>
    <w:rsid w:val="00A13778"/>
    <w:rsid w:val="00A151C6"/>
    <w:rsid w:val="00A2285C"/>
    <w:rsid w:val="00A31C41"/>
    <w:rsid w:val="00A34A7D"/>
    <w:rsid w:val="00A46C3C"/>
    <w:rsid w:val="00A6460D"/>
    <w:rsid w:val="00A67FC1"/>
    <w:rsid w:val="00A77D0D"/>
    <w:rsid w:val="00A81DF1"/>
    <w:rsid w:val="00A91142"/>
    <w:rsid w:val="00AA53BB"/>
    <w:rsid w:val="00AB43D8"/>
    <w:rsid w:val="00AC1323"/>
    <w:rsid w:val="00AC1D4C"/>
    <w:rsid w:val="00AC4958"/>
    <w:rsid w:val="00AC635A"/>
    <w:rsid w:val="00AD1C04"/>
    <w:rsid w:val="00AD33F0"/>
    <w:rsid w:val="00AE517A"/>
    <w:rsid w:val="00AE6AE2"/>
    <w:rsid w:val="00AE6DDE"/>
    <w:rsid w:val="00AF42DE"/>
    <w:rsid w:val="00B02F87"/>
    <w:rsid w:val="00B03B01"/>
    <w:rsid w:val="00B07E23"/>
    <w:rsid w:val="00B17A50"/>
    <w:rsid w:val="00B21943"/>
    <w:rsid w:val="00B24ECA"/>
    <w:rsid w:val="00B2716E"/>
    <w:rsid w:val="00B3791D"/>
    <w:rsid w:val="00B466B6"/>
    <w:rsid w:val="00B535C8"/>
    <w:rsid w:val="00B60626"/>
    <w:rsid w:val="00B74489"/>
    <w:rsid w:val="00B80EB6"/>
    <w:rsid w:val="00BA3602"/>
    <w:rsid w:val="00BA6321"/>
    <w:rsid w:val="00BB1BC8"/>
    <w:rsid w:val="00BB7022"/>
    <w:rsid w:val="00BC02E0"/>
    <w:rsid w:val="00BC0D17"/>
    <w:rsid w:val="00BC0EEC"/>
    <w:rsid w:val="00BC2413"/>
    <w:rsid w:val="00BC3267"/>
    <w:rsid w:val="00BD149A"/>
    <w:rsid w:val="00BD25CF"/>
    <w:rsid w:val="00BD563D"/>
    <w:rsid w:val="00BE55D7"/>
    <w:rsid w:val="00BF38CA"/>
    <w:rsid w:val="00C01927"/>
    <w:rsid w:val="00C0353D"/>
    <w:rsid w:val="00C10CD1"/>
    <w:rsid w:val="00C11C9B"/>
    <w:rsid w:val="00C1394B"/>
    <w:rsid w:val="00C13F5E"/>
    <w:rsid w:val="00C16908"/>
    <w:rsid w:val="00C17BEA"/>
    <w:rsid w:val="00C23C66"/>
    <w:rsid w:val="00C25141"/>
    <w:rsid w:val="00C27573"/>
    <w:rsid w:val="00C3399D"/>
    <w:rsid w:val="00C34DAB"/>
    <w:rsid w:val="00C37377"/>
    <w:rsid w:val="00C4299D"/>
    <w:rsid w:val="00C442ED"/>
    <w:rsid w:val="00C51370"/>
    <w:rsid w:val="00C5419C"/>
    <w:rsid w:val="00C67A06"/>
    <w:rsid w:val="00C8235F"/>
    <w:rsid w:val="00C86FFF"/>
    <w:rsid w:val="00CA533A"/>
    <w:rsid w:val="00CB1926"/>
    <w:rsid w:val="00CB2101"/>
    <w:rsid w:val="00CB5835"/>
    <w:rsid w:val="00CB5BDD"/>
    <w:rsid w:val="00CC04FC"/>
    <w:rsid w:val="00CC322F"/>
    <w:rsid w:val="00CC780E"/>
    <w:rsid w:val="00CE2E02"/>
    <w:rsid w:val="00CE4423"/>
    <w:rsid w:val="00CF4356"/>
    <w:rsid w:val="00CF6AA0"/>
    <w:rsid w:val="00D02C69"/>
    <w:rsid w:val="00D073C4"/>
    <w:rsid w:val="00D137D2"/>
    <w:rsid w:val="00D14C21"/>
    <w:rsid w:val="00D172C2"/>
    <w:rsid w:val="00D20E7C"/>
    <w:rsid w:val="00D22A97"/>
    <w:rsid w:val="00D24199"/>
    <w:rsid w:val="00D309E3"/>
    <w:rsid w:val="00D338C3"/>
    <w:rsid w:val="00D352CC"/>
    <w:rsid w:val="00D53E9D"/>
    <w:rsid w:val="00D55DE2"/>
    <w:rsid w:val="00D653D8"/>
    <w:rsid w:val="00D655D1"/>
    <w:rsid w:val="00D73555"/>
    <w:rsid w:val="00D7385D"/>
    <w:rsid w:val="00D8553D"/>
    <w:rsid w:val="00D8612D"/>
    <w:rsid w:val="00D872FF"/>
    <w:rsid w:val="00D9475C"/>
    <w:rsid w:val="00DA06DC"/>
    <w:rsid w:val="00DA0E36"/>
    <w:rsid w:val="00DA7C87"/>
    <w:rsid w:val="00DB0452"/>
    <w:rsid w:val="00DB54A8"/>
    <w:rsid w:val="00DC3548"/>
    <w:rsid w:val="00DD4152"/>
    <w:rsid w:val="00DE396A"/>
    <w:rsid w:val="00DF385C"/>
    <w:rsid w:val="00DF5025"/>
    <w:rsid w:val="00E006C3"/>
    <w:rsid w:val="00E02A9E"/>
    <w:rsid w:val="00E14F60"/>
    <w:rsid w:val="00E227C5"/>
    <w:rsid w:val="00E374F1"/>
    <w:rsid w:val="00E43300"/>
    <w:rsid w:val="00E4705B"/>
    <w:rsid w:val="00E5350D"/>
    <w:rsid w:val="00E5568F"/>
    <w:rsid w:val="00E5670A"/>
    <w:rsid w:val="00E678C5"/>
    <w:rsid w:val="00E7745B"/>
    <w:rsid w:val="00E90574"/>
    <w:rsid w:val="00E90782"/>
    <w:rsid w:val="00EA0851"/>
    <w:rsid w:val="00EA0945"/>
    <w:rsid w:val="00EB0B16"/>
    <w:rsid w:val="00EB4298"/>
    <w:rsid w:val="00EC185D"/>
    <w:rsid w:val="00EE0380"/>
    <w:rsid w:val="00EE4A1A"/>
    <w:rsid w:val="00EE5630"/>
    <w:rsid w:val="00EF1CA2"/>
    <w:rsid w:val="00EF4CCD"/>
    <w:rsid w:val="00EF72D1"/>
    <w:rsid w:val="00F062FB"/>
    <w:rsid w:val="00F0647F"/>
    <w:rsid w:val="00F17C40"/>
    <w:rsid w:val="00F20B31"/>
    <w:rsid w:val="00F37D82"/>
    <w:rsid w:val="00F44E07"/>
    <w:rsid w:val="00F45B14"/>
    <w:rsid w:val="00F529D0"/>
    <w:rsid w:val="00F54650"/>
    <w:rsid w:val="00F62BD1"/>
    <w:rsid w:val="00F744EF"/>
    <w:rsid w:val="00F75750"/>
    <w:rsid w:val="00F818C2"/>
    <w:rsid w:val="00F87399"/>
    <w:rsid w:val="00F873AB"/>
    <w:rsid w:val="00F90DD9"/>
    <w:rsid w:val="00F92C63"/>
    <w:rsid w:val="00F953F4"/>
    <w:rsid w:val="00FB3C4F"/>
    <w:rsid w:val="00FB42FC"/>
    <w:rsid w:val="00FB537C"/>
    <w:rsid w:val="00FB61A5"/>
    <w:rsid w:val="00FC22E7"/>
    <w:rsid w:val="00FC2FF9"/>
    <w:rsid w:val="00FC3331"/>
    <w:rsid w:val="00FC45B8"/>
    <w:rsid w:val="00FC7795"/>
    <w:rsid w:val="00FD06AC"/>
    <w:rsid w:val="00FF3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D8EF9"/>
  <w15:chartTrackingRefBased/>
  <w15:docId w15:val="{2A83192F-383D-4A19-A776-F9C1E05F6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1865"/>
  </w:style>
  <w:style w:type="paragraph" w:styleId="Heading1">
    <w:name w:val="heading 1"/>
    <w:basedOn w:val="Normal"/>
    <w:next w:val="Normal"/>
    <w:link w:val="Heading1Char"/>
    <w:uiPriority w:val="9"/>
    <w:qFormat/>
    <w:rsid w:val="00DF38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38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38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38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38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38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38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38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38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38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38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38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38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38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38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38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38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38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38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38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38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38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38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38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38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38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38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38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385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E5A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0E5A7E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384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8A8"/>
  </w:style>
  <w:style w:type="paragraph" w:styleId="Footer">
    <w:name w:val="footer"/>
    <w:basedOn w:val="Normal"/>
    <w:link w:val="FooterChar"/>
    <w:uiPriority w:val="99"/>
    <w:unhideWhenUsed/>
    <w:rsid w:val="00384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8A8"/>
  </w:style>
  <w:style w:type="paragraph" w:styleId="NoSpacing">
    <w:name w:val="No Spacing"/>
    <w:link w:val="NoSpacingChar"/>
    <w:uiPriority w:val="1"/>
    <w:qFormat/>
    <w:rsid w:val="00D352CC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352CC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C186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02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454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11964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23465638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64959648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81141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581685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0728591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083724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5751169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7364383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6884057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7671185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6993087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34199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2886563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6987733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0554652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4256867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9136122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8818150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6388467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755302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8920404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4474328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5192054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0238224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8499557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458725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8560545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722108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6474738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1069935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754401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21214127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20231251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029759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0655214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491733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5792475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3680963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5158023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484836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4813235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958671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19991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9142417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0379251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6922681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8177253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498482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85818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4857042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4861680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2789482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2860409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714605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03961806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952922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48132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8597060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392691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2738290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9960597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826513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9084212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8582741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5109974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1548307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8341475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447917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48407868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3296485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73615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7888206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2833402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20900359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6617397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07540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2537339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3717338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3698894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3254037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5074734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9025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8882613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144762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127575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865527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988571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5081823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8937367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018008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5671112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9856921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3665620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7211990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7408344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946367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54832441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05168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909865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0214233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3568079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4533984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0403989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3570035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8603170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3990633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8008305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3044316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8426672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1885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82729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4329989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55822400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auto"/>
                        <w:left w:val="single" w:sz="6" w:space="0" w:color="auto"/>
                        <w:bottom w:val="single" w:sz="6" w:space="0" w:color="auto"/>
                        <w:right w:val="single" w:sz="6" w:space="0" w:color="auto"/>
                      </w:divBdr>
                      <w:divsChild>
                        <w:div w:id="672072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1982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91018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52284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89929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88189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674321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770885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916526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6625873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019046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9899093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63156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1424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4847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50354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01893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684376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116943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200304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894463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997304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138203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2933192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818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412802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38437859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2008159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203644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1324766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417481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60730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3714595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437294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155413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4638417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916357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750446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44970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7078298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6567755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08865031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72707166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525149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5996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399325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0565401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2728133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97290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8017705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459344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074599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50643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2854840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5389696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1677113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68454868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08922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97560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747486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89610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814229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039749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1183770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75650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23993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422322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718669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811637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83922637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5907843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234741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17729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280543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141292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9244520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843279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9709347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01987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536490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66236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1977174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06853144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1407684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72899421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445477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928996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426422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263913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593579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48985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3838688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35545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624414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871803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21209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12978375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74383927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03770618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50431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5556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14086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3021526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6420770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192946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074159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06980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5199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6559859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60140774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360472387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43886492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78842749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771885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14978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72140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591676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4646072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80877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465199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4658998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14661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387307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467907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66467431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6326996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51272071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303313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424499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119531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075236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182512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347707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55850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60649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34187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3611752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9087275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0551365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70950059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1203514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322274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93037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112202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348024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1146324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995962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6192661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03316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565490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5521541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408258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684601034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5501575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9657099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90880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7446919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419109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48231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5002351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143846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831412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92251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19997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55409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1219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19114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08029160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6447445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57759504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77837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143770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129706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213690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9545170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673344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5436400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63863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283422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95488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424755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36117136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06070826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16851557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8416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87799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17891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174020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1955240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690227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750345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70314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63261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405229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542990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627160454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9760250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476683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63920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896206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69445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2604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966945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34193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3307207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35212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3368067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112879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1763545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05394060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74171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99190995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24620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48492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91204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596100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823644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16053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1593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96005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936948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432970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563975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390687197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6018008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2750305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54504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710615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558593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1376012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9182528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92627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6772211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122967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8612417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396901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792337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607805736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039086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60581545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6995757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99320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131728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10334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7108276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92677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14141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45899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915286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8173811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9940646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24661440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95618040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8160935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946106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51742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912352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2705791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366778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4009052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590436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63169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369873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025272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5306902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59305040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8418957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00278108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832597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995333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831499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8501019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5776181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601050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835298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7064943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00255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936032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717660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7047176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07828811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51839379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15975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88737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0578974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643760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2475698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915924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427774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92501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95489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014303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098239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092659145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6145547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161685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616983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64430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840073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435440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8236500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5731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2589075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880224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262282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7553265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4823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20077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02624985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2949086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8861868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910995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0582815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091374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3926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3275144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705993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9079578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375279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8216967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4213085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758797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70360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7587925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3149967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2383264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21259225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7923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2559392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50760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244725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9759125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20191183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469589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8483258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085622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760675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1999008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4712164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478021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7219033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516401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2185886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7144269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5019653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8388106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7122707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55857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44665569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21470440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4478513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4527504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9323255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8696775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7675822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226618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5881537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930964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9802346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3901076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4640856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860581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9549922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181776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001617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9308449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845322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6711802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109020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19342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8633236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5657983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017524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7646431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4290373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61309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70243521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800763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7011305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6472464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0890325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4918741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2647773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8492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1333339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9342417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8347584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912957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5165047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58749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670934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33968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092637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3777080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3166469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4653928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7312672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5129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4366087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16739208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228682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9519783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702970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71834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79119218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566326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6623907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4759475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4337478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13709521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4786200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04725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14990800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</w:div>
                                        <w:div w:id="4519423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20050097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7925524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2791440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263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77280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72818953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72178431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auto"/>
                        <w:left w:val="single" w:sz="6" w:space="0" w:color="auto"/>
                        <w:bottom w:val="single" w:sz="6" w:space="0" w:color="auto"/>
                        <w:right w:val="single" w:sz="6" w:space="0" w:color="auto"/>
                      </w:divBdr>
                      <w:divsChild>
                        <w:div w:id="1212111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84587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5087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3858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19508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05391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726419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443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415957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116997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008578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7407457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819419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6804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03937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75450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8435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588848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70098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6804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43085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83786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971325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9161695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5415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17909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777746172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94280826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0526060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6380240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00543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2372041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2817620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903121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710372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479224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93529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246239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7330010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0725929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04632349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57739930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208433481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88616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06862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204044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2873514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67809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17889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376656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6942648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6790379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818098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74332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5342086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9696728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5835279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6684345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3297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54284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130396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3017772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412970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139955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604188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979623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026221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1642473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34135334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9521552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3225692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77282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33797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64007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987132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4027702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8109447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282608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488063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9017499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2377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5295205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23082185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65198321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3513021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134059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7649127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895363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024669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5324394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0167626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92502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51282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6655489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0962398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1347798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8924943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90718628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63394463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95109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327515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061053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38390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478760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526598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068914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750494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701238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0873359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2762527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307591130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43741293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40850570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898782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81449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01803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8740055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072192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380593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292910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030111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4657055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3997917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573703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812943513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14092627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50602036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19429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549687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1374526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9303104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0820358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1166321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18169901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913130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586669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6391872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865507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446848499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52116833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62735140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293175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3565462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7962114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234086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7985337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003047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777791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1815953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3946251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5815208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107375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453839644">
              <w:marLeft w:val="0"/>
              <w:marRight w:val="0"/>
              <w:marTop w:val="100"/>
              <w:marBottom w:val="10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25116395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90021605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544560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16823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8777374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4076070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7761897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393044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  <w:div w:id="65223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532839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5778603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203711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4727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0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aahq.org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www.cimagloba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48DE94-97BB-4225-B1C8-43769CDB63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749</TotalTime>
  <Pages>14</Pages>
  <Words>2958</Words>
  <Characters>16863</Characters>
  <Application>Microsoft Office Word</Application>
  <DocSecurity>0</DocSecurity>
  <Lines>140</Lines>
  <Paragraphs>39</Paragraphs>
  <ScaleCrop>false</ScaleCrop>
  <Company/>
  <LinksUpToDate>false</LinksUpToDate>
  <CharactersWithSpaces>19782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Title: Report Case Study: The Seacrest LodgeWord</dc:title>
  <dc:subject/>
  <dc:creator>Student name: Student ID number:Programme: BA International Hotel ManagementModule: Financial Management for the Hotel IndustryModule code: BMIH5007 Contribution toOverall ModuleAssessment (%):50%(2 of 2)Lecturer: Tristan Hawkins, Jaliya de SilvaInternal Verifier:Assignment Title: Report Case Study: The Seacrest LodgeWord count(or equivalent): 2,000</dc:creator>
  <cp:keywords/>
  <dc:description/>
  <cp:lastModifiedBy>Alina Bagut</cp:lastModifiedBy>
  <cp:revision>432</cp:revision>
  <dcterms:created xsi:type="dcterms:W3CDTF">2024-02-26T12:47:00Z</dcterms:created>
  <dcterms:modified xsi:type="dcterms:W3CDTF">2024-02-27T02:01:00Z</dcterms:modified>
</cp:coreProperties>
</file>