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D94BB3" w14:textId="27A457F2" w:rsidR="00936399" w:rsidRDefault="00193F9F" w:rsidP="00193F9F">
      <w:pPr>
        <w:spacing w:line="480" w:lineRule="auto"/>
        <w:jc w:val="center"/>
        <w:rPr>
          <w:rFonts w:ascii="Times New Roman" w:hAnsi="Times New Roman" w:cs="Times New Roman"/>
          <w:sz w:val="24"/>
          <w:szCs w:val="24"/>
        </w:rPr>
      </w:pPr>
      <w:r>
        <w:rPr>
          <w:rFonts w:ascii="Times New Roman" w:hAnsi="Times New Roman" w:cs="Times New Roman"/>
          <w:sz w:val="24"/>
          <w:szCs w:val="24"/>
        </w:rPr>
        <w:t>Scholarly Review</w:t>
      </w:r>
    </w:p>
    <w:p w14:paraId="66CEB501" w14:textId="55E2ED70" w:rsidR="00BF22CA" w:rsidRDefault="00B800A4" w:rsidP="00193F9F">
      <w:pPr>
        <w:spacing w:line="480" w:lineRule="auto"/>
        <w:jc w:val="center"/>
        <w:rPr>
          <w:rFonts w:ascii="Times New Roman" w:hAnsi="Times New Roman" w:cs="Times New Roman"/>
          <w:sz w:val="24"/>
          <w:szCs w:val="24"/>
        </w:rPr>
      </w:pPr>
      <w:r>
        <w:rPr>
          <w:rFonts w:ascii="Times New Roman" w:hAnsi="Times New Roman" w:cs="Times New Roman"/>
          <w:sz w:val="24"/>
          <w:szCs w:val="24"/>
        </w:rPr>
        <w:t>Financing the Athenian Navy</w:t>
      </w:r>
    </w:p>
    <w:p w14:paraId="07E0E0D5" w14:textId="3DEDC71F" w:rsidR="00557E46" w:rsidRDefault="00557E46" w:rsidP="00193F9F">
      <w:pPr>
        <w:spacing w:line="480" w:lineRule="auto"/>
        <w:rPr>
          <w:rFonts w:ascii="Times New Roman" w:hAnsi="Times New Roman" w:cs="Times New Roman"/>
          <w:sz w:val="24"/>
          <w:szCs w:val="24"/>
        </w:rPr>
      </w:pPr>
    </w:p>
    <w:p w14:paraId="4BE20FA4" w14:textId="792BAE9C" w:rsidR="00EC4200" w:rsidRPr="00844F47" w:rsidRDefault="657A84DE" w:rsidP="657A84DE">
      <w:pPr>
        <w:spacing w:line="480" w:lineRule="auto"/>
        <w:rPr>
          <w:color w:val="404040" w:themeColor="text1" w:themeTint="BF"/>
        </w:rPr>
      </w:pPr>
      <w:r w:rsidRPr="657A84DE">
        <w:rPr>
          <w:rFonts w:ascii="Times New Roman" w:hAnsi="Times New Roman" w:cs="Times New Roman"/>
          <w:sz w:val="24"/>
          <w:szCs w:val="24"/>
        </w:rPr>
        <w:t>The subject of financing the Athenian navy has been approached from many different angles by scholars. It is an important topic as understanding the finances allows us to infer how naval warfare was performed and how it evolved. Scholarly interest in Athenian finance has changed since 1998. More recently there has been a trend in scholarship for the application of modern theoretical economic models to the Athenian systems of funding for the navy.</w:t>
      </w:r>
      <w:r w:rsidR="002A47E3" w:rsidRPr="657A84DE">
        <w:rPr>
          <w:rStyle w:val="FootnoteReference"/>
          <w:rFonts w:ascii="Times New Roman" w:hAnsi="Times New Roman" w:cs="Times New Roman"/>
          <w:sz w:val="24"/>
          <w:szCs w:val="24"/>
        </w:rPr>
        <w:footnoteReference w:id="1"/>
      </w:r>
      <w:r w:rsidRPr="657A84DE">
        <w:rPr>
          <w:rFonts w:ascii="Times New Roman" w:hAnsi="Times New Roman" w:cs="Times New Roman"/>
          <w:sz w:val="24"/>
          <w:szCs w:val="24"/>
        </w:rPr>
        <w:t xml:space="preserve">  This trend shows a new approach to research when in the past studies have been based more traditionally on ancient literary sources. Another trend in modern scholarship has been the interest into changes in Athenian finances.</w:t>
      </w:r>
      <w:r w:rsidR="002A47E3" w:rsidRPr="657A84DE">
        <w:rPr>
          <w:rStyle w:val="FootnoteReference"/>
          <w:rFonts w:ascii="Times New Roman" w:hAnsi="Times New Roman" w:cs="Times New Roman"/>
          <w:sz w:val="24"/>
          <w:szCs w:val="24"/>
        </w:rPr>
        <w:footnoteReference w:id="2"/>
      </w:r>
      <w:r w:rsidRPr="657A84DE">
        <w:rPr>
          <w:rFonts w:ascii="Times New Roman" w:hAnsi="Times New Roman" w:cs="Times New Roman"/>
          <w:sz w:val="24"/>
          <w:szCs w:val="24"/>
        </w:rPr>
        <w:t xml:space="preserve"> Some researchers have focused on the way in which the method of funding changed, and how this change effected the Athenian military capabilities and prowess.  This research has revealed how societal issues, such as the liturgical system, correspond with the performance of Athenian defence. </w:t>
      </w:r>
    </w:p>
    <w:p w14:paraId="64BBB2A6" w14:textId="67EE70A4" w:rsidR="00784DA3" w:rsidRDefault="5AFAD010" w:rsidP="5AFAD010">
      <w:pPr>
        <w:spacing w:line="480" w:lineRule="auto"/>
        <w:rPr>
          <w:rFonts w:ascii="Times New Roman" w:hAnsi="Times New Roman" w:cs="Times New Roman"/>
          <w:sz w:val="24"/>
          <w:szCs w:val="24"/>
        </w:rPr>
      </w:pPr>
      <w:r w:rsidRPr="5AFAD010">
        <w:rPr>
          <w:rFonts w:ascii="Times New Roman" w:hAnsi="Times New Roman" w:cs="Times New Roman"/>
          <w:sz w:val="24"/>
          <w:szCs w:val="24"/>
        </w:rPr>
        <w:t xml:space="preserve">Methods of finance were critical for maintaining function of the Athenian navy. Scholars have examined the different types of available ancient evidence and have drawn various conclusions about the Athenian navy. Scholarship appears to be consistent with the view that the trierarchy was essential to Athens’ dominance in the Aegean as a sea power. Scholarship usually approaches the topic from a sociological viewpoint as is the case in research by Kallet or from an economic standpoint such as demonstrated by the studies of Kaiser as well as Kyriazis and Zouboulakis. </w:t>
      </w:r>
    </w:p>
    <w:p w14:paraId="29DBDE4F" w14:textId="77777777" w:rsidR="00A91075" w:rsidRDefault="00A91075" w:rsidP="00193F9F">
      <w:pPr>
        <w:spacing w:line="480" w:lineRule="auto"/>
        <w:rPr>
          <w:rFonts w:ascii="Times New Roman" w:hAnsi="Times New Roman" w:cs="Times New Roman"/>
          <w:sz w:val="24"/>
          <w:szCs w:val="24"/>
        </w:rPr>
      </w:pPr>
    </w:p>
    <w:p w14:paraId="5EEF1489" w14:textId="2831CEDB" w:rsidR="657A84DE" w:rsidRDefault="657A84DE" w:rsidP="657A84DE">
      <w:pPr>
        <w:spacing w:line="480" w:lineRule="auto"/>
        <w:rPr>
          <w:rFonts w:ascii="Times New Roman" w:hAnsi="Times New Roman" w:cs="Times New Roman"/>
          <w:sz w:val="24"/>
          <w:szCs w:val="24"/>
        </w:rPr>
      </w:pPr>
      <w:r w:rsidRPr="657A84DE">
        <w:rPr>
          <w:rFonts w:ascii="Times New Roman" w:hAnsi="Times New Roman" w:cs="Times New Roman"/>
          <w:sz w:val="24"/>
          <w:szCs w:val="24"/>
        </w:rPr>
        <w:lastRenderedPageBreak/>
        <w:t xml:space="preserve">The modern trend to use economic modelling methods on ancient economies is fascinating and has yielded some interesting findings about ancient societies. It has provided a novel way of investigating topics that have been long debated. Funding of the Athenian navy has not been ignored in this new wave of cross disciplinary research. Two such studies are discussed here; ‘The Athenian Trierarchy: Mechanism Design for Private Provision of Public Goods’ and Democracy, Sea Power and Institutional Change: An Economic Analysis of Athenian Naval Law’. </w:t>
      </w:r>
    </w:p>
    <w:p w14:paraId="204B037D" w14:textId="3DF67AEF" w:rsidR="00E93325" w:rsidRDefault="00193F9F" w:rsidP="657A84DE">
      <w:pPr>
        <w:spacing w:line="480" w:lineRule="auto"/>
        <w:rPr>
          <w:rFonts w:ascii="Times New Roman" w:hAnsi="Times New Roman" w:cs="Times New Roman"/>
          <w:sz w:val="24"/>
          <w:szCs w:val="24"/>
        </w:rPr>
      </w:pPr>
      <w:r>
        <w:rPr>
          <w:rFonts w:ascii="Times New Roman" w:hAnsi="Times New Roman" w:cs="Times New Roman"/>
          <w:sz w:val="24"/>
          <w:szCs w:val="24"/>
        </w:rPr>
        <w:t>Kaiser’s article ‘</w:t>
      </w:r>
      <w:r w:rsidR="657A84DE" w:rsidRPr="657A84DE">
        <w:rPr>
          <w:rFonts w:ascii="Times New Roman" w:hAnsi="Times New Roman" w:cs="Times New Roman"/>
          <w:sz w:val="24"/>
          <w:szCs w:val="24"/>
        </w:rPr>
        <w:t>The Athenian Trierarchy: Mechanism Design for Private Provision of Public Goods</w:t>
      </w:r>
      <w:r>
        <w:rPr>
          <w:rFonts w:ascii="Times New Roman" w:hAnsi="Times New Roman" w:cs="Times New Roman"/>
          <w:sz w:val="24"/>
          <w:szCs w:val="24"/>
        </w:rPr>
        <w:t>’ (2007) has as its focus on the aim of filling in blanks left by ancient sources on the topic of funding the Athenian navy between 480 and 322 BC. Kaiser uses predictive economic theory to answer questions about historical records. He creates a theoretical game that represents historical events to investigate the efficiency, feasibility and budgeting surrounding Athenian naval defence.</w:t>
      </w:r>
      <w:r w:rsidR="00FD2948">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Kaiser analysed the </w:t>
      </w:r>
      <w:r w:rsidR="005C0611">
        <w:rPr>
          <w:rFonts w:ascii="Times New Roman" w:hAnsi="Times New Roman" w:cs="Times New Roman"/>
          <w:sz w:val="24"/>
          <w:szCs w:val="24"/>
        </w:rPr>
        <w:t>citizens’</w:t>
      </w:r>
      <w:r>
        <w:rPr>
          <w:rFonts w:ascii="Times New Roman" w:hAnsi="Times New Roman" w:cs="Times New Roman"/>
          <w:sz w:val="24"/>
          <w:szCs w:val="24"/>
        </w:rPr>
        <w:t xml:space="preserve"> incentives within the game of asymmetric information.</w:t>
      </w:r>
      <w:r w:rsidRPr="657A84DE">
        <w:rPr>
          <w:rStyle w:val="FootnoteReference"/>
          <w:rFonts w:ascii="Times New Roman" w:hAnsi="Times New Roman" w:cs="Times New Roman"/>
          <w:sz w:val="24"/>
          <w:szCs w:val="24"/>
        </w:rPr>
        <w:footnoteReference w:id="4"/>
      </w:r>
      <w:r w:rsidR="0055549A" w:rsidRPr="657A84DE">
        <w:rPr>
          <w:rFonts w:ascii="Times New Roman" w:hAnsi="Times New Roman" w:cs="Times New Roman"/>
          <w:sz w:val="24"/>
          <w:szCs w:val="24"/>
        </w:rPr>
        <w:t xml:space="preserve"> Kaiser found that the mechanism </w:t>
      </w:r>
      <w:r w:rsidR="00D308C1" w:rsidRPr="657A84DE">
        <w:rPr>
          <w:rFonts w:ascii="Times New Roman" w:hAnsi="Times New Roman" w:cs="Times New Roman"/>
          <w:sz w:val="24"/>
          <w:szCs w:val="24"/>
        </w:rPr>
        <w:t>worked towards providing a fleet, balancing a b</w:t>
      </w:r>
      <w:r w:rsidR="00983024" w:rsidRPr="657A84DE">
        <w:rPr>
          <w:rFonts w:ascii="Times New Roman" w:hAnsi="Times New Roman" w:cs="Times New Roman"/>
          <w:sz w:val="24"/>
          <w:szCs w:val="24"/>
        </w:rPr>
        <w:t>udget and voluntary compliance.</w:t>
      </w:r>
      <w:r w:rsidR="000E54E9">
        <w:rPr>
          <w:rStyle w:val="FootnoteReference"/>
          <w:rFonts w:ascii="Times New Roman" w:hAnsi="Times New Roman" w:cs="Times New Roman"/>
          <w:sz w:val="24"/>
          <w:szCs w:val="24"/>
        </w:rPr>
        <w:footnoteReference w:id="5"/>
      </w:r>
      <w:r w:rsidR="00983024">
        <w:rPr>
          <w:rFonts w:ascii="Times New Roman" w:hAnsi="Times New Roman" w:cs="Times New Roman"/>
          <w:sz w:val="24"/>
          <w:szCs w:val="24"/>
        </w:rPr>
        <w:t xml:space="preserve"> However, the mechanism could not support all of these at once, so at any given point, one of these characteristics must have failed.</w:t>
      </w:r>
      <w:r w:rsidRPr="657A84DE">
        <w:rPr>
          <w:rStyle w:val="FootnoteReference"/>
          <w:rFonts w:ascii="Times New Roman" w:hAnsi="Times New Roman" w:cs="Times New Roman"/>
          <w:sz w:val="24"/>
          <w:szCs w:val="24"/>
        </w:rPr>
        <w:footnoteReference w:id="6"/>
      </w:r>
      <w:r w:rsidR="00600EE9">
        <w:rPr>
          <w:rFonts w:ascii="Times New Roman" w:hAnsi="Times New Roman" w:cs="Times New Roman"/>
          <w:sz w:val="24"/>
          <w:szCs w:val="24"/>
        </w:rPr>
        <w:t xml:space="preserve"> Kaiser found that if the budget was ignored any feasibility was achievable, but if the budget remained then feasibility would fail.</w:t>
      </w:r>
      <w:r w:rsidRPr="657A84DE">
        <w:rPr>
          <w:rStyle w:val="FootnoteReference"/>
          <w:rFonts w:ascii="Times New Roman" w:hAnsi="Times New Roman" w:cs="Times New Roman"/>
          <w:sz w:val="24"/>
          <w:szCs w:val="24"/>
        </w:rPr>
        <w:footnoteReference w:id="7"/>
      </w:r>
      <w:r w:rsidR="00600EE9">
        <w:rPr>
          <w:rFonts w:ascii="Times New Roman" w:hAnsi="Times New Roman" w:cs="Times New Roman"/>
          <w:sz w:val="24"/>
          <w:szCs w:val="24"/>
        </w:rPr>
        <w:t xml:space="preserve"> To achieve feasibility Kaiser found that all citizens must be willing to participate in the trierarchy.</w:t>
      </w:r>
      <w:r w:rsidRPr="657A84DE">
        <w:rPr>
          <w:rStyle w:val="FootnoteReference"/>
          <w:rFonts w:ascii="Times New Roman" w:hAnsi="Times New Roman" w:cs="Times New Roman"/>
          <w:sz w:val="24"/>
          <w:szCs w:val="24"/>
        </w:rPr>
        <w:footnoteReference w:id="8"/>
      </w:r>
      <w:r w:rsidR="657A84DE" w:rsidRPr="657A84DE">
        <w:rPr>
          <w:rFonts w:ascii="Times New Roman" w:hAnsi="Times New Roman" w:cs="Times New Roman"/>
          <w:sz w:val="24"/>
          <w:szCs w:val="24"/>
        </w:rPr>
        <w:t xml:space="preserve"> </w:t>
      </w:r>
    </w:p>
    <w:p w14:paraId="0E0110A4" w14:textId="20606A71" w:rsidR="00E93325" w:rsidRDefault="00600EE9" w:rsidP="657A84DE">
      <w:pPr>
        <w:spacing w:line="480" w:lineRule="auto"/>
        <w:rPr>
          <w:rFonts w:ascii="Times New Roman" w:hAnsi="Times New Roman" w:cs="Times New Roman"/>
          <w:sz w:val="24"/>
          <w:szCs w:val="24"/>
        </w:rPr>
      </w:pPr>
      <w:r>
        <w:rPr>
          <w:rFonts w:ascii="Times New Roman" w:hAnsi="Times New Roman" w:cs="Times New Roman"/>
          <w:sz w:val="24"/>
          <w:szCs w:val="24"/>
        </w:rPr>
        <w:t>Athenian dominance in the Aegean allowed the navy to be successful until Athens was absorbed into the Macedonian empire by Alexander the Great.</w:t>
      </w:r>
      <w:r w:rsidR="00193F9F" w:rsidRPr="657A84DE">
        <w:rPr>
          <w:rStyle w:val="FootnoteReference"/>
          <w:rFonts w:ascii="Times New Roman" w:hAnsi="Times New Roman" w:cs="Times New Roman"/>
          <w:sz w:val="24"/>
          <w:szCs w:val="24"/>
        </w:rPr>
        <w:footnoteReference w:id="9"/>
      </w:r>
      <w:r w:rsidR="007E2A38">
        <w:rPr>
          <w:rFonts w:ascii="Times New Roman" w:hAnsi="Times New Roman" w:cs="Times New Roman"/>
          <w:sz w:val="24"/>
          <w:szCs w:val="24"/>
        </w:rPr>
        <w:t xml:space="preserve"> Through combining </w:t>
      </w:r>
      <w:r w:rsidR="00DE4882">
        <w:rPr>
          <w:rFonts w:ascii="Times New Roman" w:hAnsi="Times New Roman" w:cs="Times New Roman"/>
          <w:sz w:val="24"/>
          <w:szCs w:val="24"/>
        </w:rPr>
        <w:lastRenderedPageBreak/>
        <w:t>epigraphical</w:t>
      </w:r>
      <w:r w:rsidR="007E2A38">
        <w:rPr>
          <w:rFonts w:ascii="Times New Roman" w:hAnsi="Times New Roman" w:cs="Times New Roman"/>
          <w:sz w:val="24"/>
          <w:szCs w:val="24"/>
        </w:rPr>
        <w:t xml:space="preserve"> and archaeological evidence along with his economic modelling Kaiser showed that the funding for the Athenian navy relied, in part, on</w:t>
      </w:r>
      <w:r w:rsidR="001B2E24">
        <w:rPr>
          <w:rFonts w:ascii="Times New Roman" w:hAnsi="Times New Roman" w:cs="Times New Roman"/>
          <w:sz w:val="24"/>
          <w:szCs w:val="24"/>
        </w:rPr>
        <w:t xml:space="preserve"> </w:t>
      </w:r>
      <w:r w:rsidR="003F4E37">
        <w:rPr>
          <w:rFonts w:ascii="Times New Roman" w:hAnsi="Times New Roman" w:cs="Times New Roman"/>
          <w:sz w:val="24"/>
          <w:szCs w:val="24"/>
        </w:rPr>
        <w:t>non-economic incentives.</w:t>
      </w:r>
      <w:r w:rsidR="00B16FF2">
        <w:rPr>
          <w:rStyle w:val="FootnoteReference"/>
          <w:rFonts w:ascii="Times New Roman" w:hAnsi="Times New Roman" w:cs="Times New Roman"/>
          <w:sz w:val="24"/>
          <w:szCs w:val="24"/>
        </w:rPr>
        <w:footnoteReference w:id="10"/>
      </w:r>
      <w:r w:rsidR="003F4E37">
        <w:rPr>
          <w:rFonts w:ascii="Times New Roman" w:hAnsi="Times New Roman" w:cs="Times New Roman"/>
          <w:sz w:val="24"/>
          <w:szCs w:val="24"/>
        </w:rPr>
        <w:t xml:space="preserve"> Although, the mechanism does not conform to the traditional belief that Athenians mainly sought non-economic rewards.</w:t>
      </w:r>
      <w:r w:rsidR="00193F9F" w:rsidRPr="657A84DE">
        <w:rPr>
          <w:rStyle w:val="FootnoteReference"/>
          <w:rFonts w:ascii="Times New Roman" w:hAnsi="Times New Roman" w:cs="Times New Roman"/>
          <w:sz w:val="24"/>
          <w:szCs w:val="24"/>
        </w:rPr>
        <w:footnoteReference w:id="11"/>
      </w:r>
      <w:r w:rsidR="657A84DE" w:rsidRPr="657A84DE">
        <w:rPr>
          <w:rFonts w:ascii="Times New Roman" w:hAnsi="Times New Roman" w:cs="Times New Roman"/>
          <w:sz w:val="24"/>
          <w:szCs w:val="24"/>
        </w:rPr>
        <w:t xml:space="preserve"> </w:t>
      </w:r>
      <w:r w:rsidR="00DE4882">
        <w:rPr>
          <w:rFonts w:ascii="Times New Roman" w:hAnsi="Times New Roman" w:cs="Times New Roman"/>
          <w:sz w:val="24"/>
          <w:szCs w:val="24"/>
        </w:rPr>
        <w:t xml:space="preserve">The model used provided insight into </w:t>
      </w:r>
      <w:r w:rsidR="004B331B">
        <w:rPr>
          <w:rFonts w:ascii="Times New Roman" w:hAnsi="Times New Roman" w:cs="Times New Roman"/>
          <w:sz w:val="24"/>
          <w:szCs w:val="24"/>
        </w:rPr>
        <w:t xml:space="preserve">the ancient economy and helped </w:t>
      </w:r>
      <w:r w:rsidR="002D620A">
        <w:rPr>
          <w:rFonts w:ascii="Times New Roman" w:hAnsi="Times New Roman" w:cs="Times New Roman"/>
          <w:sz w:val="24"/>
          <w:szCs w:val="24"/>
        </w:rPr>
        <w:t xml:space="preserve">investigate the unknowns of the Athenians motivations </w:t>
      </w:r>
      <w:r w:rsidR="00E16AF3">
        <w:rPr>
          <w:rFonts w:ascii="Times New Roman" w:hAnsi="Times New Roman" w:cs="Times New Roman"/>
          <w:sz w:val="24"/>
          <w:szCs w:val="24"/>
        </w:rPr>
        <w:t xml:space="preserve">behind the trierarchy. </w:t>
      </w:r>
      <w:r w:rsidR="00EB4656">
        <w:rPr>
          <w:rFonts w:ascii="Times New Roman" w:hAnsi="Times New Roman" w:cs="Times New Roman"/>
          <w:sz w:val="24"/>
          <w:szCs w:val="24"/>
        </w:rPr>
        <w:t>By creating theor</w:t>
      </w:r>
      <w:r w:rsidR="00651C0F">
        <w:rPr>
          <w:rFonts w:ascii="Times New Roman" w:hAnsi="Times New Roman" w:cs="Times New Roman"/>
          <w:sz w:val="24"/>
          <w:szCs w:val="24"/>
        </w:rPr>
        <w:t xml:space="preserve">etical constraints Kaiser found that </w:t>
      </w:r>
      <w:r w:rsidR="00B04B9B">
        <w:rPr>
          <w:rFonts w:ascii="Times New Roman" w:hAnsi="Times New Roman" w:cs="Times New Roman"/>
          <w:sz w:val="24"/>
          <w:szCs w:val="24"/>
        </w:rPr>
        <w:t>when individual wealth was higher</w:t>
      </w:r>
      <w:r w:rsidR="00F86CCE">
        <w:rPr>
          <w:rFonts w:ascii="Times New Roman" w:hAnsi="Times New Roman" w:cs="Times New Roman"/>
          <w:sz w:val="24"/>
          <w:szCs w:val="24"/>
        </w:rPr>
        <w:t>,</w:t>
      </w:r>
      <w:r w:rsidR="00B04B9B">
        <w:rPr>
          <w:rFonts w:ascii="Times New Roman" w:hAnsi="Times New Roman" w:cs="Times New Roman"/>
          <w:sz w:val="24"/>
          <w:szCs w:val="24"/>
        </w:rPr>
        <w:t xml:space="preserve"> efficiency and feasibility were easier to attain but</w:t>
      </w:r>
      <w:r w:rsidR="00CA3CCF">
        <w:rPr>
          <w:rFonts w:ascii="Times New Roman" w:hAnsi="Times New Roman" w:cs="Times New Roman"/>
          <w:sz w:val="24"/>
          <w:szCs w:val="24"/>
        </w:rPr>
        <w:t>,</w:t>
      </w:r>
      <w:r w:rsidR="00B04B9B">
        <w:rPr>
          <w:rFonts w:ascii="Times New Roman" w:hAnsi="Times New Roman" w:cs="Times New Roman"/>
          <w:sz w:val="24"/>
          <w:szCs w:val="24"/>
        </w:rPr>
        <w:t xml:space="preserve"> on</w:t>
      </w:r>
      <w:r w:rsidR="00CA3CCF">
        <w:rPr>
          <w:rFonts w:ascii="Times New Roman" w:hAnsi="Times New Roman" w:cs="Times New Roman"/>
          <w:sz w:val="24"/>
          <w:szCs w:val="24"/>
        </w:rPr>
        <w:t>c</w:t>
      </w:r>
      <w:r w:rsidR="00B04B9B">
        <w:rPr>
          <w:rFonts w:ascii="Times New Roman" w:hAnsi="Times New Roman" w:cs="Times New Roman"/>
          <w:sz w:val="24"/>
          <w:szCs w:val="24"/>
        </w:rPr>
        <w:t>e the financial burden o</w:t>
      </w:r>
      <w:r w:rsidR="00CA7ACE">
        <w:rPr>
          <w:rFonts w:ascii="Times New Roman" w:hAnsi="Times New Roman" w:cs="Times New Roman"/>
          <w:sz w:val="24"/>
          <w:szCs w:val="24"/>
        </w:rPr>
        <w:t>n</w:t>
      </w:r>
      <w:r w:rsidR="00B04B9B">
        <w:rPr>
          <w:rFonts w:ascii="Times New Roman" w:hAnsi="Times New Roman" w:cs="Times New Roman"/>
          <w:sz w:val="24"/>
          <w:szCs w:val="24"/>
        </w:rPr>
        <w:t xml:space="preserve"> the individual increased the </w:t>
      </w:r>
      <w:r w:rsidR="004A7A9F">
        <w:rPr>
          <w:rFonts w:ascii="Times New Roman" w:hAnsi="Times New Roman" w:cs="Times New Roman"/>
          <w:sz w:val="24"/>
          <w:szCs w:val="24"/>
        </w:rPr>
        <w:t>navy ultimately failed.</w:t>
      </w:r>
      <w:r w:rsidR="004E38DA">
        <w:rPr>
          <w:rStyle w:val="FootnoteReference"/>
          <w:rFonts w:ascii="Times New Roman" w:hAnsi="Times New Roman" w:cs="Times New Roman"/>
          <w:sz w:val="24"/>
          <w:szCs w:val="24"/>
        </w:rPr>
        <w:footnoteReference w:id="12"/>
      </w:r>
      <w:r w:rsidR="004E38DA">
        <w:rPr>
          <w:rFonts w:ascii="Times New Roman" w:hAnsi="Times New Roman" w:cs="Times New Roman"/>
          <w:sz w:val="24"/>
          <w:szCs w:val="24"/>
        </w:rPr>
        <w:t xml:space="preserve"> The feasibility constraint required the payoff for participating in the trierarchy to be higher than zero, which is difficult as the returns on the Athenian navy changes over the period.</w:t>
      </w:r>
      <w:r w:rsidR="00193F9F" w:rsidRPr="657A84DE">
        <w:rPr>
          <w:rStyle w:val="FootnoteReference"/>
          <w:rFonts w:ascii="Times New Roman" w:hAnsi="Times New Roman" w:cs="Times New Roman"/>
          <w:sz w:val="24"/>
          <w:szCs w:val="24"/>
        </w:rPr>
        <w:footnoteReference w:id="13"/>
      </w:r>
      <w:r w:rsidR="004E38DA">
        <w:rPr>
          <w:rFonts w:ascii="Times New Roman" w:hAnsi="Times New Roman" w:cs="Times New Roman"/>
          <w:sz w:val="24"/>
          <w:szCs w:val="24"/>
        </w:rPr>
        <w:t xml:space="preserve"> Kaiser’s use of modern economic theory is innovative and provides a new perspective. It deepens understanding of the layers of social pressures and motivations that are interlinked within monetary aspects of funding the navy. </w:t>
      </w:r>
    </w:p>
    <w:p w14:paraId="6D164910" w14:textId="35F7307C" w:rsidR="00E93325" w:rsidRDefault="00E93325" w:rsidP="2EE6789D">
      <w:pPr>
        <w:spacing w:line="480" w:lineRule="auto"/>
        <w:rPr>
          <w:rFonts w:ascii="Times New Roman" w:hAnsi="Times New Roman" w:cs="Times New Roman"/>
          <w:sz w:val="24"/>
          <w:szCs w:val="24"/>
        </w:rPr>
      </w:pPr>
    </w:p>
    <w:p w14:paraId="0B4B9581" w14:textId="62E01A8C" w:rsidR="0054410A" w:rsidRDefault="003D76BB" w:rsidP="0D9CBA87">
      <w:pPr>
        <w:spacing w:line="480" w:lineRule="auto"/>
        <w:rPr>
          <w:rFonts w:ascii="Times New Roman" w:hAnsi="Times New Roman" w:cs="Times New Roman"/>
          <w:sz w:val="24"/>
          <w:szCs w:val="24"/>
        </w:rPr>
      </w:pPr>
      <w:r>
        <w:rPr>
          <w:rFonts w:ascii="Times New Roman" w:hAnsi="Times New Roman" w:cs="Times New Roman"/>
          <w:sz w:val="24"/>
          <w:szCs w:val="24"/>
        </w:rPr>
        <w:t>Kyria</w:t>
      </w:r>
      <w:r w:rsidR="00420C65">
        <w:rPr>
          <w:rFonts w:ascii="Times New Roman" w:hAnsi="Times New Roman" w:cs="Times New Roman"/>
          <w:sz w:val="24"/>
          <w:szCs w:val="24"/>
        </w:rPr>
        <w:t>z</w:t>
      </w:r>
      <w:r>
        <w:rPr>
          <w:rFonts w:ascii="Times New Roman" w:hAnsi="Times New Roman" w:cs="Times New Roman"/>
          <w:sz w:val="24"/>
          <w:szCs w:val="24"/>
        </w:rPr>
        <w:t xml:space="preserve">is and Zouboulakis’ article ’Democracy, Sea Power and Institutional Change: An Economic Analysis of Athenian Naval Laws’ </w:t>
      </w:r>
      <w:r w:rsidR="00476F87">
        <w:rPr>
          <w:rFonts w:ascii="Times New Roman" w:hAnsi="Times New Roman" w:cs="Times New Roman"/>
          <w:sz w:val="24"/>
          <w:szCs w:val="24"/>
        </w:rPr>
        <w:t>tests the theory of institutional change in classical Athens through property rights.</w:t>
      </w:r>
      <w:r w:rsidRPr="657A84DE">
        <w:rPr>
          <w:rStyle w:val="FootnoteReference"/>
          <w:rFonts w:ascii="Times New Roman" w:hAnsi="Times New Roman" w:cs="Times New Roman"/>
          <w:sz w:val="24"/>
          <w:szCs w:val="24"/>
        </w:rPr>
        <w:footnoteReference w:id="14"/>
      </w:r>
      <w:r w:rsidR="00EF66DC">
        <w:rPr>
          <w:rFonts w:ascii="Times New Roman" w:hAnsi="Times New Roman" w:cs="Times New Roman"/>
          <w:sz w:val="24"/>
          <w:szCs w:val="24"/>
        </w:rPr>
        <w:t xml:space="preserve"> Kyriazis and Zouboulakis investigate three areas of path dependence</w:t>
      </w:r>
      <w:r w:rsidRPr="657A84DE">
        <w:rPr>
          <w:rStyle w:val="FootnoteReference"/>
          <w:rFonts w:ascii="Times New Roman" w:hAnsi="Times New Roman" w:cs="Times New Roman"/>
          <w:sz w:val="24"/>
          <w:szCs w:val="24"/>
        </w:rPr>
        <w:footnoteReference w:id="15"/>
      </w:r>
      <w:r w:rsidR="657A84DE" w:rsidRPr="657A84DE">
        <w:rPr>
          <w:rFonts w:ascii="Times New Roman" w:hAnsi="Times New Roman" w:cs="Times New Roman"/>
          <w:sz w:val="24"/>
          <w:szCs w:val="24"/>
        </w:rPr>
        <w:t xml:space="preserve">. The </w:t>
      </w:r>
      <w:r w:rsidR="005C0611">
        <w:rPr>
          <w:rFonts w:ascii="Times New Roman" w:hAnsi="Times New Roman" w:cs="Times New Roman"/>
          <w:sz w:val="24"/>
          <w:szCs w:val="24"/>
        </w:rPr>
        <w:t>first being technological, the “</w:t>
      </w:r>
      <w:r w:rsidR="657A84DE" w:rsidRPr="657A84DE">
        <w:rPr>
          <w:rFonts w:ascii="Times New Roman" w:hAnsi="Times New Roman" w:cs="Times New Roman"/>
          <w:sz w:val="24"/>
          <w:szCs w:val="24"/>
        </w:rPr>
        <w:t xml:space="preserve">possible lock-in in inferior technologies“, the second as institutional, why </w:t>
      </w:r>
      <w:r w:rsidR="00FB7706">
        <w:rPr>
          <w:rFonts w:ascii="Times New Roman" w:hAnsi="Times New Roman" w:cs="Times New Roman"/>
          <w:sz w:val="24"/>
          <w:szCs w:val="24"/>
        </w:rPr>
        <w:t>can “</w:t>
      </w:r>
      <w:r w:rsidR="657A84DE" w:rsidRPr="657A84DE">
        <w:rPr>
          <w:rFonts w:ascii="Times New Roman" w:hAnsi="Times New Roman" w:cs="Times New Roman"/>
          <w:sz w:val="24"/>
          <w:szCs w:val="24"/>
        </w:rPr>
        <w:t>nations stuck in inefficient institutions exhibit growth” and f</w:t>
      </w:r>
      <w:r w:rsidR="00F97216">
        <w:rPr>
          <w:rFonts w:ascii="Times New Roman" w:hAnsi="Times New Roman" w:cs="Times New Roman"/>
          <w:sz w:val="24"/>
          <w:szCs w:val="24"/>
        </w:rPr>
        <w:t>inally spatial, which concerns “</w:t>
      </w:r>
      <w:r w:rsidR="657A84DE" w:rsidRPr="657A84DE">
        <w:rPr>
          <w:rFonts w:ascii="Times New Roman" w:hAnsi="Times New Roman" w:cs="Times New Roman"/>
          <w:sz w:val="24"/>
          <w:szCs w:val="24"/>
        </w:rPr>
        <w:t>location and its impact on regional development”.</w:t>
      </w:r>
      <w:r w:rsidRPr="657A84DE">
        <w:rPr>
          <w:rStyle w:val="FootnoteReference"/>
          <w:rFonts w:ascii="Times New Roman" w:hAnsi="Times New Roman" w:cs="Times New Roman"/>
          <w:sz w:val="24"/>
          <w:szCs w:val="24"/>
        </w:rPr>
        <w:footnoteReference w:id="16"/>
      </w:r>
      <w:r w:rsidR="0D9CBA87" w:rsidRPr="0D9CBA87">
        <w:rPr>
          <w:rFonts w:ascii="Times New Roman" w:hAnsi="Times New Roman" w:cs="Times New Roman"/>
          <w:sz w:val="24"/>
          <w:szCs w:val="24"/>
        </w:rPr>
        <w:t xml:space="preserve"> Through categorising their research into three specific areas Kyriazis and </w:t>
      </w:r>
      <w:r w:rsidR="0D9CBA87" w:rsidRPr="0D9CBA87">
        <w:rPr>
          <w:rFonts w:ascii="Times New Roman" w:hAnsi="Times New Roman" w:cs="Times New Roman"/>
          <w:sz w:val="24"/>
          <w:szCs w:val="24"/>
        </w:rPr>
        <w:lastRenderedPageBreak/>
        <w:t>Zouboulakis have been able to be specific with their economic mechanism and how it adds to our existing knowledge from ancient sources.</w:t>
      </w:r>
    </w:p>
    <w:p w14:paraId="2A74C8D0" w14:textId="44E218D9" w:rsidR="0054410A" w:rsidRDefault="0D9CBA87" w:rsidP="0D9CBA87">
      <w:pPr>
        <w:spacing w:line="480" w:lineRule="auto"/>
        <w:rPr>
          <w:rFonts w:ascii="Times New Roman" w:hAnsi="Times New Roman" w:cs="Times New Roman"/>
          <w:sz w:val="24"/>
          <w:szCs w:val="24"/>
        </w:rPr>
      </w:pPr>
      <w:r w:rsidRPr="0D9CBA87">
        <w:rPr>
          <w:rFonts w:ascii="Times New Roman" w:hAnsi="Times New Roman" w:cs="Times New Roman"/>
          <w:sz w:val="24"/>
          <w:szCs w:val="24"/>
        </w:rPr>
        <w:t>Classical Athens is used as an example of institutional change and how Themistocles’ reforms socioeconomic consequences can be analysed, as well as the impact of political structures on economic performance.</w:t>
      </w:r>
      <w:r w:rsidR="003D76BB" w:rsidRPr="0D9CBA87">
        <w:rPr>
          <w:rStyle w:val="FootnoteReference"/>
          <w:rFonts w:ascii="Times New Roman" w:hAnsi="Times New Roman" w:cs="Times New Roman"/>
          <w:sz w:val="24"/>
          <w:szCs w:val="24"/>
        </w:rPr>
        <w:footnoteReference w:id="17"/>
      </w:r>
      <w:r w:rsidR="005C0611">
        <w:rPr>
          <w:rFonts w:ascii="Times New Roman" w:hAnsi="Times New Roman" w:cs="Times New Roman"/>
          <w:sz w:val="24"/>
          <w:szCs w:val="24"/>
        </w:rPr>
        <w:t xml:space="preserve"> Kyriaz</w:t>
      </w:r>
      <w:r w:rsidRPr="0D9CBA87">
        <w:rPr>
          <w:rFonts w:ascii="Times New Roman" w:hAnsi="Times New Roman" w:cs="Times New Roman"/>
          <w:sz w:val="24"/>
          <w:szCs w:val="24"/>
        </w:rPr>
        <w:t>is and Zouboulakis investigate Athens’ navy in the classical period and its lack of naval power, including the problems it faced because of this.</w:t>
      </w:r>
      <w:r w:rsidR="003D76BB" w:rsidRPr="0D9CBA87">
        <w:rPr>
          <w:rStyle w:val="FootnoteReference"/>
          <w:rFonts w:ascii="Times New Roman" w:hAnsi="Times New Roman" w:cs="Times New Roman"/>
          <w:sz w:val="24"/>
          <w:szCs w:val="24"/>
        </w:rPr>
        <w:footnoteReference w:id="18"/>
      </w:r>
      <w:r w:rsidRPr="0D9CBA87">
        <w:rPr>
          <w:rFonts w:ascii="Times New Roman" w:hAnsi="Times New Roman" w:cs="Times New Roman"/>
          <w:sz w:val="24"/>
          <w:szCs w:val="24"/>
        </w:rPr>
        <w:t xml:space="preserve"> Athens’ income relied on ”public land revenues, customs duties, fines and war booty” which we insufficient to create a fleet and naval programme large enough to defend them against enemies such as the Persians.</w:t>
      </w:r>
      <w:r w:rsidR="003D76BB" w:rsidRPr="0D9CBA87">
        <w:rPr>
          <w:rStyle w:val="FootnoteReference"/>
          <w:rFonts w:ascii="Times New Roman" w:hAnsi="Times New Roman" w:cs="Times New Roman"/>
          <w:sz w:val="24"/>
          <w:szCs w:val="24"/>
        </w:rPr>
        <w:footnoteReference w:id="19"/>
      </w:r>
      <w:r w:rsidRPr="0D9CBA87">
        <w:rPr>
          <w:rFonts w:ascii="Times New Roman" w:hAnsi="Times New Roman" w:cs="Times New Roman"/>
          <w:sz w:val="24"/>
          <w:szCs w:val="24"/>
        </w:rPr>
        <w:t xml:space="preserve"> </w:t>
      </w:r>
    </w:p>
    <w:p w14:paraId="520E5434" w14:textId="4705403C" w:rsidR="0054410A" w:rsidRDefault="006B5762" w:rsidP="0D9CBA87">
      <w:pPr>
        <w:spacing w:line="480" w:lineRule="auto"/>
        <w:rPr>
          <w:rFonts w:ascii="Times New Roman" w:hAnsi="Times New Roman" w:cs="Times New Roman"/>
          <w:sz w:val="24"/>
          <w:szCs w:val="24"/>
        </w:rPr>
      </w:pPr>
      <w:r>
        <w:rPr>
          <w:rFonts w:ascii="Times New Roman" w:hAnsi="Times New Roman" w:cs="Times New Roman"/>
          <w:sz w:val="24"/>
          <w:szCs w:val="24"/>
        </w:rPr>
        <w:t>Themistocles</w:t>
      </w:r>
      <w:r w:rsidR="00EF66DC">
        <w:rPr>
          <w:rFonts w:ascii="Times New Roman" w:hAnsi="Times New Roman" w:cs="Times New Roman"/>
          <w:sz w:val="24"/>
          <w:szCs w:val="24"/>
        </w:rPr>
        <w:t>’</w:t>
      </w:r>
      <w:r>
        <w:rPr>
          <w:rFonts w:ascii="Times New Roman" w:hAnsi="Times New Roman" w:cs="Times New Roman"/>
          <w:sz w:val="24"/>
          <w:szCs w:val="24"/>
        </w:rPr>
        <w:t xml:space="preserve"> ‘Naval Law’ </w:t>
      </w:r>
      <w:r w:rsidR="003C5DDF">
        <w:rPr>
          <w:rFonts w:ascii="Times New Roman" w:hAnsi="Times New Roman" w:cs="Times New Roman"/>
          <w:sz w:val="24"/>
          <w:szCs w:val="24"/>
        </w:rPr>
        <w:t xml:space="preserve">which was the beginning of the trierarchy </w:t>
      </w:r>
      <w:r w:rsidR="00A04202">
        <w:rPr>
          <w:rFonts w:ascii="Times New Roman" w:hAnsi="Times New Roman" w:cs="Times New Roman"/>
          <w:sz w:val="24"/>
          <w:szCs w:val="24"/>
        </w:rPr>
        <w:t xml:space="preserve">made the issues of Athenian defence clear; the silver from the Laurion mine could be distributed equally between the citizens or it could be used to create </w:t>
      </w:r>
      <w:r w:rsidR="00A2613E">
        <w:rPr>
          <w:rFonts w:ascii="Times New Roman" w:hAnsi="Times New Roman" w:cs="Times New Roman"/>
          <w:sz w:val="24"/>
          <w:szCs w:val="24"/>
        </w:rPr>
        <w:t xml:space="preserve">an </w:t>
      </w:r>
      <w:r w:rsidR="007A5980">
        <w:rPr>
          <w:rFonts w:ascii="Times New Roman" w:hAnsi="Times New Roman" w:cs="Times New Roman"/>
          <w:sz w:val="24"/>
          <w:szCs w:val="24"/>
        </w:rPr>
        <w:t>Athenian naval defence.</w:t>
      </w:r>
      <w:r w:rsidR="00FF5187">
        <w:rPr>
          <w:rStyle w:val="FootnoteReference"/>
          <w:rFonts w:ascii="Times New Roman" w:hAnsi="Times New Roman" w:cs="Times New Roman"/>
          <w:sz w:val="24"/>
          <w:szCs w:val="24"/>
        </w:rPr>
        <w:footnoteReference w:id="20"/>
      </w:r>
      <w:r w:rsidR="007A5980">
        <w:rPr>
          <w:rFonts w:ascii="Times New Roman" w:hAnsi="Times New Roman" w:cs="Times New Roman"/>
          <w:sz w:val="24"/>
          <w:szCs w:val="24"/>
        </w:rPr>
        <w:t xml:space="preserve"> Themistocles stated that the Athenian ships were no match for that of the enemy and the assembly accepted his proposal to use the silver to finance the building of about 200 triremes.</w:t>
      </w:r>
      <w:r w:rsidR="003D76BB" w:rsidRPr="657A84DE">
        <w:rPr>
          <w:rStyle w:val="FootnoteReference"/>
          <w:rFonts w:ascii="Times New Roman" w:hAnsi="Times New Roman" w:cs="Times New Roman"/>
          <w:sz w:val="24"/>
          <w:szCs w:val="24"/>
        </w:rPr>
        <w:footnoteReference w:id="21"/>
      </w:r>
      <w:r w:rsidR="00FE2C68">
        <w:rPr>
          <w:rFonts w:ascii="Times New Roman" w:hAnsi="Times New Roman" w:cs="Times New Roman"/>
          <w:sz w:val="24"/>
          <w:szCs w:val="24"/>
        </w:rPr>
        <w:t xml:space="preserve"> This resulted in an economic </w:t>
      </w:r>
      <w:r w:rsidR="005C0611">
        <w:rPr>
          <w:rFonts w:ascii="Times New Roman" w:hAnsi="Times New Roman" w:cs="Times New Roman"/>
          <w:sz w:val="24"/>
          <w:szCs w:val="24"/>
        </w:rPr>
        <w:t>democracy that</w:t>
      </w:r>
      <w:r w:rsidR="00CC281F">
        <w:rPr>
          <w:rFonts w:ascii="Times New Roman" w:hAnsi="Times New Roman" w:cs="Times New Roman"/>
          <w:sz w:val="24"/>
          <w:szCs w:val="24"/>
        </w:rPr>
        <w:t xml:space="preserve"> merged political and economic markets</w:t>
      </w:r>
      <w:r w:rsidR="00FE2C68">
        <w:rPr>
          <w:rFonts w:ascii="Times New Roman" w:hAnsi="Times New Roman" w:cs="Times New Roman"/>
          <w:sz w:val="24"/>
          <w:szCs w:val="24"/>
        </w:rPr>
        <w:t>.</w:t>
      </w:r>
      <w:r w:rsidR="003D76BB" w:rsidRPr="657A84DE">
        <w:rPr>
          <w:rStyle w:val="FootnoteReference"/>
          <w:rFonts w:ascii="Times New Roman" w:hAnsi="Times New Roman" w:cs="Times New Roman"/>
          <w:sz w:val="24"/>
          <w:szCs w:val="24"/>
        </w:rPr>
        <w:footnoteReference w:id="22"/>
      </w:r>
      <w:r w:rsidR="657A84DE" w:rsidRPr="657A84DE">
        <w:rPr>
          <w:rFonts w:ascii="Times New Roman" w:hAnsi="Times New Roman" w:cs="Times New Roman"/>
          <w:sz w:val="24"/>
          <w:szCs w:val="24"/>
        </w:rPr>
        <w:t xml:space="preserve"> Economic democracy has been associated with continuous voting.</w:t>
      </w:r>
      <w:r w:rsidR="003D76BB" w:rsidRPr="0D9CBA87">
        <w:rPr>
          <w:rStyle w:val="FootnoteReference"/>
          <w:rFonts w:ascii="Times New Roman" w:hAnsi="Times New Roman" w:cs="Times New Roman"/>
          <w:sz w:val="24"/>
          <w:szCs w:val="24"/>
        </w:rPr>
        <w:footnoteReference w:id="23"/>
      </w:r>
      <w:r w:rsidR="0D9CBA87" w:rsidRPr="0D9CBA87">
        <w:rPr>
          <w:rFonts w:ascii="Times New Roman" w:hAnsi="Times New Roman" w:cs="Times New Roman"/>
          <w:sz w:val="24"/>
          <w:szCs w:val="24"/>
        </w:rPr>
        <w:t xml:space="preserve"> This system is linked with the decision making process concerning both politica</w:t>
      </w:r>
      <w:r w:rsidR="005C0611">
        <w:rPr>
          <w:rFonts w:ascii="Times New Roman" w:hAnsi="Times New Roman" w:cs="Times New Roman"/>
          <w:sz w:val="24"/>
          <w:szCs w:val="24"/>
        </w:rPr>
        <w:t>l and economic choices such as “</w:t>
      </w:r>
      <w:r w:rsidR="0D9CBA87" w:rsidRPr="0D9CBA87">
        <w:rPr>
          <w:rFonts w:ascii="Times New Roman" w:hAnsi="Times New Roman" w:cs="Times New Roman"/>
          <w:sz w:val="24"/>
          <w:szCs w:val="24"/>
        </w:rPr>
        <w:t>taxation and provision of public goods”.</w:t>
      </w:r>
      <w:r w:rsidR="003D76BB" w:rsidRPr="0D9CBA87">
        <w:rPr>
          <w:rStyle w:val="FootnoteReference"/>
          <w:rFonts w:ascii="Times New Roman" w:hAnsi="Times New Roman" w:cs="Times New Roman"/>
          <w:sz w:val="24"/>
          <w:szCs w:val="24"/>
        </w:rPr>
        <w:footnoteReference w:id="24"/>
      </w:r>
      <w:r w:rsidR="0D9CBA87" w:rsidRPr="0D9CBA87">
        <w:rPr>
          <w:rFonts w:ascii="Times New Roman" w:hAnsi="Times New Roman" w:cs="Times New Roman"/>
          <w:sz w:val="24"/>
          <w:szCs w:val="24"/>
        </w:rPr>
        <w:t xml:space="preserve"> The process of direct voting which Kyriazis and</w:t>
      </w:r>
      <w:r w:rsidR="00FB7706">
        <w:rPr>
          <w:rFonts w:ascii="Times New Roman" w:hAnsi="Times New Roman" w:cs="Times New Roman"/>
          <w:sz w:val="24"/>
          <w:szCs w:val="24"/>
        </w:rPr>
        <w:t xml:space="preserve"> Zouboulakis characterise as a “</w:t>
      </w:r>
      <w:r w:rsidR="0D9CBA87" w:rsidRPr="0D9CBA87">
        <w:rPr>
          <w:rFonts w:ascii="Times New Roman" w:hAnsi="Times New Roman" w:cs="Times New Roman"/>
          <w:sz w:val="24"/>
          <w:szCs w:val="24"/>
        </w:rPr>
        <w:t>continuing process of permanent referendums”.</w:t>
      </w:r>
      <w:r w:rsidR="003D76BB" w:rsidRPr="0D9CBA87">
        <w:rPr>
          <w:rStyle w:val="FootnoteReference"/>
          <w:rFonts w:ascii="Times New Roman" w:hAnsi="Times New Roman" w:cs="Times New Roman"/>
          <w:sz w:val="24"/>
          <w:szCs w:val="24"/>
        </w:rPr>
        <w:footnoteReference w:id="25"/>
      </w:r>
      <w:r w:rsidR="005C0611">
        <w:rPr>
          <w:rFonts w:ascii="Times New Roman" w:hAnsi="Times New Roman" w:cs="Times New Roman"/>
          <w:sz w:val="24"/>
          <w:szCs w:val="24"/>
        </w:rPr>
        <w:t xml:space="preserve"> An effect of these “</w:t>
      </w:r>
      <w:r w:rsidR="0D9CBA87" w:rsidRPr="0D9CBA87">
        <w:rPr>
          <w:rFonts w:ascii="Times New Roman" w:hAnsi="Times New Roman" w:cs="Times New Roman"/>
          <w:sz w:val="24"/>
          <w:szCs w:val="24"/>
        </w:rPr>
        <w:t xml:space="preserve">continuous referendums” is that the economy and political decisions were constantly changing </w:t>
      </w:r>
      <w:r w:rsidR="0D9CBA87" w:rsidRPr="0D9CBA87">
        <w:rPr>
          <w:rFonts w:ascii="Times New Roman" w:hAnsi="Times New Roman" w:cs="Times New Roman"/>
          <w:sz w:val="24"/>
          <w:szCs w:val="24"/>
        </w:rPr>
        <w:lastRenderedPageBreak/>
        <w:t>throughout classical Athens which creates challenges when investigating institutional change. The market-like mechanism of decision-making used by the researchers has citizens simulate modern markets.</w:t>
      </w:r>
      <w:r w:rsidR="003D76BB" w:rsidRPr="0D9CBA87">
        <w:rPr>
          <w:rStyle w:val="FootnoteReference"/>
          <w:rFonts w:ascii="Times New Roman" w:hAnsi="Times New Roman" w:cs="Times New Roman"/>
          <w:sz w:val="24"/>
          <w:szCs w:val="24"/>
        </w:rPr>
        <w:footnoteReference w:id="26"/>
      </w:r>
      <w:r w:rsidR="0D9CBA87" w:rsidRPr="0D9CBA87">
        <w:rPr>
          <w:rFonts w:ascii="Times New Roman" w:hAnsi="Times New Roman" w:cs="Times New Roman"/>
          <w:sz w:val="24"/>
          <w:szCs w:val="24"/>
        </w:rPr>
        <w:t xml:space="preserve"> This system served and a mechanism for information exchange, defining and safeguarding property rights, citizen expression on public decision and the determining of social prices and the distribution of tax burdens.</w:t>
      </w:r>
      <w:r w:rsidR="003D76BB" w:rsidRPr="0D9CBA87">
        <w:rPr>
          <w:rStyle w:val="FootnoteReference"/>
          <w:rFonts w:ascii="Times New Roman" w:hAnsi="Times New Roman" w:cs="Times New Roman"/>
          <w:sz w:val="24"/>
          <w:szCs w:val="24"/>
        </w:rPr>
        <w:footnoteReference w:id="27"/>
      </w:r>
      <w:r w:rsidR="0D9CBA87" w:rsidRPr="0D9CBA87">
        <w:rPr>
          <w:rFonts w:ascii="Times New Roman" w:hAnsi="Times New Roman" w:cs="Times New Roman"/>
          <w:sz w:val="24"/>
          <w:szCs w:val="24"/>
        </w:rPr>
        <w:t xml:space="preserve"> </w:t>
      </w:r>
    </w:p>
    <w:p w14:paraId="22BBFBF7" w14:textId="33F472CE" w:rsidR="0054410A" w:rsidRDefault="00420C65" w:rsidP="657A84DE">
      <w:pPr>
        <w:spacing w:line="480" w:lineRule="auto"/>
        <w:rPr>
          <w:rFonts w:ascii="Times New Roman" w:hAnsi="Times New Roman" w:cs="Times New Roman"/>
          <w:sz w:val="24"/>
          <w:szCs w:val="24"/>
        </w:rPr>
      </w:pPr>
      <w:r>
        <w:rPr>
          <w:rFonts w:ascii="Times New Roman" w:hAnsi="Times New Roman" w:cs="Times New Roman"/>
          <w:sz w:val="24"/>
          <w:szCs w:val="24"/>
        </w:rPr>
        <w:t>Kyriazis and Zoubou</w:t>
      </w:r>
      <w:r w:rsidR="00F533CA">
        <w:rPr>
          <w:rFonts w:ascii="Times New Roman" w:hAnsi="Times New Roman" w:cs="Times New Roman"/>
          <w:sz w:val="24"/>
          <w:szCs w:val="24"/>
        </w:rPr>
        <w:t xml:space="preserve">lakis’ article gives an explanation of </w:t>
      </w:r>
      <w:r w:rsidR="00FD16EE">
        <w:rPr>
          <w:rFonts w:ascii="Times New Roman" w:hAnsi="Times New Roman" w:cs="Times New Roman"/>
          <w:sz w:val="24"/>
          <w:szCs w:val="24"/>
        </w:rPr>
        <w:t>how the institution of Athenian naval defence changed the</w:t>
      </w:r>
      <w:r w:rsidR="006F00D4">
        <w:rPr>
          <w:rFonts w:ascii="Times New Roman" w:hAnsi="Times New Roman" w:cs="Times New Roman"/>
          <w:sz w:val="24"/>
          <w:szCs w:val="24"/>
        </w:rPr>
        <w:t xml:space="preserve"> economy during the classical period. </w:t>
      </w:r>
      <w:r w:rsidR="657A84DE" w:rsidRPr="657A84DE">
        <w:rPr>
          <w:rFonts w:ascii="Times New Roman" w:hAnsi="Times New Roman" w:cs="Times New Roman"/>
          <w:sz w:val="24"/>
          <w:szCs w:val="24"/>
        </w:rPr>
        <w:t>This suggested that private property rights and justice are not incompatible as long as the values are imposed by the citizens themselves and not a central power.</w:t>
      </w:r>
      <w:r w:rsidR="003D76BB" w:rsidRPr="657A84DE">
        <w:rPr>
          <w:rStyle w:val="FootnoteReference"/>
          <w:rFonts w:ascii="Times New Roman" w:hAnsi="Times New Roman" w:cs="Times New Roman"/>
          <w:sz w:val="24"/>
          <w:szCs w:val="24"/>
        </w:rPr>
        <w:footnoteReference w:id="28"/>
      </w:r>
      <w:r w:rsidR="657A84DE" w:rsidRPr="657A84DE">
        <w:rPr>
          <w:rFonts w:ascii="Times New Roman" w:hAnsi="Times New Roman" w:cs="Times New Roman"/>
          <w:sz w:val="24"/>
          <w:szCs w:val="24"/>
        </w:rPr>
        <w:t xml:space="preserve"> </w:t>
      </w:r>
    </w:p>
    <w:p w14:paraId="1A84A926" w14:textId="08F988D5" w:rsidR="0054410A" w:rsidRDefault="0054410A" w:rsidP="657A84DE">
      <w:pPr>
        <w:pStyle w:val="NormalWeb"/>
        <w:spacing w:line="480" w:lineRule="auto"/>
      </w:pPr>
    </w:p>
    <w:p w14:paraId="013961A0" w14:textId="543B1B50" w:rsidR="005F67CD" w:rsidRDefault="005F67CD" w:rsidP="005D7A9C">
      <w:pPr>
        <w:pStyle w:val="NormalWeb"/>
        <w:spacing w:line="480" w:lineRule="auto"/>
      </w:pPr>
      <w:r>
        <w:t>Pritchard</w:t>
      </w:r>
      <w:r w:rsidR="00A91075">
        <w:t xml:space="preserve">’s </w:t>
      </w:r>
      <w:r w:rsidR="0055636D">
        <w:t>‘Costing Festivals and War’ (2012)</w:t>
      </w:r>
      <w:r>
        <w:t xml:space="preserve"> examines controversial debate in scholarship that the Athenians spent more on festivals than on war. Pritchard revisits the comments of early economic historian Boeckh, writing in 1817</w:t>
      </w:r>
      <w:r w:rsidR="00B12A17" w:rsidRPr="5AFAD010">
        <w:t>,</w:t>
      </w:r>
      <w:r>
        <w:t xml:space="preserve"> in which he claims that the</w:t>
      </w:r>
      <w:r w:rsidR="00B12A17">
        <w:t xml:space="preserve"> Athenians</w:t>
      </w:r>
      <w:r>
        <w:t xml:space="preserve"> spent more on the city Dionysia and the Great Panathenaia than they spent on a single naval expedition</w:t>
      </w:r>
      <w:r w:rsidRPr="5AFAD010">
        <w:t>.</w:t>
      </w:r>
      <w:r w:rsidR="00FC512F">
        <w:rPr>
          <w:rStyle w:val="FootnoteReference"/>
        </w:rPr>
        <w:footnoteReference w:id="29"/>
      </w:r>
      <w:r w:rsidR="00D16757" w:rsidRPr="5AFAD010">
        <w:t xml:space="preserve"> </w:t>
      </w:r>
      <w:r w:rsidR="00D16757" w:rsidRPr="0D9CBA87">
        <w:t>The aim of Pritchard’s research is to disprove Boeckh’s judgement that more was spent on religious celebrations than on the armed forces in classical Athens.</w:t>
      </w:r>
      <w:r w:rsidRPr="0D9CBA87">
        <w:rPr>
          <w:rStyle w:val="FootnoteReference"/>
        </w:rPr>
        <w:footnoteReference w:id="30"/>
      </w:r>
    </w:p>
    <w:p w14:paraId="06F60CA6" w14:textId="6DF4F346" w:rsidR="005F67CD" w:rsidRDefault="00B12A17" w:rsidP="005D7A9C">
      <w:pPr>
        <w:pStyle w:val="NormalWeb"/>
        <w:spacing w:line="480" w:lineRule="auto"/>
      </w:pPr>
      <w:r>
        <w:t>H</w:t>
      </w:r>
      <w:r w:rsidR="005F67CD">
        <w:t xml:space="preserve">e systematically looks at and compares the costs of the festivals and military spending and concludes that the cost of festivals </w:t>
      </w:r>
      <w:r w:rsidR="00E667EC">
        <w:t>was</w:t>
      </w:r>
      <w:r w:rsidR="005F67CD">
        <w:t xml:space="preserve"> high but</w:t>
      </w:r>
      <w:r w:rsidR="00E667EC" w:rsidRPr="5AFAD010">
        <w:t>,</w:t>
      </w:r>
      <w:r w:rsidR="005F67CD">
        <w:t xml:space="preserve"> five to fifteen times more was spent on the military</w:t>
      </w:r>
      <w:r w:rsidR="005F67CD" w:rsidRPr="5AFAD010">
        <w:t>.</w:t>
      </w:r>
      <w:r w:rsidR="00421BA1">
        <w:rPr>
          <w:rStyle w:val="FootnoteReference"/>
        </w:rPr>
        <w:footnoteReference w:id="31"/>
      </w:r>
      <w:r w:rsidR="009E6B82">
        <w:t xml:space="preserve"> Pritchard questions the figures other scholars have come up with as there is very little ancient </w:t>
      </w:r>
      <w:r w:rsidR="004149F2">
        <w:t>corroborating</w:t>
      </w:r>
      <w:r w:rsidR="009E6B82">
        <w:t xml:space="preserve"> evidence relating to that period (478-732)</w:t>
      </w:r>
      <w:r w:rsidR="009E6B82" w:rsidRPr="5AFAD010">
        <w:t>.</w:t>
      </w:r>
      <w:r w:rsidR="00421BA1">
        <w:rPr>
          <w:rStyle w:val="FootnoteReference"/>
        </w:rPr>
        <w:footnoteReference w:id="32"/>
      </w:r>
      <w:r w:rsidR="009E6B82" w:rsidRPr="5AFAD010">
        <w:t xml:space="preserve"> </w:t>
      </w:r>
      <w:r w:rsidR="0D9CBA87">
        <w:t xml:space="preserve">Pritchard examines </w:t>
      </w:r>
      <w:r w:rsidR="0D9CBA87">
        <w:lastRenderedPageBreak/>
        <w:t>Boeckh’s use of Plutarch as a source to justify the assumption that the Athenians spend more on theat</w:t>
      </w:r>
      <w:r w:rsidR="005C0611">
        <w:t>re production than they did on “</w:t>
      </w:r>
      <w:r w:rsidR="0D9CBA87">
        <w:t>maintaining their empire and fighting for their liberty against Persia”.</w:t>
      </w:r>
      <w:r w:rsidR="005F67CD" w:rsidRPr="0D9CBA87">
        <w:rPr>
          <w:rStyle w:val="FootnoteReference"/>
        </w:rPr>
        <w:footnoteReference w:id="33"/>
      </w:r>
    </w:p>
    <w:p w14:paraId="733F5EB0" w14:textId="50D64758" w:rsidR="005F67CD" w:rsidRDefault="00E667EC" w:rsidP="005D7A9C">
      <w:pPr>
        <w:pStyle w:val="NormalWeb"/>
        <w:spacing w:line="480" w:lineRule="auto"/>
      </w:pPr>
      <w:r>
        <w:t xml:space="preserve">Pritchard </w:t>
      </w:r>
      <w:r w:rsidR="005F67CD">
        <w:t>argues that war not festivals was the overriding priority of the Athenian people.</w:t>
      </w:r>
      <w:r w:rsidR="0042614E" w:rsidRPr="5AFAD010">
        <w:t xml:space="preserve"> </w:t>
      </w:r>
      <w:r w:rsidR="004A0C6D">
        <w:t xml:space="preserve">Using the logistai-accounts Pritchard </w:t>
      </w:r>
      <w:r w:rsidR="008535DF">
        <w:t>surmises</w:t>
      </w:r>
      <w:r w:rsidR="009F37FA">
        <w:t xml:space="preserve"> that b</w:t>
      </w:r>
      <w:r w:rsidR="00DF39CC">
        <w:t xml:space="preserve">etween </w:t>
      </w:r>
      <w:r w:rsidR="00084262">
        <w:t>433 and 422 Athens used up all of its annual income on funding warfare</w:t>
      </w:r>
      <w:r w:rsidR="00084262" w:rsidRPr="5AFAD010">
        <w:t>.</w:t>
      </w:r>
      <w:r w:rsidR="00421BA1">
        <w:rPr>
          <w:rStyle w:val="FootnoteReference"/>
        </w:rPr>
        <w:footnoteReference w:id="34"/>
      </w:r>
      <w:r w:rsidR="009E6B82" w:rsidRPr="5AFAD010">
        <w:t xml:space="preserve"> </w:t>
      </w:r>
      <w:r w:rsidR="0D9CBA87">
        <w:t>Pritchard highlights one of the most important areas of military innovation was</w:t>
      </w:r>
      <w:r w:rsidR="0D9CBA87" w:rsidRPr="5AFAD010">
        <w:t xml:space="preserve"> </w:t>
      </w:r>
      <w:r w:rsidR="0D9CBA87">
        <w:t>finance during war.</w:t>
      </w:r>
      <w:r w:rsidR="005F67CD" w:rsidRPr="0D9CBA87">
        <w:rPr>
          <w:rStyle w:val="FootnoteReference"/>
        </w:rPr>
        <w:footnoteReference w:id="35"/>
      </w:r>
      <w:r w:rsidR="009E6B82" w:rsidRPr="0D9CBA87">
        <w:t xml:space="preserve"> Using Thucydides Pritchard estimates that between 74 and 185t was private spending on triremes</w:t>
      </w:r>
      <w:r w:rsidR="009E6B82" w:rsidRPr="5AFAD010">
        <w:t>.</w:t>
      </w:r>
      <w:r w:rsidR="005F67CD" w:rsidRPr="0D9CBA87">
        <w:rPr>
          <w:rStyle w:val="FootnoteReference"/>
        </w:rPr>
        <w:footnoteReference w:id="36"/>
      </w:r>
      <w:r w:rsidR="0D9CBA87" w:rsidRPr="5AFAD010">
        <w:t xml:space="preserve"> </w:t>
      </w:r>
      <w:r w:rsidR="0D9CBA87">
        <w:t>These costs explain why non-elite citizens in 4</w:t>
      </w:r>
      <w:r w:rsidR="0D9CBA87" w:rsidRPr="0D9CBA87">
        <w:rPr>
          <w:vertAlign w:val="superscript"/>
        </w:rPr>
        <w:t>th</w:t>
      </w:r>
      <w:r w:rsidR="0D9CBA87">
        <w:t xml:space="preserve"> and 5</w:t>
      </w:r>
      <w:r w:rsidR="0D9CBA87" w:rsidRPr="0D9CBA87">
        <w:rPr>
          <w:vertAlign w:val="superscript"/>
        </w:rPr>
        <w:t>th</w:t>
      </w:r>
      <w:r w:rsidR="0D9CBA87">
        <w:t xml:space="preserve"> century Athens believed that their naval power and security relied on ships, walls and money.</w:t>
      </w:r>
      <w:r w:rsidR="005F67CD" w:rsidRPr="0D9CBA87">
        <w:rPr>
          <w:rStyle w:val="FootnoteReference"/>
        </w:rPr>
        <w:footnoteReference w:id="37"/>
      </w:r>
      <w:r w:rsidR="0D9CBA87">
        <w:t xml:space="preserve"> Paying the crew of a trireme was essential as triremes did not have the space to store provisions therefore, rowers would need money to buy food each day.</w:t>
      </w:r>
      <w:r w:rsidR="005F67CD" w:rsidRPr="0D9CBA87">
        <w:rPr>
          <w:rStyle w:val="FootnoteReference"/>
        </w:rPr>
        <w:footnoteReference w:id="38"/>
      </w:r>
      <w:r w:rsidR="0D9CBA87">
        <w:t xml:space="preserve"> There was also no guarantee that the rowers would stay if they had not been paid in full.</w:t>
      </w:r>
      <w:r w:rsidR="005F67CD" w:rsidRPr="0D9CBA87">
        <w:rPr>
          <w:rStyle w:val="FootnoteReference"/>
        </w:rPr>
        <w:footnoteReference w:id="39"/>
      </w:r>
      <w:r w:rsidR="0D9CBA87">
        <w:t xml:space="preserve"> The constant need for money to maintain a naval fleet shows how necessary it was for Athens to be able to finance itself. </w:t>
      </w:r>
    </w:p>
    <w:p w14:paraId="57D5D5AB" w14:textId="2D8276E6" w:rsidR="657A84DE" w:rsidRDefault="657A84DE" w:rsidP="657A84DE">
      <w:pPr>
        <w:spacing w:line="480" w:lineRule="auto"/>
        <w:rPr>
          <w:rFonts w:ascii="Times New Roman" w:hAnsi="Times New Roman" w:cs="Times New Roman"/>
          <w:sz w:val="24"/>
          <w:szCs w:val="24"/>
        </w:rPr>
      </w:pPr>
    </w:p>
    <w:p w14:paraId="4D8AC06D" w14:textId="28A8A2FA" w:rsidR="004A35D7" w:rsidRDefault="5AFAD010" w:rsidP="5AFAD010">
      <w:pPr>
        <w:spacing w:line="480" w:lineRule="auto"/>
        <w:rPr>
          <w:rFonts w:ascii="Times New Roman" w:hAnsi="Times New Roman" w:cs="Times New Roman"/>
          <w:sz w:val="24"/>
          <w:szCs w:val="24"/>
        </w:rPr>
      </w:pPr>
      <w:r w:rsidRPr="5AFAD010">
        <w:rPr>
          <w:rFonts w:ascii="Times New Roman" w:hAnsi="Times New Roman" w:cs="Times New Roman"/>
          <w:sz w:val="24"/>
          <w:szCs w:val="24"/>
        </w:rPr>
        <w:t xml:space="preserve">In ‘Public Finance and War in Ancient Greece’ Pritchard looks at how war changed in the classical period. </w:t>
      </w:r>
      <w:r w:rsidR="00954FF6">
        <w:rPr>
          <w:rFonts w:ascii="Times New Roman" w:hAnsi="Times New Roman" w:cs="Times New Roman"/>
          <w:sz w:val="24"/>
          <w:szCs w:val="24"/>
        </w:rPr>
        <w:t xml:space="preserve">The first being that war became a public activity and the second was </w:t>
      </w:r>
      <w:r w:rsidR="00737B6B">
        <w:rPr>
          <w:rFonts w:ascii="Times New Roman" w:hAnsi="Times New Roman" w:cs="Times New Roman"/>
          <w:sz w:val="24"/>
          <w:szCs w:val="24"/>
        </w:rPr>
        <w:t>to naval warfare.</w:t>
      </w:r>
      <w:r w:rsidR="00CE7C01" w:rsidRPr="5AFAD010">
        <w:rPr>
          <w:rStyle w:val="FootnoteReference"/>
          <w:rFonts w:ascii="Times New Roman" w:hAnsi="Times New Roman" w:cs="Times New Roman"/>
          <w:sz w:val="24"/>
          <w:szCs w:val="24"/>
        </w:rPr>
        <w:footnoteReference w:id="40"/>
      </w:r>
      <w:r w:rsidR="00737B6B">
        <w:rPr>
          <w:rFonts w:ascii="Times New Roman" w:hAnsi="Times New Roman" w:cs="Times New Roman"/>
          <w:sz w:val="24"/>
          <w:szCs w:val="24"/>
        </w:rPr>
        <w:t xml:space="preserve"> </w:t>
      </w:r>
      <w:r w:rsidR="009B012B">
        <w:rPr>
          <w:rFonts w:ascii="Times New Roman" w:hAnsi="Times New Roman" w:cs="Times New Roman"/>
          <w:sz w:val="24"/>
          <w:szCs w:val="24"/>
        </w:rPr>
        <w:t>It was because of the Persians that the Athenians invested heavily in naval warfare</w:t>
      </w:r>
      <w:r w:rsidR="0072479C">
        <w:rPr>
          <w:rFonts w:ascii="Times New Roman" w:hAnsi="Times New Roman" w:cs="Times New Roman"/>
          <w:sz w:val="24"/>
          <w:szCs w:val="24"/>
        </w:rPr>
        <w:t>. Pritchard states that after building their 200 triremes Athens posses</w:t>
      </w:r>
      <w:r w:rsidR="001004DF">
        <w:rPr>
          <w:rFonts w:ascii="Times New Roman" w:hAnsi="Times New Roman" w:cs="Times New Roman"/>
          <w:sz w:val="24"/>
          <w:szCs w:val="24"/>
        </w:rPr>
        <w:t>sed</w:t>
      </w:r>
      <w:r w:rsidR="0072479C">
        <w:rPr>
          <w:rFonts w:ascii="Times New Roman" w:hAnsi="Times New Roman" w:cs="Times New Roman"/>
          <w:sz w:val="24"/>
          <w:szCs w:val="24"/>
        </w:rPr>
        <w:t xml:space="preserve"> the largest </w:t>
      </w:r>
      <w:r w:rsidR="00AA21C7">
        <w:rPr>
          <w:rFonts w:ascii="Times New Roman" w:hAnsi="Times New Roman" w:cs="Times New Roman"/>
          <w:sz w:val="24"/>
          <w:szCs w:val="24"/>
        </w:rPr>
        <w:t xml:space="preserve">polis </w:t>
      </w:r>
      <w:r w:rsidR="00AA21C7">
        <w:rPr>
          <w:rFonts w:ascii="Times New Roman" w:hAnsi="Times New Roman" w:cs="Times New Roman"/>
          <w:sz w:val="24"/>
          <w:szCs w:val="24"/>
        </w:rPr>
        <w:lastRenderedPageBreak/>
        <w:t xml:space="preserve">owned fleet </w:t>
      </w:r>
      <w:r w:rsidR="001004DF">
        <w:rPr>
          <w:rFonts w:ascii="Times New Roman" w:hAnsi="Times New Roman" w:cs="Times New Roman"/>
          <w:sz w:val="24"/>
          <w:szCs w:val="24"/>
        </w:rPr>
        <w:t>at the time</w:t>
      </w:r>
      <w:r w:rsidR="0075014C">
        <w:rPr>
          <w:rFonts w:ascii="Times New Roman" w:hAnsi="Times New Roman" w:cs="Times New Roman"/>
          <w:sz w:val="24"/>
          <w:szCs w:val="24"/>
        </w:rPr>
        <w:t>.</w:t>
      </w:r>
      <w:r w:rsidR="00FC512F">
        <w:rPr>
          <w:rStyle w:val="FootnoteReference"/>
          <w:rFonts w:ascii="Times New Roman" w:hAnsi="Times New Roman" w:cs="Times New Roman"/>
          <w:sz w:val="24"/>
          <w:szCs w:val="24"/>
        </w:rPr>
        <w:footnoteReference w:id="41"/>
      </w:r>
      <w:r w:rsidR="001004DF">
        <w:rPr>
          <w:rFonts w:ascii="Times New Roman" w:hAnsi="Times New Roman" w:cs="Times New Roman"/>
          <w:sz w:val="24"/>
          <w:szCs w:val="24"/>
        </w:rPr>
        <w:t xml:space="preserve"> </w:t>
      </w:r>
      <w:r w:rsidR="00427280">
        <w:rPr>
          <w:rFonts w:ascii="Times New Roman" w:hAnsi="Times New Roman" w:cs="Times New Roman"/>
          <w:sz w:val="24"/>
          <w:szCs w:val="24"/>
        </w:rPr>
        <w:t>Athens’ success as a sea power was partly due to its large public finances that other states such as Sparta could not compete with.</w:t>
      </w:r>
      <w:r w:rsidR="00FC2636">
        <w:rPr>
          <w:rStyle w:val="FootnoteReference"/>
          <w:rFonts w:ascii="Times New Roman" w:hAnsi="Times New Roman" w:cs="Times New Roman"/>
          <w:sz w:val="24"/>
          <w:szCs w:val="24"/>
        </w:rPr>
        <w:footnoteReference w:id="42"/>
      </w:r>
      <w:r w:rsidR="007356C4">
        <w:rPr>
          <w:rFonts w:ascii="Times New Roman" w:hAnsi="Times New Roman" w:cs="Times New Roman"/>
          <w:sz w:val="24"/>
          <w:szCs w:val="24"/>
        </w:rPr>
        <w:t xml:space="preserve"> Sparta only started to become a sea power after the fleet received finance from Persia, it was this finance that allowed Sparta to defeat Athens at sea in 405 BC.</w:t>
      </w:r>
      <w:r w:rsidR="00CE7C01" w:rsidRPr="0D9CBA87">
        <w:rPr>
          <w:rStyle w:val="FootnoteReference"/>
          <w:rFonts w:ascii="Times New Roman" w:hAnsi="Times New Roman" w:cs="Times New Roman"/>
          <w:sz w:val="24"/>
          <w:szCs w:val="24"/>
        </w:rPr>
        <w:footnoteReference w:id="43"/>
      </w:r>
      <w:r w:rsidR="007356C4">
        <w:rPr>
          <w:rFonts w:ascii="Times New Roman" w:hAnsi="Times New Roman" w:cs="Times New Roman"/>
          <w:sz w:val="24"/>
          <w:szCs w:val="24"/>
        </w:rPr>
        <w:t xml:space="preserve"> One reason that Greek warfare became reliant on public finance to be successful was Athens and its naval fleet.</w:t>
      </w:r>
      <w:r w:rsidR="00CE7C01" w:rsidRPr="0D9CBA87">
        <w:rPr>
          <w:rStyle w:val="FootnoteReference"/>
          <w:rFonts w:ascii="Times New Roman" w:hAnsi="Times New Roman" w:cs="Times New Roman"/>
          <w:sz w:val="24"/>
          <w:szCs w:val="24"/>
        </w:rPr>
        <w:footnoteReference w:id="44"/>
      </w:r>
      <w:r w:rsidRPr="5AFAD010">
        <w:rPr>
          <w:rFonts w:ascii="Times New Roman" w:hAnsi="Times New Roman" w:cs="Times New Roman"/>
          <w:sz w:val="24"/>
          <w:szCs w:val="24"/>
        </w:rPr>
        <w:t xml:space="preserve"> </w:t>
      </w:r>
    </w:p>
    <w:p w14:paraId="15265D68" w14:textId="7306B3D6" w:rsidR="004A35D7" w:rsidRDefault="00061362" w:rsidP="5AFAD010">
      <w:pPr>
        <w:spacing w:line="480" w:lineRule="auto"/>
        <w:rPr>
          <w:rFonts w:ascii="Times New Roman" w:hAnsi="Times New Roman" w:cs="Times New Roman"/>
          <w:sz w:val="24"/>
          <w:szCs w:val="24"/>
        </w:rPr>
      </w:pPr>
      <w:r>
        <w:rPr>
          <w:rFonts w:ascii="Times New Roman" w:hAnsi="Times New Roman" w:cs="Times New Roman"/>
          <w:sz w:val="24"/>
          <w:szCs w:val="24"/>
        </w:rPr>
        <w:t>Pritchard compares this to Greece in the Archaic period in which war was not funded through public finance,</w:t>
      </w:r>
      <w:r w:rsidR="00F11E34">
        <w:rPr>
          <w:rFonts w:ascii="Times New Roman" w:hAnsi="Times New Roman" w:cs="Times New Roman"/>
          <w:sz w:val="24"/>
          <w:szCs w:val="24"/>
        </w:rPr>
        <w:t xml:space="preserve"> as war wa</w:t>
      </w:r>
      <w:r w:rsidR="00876D5C">
        <w:rPr>
          <w:rFonts w:ascii="Times New Roman" w:hAnsi="Times New Roman" w:cs="Times New Roman"/>
          <w:sz w:val="24"/>
          <w:szCs w:val="24"/>
        </w:rPr>
        <w:t>s not frequent and usually between poleis about land.</w:t>
      </w:r>
      <w:r w:rsidR="00FC2636">
        <w:rPr>
          <w:rStyle w:val="FootnoteReference"/>
          <w:rFonts w:ascii="Times New Roman" w:hAnsi="Times New Roman" w:cs="Times New Roman"/>
          <w:sz w:val="24"/>
          <w:szCs w:val="24"/>
        </w:rPr>
        <w:footnoteReference w:id="45"/>
      </w:r>
      <w:r>
        <w:rPr>
          <w:rFonts w:ascii="Times New Roman" w:hAnsi="Times New Roman" w:cs="Times New Roman"/>
          <w:sz w:val="24"/>
          <w:szCs w:val="24"/>
        </w:rPr>
        <w:t xml:space="preserve"> </w:t>
      </w:r>
      <w:r w:rsidR="0066648A">
        <w:rPr>
          <w:rFonts w:ascii="Times New Roman" w:hAnsi="Times New Roman" w:cs="Times New Roman"/>
          <w:sz w:val="24"/>
          <w:szCs w:val="24"/>
        </w:rPr>
        <w:t xml:space="preserve">The expenses of continuing to fund the fleet </w:t>
      </w:r>
      <w:r w:rsidR="00D623D4">
        <w:rPr>
          <w:rFonts w:ascii="Times New Roman" w:hAnsi="Times New Roman" w:cs="Times New Roman"/>
          <w:sz w:val="24"/>
          <w:szCs w:val="24"/>
        </w:rPr>
        <w:t>proved to be massive</w:t>
      </w:r>
      <w:r w:rsidR="00FD063C">
        <w:rPr>
          <w:rFonts w:ascii="Times New Roman" w:hAnsi="Times New Roman" w:cs="Times New Roman"/>
          <w:sz w:val="24"/>
          <w:szCs w:val="24"/>
        </w:rPr>
        <w:t>. Pritchard cal</w:t>
      </w:r>
      <w:r w:rsidR="006A6D24">
        <w:rPr>
          <w:rFonts w:ascii="Times New Roman" w:hAnsi="Times New Roman" w:cs="Times New Roman"/>
          <w:sz w:val="24"/>
          <w:szCs w:val="24"/>
        </w:rPr>
        <w:t>c</w:t>
      </w:r>
      <w:r w:rsidR="00FD063C">
        <w:rPr>
          <w:rFonts w:ascii="Times New Roman" w:hAnsi="Times New Roman" w:cs="Times New Roman"/>
          <w:sz w:val="24"/>
          <w:szCs w:val="24"/>
        </w:rPr>
        <w:t xml:space="preserve">ulates that to keep one trireme at sea for one month it would cost Athens </w:t>
      </w:r>
      <w:r w:rsidR="00141243">
        <w:rPr>
          <w:rFonts w:ascii="Times New Roman" w:hAnsi="Times New Roman" w:cs="Times New Roman"/>
          <w:sz w:val="24"/>
          <w:szCs w:val="24"/>
        </w:rPr>
        <w:t>6,000 drachmas.</w:t>
      </w:r>
      <w:r w:rsidR="00AE7C61">
        <w:rPr>
          <w:rStyle w:val="FootnoteReference"/>
          <w:rFonts w:ascii="Times New Roman" w:hAnsi="Times New Roman" w:cs="Times New Roman"/>
          <w:sz w:val="24"/>
          <w:szCs w:val="24"/>
        </w:rPr>
        <w:footnoteReference w:id="46"/>
      </w:r>
      <w:r w:rsidR="00141243">
        <w:rPr>
          <w:rFonts w:ascii="Times New Roman" w:hAnsi="Times New Roman" w:cs="Times New Roman"/>
          <w:sz w:val="24"/>
          <w:szCs w:val="24"/>
        </w:rPr>
        <w:t xml:space="preserve"> </w:t>
      </w:r>
      <w:r w:rsidR="00CF35D2">
        <w:rPr>
          <w:rFonts w:ascii="Times New Roman" w:hAnsi="Times New Roman" w:cs="Times New Roman"/>
          <w:sz w:val="24"/>
          <w:szCs w:val="24"/>
        </w:rPr>
        <w:t xml:space="preserve">This coincides with Pritchard’s ‘Costing of Festivals and War’ </w:t>
      </w:r>
      <w:r w:rsidR="004205B9">
        <w:rPr>
          <w:rFonts w:ascii="Times New Roman" w:hAnsi="Times New Roman" w:cs="Times New Roman"/>
          <w:sz w:val="24"/>
          <w:szCs w:val="24"/>
        </w:rPr>
        <w:t xml:space="preserve">as </w:t>
      </w:r>
      <w:r w:rsidR="00945A82">
        <w:rPr>
          <w:rFonts w:ascii="Times New Roman" w:hAnsi="Times New Roman" w:cs="Times New Roman"/>
          <w:sz w:val="24"/>
          <w:szCs w:val="24"/>
        </w:rPr>
        <w:t xml:space="preserve">it details the extent to which Athens became invested in naval warfare. </w:t>
      </w:r>
    </w:p>
    <w:p w14:paraId="12DDE0F6" w14:textId="49CCB644" w:rsidR="657A84DE" w:rsidRDefault="657A84DE" w:rsidP="657A84DE">
      <w:pPr>
        <w:spacing w:line="480" w:lineRule="auto"/>
        <w:rPr>
          <w:rFonts w:ascii="Times New Roman" w:hAnsi="Times New Roman" w:cs="Times New Roman"/>
          <w:sz w:val="24"/>
          <w:szCs w:val="24"/>
        </w:rPr>
      </w:pPr>
    </w:p>
    <w:p w14:paraId="7B1B5A07" w14:textId="22D3604B" w:rsidR="00FE22D4" w:rsidRDefault="00B32EDE" w:rsidP="5AFAD010">
      <w:pPr>
        <w:spacing w:line="480" w:lineRule="auto"/>
        <w:rPr>
          <w:rFonts w:ascii="Times New Roman" w:hAnsi="Times New Roman" w:cs="Times New Roman"/>
          <w:sz w:val="24"/>
          <w:szCs w:val="24"/>
        </w:rPr>
      </w:pPr>
      <w:r>
        <w:rPr>
          <w:rFonts w:ascii="Times New Roman" w:hAnsi="Times New Roman" w:cs="Times New Roman"/>
          <w:sz w:val="24"/>
          <w:szCs w:val="24"/>
        </w:rPr>
        <w:t xml:space="preserve">Kallet comments on Thucydides connection </w:t>
      </w:r>
      <w:r w:rsidR="0095278E">
        <w:rPr>
          <w:rFonts w:ascii="Times New Roman" w:hAnsi="Times New Roman" w:cs="Times New Roman"/>
          <w:sz w:val="24"/>
          <w:szCs w:val="24"/>
        </w:rPr>
        <w:t>between</w:t>
      </w:r>
      <w:r>
        <w:rPr>
          <w:rFonts w:ascii="Times New Roman" w:hAnsi="Times New Roman" w:cs="Times New Roman"/>
          <w:sz w:val="24"/>
          <w:szCs w:val="24"/>
        </w:rPr>
        <w:t xml:space="preserve"> </w:t>
      </w:r>
      <w:r w:rsidR="0095278E">
        <w:rPr>
          <w:rFonts w:ascii="Times New Roman" w:hAnsi="Times New Roman" w:cs="Times New Roman"/>
          <w:sz w:val="24"/>
          <w:szCs w:val="24"/>
        </w:rPr>
        <w:t>Athenian public finance and human suffering</w:t>
      </w:r>
      <w:r w:rsidR="0055636D">
        <w:rPr>
          <w:rFonts w:ascii="Times New Roman" w:hAnsi="Times New Roman" w:cs="Times New Roman"/>
          <w:sz w:val="24"/>
          <w:szCs w:val="24"/>
        </w:rPr>
        <w:t xml:space="preserve"> in ‘The Diseased Body Politic</w:t>
      </w:r>
      <w:r w:rsidR="00A63F8F">
        <w:rPr>
          <w:rFonts w:ascii="Times New Roman" w:hAnsi="Times New Roman" w:cs="Times New Roman"/>
          <w:sz w:val="24"/>
          <w:szCs w:val="24"/>
        </w:rPr>
        <w:t xml:space="preserve">, </w:t>
      </w:r>
      <w:r w:rsidR="00A63F8F" w:rsidRPr="00A63F8F">
        <w:rPr>
          <w:rFonts w:ascii="Times New Roman" w:hAnsi="Times New Roman" w:cs="Times New Roman"/>
          <w:sz w:val="24"/>
          <w:szCs w:val="24"/>
        </w:rPr>
        <w:t>Athenian Public Finance, and the Massacre at Mykalessos (Thucydides 7.27-29)</w:t>
      </w:r>
      <w:r w:rsidR="00C07141">
        <w:rPr>
          <w:rFonts w:ascii="Times New Roman" w:hAnsi="Times New Roman" w:cs="Times New Roman"/>
          <w:sz w:val="24"/>
          <w:szCs w:val="24"/>
        </w:rPr>
        <w:t>’</w:t>
      </w:r>
      <w:r w:rsidR="00291F3F">
        <w:rPr>
          <w:rFonts w:ascii="Times New Roman" w:hAnsi="Times New Roman" w:cs="Times New Roman"/>
          <w:sz w:val="24"/>
          <w:szCs w:val="24"/>
        </w:rPr>
        <w:t>.</w:t>
      </w:r>
      <w:r w:rsidRPr="5AFAD010">
        <w:rPr>
          <w:rStyle w:val="FootnoteReference"/>
          <w:rFonts w:ascii="Times New Roman" w:hAnsi="Times New Roman" w:cs="Times New Roman"/>
          <w:sz w:val="24"/>
          <w:szCs w:val="24"/>
        </w:rPr>
        <w:footnoteReference w:id="47"/>
      </w:r>
      <w:r w:rsidR="00291F3F">
        <w:rPr>
          <w:rFonts w:ascii="Times New Roman" w:hAnsi="Times New Roman" w:cs="Times New Roman"/>
          <w:sz w:val="24"/>
          <w:szCs w:val="24"/>
        </w:rPr>
        <w:t xml:space="preserve"> </w:t>
      </w:r>
      <w:r w:rsidR="004E032C">
        <w:rPr>
          <w:rFonts w:ascii="Times New Roman" w:hAnsi="Times New Roman" w:cs="Times New Roman"/>
          <w:sz w:val="24"/>
          <w:szCs w:val="24"/>
        </w:rPr>
        <w:t xml:space="preserve">Kallet disagrees with other scholar’s analysis of Thucydides </w:t>
      </w:r>
      <w:r w:rsidR="002862C9">
        <w:rPr>
          <w:rFonts w:ascii="Times New Roman" w:hAnsi="Times New Roman" w:cs="Times New Roman"/>
          <w:sz w:val="24"/>
          <w:szCs w:val="24"/>
        </w:rPr>
        <w:t xml:space="preserve">text </w:t>
      </w:r>
      <w:r w:rsidR="008E3C8E">
        <w:rPr>
          <w:rFonts w:ascii="Times New Roman" w:hAnsi="Times New Roman" w:cs="Times New Roman"/>
          <w:sz w:val="24"/>
          <w:szCs w:val="24"/>
        </w:rPr>
        <w:t xml:space="preserve">which </w:t>
      </w:r>
      <w:r w:rsidR="002862C9">
        <w:rPr>
          <w:rFonts w:ascii="Times New Roman" w:hAnsi="Times New Roman" w:cs="Times New Roman"/>
          <w:sz w:val="24"/>
          <w:szCs w:val="24"/>
        </w:rPr>
        <w:t>suggests that Athens was bankrupt</w:t>
      </w:r>
      <w:r w:rsidR="008E3C8E">
        <w:rPr>
          <w:rFonts w:ascii="Times New Roman" w:hAnsi="Times New Roman" w:cs="Times New Roman"/>
          <w:sz w:val="24"/>
          <w:szCs w:val="24"/>
        </w:rPr>
        <w:t>,</w:t>
      </w:r>
      <w:r w:rsidR="009C1B2C">
        <w:rPr>
          <w:rFonts w:ascii="Times New Roman" w:hAnsi="Times New Roman" w:cs="Times New Roman"/>
          <w:sz w:val="24"/>
          <w:szCs w:val="24"/>
        </w:rPr>
        <w:t xml:space="preserve"> instead </w:t>
      </w:r>
      <w:r w:rsidR="008E3C8E">
        <w:rPr>
          <w:rFonts w:ascii="Times New Roman" w:hAnsi="Times New Roman" w:cs="Times New Roman"/>
          <w:sz w:val="24"/>
          <w:szCs w:val="24"/>
        </w:rPr>
        <w:t xml:space="preserve">she </w:t>
      </w:r>
      <w:r w:rsidR="009C1B2C">
        <w:rPr>
          <w:rFonts w:ascii="Times New Roman" w:hAnsi="Times New Roman" w:cs="Times New Roman"/>
          <w:sz w:val="24"/>
          <w:szCs w:val="24"/>
        </w:rPr>
        <w:t xml:space="preserve">infers that </w:t>
      </w:r>
      <w:r w:rsidR="00374A52">
        <w:rPr>
          <w:rFonts w:ascii="Times New Roman" w:hAnsi="Times New Roman" w:cs="Times New Roman"/>
          <w:sz w:val="24"/>
          <w:szCs w:val="24"/>
        </w:rPr>
        <w:t>Thucydides is continuing</w:t>
      </w:r>
      <w:r w:rsidR="00B538DB">
        <w:rPr>
          <w:rFonts w:ascii="Times New Roman" w:hAnsi="Times New Roman" w:cs="Times New Roman"/>
          <w:sz w:val="24"/>
          <w:szCs w:val="24"/>
        </w:rPr>
        <w:t xml:space="preserve"> to metaphorically explain that Athenian </w:t>
      </w:r>
      <w:r w:rsidR="00E26EDB">
        <w:rPr>
          <w:rFonts w:ascii="Times New Roman" w:hAnsi="Times New Roman" w:cs="Times New Roman"/>
          <w:sz w:val="24"/>
          <w:szCs w:val="24"/>
        </w:rPr>
        <w:t>finances were wasting away in a similar way to a body suffering from disease.</w:t>
      </w:r>
      <w:r w:rsidR="00E30A3C">
        <w:rPr>
          <w:rStyle w:val="FootnoteReference"/>
          <w:rFonts w:ascii="Times New Roman" w:hAnsi="Times New Roman" w:cs="Times New Roman"/>
          <w:sz w:val="24"/>
          <w:szCs w:val="24"/>
        </w:rPr>
        <w:footnoteReference w:id="48"/>
      </w:r>
      <w:r w:rsidR="0029152F">
        <w:rPr>
          <w:rFonts w:ascii="Times New Roman" w:hAnsi="Times New Roman" w:cs="Times New Roman"/>
          <w:sz w:val="24"/>
          <w:szCs w:val="24"/>
        </w:rPr>
        <w:t xml:space="preserve"> </w:t>
      </w:r>
      <w:r w:rsidR="00FB7706">
        <w:rPr>
          <w:rFonts w:ascii="Times New Roman" w:hAnsi="Times New Roman" w:cs="Times New Roman"/>
          <w:sz w:val="24"/>
          <w:szCs w:val="24"/>
        </w:rPr>
        <w:t>Van Wees contradicts Kallet’s viewpoint as he states that it was Athens’ success during the 5</w:t>
      </w:r>
      <w:r w:rsidR="00FB7706" w:rsidRPr="00FB7706">
        <w:rPr>
          <w:rFonts w:ascii="Times New Roman" w:hAnsi="Times New Roman" w:cs="Times New Roman"/>
          <w:sz w:val="24"/>
          <w:szCs w:val="24"/>
          <w:vertAlign w:val="superscript"/>
        </w:rPr>
        <w:t>th</w:t>
      </w:r>
      <w:r w:rsidR="00FB7706">
        <w:rPr>
          <w:rFonts w:ascii="Times New Roman" w:hAnsi="Times New Roman" w:cs="Times New Roman"/>
          <w:sz w:val="24"/>
          <w:szCs w:val="24"/>
        </w:rPr>
        <w:t xml:space="preserve"> century that masked the continuous economic weakness that can be viewed in other city-states across Greece.</w:t>
      </w:r>
      <w:r w:rsidR="00696210">
        <w:rPr>
          <w:rStyle w:val="FootnoteReference"/>
          <w:rFonts w:ascii="Times New Roman" w:hAnsi="Times New Roman" w:cs="Times New Roman"/>
          <w:sz w:val="24"/>
          <w:szCs w:val="24"/>
        </w:rPr>
        <w:footnoteReference w:id="49"/>
      </w:r>
      <w:r w:rsidR="00FB7706">
        <w:rPr>
          <w:rFonts w:ascii="Times New Roman" w:hAnsi="Times New Roman" w:cs="Times New Roman"/>
          <w:sz w:val="24"/>
          <w:szCs w:val="24"/>
        </w:rPr>
        <w:t xml:space="preserve"> </w:t>
      </w:r>
      <w:r w:rsidR="00696210">
        <w:rPr>
          <w:rFonts w:ascii="Times New Roman" w:hAnsi="Times New Roman" w:cs="Times New Roman"/>
          <w:sz w:val="24"/>
          <w:szCs w:val="24"/>
        </w:rPr>
        <w:t xml:space="preserve">Their lack of financial </w:t>
      </w:r>
      <w:r w:rsidR="00696210">
        <w:rPr>
          <w:rFonts w:ascii="Times New Roman" w:hAnsi="Times New Roman" w:cs="Times New Roman"/>
          <w:sz w:val="24"/>
          <w:szCs w:val="24"/>
        </w:rPr>
        <w:lastRenderedPageBreak/>
        <w:t>resources throughout Greece inhibited their military ambitions.</w:t>
      </w:r>
      <w:r w:rsidR="00696210">
        <w:rPr>
          <w:rStyle w:val="FootnoteReference"/>
          <w:rFonts w:ascii="Times New Roman" w:hAnsi="Times New Roman" w:cs="Times New Roman"/>
          <w:sz w:val="24"/>
          <w:szCs w:val="24"/>
        </w:rPr>
        <w:footnoteReference w:id="50"/>
      </w:r>
      <w:r w:rsidR="00696210">
        <w:rPr>
          <w:rFonts w:ascii="Times New Roman" w:hAnsi="Times New Roman" w:cs="Times New Roman"/>
          <w:sz w:val="24"/>
          <w:szCs w:val="24"/>
        </w:rPr>
        <w:t xml:space="preserve"> </w:t>
      </w:r>
      <w:r w:rsidR="0029152F">
        <w:rPr>
          <w:rFonts w:ascii="Times New Roman" w:hAnsi="Times New Roman" w:cs="Times New Roman"/>
          <w:sz w:val="24"/>
          <w:szCs w:val="24"/>
        </w:rPr>
        <w:t xml:space="preserve">In her </w:t>
      </w:r>
      <w:r w:rsidR="00844F47">
        <w:rPr>
          <w:rFonts w:ascii="Times New Roman" w:hAnsi="Times New Roman" w:cs="Times New Roman"/>
          <w:sz w:val="24"/>
          <w:szCs w:val="24"/>
        </w:rPr>
        <w:t>dissection</w:t>
      </w:r>
      <w:r w:rsidR="0029152F">
        <w:rPr>
          <w:rFonts w:ascii="Times New Roman" w:hAnsi="Times New Roman" w:cs="Times New Roman"/>
          <w:sz w:val="24"/>
          <w:szCs w:val="24"/>
        </w:rPr>
        <w:t xml:space="preserve"> of </w:t>
      </w:r>
      <w:r w:rsidR="002075D5">
        <w:rPr>
          <w:rFonts w:ascii="Times New Roman" w:hAnsi="Times New Roman" w:cs="Times New Roman"/>
          <w:sz w:val="24"/>
          <w:szCs w:val="24"/>
        </w:rPr>
        <w:t xml:space="preserve">language used by Thucydides, Kallet states that </w:t>
      </w:r>
      <w:r w:rsidR="00715C55">
        <w:rPr>
          <w:rFonts w:ascii="Times New Roman" w:hAnsi="Times New Roman" w:cs="Times New Roman"/>
          <w:sz w:val="24"/>
          <w:szCs w:val="24"/>
        </w:rPr>
        <w:t xml:space="preserve">Thucydides was trying to “humanise” the situation of finance </w:t>
      </w:r>
      <w:r w:rsidR="00B4432D">
        <w:rPr>
          <w:rFonts w:ascii="Times New Roman" w:hAnsi="Times New Roman" w:cs="Times New Roman"/>
          <w:sz w:val="24"/>
          <w:szCs w:val="24"/>
        </w:rPr>
        <w:t>and “connect it directly with human destruction.</w:t>
      </w:r>
      <w:r w:rsidR="00E30A3C">
        <w:rPr>
          <w:rStyle w:val="FootnoteReference"/>
          <w:rFonts w:ascii="Times New Roman" w:hAnsi="Times New Roman" w:cs="Times New Roman"/>
          <w:sz w:val="24"/>
          <w:szCs w:val="24"/>
        </w:rPr>
        <w:footnoteReference w:id="51"/>
      </w:r>
      <w:r w:rsidR="00B4432D">
        <w:rPr>
          <w:rFonts w:ascii="Times New Roman" w:hAnsi="Times New Roman" w:cs="Times New Roman"/>
          <w:sz w:val="24"/>
          <w:szCs w:val="24"/>
        </w:rPr>
        <w:t xml:space="preserve"> In her investigation of Thucydides’ use of language </w:t>
      </w:r>
      <w:r w:rsidR="005C0611">
        <w:rPr>
          <w:rFonts w:ascii="Times New Roman" w:hAnsi="Times New Roman" w:cs="Times New Roman"/>
          <w:sz w:val="24"/>
          <w:szCs w:val="24"/>
        </w:rPr>
        <w:t>Kallet reasons that the “</w:t>
      </w:r>
      <w:r w:rsidR="00B4432D">
        <w:rPr>
          <w:rFonts w:ascii="Times New Roman" w:hAnsi="Times New Roman" w:cs="Times New Roman"/>
          <w:sz w:val="24"/>
          <w:szCs w:val="24"/>
        </w:rPr>
        <w:t>medical field” Thucydides creates represents the polis as a human body whose strength comes from wealth.</w:t>
      </w:r>
      <w:r w:rsidRPr="5AFAD010">
        <w:rPr>
          <w:rStyle w:val="FootnoteReference"/>
          <w:rFonts w:ascii="Times New Roman" w:hAnsi="Times New Roman" w:cs="Times New Roman"/>
          <w:sz w:val="24"/>
          <w:szCs w:val="24"/>
        </w:rPr>
        <w:footnoteReference w:id="52"/>
      </w:r>
      <w:r w:rsidR="009F47F6">
        <w:rPr>
          <w:rFonts w:ascii="Times New Roman" w:hAnsi="Times New Roman" w:cs="Times New Roman"/>
          <w:sz w:val="24"/>
          <w:szCs w:val="24"/>
        </w:rPr>
        <w:t xml:space="preserve"> Kallet states that this is because money “acts as a disease weakening the Athenians and causes actual human destruction”.</w:t>
      </w:r>
      <w:r w:rsidRPr="5AFAD010">
        <w:rPr>
          <w:rStyle w:val="FootnoteReference"/>
          <w:rFonts w:ascii="Times New Roman" w:hAnsi="Times New Roman" w:cs="Times New Roman"/>
          <w:sz w:val="24"/>
          <w:szCs w:val="24"/>
        </w:rPr>
        <w:footnoteReference w:id="53"/>
      </w:r>
      <w:r w:rsidR="009F47F6">
        <w:rPr>
          <w:rFonts w:ascii="Times New Roman" w:hAnsi="Times New Roman" w:cs="Times New Roman"/>
          <w:sz w:val="24"/>
          <w:szCs w:val="24"/>
        </w:rPr>
        <w:t xml:space="preserve"> Kallet’s article carefully </w:t>
      </w:r>
      <w:r w:rsidR="00A71233">
        <w:rPr>
          <w:rFonts w:ascii="Times New Roman" w:hAnsi="Times New Roman" w:cs="Times New Roman"/>
          <w:sz w:val="24"/>
          <w:szCs w:val="24"/>
        </w:rPr>
        <w:t xml:space="preserve">investigates Athenian military finance through a </w:t>
      </w:r>
      <w:r w:rsidR="00060832">
        <w:rPr>
          <w:rFonts w:ascii="Times New Roman" w:hAnsi="Times New Roman" w:cs="Times New Roman"/>
          <w:sz w:val="24"/>
          <w:szCs w:val="24"/>
        </w:rPr>
        <w:t xml:space="preserve">more personal perspective rather than through economics like many other scholars. </w:t>
      </w:r>
    </w:p>
    <w:p w14:paraId="7B161169" w14:textId="79F1C187" w:rsidR="5AFAD010" w:rsidRDefault="5AFAD010" w:rsidP="5AFAD010">
      <w:pPr>
        <w:spacing w:line="480" w:lineRule="auto"/>
        <w:rPr>
          <w:rFonts w:ascii="Times New Roman" w:hAnsi="Times New Roman" w:cs="Times New Roman"/>
          <w:sz w:val="24"/>
          <w:szCs w:val="24"/>
        </w:rPr>
      </w:pPr>
    </w:p>
    <w:p w14:paraId="0027BA48" w14:textId="6B27348A" w:rsidR="657A84DE" w:rsidRDefault="5AFAD010" w:rsidP="5AFAD010">
      <w:pPr>
        <w:pStyle w:val="NormalWeb"/>
        <w:spacing w:line="480" w:lineRule="auto"/>
      </w:pPr>
      <w:r>
        <w:t>Alec Blamire’s ‘Athenian Finance, 454-404 BC’ surveys Athenian finances over a fifty-year period.</w:t>
      </w:r>
      <w:r w:rsidR="657A84DE" w:rsidRPr="5AFAD010">
        <w:rPr>
          <w:rStyle w:val="FootnoteReference"/>
        </w:rPr>
        <w:footnoteReference w:id="54"/>
      </w:r>
      <w:r>
        <w:t xml:space="preserve"> He begins in 454 BC and ends with the end of the Peloponnesian War.</w:t>
      </w:r>
      <w:r w:rsidR="657A84DE" w:rsidRPr="5AFAD010">
        <w:rPr>
          <w:rStyle w:val="FootnoteReference"/>
        </w:rPr>
        <w:footnoteReference w:id="55"/>
      </w:r>
      <w:r>
        <w:t xml:space="preserve"> His aim is to provide a long overdue overview of the history of Athenian finance. Blamire is careful to qualify his work with mention of other possible interpretations. Blamire acts as a type of ancient accountant and begins by detailing the sums of the reserve formed when the funds of the Delian League were merged with the funds of Athena in the 440's.</w:t>
      </w:r>
      <w:r w:rsidR="657A84DE" w:rsidRPr="5AFAD010">
        <w:rPr>
          <w:rStyle w:val="FootnoteReference"/>
        </w:rPr>
        <w:footnoteReference w:id="56"/>
      </w:r>
      <w:r>
        <w:t xml:space="preserve"> Blamire explains that between 431 and 429 BC Athens spent a colossal amount of money on campaigns at Poteidia, which was not sustainable for any long period of time.</w:t>
      </w:r>
      <w:r w:rsidR="657A84DE" w:rsidRPr="5AFAD010">
        <w:rPr>
          <w:rStyle w:val="FootnoteReference"/>
        </w:rPr>
        <w:footnoteReference w:id="57"/>
      </w:r>
      <w:r>
        <w:t xml:space="preserve"> It was this anxiety about the costs of war that forced the Athenians to store a reserve of 1,000t at the acropolis in case Athens was attacked by an enemy fleet.</w:t>
      </w:r>
      <w:r w:rsidR="657A84DE" w:rsidRPr="5AFAD010">
        <w:rPr>
          <w:rStyle w:val="FootnoteReference"/>
        </w:rPr>
        <w:footnoteReference w:id="58"/>
      </w:r>
      <w:r>
        <w:t xml:space="preserve"> </w:t>
      </w:r>
      <w:r w:rsidR="005C0611">
        <w:t xml:space="preserve"> Blamire uses Thucydides (2.24.1) to show that it was these </w:t>
      </w:r>
      <w:r w:rsidR="005C0611">
        <w:lastRenderedPageBreak/>
        <w:t>reserve that were the main source of financing Athenian warfare in the early days.</w:t>
      </w:r>
      <w:r w:rsidR="003A3422">
        <w:rPr>
          <w:rStyle w:val="FootnoteReference"/>
        </w:rPr>
        <w:footnoteReference w:id="59"/>
      </w:r>
      <w:r w:rsidR="003A3422">
        <w:t xml:space="preserve"> A majority of these reserve came to Athens when the treasury of the Delian League was moved from Delos to Attics in 454 BC.</w:t>
      </w:r>
      <w:r w:rsidR="003A3422">
        <w:rPr>
          <w:rStyle w:val="FootnoteReference"/>
        </w:rPr>
        <w:footnoteReference w:id="60"/>
      </w:r>
      <w:r w:rsidR="003A3422">
        <w:t xml:space="preserve"> Blamire uses archaeological evidence to support this argument </w:t>
      </w:r>
      <w:r w:rsidR="00027BC6">
        <w:t>as all the reserves are recorded as being in Attic currency, thus it was enforced that tributes were paid in Attic weights and measures</w:t>
      </w:r>
      <w:r w:rsidR="003A3422">
        <w:t>.</w:t>
      </w:r>
      <w:r w:rsidR="003A3422">
        <w:rPr>
          <w:rStyle w:val="FootnoteReference"/>
        </w:rPr>
        <w:footnoteReference w:id="61"/>
      </w:r>
      <w:r w:rsidR="00027BC6">
        <w:t xml:space="preserve"> Blamire’s use of this evidence suggests that Athens’ political decisions effected both society and finance. </w:t>
      </w:r>
      <w:r>
        <w:t>This examination of social effects on Athenian finance surrounding naval warfare is highly important in beginning to understand motivations behind changes in warfare and the beginning of the trierarchy.</w:t>
      </w:r>
    </w:p>
    <w:p w14:paraId="296D2822" w14:textId="0B93F530" w:rsidR="00476DA3" w:rsidRDefault="00476DA3" w:rsidP="0D9CBA87">
      <w:pPr>
        <w:spacing w:line="480" w:lineRule="auto"/>
        <w:rPr>
          <w:rFonts w:ascii="Times New Roman" w:hAnsi="Times New Roman" w:cs="Times New Roman"/>
          <w:sz w:val="24"/>
          <w:szCs w:val="24"/>
        </w:rPr>
      </w:pPr>
    </w:p>
    <w:p w14:paraId="136F5DAD" w14:textId="76E26A94" w:rsidR="00E12456" w:rsidRDefault="00561A5D" w:rsidP="0D9CBA87">
      <w:pPr>
        <w:spacing w:line="480" w:lineRule="auto"/>
        <w:rPr>
          <w:rFonts w:ascii="Times New Roman" w:hAnsi="Times New Roman" w:cs="Times New Roman"/>
          <w:sz w:val="24"/>
          <w:szCs w:val="24"/>
        </w:rPr>
      </w:pPr>
      <w:r>
        <w:rPr>
          <w:rFonts w:ascii="Times New Roman" w:hAnsi="Times New Roman" w:cs="Times New Roman"/>
          <w:sz w:val="24"/>
          <w:szCs w:val="24"/>
        </w:rPr>
        <w:t xml:space="preserve">Gabrielsen explored whether there is a link between </w:t>
      </w:r>
      <w:r w:rsidR="003354E4">
        <w:rPr>
          <w:rFonts w:ascii="Times New Roman" w:hAnsi="Times New Roman" w:cs="Times New Roman"/>
          <w:sz w:val="24"/>
          <w:szCs w:val="24"/>
        </w:rPr>
        <w:t>Athens’ grain trade and its navy.</w:t>
      </w:r>
      <w:r w:rsidR="00486CED">
        <w:rPr>
          <w:rFonts w:ascii="Times New Roman" w:hAnsi="Times New Roman" w:cs="Times New Roman"/>
          <w:sz w:val="24"/>
          <w:szCs w:val="24"/>
        </w:rPr>
        <w:t xml:space="preserve"> </w:t>
      </w:r>
      <w:r w:rsidR="00350D62">
        <w:rPr>
          <w:rFonts w:ascii="Times New Roman" w:hAnsi="Times New Roman" w:cs="Times New Roman"/>
          <w:sz w:val="24"/>
          <w:szCs w:val="24"/>
        </w:rPr>
        <w:t xml:space="preserve">Throughout the chapter Gabrielsen </w:t>
      </w:r>
      <w:r w:rsidR="00FE57DA">
        <w:rPr>
          <w:rFonts w:ascii="Times New Roman" w:hAnsi="Times New Roman" w:cs="Times New Roman"/>
          <w:sz w:val="24"/>
          <w:szCs w:val="24"/>
        </w:rPr>
        <w:t>investigates the economic interests of individuals</w:t>
      </w:r>
      <w:r w:rsidR="00870688">
        <w:rPr>
          <w:rFonts w:ascii="Times New Roman" w:hAnsi="Times New Roman" w:cs="Times New Roman"/>
          <w:sz w:val="24"/>
          <w:szCs w:val="24"/>
        </w:rPr>
        <w:t xml:space="preserve"> and how the relationships between them were beneficial to the economy.</w:t>
      </w:r>
      <w:r w:rsidR="00E30A3C">
        <w:rPr>
          <w:rStyle w:val="FootnoteReference"/>
          <w:rFonts w:ascii="Times New Roman" w:hAnsi="Times New Roman" w:cs="Times New Roman"/>
          <w:sz w:val="24"/>
          <w:szCs w:val="24"/>
        </w:rPr>
        <w:footnoteReference w:id="62"/>
      </w:r>
      <w:r w:rsidR="00FE57DA">
        <w:rPr>
          <w:rFonts w:ascii="Times New Roman" w:hAnsi="Times New Roman" w:cs="Times New Roman"/>
          <w:sz w:val="24"/>
          <w:szCs w:val="24"/>
        </w:rPr>
        <w:t xml:space="preserve"> </w:t>
      </w:r>
      <w:r w:rsidR="00924D6C">
        <w:rPr>
          <w:rFonts w:ascii="Times New Roman" w:hAnsi="Times New Roman" w:cs="Times New Roman"/>
          <w:sz w:val="24"/>
          <w:szCs w:val="24"/>
        </w:rPr>
        <w:t xml:space="preserve">Gabrielsen believes these relationships increased </w:t>
      </w:r>
      <w:r w:rsidR="00F0011D">
        <w:rPr>
          <w:rFonts w:ascii="Times New Roman" w:hAnsi="Times New Roman" w:cs="Times New Roman"/>
          <w:sz w:val="24"/>
          <w:szCs w:val="24"/>
        </w:rPr>
        <w:t>“participation in capital</w:t>
      </w:r>
      <w:r w:rsidR="0026111E">
        <w:rPr>
          <w:rFonts w:ascii="Times New Roman" w:hAnsi="Times New Roman" w:cs="Times New Roman"/>
          <w:sz w:val="24"/>
          <w:szCs w:val="24"/>
        </w:rPr>
        <w:t>-raising endeavours”.</w:t>
      </w:r>
      <w:r w:rsidR="00E30A3C">
        <w:rPr>
          <w:rStyle w:val="FootnoteReference"/>
          <w:rFonts w:ascii="Times New Roman" w:hAnsi="Times New Roman" w:cs="Times New Roman"/>
          <w:sz w:val="24"/>
          <w:szCs w:val="24"/>
        </w:rPr>
        <w:footnoteReference w:id="63"/>
      </w:r>
      <w:r w:rsidR="0026111E">
        <w:rPr>
          <w:rFonts w:ascii="Times New Roman" w:hAnsi="Times New Roman" w:cs="Times New Roman"/>
          <w:sz w:val="24"/>
          <w:szCs w:val="24"/>
        </w:rPr>
        <w:t xml:space="preserve"> </w:t>
      </w:r>
      <w:r w:rsidR="00476DA3">
        <w:rPr>
          <w:rFonts w:ascii="Times New Roman" w:hAnsi="Times New Roman" w:cs="Times New Roman"/>
          <w:sz w:val="24"/>
          <w:szCs w:val="24"/>
        </w:rPr>
        <w:t xml:space="preserve">Investigating relationships in Athens is highly beneficial for </w:t>
      </w:r>
      <w:r w:rsidR="003041E5">
        <w:rPr>
          <w:rFonts w:ascii="Times New Roman" w:hAnsi="Times New Roman" w:cs="Times New Roman"/>
          <w:sz w:val="24"/>
          <w:szCs w:val="24"/>
        </w:rPr>
        <w:t>research into classical Athens. Gabrielsen investigates how we perceive personal relationships in Athens, as we typically think of them as either relying on friendship or patronage.</w:t>
      </w:r>
      <w:r w:rsidR="003041E5">
        <w:rPr>
          <w:rStyle w:val="FootnoteReference"/>
          <w:rFonts w:ascii="Times New Roman" w:hAnsi="Times New Roman" w:cs="Times New Roman"/>
          <w:sz w:val="24"/>
          <w:szCs w:val="24"/>
        </w:rPr>
        <w:footnoteReference w:id="64"/>
      </w:r>
      <w:r w:rsidR="003041E5">
        <w:rPr>
          <w:rFonts w:ascii="Times New Roman" w:hAnsi="Times New Roman" w:cs="Times New Roman"/>
          <w:sz w:val="24"/>
          <w:szCs w:val="24"/>
        </w:rPr>
        <w:t xml:space="preserve"> Gabrielsen states that these are thought to be incompatible with “market economic principles and mechanisms, the public sphere and democracy”.</w:t>
      </w:r>
      <w:r w:rsidR="003041E5">
        <w:rPr>
          <w:rStyle w:val="FootnoteReference"/>
          <w:rFonts w:ascii="Times New Roman" w:hAnsi="Times New Roman" w:cs="Times New Roman"/>
          <w:sz w:val="24"/>
          <w:szCs w:val="24"/>
        </w:rPr>
        <w:footnoteReference w:id="65"/>
      </w:r>
      <w:r w:rsidR="003041E5">
        <w:rPr>
          <w:rFonts w:ascii="Times New Roman" w:hAnsi="Times New Roman" w:cs="Times New Roman"/>
          <w:sz w:val="24"/>
          <w:szCs w:val="24"/>
        </w:rPr>
        <w:t xml:space="preserve"> Through his research Gabrielsen has found that people were not just connected by their personal relationships but also by “performing citizen duties” such as trierarchy and helping exact naval debt.</w:t>
      </w:r>
      <w:r w:rsidR="003041E5">
        <w:rPr>
          <w:rStyle w:val="FootnoteReference"/>
          <w:rFonts w:ascii="Times New Roman" w:hAnsi="Times New Roman" w:cs="Times New Roman"/>
          <w:sz w:val="24"/>
          <w:szCs w:val="24"/>
        </w:rPr>
        <w:footnoteReference w:id="66"/>
      </w:r>
      <w:r w:rsidR="003041E5">
        <w:rPr>
          <w:rFonts w:ascii="Times New Roman" w:hAnsi="Times New Roman" w:cs="Times New Roman"/>
          <w:sz w:val="24"/>
          <w:szCs w:val="24"/>
        </w:rPr>
        <w:t xml:space="preserve"> </w:t>
      </w:r>
      <w:r w:rsidR="00C306C7">
        <w:rPr>
          <w:rFonts w:ascii="Times New Roman" w:hAnsi="Times New Roman" w:cs="Times New Roman"/>
          <w:sz w:val="24"/>
          <w:szCs w:val="24"/>
        </w:rPr>
        <w:t xml:space="preserve">Gabrielsen found that of prominent figures who appeared to have </w:t>
      </w:r>
      <w:r w:rsidR="00C306C7">
        <w:rPr>
          <w:rFonts w:ascii="Times New Roman" w:hAnsi="Times New Roman" w:cs="Times New Roman"/>
          <w:sz w:val="24"/>
          <w:szCs w:val="24"/>
        </w:rPr>
        <w:lastRenderedPageBreak/>
        <w:t>direct connections shared at least three common characteristics.</w:t>
      </w:r>
      <w:r w:rsidR="00C306C7">
        <w:rPr>
          <w:rStyle w:val="FootnoteReference"/>
          <w:rFonts w:ascii="Times New Roman" w:hAnsi="Times New Roman" w:cs="Times New Roman"/>
          <w:sz w:val="24"/>
          <w:szCs w:val="24"/>
        </w:rPr>
        <w:footnoteReference w:id="67"/>
      </w:r>
      <w:r w:rsidR="00C306C7">
        <w:rPr>
          <w:rFonts w:ascii="Times New Roman" w:hAnsi="Times New Roman" w:cs="Times New Roman"/>
          <w:sz w:val="24"/>
          <w:szCs w:val="24"/>
        </w:rPr>
        <w:t xml:space="preserve"> They were all active within the navy (as trierarchs and fleet commanders), contributed to the grain fund, naval activities are concerned with protecting the grain trade and their services were concentrated around Athens’ main sources of grain.</w:t>
      </w:r>
      <w:r w:rsidR="00C306C7">
        <w:rPr>
          <w:rStyle w:val="FootnoteReference"/>
          <w:rFonts w:ascii="Times New Roman" w:hAnsi="Times New Roman" w:cs="Times New Roman"/>
          <w:sz w:val="24"/>
          <w:szCs w:val="24"/>
        </w:rPr>
        <w:footnoteReference w:id="68"/>
      </w:r>
      <w:r w:rsidR="00C306C7">
        <w:rPr>
          <w:rFonts w:ascii="Times New Roman" w:hAnsi="Times New Roman" w:cs="Times New Roman"/>
          <w:sz w:val="24"/>
          <w:szCs w:val="24"/>
        </w:rPr>
        <w:t xml:space="preserve"> </w:t>
      </w:r>
      <w:r w:rsidR="00750295">
        <w:rPr>
          <w:rFonts w:ascii="Times New Roman" w:hAnsi="Times New Roman" w:cs="Times New Roman"/>
          <w:sz w:val="24"/>
          <w:szCs w:val="24"/>
        </w:rPr>
        <w:t xml:space="preserve">This </w:t>
      </w:r>
      <w:r w:rsidR="006C2972">
        <w:rPr>
          <w:rFonts w:ascii="Times New Roman" w:hAnsi="Times New Roman" w:cs="Times New Roman"/>
          <w:sz w:val="24"/>
          <w:szCs w:val="24"/>
        </w:rPr>
        <w:t xml:space="preserve">analysis of the social aspects of financing the Athenian navy </w:t>
      </w:r>
      <w:r w:rsidR="0044334D">
        <w:rPr>
          <w:rFonts w:ascii="Times New Roman" w:hAnsi="Times New Roman" w:cs="Times New Roman"/>
          <w:sz w:val="24"/>
          <w:szCs w:val="24"/>
        </w:rPr>
        <w:t>shows</w:t>
      </w:r>
      <w:r w:rsidR="009F45CE">
        <w:rPr>
          <w:rFonts w:ascii="Times New Roman" w:hAnsi="Times New Roman" w:cs="Times New Roman"/>
          <w:sz w:val="24"/>
          <w:szCs w:val="24"/>
        </w:rPr>
        <w:t xml:space="preserve"> the importance and the increased </w:t>
      </w:r>
      <w:r w:rsidR="009E526F">
        <w:rPr>
          <w:rFonts w:ascii="Times New Roman" w:hAnsi="Times New Roman" w:cs="Times New Roman"/>
          <w:sz w:val="24"/>
          <w:szCs w:val="24"/>
        </w:rPr>
        <w:t>stability</w:t>
      </w:r>
      <w:r w:rsidR="009F45CE">
        <w:rPr>
          <w:rFonts w:ascii="Times New Roman" w:hAnsi="Times New Roman" w:cs="Times New Roman"/>
          <w:sz w:val="24"/>
          <w:szCs w:val="24"/>
        </w:rPr>
        <w:t xml:space="preserve"> of the upper classes </w:t>
      </w:r>
      <w:r w:rsidR="009E526F">
        <w:rPr>
          <w:rFonts w:ascii="Times New Roman" w:hAnsi="Times New Roman" w:cs="Times New Roman"/>
          <w:sz w:val="24"/>
          <w:szCs w:val="24"/>
        </w:rPr>
        <w:t>funding it</w:t>
      </w:r>
      <w:r w:rsidR="00C306C7">
        <w:rPr>
          <w:rFonts w:ascii="Times New Roman" w:hAnsi="Times New Roman" w:cs="Times New Roman"/>
          <w:sz w:val="24"/>
          <w:szCs w:val="24"/>
        </w:rPr>
        <w:t xml:space="preserve"> as they had a vested interest</w:t>
      </w:r>
      <w:r w:rsidR="009E526F">
        <w:rPr>
          <w:rFonts w:ascii="Times New Roman" w:hAnsi="Times New Roman" w:cs="Times New Roman"/>
          <w:sz w:val="24"/>
          <w:szCs w:val="24"/>
        </w:rPr>
        <w:t xml:space="preserve">. </w:t>
      </w:r>
    </w:p>
    <w:p w14:paraId="671FA22E" w14:textId="5F10B4C1" w:rsidR="00696210" w:rsidRDefault="00696210" w:rsidP="0D9CBA87">
      <w:pPr>
        <w:spacing w:line="480" w:lineRule="auto"/>
        <w:rPr>
          <w:rFonts w:ascii="Times New Roman" w:hAnsi="Times New Roman" w:cs="Times New Roman"/>
          <w:sz w:val="24"/>
          <w:szCs w:val="24"/>
        </w:rPr>
      </w:pPr>
    </w:p>
    <w:p w14:paraId="01836AAB" w14:textId="0764A962" w:rsidR="006F3C3D" w:rsidRDefault="00287F48" w:rsidP="0D9CBA87">
      <w:pPr>
        <w:spacing w:line="480" w:lineRule="auto"/>
        <w:rPr>
          <w:rFonts w:ascii="Times New Roman" w:hAnsi="Times New Roman" w:cs="Times New Roman"/>
          <w:sz w:val="24"/>
          <w:szCs w:val="24"/>
        </w:rPr>
      </w:pPr>
      <w:r>
        <w:rPr>
          <w:rFonts w:ascii="Times New Roman" w:hAnsi="Times New Roman" w:cs="Times New Roman"/>
          <w:sz w:val="24"/>
          <w:szCs w:val="24"/>
        </w:rPr>
        <w:t>In conclusion, research into fi</w:t>
      </w:r>
      <w:r w:rsidR="00893EDE">
        <w:rPr>
          <w:rFonts w:ascii="Times New Roman" w:hAnsi="Times New Roman" w:cs="Times New Roman"/>
          <w:sz w:val="24"/>
          <w:szCs w:val="24"/>
        </w:rPr>
        <w:t>nancing the Athenian navy is cross disciplinary</w:t>
      </w:r>
      <w:r>
        <w:rPr>
          <w:rFonts w:ascii="Times New Roman" w:hAnsi="Times New Roman" w:cs="Times New Roman"/>
          <w:sz w:val="24"/>
          <w:szCs w:val="24"/>
        </w:rPr>
        <w:t>. Kais</w:t>
      </w:r>
      <w:r w:rsidR="00893EDE">
        <w:rPr>
          <w:rFonts w:ascii="Times New Roman" w:hAnsi="Times New Roman" w:cs="Times New Roman"/>
          <w:sz w:val="24"/>
          <w:szCs w:val="24"/>
        </w:rPr>
        <w:t xml:space="preserve">er attempts to fill in economic </w:t>
      </w:r>
      <w:r>
        <w:rPr>
          <w:rFonts w:ascii="Times New Roman" w:hAnsi="Times New Roman" w:cs="Times New Roman"/>
          <w:sz w:val="24"/>
          <w:szCs w:val="24"/>
        </w:rPr>
        <w:t>blanks left by ancient sources</w:t>
      </w:r>
      <w:r w:rsidR="006F3C3D">
        <w:rPr>
          <w:rFonts w:ascii="Times New Roman" w:hAnsi="Times New Roman" w:cs="Times New Roman"/>
          <w:sz w:val="24"/>
          <w:szCs w:val="24"/>
        </w:rPr>
        <w:t>, whereas Blamire gives an overview of finance in classical Athens</w:t>
      </w:r>
      <w:r>
        <w:rPr>
          <w:rFonts w:ascii="Times New Roman" w:hAnsi="Times New Roman" w:cs="Times New Roman"/>
          <w:sz w:val="24"/>
          <w:szCs w:val="24"/>
        </w:rPr>
        <w:t xml:space="preserve">. Kaiser and Blamire investigated the social pressures and effects </w:t>
      </w:r>
      <w:r w:rsidR="00893EDE">
        <w:rPr>
          <w:rFonts w:ascii="Times New Roman" w:hAnsi="Times New Roman" w:cs="Times New Roman"/>
          <w:sz w:val="24"/>
          <w:szCs w:val="24"/>
        </w:rPr>
        <w:t xml:space="preserve">of </w:t>
      </w:r>
      <w:r>
        <w:rPr>
          <w:rFonts w:ascii="Times New Roman" w:hAnsi="Times New Roman" w:cs="Times New Roman"/>
          <w:sz w:val="24"/>
          <w:szCs w:val="24"/>
        </w:rPr>
        <w:t xml:space="preserve">the trierarchy. </w:t>
      </w:r>
      <w:r w:rsidR="00903C6E">
        <w:rPr>
          <w:rFonts w:ascii="Times New Roman" w:hAnsi="Times New Roman" w:cs="Times New Roman"/>
          <w:sz w:val="24"/>
          <w:szCs w:val="24"/>
        </w:rPr>
        <w:t xml:space="preserve">Kallet also reviews </w:t>
      </w:r>
      <w:r w:rsidR="00062172">
        <w:rPr>
          <w:rFonts w:ascii="Times New Roman" w:hAnsi="Times New Roman" w:cs="Times New Roman"/>
          <w:sz w:val="24"/>
          <w:szCs w:val="24"/>
        </w:rPr>
        <w:t xml:space="preserve">the sociology behind finance in Athens as well as the language used in Thucydides. </w:t>
      </w:r>
      <w:r w:rsidR="006F3C3D">
        <w:rPr>
          <w:rFonts w:ascii="Times New Roman" w:hAnsi="Times New Roman" w:cs="Times New Roman"/>
          <w:sz w:val="24"/>
          <w:szCs w:val="24"/>
        </w:rPr>
        <w:t>Gabrielsen and Pritchard (2015) discuss investmen</w:t>
      </w:r>
      <w:r w:rsidR="00893EDE">
        <w:rPr>
          <w:rFonts w:ascii="Times New Roman" w:hAnsi="Times New Roman" w:cs="Times New Roman"/>
          <w:sz w:val="24"/>
          <w:szCs w:val="24"/>
        </w:rPr>
        <w:t>t and interest in naval warfare together with societal motivations and the relationships behind this</w:t>
      </w:r>
      <w:r w:rsidR="006F3C3D">
        <w:rPr>
          <w:rFonts w:ascii="Times New Roman" w:hAnsi="Times New Roman" w:cs="Times New Roman"/>
          <w:sz w:val="24"/>
          <w:szCs w:val="24"/>
        </w:rPr>
        <w:t xml:space="preserve">. Institutional changes and changes in warfare are explored by Kyriazis and Zouboulakis as well as Pritchard (2012). Kyriazis and Zouboulakis and Pritchard (2015) also discusses the </w:t>
      </w:r>
      <w:r w:rsidR="00893EDE">
        <w:rPr>
          <w:rFonts w:ascii="Times New Roman" w:hAnsi="Times New Roman" w:cs="Times New Roman"/>
          <w:sz w:val="24"/>
          <w:szCs w:val="24"/>
        </w:rPr>
        <w:t xml:space="preserve">people’s priorities </w:t>
      </w:r>
      <w:r w:rsidR="006F3C3D">
        <w:rPr>
          <w:rFonts w:ascii="Times New Roman" w:hAnsi="Times New Roman" w:cs="Times New Roman"/>
          <w:sz w:val="24"/>
          <w:szCs w:val="24"/>
        </w:rPr>
        <w:t xml:space="preserve">and </w:t>
      </w:r>
      <w:r w:rsidR="00893EDE">
        <w:rPr>
          <w:rFonts w:ascii="Times New Roman" w:hAnsi="Times New Roman" w:cs="Times New Roman"/>
          <w:sz w:val="24"/>
          <w:szCs w:val="24"/>
        </w:rPr>
        <w:t>how finance effected Athenian democracy</w:t>
      </w:r>
      <w:r w:rsidR="006F3C3D">
        <w:rPr>
          <w:rFonts w:ascii="Times New Roman" w:hAnsi="Times New Roman" w:cs="Times New Roman"/>
          <w:sz w:val="24"/>
          <w:szCs w:val="24"/>
        </w:rPr>
        <w:t xml:space="preserve">. </w:t>
      </w:r>
      <w:r w:rsidR="00893EDE">
        <w:rPr>
          <w:rFonts w:ascii="Times New Roman" w:hAnsi="Times New Roman" w:cs="Times New Roman"/>
          <w:sz w:val="24"/>
          <w:szCs w:val="24"/>
        </w:rPr>
        <w:t>T</w:t>
      </w:r>
      <w:r w:rsidR="006F3C3D">
        <w:rPr>
          <w:rFonts w:ascii="Times New Roman" w:hAnsi="Times New Roman" w:cs="Times New Roman"/>
          <w:sz w:val="24"/>
          <w:szCs w:val="24"/>
        </w:rPr>
        <w:t xml:space="preserve">hese areas of research give a large overview of financing the Athenian navy and the different perspectives from which they can be viewed. </w:t>
      </w:r>
    </w:p>
    <w:p w14:paraId="191A676C" w14:textId="79C7C71A" w:rsidR="00903C6E" w:rsidRDefault="00903C6E" w:rsidP="0D9CBA87">
      <w:pPr>
        <w:spacing w:line="480" w:lineRule="auto"/>
        <w:rPr>
          <w:rFonts w:ascii="Times New Roman" w:hAnsi="Times New Roman" w:cs="Times New Roman"/>
          <w:sz w:val="24"/>
          <w:szCs w:val="24"/>
        </w:rPr>
      </w:pPr>
    </w:p>
    <w:p w14:paraId="002E2F27" w14:textId="21C53E1C" w:rsidR="00893EDE" w:rsidRDefault="00893EDE" w:rsidP="0D9CBA87">
      <w:pPr>
        <w:spacing w:line="480" w:lineRule="auto"/>
        <w:rPr>
          <w:rFonts w:ascii="Times New Roman" w:hAnsi="Times New Roman" w:cs="Times New Roman"/>
          <w:sz w:val="24"/>
          <w:szCs w:val="24"/>
        </w:rPr>
      </w:pPr>
      <w:r>
        <w:rPr>
          <w:rFonts w:ascii="Times New Roman" w:hAnsi="Times New Roman" w:cs="Times New Roman"/>
          <w:sz w:val="24"/>
          <w:szCs w:val="24"/>
        </w:rPr>
        <w:t>Word Count: 2,743</w:t>
      </w:r>
    </w:p>
    <w:p w14:paraId="26EC7012" w14:textId="4F90C019" w:rsidR="00893EDE" w:rsidRDefault="00893EDE" w:rsidP="0D9CBA87">
      <w:pPr>
        <w:spacing w:line="480" w:lineRule="auto"/>
        <w:rPr>
          <w:rFonts w:ascii="Times New Roman" w:hAnsi="Times New Roman" w:cs="Times New Roman"/>
          <w:sz w:val="24"/>
          <w:szCs w:val="24"/>
        </w:rPr>
      </w:pPr>
    </w:p>
    <w:p w14:paraId="7F26559F" w14:textId="37D8B28D" w:rsidR="00893EDE" w:rsidRDefault="00893EDE" w:rsidP="00893ED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Bibliography:</w:t>
      </w:r>
    </w:p>
    <w:p w14:paraId="0CD9997F" w14:textId="28A3C4DA" w:rsidR="00893EDE" w:rsidRDefault="00F97216" w:rsidP="00893EDE">
      <w:pPr>
        <w:pStyle w:val="paragraph"/>
        <w:spacing w:before="0" w:beforeAutospacing="0" w:after="0" w:afterAutospacing="0" w:line="480" w:lineRule="auto"/>
        <w:textAlignment w:val="baseline"/>
        <w:rPr>
          <w:rStyle w:val="normaltextrun"/>
          <w:color w:val="373A3C"/>
          <w:shd w:val="clear" w:color="auto" w:fill="FFFFFF"/>
        </w:rPr>
      </w:pPr>
      <w:r>
        <w:rPr>
          <w:rStyle w:val="spellingerror"/>
          <w:color w:val="000000"/>
          <w:shd w:val="clear" w:color="auto" w:fill="FFFFFF"/>
        </w:rPr>
        <w:t>Blamire</w:t>
      </w:r>
      <w:r w:rsidR="00893EDE">
        <w:rPr>
          <w:rStyle w:val="normaltextrun"/>
          <w:color w:val="000000"/>
          <w:shd w:val="clear" w:color="auto" w:fill="FFFFFF"/>
        </w:rPr>
        <w:t>, A., (2001) ‘Athenian Finance, 454-404 BC.’, </w:t>
      </w:r>
      <w:r w:rsidR="00893EDE">
        <w:rPr>
          <w:rStyle w:val="normaltextrun"/>
          <w:i/>
          <w:iCs/>
          <w:color w:val="000000"/>
          <w:shd w:val="clear" w:color="auto" w:fill="FFFFFF"/>
        </w:rPr>
        <w:t>Hesperia: The Journal of the American School of Classical Studies at Athens</w:t>
      </w:r>
      <w:r w:rsidR="00893EDE">
        <w:rPr>
          <w:rStyle w:val="normaltextrun"/>
          <w:color w:val="000000"/>
          <w:shd w:val="clear" w:color="auto" w:fill="FFFFFF"/>
        </w:rPr>
        <w:t> 70(1), pp. 99-126.</w:t>
      </w:r>
    </w:p>
    <w:p w14:paraId="102D49B6" w14:textId="77777777" w:rsidR="00893EDE" w:rsidRDefault="00893EDE" w:rsidP="00893EDE">
      <w:pPr>
        <w:pStyle w:val="paragraph"/>
        <w:spacing w:before="0" w:beforeAutospacing="0" w:after="0" w:afterAutospacing="0" w:line="480" w:lineRule="auto"/>
        <w:textAlignment w:val="baseline"/>
        <w:rPr>
          <w:rStyle w:val="normaltextrun"/>
          <w:shd w:val="clear" w:color="auto" w:fill="FFFFFF"/>
        </w:rPr>
      </w:pPr>
    </w:p>
    <w:p w14:paraId="69A5DA9E" w14:textId="2DFBA911" w:rsidR="0002497B" w:rsidRDefault="0002497B" w:rsidP="00893EDE">
      <w:pPr>
        <w:pStyle w:val="paragraph"/>
        <w:spacing w:before="0" w:beforeAutospacing="0" w:after="0" w:afterAutospacing="0" w:line="480" w:lineRule="auto"/>
        <w:textAlignment w:val="baseline"/>
        <w:rPr>
          <w:rStyle w:val="normaltextrun"/>
          <w:color w:val="000000"/>
          <w:shd w:val="clear" w:color="auto" w:fill="FFFFFF"/>
        </w:rPr>
      </w:pPr>
      <w:r>
        <w:rPr>
          <w:rStyle w:val="normaltextrun"/>
          <w:color w:val="000000"/>
          <w:shd w:val="clear" w:color="auto" w:fill="FFFFFF"/>
        </w:rPr>
        <w:t>Gabrielsen, V., (2010) </w:t>
      </w:r>
      <w:r>
        <w:rPr>
          <w:rStyle w:val="normaltextrun"/>
          <w:i/>
          <w:iCs/>
          <w:color w:val="000000"/>
          <w:shd w:val="clear" w:color="auto" w:fill="FFFFFF"/>
        </w:rPr>
        <w:t>Financing the Athenian Fleet: Public Taxation and Social Relations</w:t>
      </w:r>
      <w:r>
        <w:rPr>
          <w:rStyle w:val="normaltextrun"/>
          <w:color w:val="000000"/>
          <w:shd w:val="clear" w:color="auto" w:fill="FFFFFF"/>
        </w:rPr>
        <w:t>. J</w:t>
      </w:r>
      <w:r>
        <w:rPr>
          <w:rStyle w:val="normaltextrun"/>
          <w:color w:val="000000"/>
          <w:shd w:val="clear" w:color="auto" w:fill="FFFFFF"/>
        </w:rPr>
        <w:t xml:space="preserve">ohns </w:t>
      </w:r>
      <w:r>
        <w:rPr>
          <w:rStyle w:val="normaltextrun"/>
          <w:color w:val="000000"/>
          <w:shd w:val="clear" w:color="auto" w:fill="FFFFFF"/>
        </w:rPr>
        <w:t>H</w:t>
      </w:r>
      <w:r>
        <w:rPr>
          <w:rStyle w:val="normaltextrun"/>
          <w:color w:val="000000"/>
          <w:shd w:val="clear" w:color="auto" w:fill="FFFFFF"/>
        </w:rPr>
        <w:t xml:space="preserve">opkins </w:t>
      </w:r>
      <w:r>
        <w:rPr>
          <w:rStyle w:val="normaltextrun"/>
          <w:color w:val="000000"/>
          <w:shd w:val="clear" w:color="auto" w:fill="FFFFFF"/>
        </w:rPr>
        <w:t>U</w:t>
      </w:r>
      <w:r>
        <w:rPr>
          <w:rStyle w:val="normaltextrun"/>
          <w:color w:val="000000"/>
          <w:shd w:val="clear" w:color="auto" w:fill="FFFFFF"/>
        </w:rPr>
        <w:t>niversity</w:t>
      </w:r>
      <w:r>
        <w:rPr>
          <w:rStyle w:val="normaltextrun"/>
          <w:color w:val="000000"/>
          <w:shd w:val="clear" w:color="auto" w:fill="FFFFFF"/>
        </w:rPr>
        <w:t xml:space="preserve"> Press. </w:t>
      </w:r>
    </w:p>
    <w:p w14:paraId="15C27C08" w14:textId="77777777" w:rsidR="0002497B" w:rsidRDefault="0002497B" w:rsidP="00893EDE">
      <w:pPr>
        <w:pStyle w:val="paragraph"/>
        <w:spacing w:before="0" w:beforeAutospacing="0" w:after="0" w:afterAutospacing="0" w:line="480" w:lineRule="auto"/>
        <w:textAlignment w:val="baseline"/>
        <w:rPr>
          <w:rStyle w:val="normaltextrun"/>
          <w:color w:val="000000"/>
          <w:shd w:val="clear" w:color="auto" w:fill="FFFFFF"/>
        </w:rPr>
      </w:pPr>
    </w:p>
    <w:p w14:paraId="021E629A" w14:textId="0682B187" w:rsidR="00893EDE" w:rsidRDefault="00893EDE" w:rsidP="00893EDE">
      <w:pPr>
        <w:pStyle w:val="paragraph"/>
        <w:spacing w:before="0" w:beforeAutospacing="0" w:after="0" w:afterAutospacing="0" w:line="480" w:lineRule="auto"/>
        <w:textAlignment w:val="baseline"/>
        <w:rPr>
          <w:rStyle w:val="normaltextrun"/>
          <w:shd w:val="clear" w:color="auto" w:fill="FFFFFF"/>
        </w:rPr>
      </w:pPr>
      <w:r w:rsidRPr="00893EDE">
        <w:rPr>
          <w:rStyle w:val="normaltextrun"/>
          <w:shd w:val="clear" w:color="auto" w:fill="FFFFFF"/>
        </w:rPr>
        <w:t>Gabrielsen, Vincent. "Naval and Grain Networks and Associations in Fourth-century Athens." In Communities and Networks in the Ancient Greek World, Communities and Networks in the Ancient Greek World, Chapter 8. Oxford University Press, 2015.</w:t>
      </w:r>
    </w:p>
    <w:p w14:paraId="74AA32DE" w14:textId="77777777" w:rsidR="00D97291" w:rsidRDefault="00D97291" w:rsidP="00893EDE">
      <w:pPr>
        <w:pStyle w:val="paragraph"/>
        <w:spacing w:before="0" w:beforeAutospacing="0" w:after="0" w:afterAutospacing="0" w:line="480" w:lineRule="auto"/>
        <w:textAlignment w:val="baseline"/>
        <w:rPr>
          <w:rStyle w:val="Strong"/>
          <w:rFonts w:ascii="Arial" w:hAnsi="Arial" w:cs="Arial"/>
          <w:color w:val="666666"/>
          <w:sz w:val="20"/>
          <w:szCs w:val="20"/>
          <w:shd w:val="clear" w:color="auto" w:fill="FFFFFF"/>
        </w:rPr>
      </w:pPr>
      <w:r>
        <w:rPr>
          <w:rStyle w:val="Strong"/>
          <w:rFonts w:ascii="Arial" w:hAnsi="Arial" w:cs="Arial"/>
          <w:color w:val="666666"/>
          <w:sz w:val="20"/>
          <w:szCs w:val="20"/>
          <w:shd w:val="clear" w:color="auto" w:fill="FFFFFF"/>
        </w:rPr>
        <w:t> </w:t>
      </w:r>
    </w:p>
    <w:p w14:paraId="5EE13047" w14:textId="748D8813" w:rsidR="00D97291" w:rsidRPr="00D97291" w:rsidRDefault="00D97291" w:rsidP="00893EDE">
      <w:pPr>
        <w:pStyle w:val="paragraph"/>
        <w:spacing w:before="0" w:beforeAutospacing="0" w:after="0" w:afterAutospacing="0" w:line="480" w:lineRule="auto"/>
        <w:textAlignment w:val="baseline"/>
        <w:rPr>
          <w:rStyle w:val="normaltextrun"/>
        </w:rPr>
      </w:pPr>
      <w:proofErr w:type="spellStart"/>
      <w:r w:rsidRPr="00D97291">
        <w:rPr>
          <w:rStyle w:val="selectable"/>
          <w:color w:val="000000"/>
          <w:shd w:val="clear" w:color="auto" w:fill="FFFFFF"/>
        </w:rPr>
        <w:t>Haan</w:t>
      </w:r>
      <w:proofErr w:type="spellEnd"/>
      <w:r w:rsidRPr="00D97291">
        <w:rPr>
          <w:rStyle w:val="selectable"/>
          <w:color w:val="000000"/>
          <w:shd w:val="clear" w:color="auto" w:fill="FFFFFF"/>
        </w:rPr>
        <w:t>, L. and Ferreira, A. (2006). </w:t>
      </w:r>
      <w:r w:rsidRPr="00D97291">
        <w:rPr>
          <w:rStyle w:val="selectable"/>
          <w:i/>
          <w:iCs/>
          <w:color w:val="000000"/>
          <w:shd w:val="clear" w:color="auto" w:fill="FFFFFF"/>
        </w:rPr>
        <w:t>Extreme value theory</w:t>
      </w:r>
      <w:r w:rsidRPr="00D97291">
        <w:rPr>
          <w:rStyle w:val="selectable"/>
          <w:color w:val="000000"/>
          <w:shd w:val="clear" w:color="auto" w:fill="FFFFFF"/>
        </w:rPr>
        <w:t>. New York: Springer.</w:t>
      </w:r>
    </w:p>
    <w:p w14:paraId="21C83EFA" w14:textId="77777777" w:rsidR="00893EDE" w:rsidRDefault="00893EDE" w:rsidP="00893EDE">
      <w:pPr>
        <w:pStyle w:val="paragraph"/>
        <w:spacing w:before="0" w:beforeAutospacing="0" w:after="0" w:afterAutospacing="0" w:line="480" w:lineRule="auto"/>
        <w:textAlignment w:val="baseline"/>
        <w:rPr>
          <w:rStyle w:val="normaltextrun"/>
        </w:rPr>
      </w:pPr>
    </w:p>
    <w:p w14:paraId="21C634DB" w14:textId="1D8C132C" w:rsidR="00893EDE" w:rsidRDefault="00893EDE" w:rsidP="00893EDE">
      <w:pPr>
        <w:pStyle w:val="paragraph"/>
        <w:spacing w:before="0" w:beforeAutospacing="0" w:after="0" w:afterAutospacing="0" w:line="480" w:lineRule="auto"/>
        <w:textAlignment w:val="baseline"/>
        <w:rPr>
          <w:rFonts w:ascii="Segoe UI" w:hAnsi="Segoe UI" w:cs="Segoe UI"/>
          <w:sz w:val="18"/>
          <w:szCs w:val="18"/>
        </w:rPr>
      </w:pPr>
      <w:r>
        <w:rPr>
          <w:rStyle w:val="normaltextrun"/>
        </w:rPr>
        <w:t>Kaiser, B.A., (2007) ‘The Athenian Trierarchy: Mechanism Design for the Private Provision of Public Goods’, </w:t>
      </w:r>
      <w:r>
        <w:rPr>
          <w:rStyle w:val="normaltextrun"/>
          <w:i/>
          <w:iCs/>
        </w:rPr>
        <w:t>Journal of Economic History</w:t>
      </w:r>
      <w:r>
        <w:rPr>
          <w:rStyle w:val="normaltextrun"/>
        </w:rPr>
        <w:t> 67, pp. 445-480. </w:t>
      </w:r>
      <w:r>
        <w:rPr>
          <w:rStyle w:val="eop"/>
        </w:rPr>
        <w:t> </w:t>
      </w:r>
    </w:p>
    <w:p w14:paraId="6A9B58BF" w14:textId="77777777" w:rsidR="00893EDE" w:rsidRDefault="00893EDE" w:rsidP="00893EDE">
      <w:pPr>
        <w:pStyle w:val="paragraph"/>
        <w:spacing w:before="0" w:beforeAutospacing="0" w:after="0" w:afterAutospacing="0" w:line="480" w:lineRule="auto"/>
        <w:textAlignment w:val="baseline"/>
        <w:rPr>
          <w:rStyle w:val="spellingerror"/>
        </w:rPr>
      </w:pPr>
    </w:p>
    <w:p w14:paraId="4BE681C3" w14:textId="2E9D7B99" w:rsidR="00893EDE" w:rsidRDefault="00893EDE" w:rsidP="00893EDE">
      <w:pPr>
        <w:pStyle w:val="paragraph"/>
        <w:spacing w:before="0" w:beforeAutospacing="0" w:after="0" w:afterAutospacing="0" w:line="480" w:lineRule="auto"/>
        <w:textAlignment w:val="baseline"/>
        <w:rPr>
          <w:rFonts w:ascii="Segoe UI" w:hAnsi="Segoe UI" w:cs="Segoe UI"/>
          <w:sz w:val="18"/>
          <w:szCs w:val="18"/>
        </w:rPr>
      </w:pPr>
      <w:r>
        <w:rPr>
          <w:rStyle w:val="spellingerror"/>
        </w:rPr>
        <w:t>Kallet</w:t>
      </w:r>
      <w:r>
        <w:rPr>
          <w:rStyle w:val="normaltextrun"/>
        </w:rPr>
        <w:t>, L., (1999) ‘The Diseased Body Politic, Athenian Public Finance, and the Massacre at </w:t>
      </w:r>
      <w:r>
        <w:rPr>
          <w:rStyle w:val="spellingerror"/>
        </w:rPr>
        <w:t>Mykalessos</w:t>
      </w:r>
      <w:r>
        <w:rPr>
          <w:rStyle w:val="normaltextrun"/>
        </w:rPr>
        <w:t> (Thucydides 7.27-29)’, </w:t>
      </w:r>
      <w:r>
        <w:rPr>
          <w:rStyle w:val="normaltextrun"/>
          <w:i/>
          <w:iCs/>
        </w:rPr>
        <w:t>The American Journal of Philology</w:t>
      </w:r>
      <w:r>
        <w:rPr>
          <w:rStyle w:val="normaltextrun"/>
        </w:rPr>
        <w:t> 120(2), pp. 223-244.</w:t>
      </w:r>
    </w:p>
    <w:p w14:paraId="2001F5EC" w14:textId="77777777" w:rsidR="00893EDE" w:rsidRDefault="00893EDE" w:rsidP="00893EDE">
      <w:pPr>
        <w:pStyle w:val="paragraph"/>
        <w:spacing w:before="0" w:beforeAutospacing="0" w:after="0" w:afterAutospacing="0" w:line="480" w:lineRule="auto"/>
        <w:textAlignment w:val="baseline"/>
        <w:rPr>
          <w:rStyle w:val="spellingerror"/>
        </w:rPr>
      </w:pPr>
    </w:p>
    <w:p w14:paraId="13231398" w14:textId="6530E65A" w:rsidR="00893EDE" w:rsidRDefault="00893EDE" w:rsidP="00893EDE">
      <w:pPr>
        <w:pStyle w:val="paragraph"/>
        <w:spacing w:before="0" w:beforeAutospacing="0" w:after="0" w:afterAutospacing="0" w:line="480" w:lineRule="auto"/>
        <w:textAlignment w:val="baseline"/>
        <w:rPr>
          <w:rFonts w:ascii="Segoe UI" w:hAnsi="Segoe UI" w:cs="Segoe UI"/>
          <w:sz w:val="18"/>
          <w:szCs w:val="18"/>
        </w:rPr>
      </w:pPr>
      <w:r>
        <w:rPr>
          <w:rStyle w:val="spellingerror"/>
        </w:rPr>
        <w:t>Kyriazis</w:t>
      </w:r>
      <w:r>
        <w:rPr>
          <w:rStyle w:val="normaltextrun"/>
        </w:rPr>
        <w:t>, N.C. and </w:t>
      </w:r>
      <w:r>
        <w:rPr>
          <w:rStyle w:val="spellingerror"/>
        </w:rPr>
        <w:t>Zouboulakis</w:t>
      </w:r>
      <w:r>
        <w:rPr>
          <w:rStyle w:val="normaltextrun"/>
        </w:rPr>
        <w:t>, M.S. (2004) ‘Democracy, Sea Power and Institutional Change: An Economic Analysis of Athenian Naval Law’, </w:t>
      </w:r>
      <w:r>
        <w:rPr>
          <w:rStyle w:val="normaltextrun"/>
          <w:i/>
          <w:iCs/>
        </w:rPr>
        <w:t>European Journal of Law and Economics</w:t>
      </w:r>
      <w:r>
        <w:rPr>
          <w:rStyle w:val="normaltextrun"/>
        </w:rPr>
        <w:t> 17, pp. 117-132. </w:t>
      </w:r>
      <w:r>
        <w:rPr>
          <w:rStyle w:val="eop"/>
        </w:rPr>
        <w:t> </w:t>
      </w:r>
    </w:p>
    <w:p w14:paraId="21BF4FAF" w14:textId="77777777" w:rsidR="00893EDE" w:rsidRDefault="00893EDE" w:rsidP="00893EDE">
      <w:pPr>
        <w:pStyle w:val="paragraph"/>
        <w:spacing w:before="0" w:beforeAutospacing="0" w:after="0" w:afterAutospacing="0" w:line="480" w:lineRule="auto"/>
        <w:textAlignment w:val="baseline"/>
        <w:rPr>
          <w:rStyle w:val="normaltextrun"/>
        </w:rPr>
      </w:pPr>
    </w:p>
    <w:p w14:paraId="43B35F4C" w14:textId="55E733E9" w:rsidR="00893EDE" w:rsidRDefault="00893EDE" w:rsidP="00893EDE">
      <w:pPr>
        <w:pStyle w:val="paragraph"/>
        <w:spacing w:before="0" w:beforeAutospacing="0" w:after="0" w:afterAutospacing="0" w:line="480" w:lineRule="auto"/>
        <w:textAlignment w:val="baseline"/>
        <w:rPr>
          <w:rFonts w:ascii="Segoe UI" w:hAnsi="Segoe UI" w:cs="Segoe UI"/>
          <w:sz w:val="18"/>
          <w:szCs w:val="18"/>
        </w:rPr>
      </w:pPr>
      <w:r>
        <w:rPr>
          <w:rStyle w:val="normaltextrun"/>
        </w:rPr>
        <w:lastRenderedPageBreak/>
        <w:t>Pritchard, D.M., (2012) ‘Costing Festivals and War: Spending Priorities of the Athenian Democracy’, </w:t>
      </w:r>
      <w:r>
        <w:rPr>
          <w:rStyle w:val="normaltextrun"/>
          <w:i/>
          <w:iCs/>
        </w:rPr>
        <w:t>Historia: </w:t>
      </w:r>
      <w:r>
        <w:rPr>
          <w:rStyle w:val="spellingerror"/>
          <w:i/>
          <w:iCs/>
        </w:rPr>
        <w:t>Zeitschrift</w:t>
      </w:r>
      <w:r>
        <w:rPr>
          <w:rStyle w:val="normaltextrun"/>
          <w:i/>
          <w:iCs/>
        </w:rPr>
        <w:t> fur Alte </w:t>
      </w:r>
      <w:r>
        <w:rPr>
          <w:rStyle w:val="spellingerror"/>
          <w:i/>
          <w:iCs/>
        </w:rPr>
        <w:t>Geschichte</w:t>
      </w:r>
      <w:r>
        <w:rPr>
          <w:rStyle w:val="normaltextrun"/>
        </w:rPr>
        <w:t> 61(1), pp. 18-65</w:t>
      </w:r>
      <w:r>
        <w:rPr>
          <w:rStyle w:val="eop"/>
        </w:rPr>
        <w:t> </w:t>
      </w:r>
    </w:p>
    <w:p w14:paraId="79EFEF52" w14:textId="23F09504" w:rsidR="00B2021B" w:rsidRDefault="00B2021B" w:rsidP="00893EDE">
      <w:pPr>
        <w:pStyle w:val="paragraph"/>
        <w:spacing w:before="0" w:beforeAutospacing="0" w:after="0" w:afterAutospacing="0" w:line="480" w:lineRule="auto"/>
        <w:textAlignment w:val="baseline"/>
        <w:rPr>
          <w:rStyle w:val="normaltextrun"/>
        </w:rPr>
      </w:pPr>
    </w:p>
    <w:p w14:paraId="19172C71" w14:textId="121CC8A0" w:rsidR="00B2021B" w:rsidRPr="00D71EF6" w:rsidRDefault="00B2021B" w:rsidP="00893EDE">
      <w:pPr>
        <w:pStyle w:val="paragraph"/>
        <w:spacing w:before="0" w:beforeAutospacing="0" w:after="0" w:afterAutospacing="0" w:line="480" w:lineRule="auto"/>
        <w:textAlignment w:val="baseline"/>
        <w:rPr>
          <w:spacing w:val="4"/>
          <w:shd w:val="clear" w:color="auto" w:fill="FCFCFC"/>
        </w:rPr>
      </w:pPr>
      <w:proofErr w:type="spellStart"/>
      <w:r w:rsidRPr="00D71EF6">
        <w:rPr>
          <w:spacing w:val="4"/>
          <w:shd w:val="clear" w:color="auto" w:fill="FCFCFC"/>
        </w:rPr>
        <w:t>Selgin</w:t>
      </w:r>
      <w:proofErr w:type="spellEnd"/>
      <w:r w:rsidRPr="00D71EF6">
        <w:rPr>
          <w:spacing w:val="4"/>
          <w:shd w:val="clear" w:color="auto" w:fill="FCFCFC"/>
        </w:rPr>
        <w:t xml:space="preserve"> G. (2018) Gresham’s Law. In: </w:t>
      </w:r>
      <w:proofErr w:type="spellStart"/>
      <w:r w:rsidRPr="00D71EF6">
        <w:rPr>
          <w:spacing w:val="4"/>
          <w:shd w:val="clear" w:color="auto" w:fill="FCFCFC"/>
        </w:rPr>
        <w:t>Battilossi</w:t>
      </w:r>
      <w:proofErr w:type="spellEnd"/>
      <w:r w:rsidRPr="00D71EF6">
        <w:rPr>
          <w:spacing w:val="4"/>
          <w:shd w:val="clear" w:color="auto" w:fill="FCFCFC"/>
        </w:rPr>
        <w:t xml:space="preserve"> S., Cassis Y., </w:t>
      </w:r>
      <w:proofErr w:type="spellStart"/>
      <w:r w:rsidRPr="00D71EF6">
        <w:rPr>
          <w:spacing w:val="4"/>
          <w:shd w:val="clear" w:color="auto" w:fill="FCFCFC"/>
        </w:rPr>
        <w:t>Yago</w:t>
      </w:r>
      <w:proofErr w:type="spellEnd"/>
      <w:r w:rsidRPr="00D71EF6">
        <w:rPr>
          <w:spacing w:val="4"/>
          <w:shd w:val="clear" w:color="auto" w:fill="FCFCFC"/>
        </w:rPr>
        <w:t xml:space="preserve"> K. (</w:t>
      </w:r>
      <w:proofErr w:type="spellStart"/>
      <w:proofErr w:type="gramStart"/>
      <w:r w:rsidRPr="00D71EF6">
        <w:rPr>
          <w:spacing w:val="4"/>
          <w:shd w:val="clear" w:color="auto" w:fill="FCFCFC"/>
        </w:rPr>
        <w:t>eds</w:t>
      </w:r>
      <w:proofErr w:type="spellEnd"/>
      <w:proofErr w:type="gramEnd"/>
      <w:r w:rsidRPr="00D71EF6">
        <w:rPr>
          <w:spacing w:val="4"/>
          <w:shd w:val="clear" w:color="auto" w:fill="FCFCFC"/>
        </w:rPr>
        <w:t>) Handbook of the History of Money and Currency. Springer, Singapore</w:t>
      </w:r>
    </w:p>
    <w:p w14:paraId="75495393" w14:textId="77777777" w:rsidR="00D97291" w:rsidRPr="00B2021B" w:rsidRDefault="00D97291" w:rsidP="00893EDE">
      <w:pPr>
        <w:pStyle w:val="paragraph"/>
        <w:spacing w:before="0" w:beforeAutospacing="0" w:after="0" w:afterAutospacing="0" w:line="480" w:lineRule="auto"/>
        <w:textAlignment w:val="baseline"/>
        <w:rPr>
          <w:color w:val="333333"/>
          <w:spacing w:val="4"/>
          <w:shd w:val="clear" w:color="auto" w:fill="FCFCFC"/>
        </w:rPr>
      </w:pPr>
    </w:p>
    <w:p w14:paraId="535BBF79" w14:textId="1213B519" w:rsidR="00893EDE" w:rsidRDefault="00893EDE" w:rsidP="00893EDE">
      <w:pPr>
        <w:pStyle w:val="paragraph"/>
        <w:spacing w:before="0" w:beforeAutospacing="0" w:after="0" w:afterAutospacing="0" w:line="480" w:lineRule="auto"/>
        <w:textAlignment w:val="baseline"/>
        <w:rPr>
          <w:rFonts w:ascii="Segoe UI" w:hAnsi="Segoe UI" w:cs="Segoe UI"/>
          <w:sz w:val="18"/>
          <w:szCs w:val="18"/>
        </w:rPr>
      </w:pPr>
      <w:r>
        <w:rPr>
          <w:rStyle w:val="normaltextrun"/>
        </w:rPr>
        <w:t>Wees, </w:t>
      </w:r>
      <w:proofErr w:type="gramStart"/>
      <w:r>
        <w:rPr>
          <w:rStyle w:val="normaltextrun"/>
        </w:rPr>
        <w:t>H.v</w:t>
      </w:r>
      <w:proofErr w:type="gramEnd"/>
      <w:r>
        <w:rPr>
          <w:rStyle w:val="normaltextrun"/>
        </w:rPr>
        <w:t>., (2004) </w:t>
      </w:r>
      <w:r>
        <w:rPr>
          <w:rStyle w:val="normaltextrun"/>
          <w:i/>
          <w:iCs/>
        </w:rPr>
        <w:t>Greek Warfare: Myths and Realities</w:t>
      </w:r>
      <w:r>
        <w:rPr>
          <w:rStyle w:val="normaltextrun"/>
        </w:rPr>
        <w:t>. London, New York: Bloomsbury Publishing Plc. </w:t>
      </w:r>
      <w:bookmarkStart w:id="0" w:name="_GoBack"/>
      <w:bookmarkEnd w:id="0"/>
    </w:p>
    <w:p w14:paraId="0F46AA16" w14:textId="77777777" w:rsidR="00893EDE" w:rsidRPr="00193F9F" w:rsidRDefault="00893EDE" w:rsidP="0D9CBA87">
      <w:pPr>
        <w:spacing w:line="480" w:lineRule="auto"/>
        <w:rPr>
          <w:rFonts w:ascii="Times New Roman" w:hAnsi="Times New Roman" w:cs="Times New Roman"/>
          <w:sz w:val="24"/>
          <w:szCs w:val="24"/>
        </w:rPr>
      </w:pPr>
    </w:p>
    <w:sectPr w:rsidR="00893EDE" w:rsidRPr="00193F9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82EA67" w14:textId="77777777" w:rsidR="00DF200E" w:rsidRDefault="00DF200E" w:rsidP="00FD2948">
      <w:pPr>
        <w:spacing w:after="0" w:line="240" w:lineRule="auto"/>
      </w:pPr>
      <w:r>
        <w:separator/>
      </w:r>
    </w:p>
  </w:endnote>
  <w:endnote w:type="continuationSeparator" w:id="0">
    <w:p w14:paraId="20F054FB" w14:textId="77777777" w:rsidR="00DF200E" w:rsidRDefault="00DF200E" w:rsidP="00FD29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5AFAD010" w14:paraId="7E0B86A0" w14:textId="77777777" w:rsidTr="5AFAD010">
      <w:tc>
        <w:tcPr>
          <w:tcW w:w="3009" w:type="dxa"/>
        </w:tcPr>
        <w:p w14:paraId="395A1C7D" w14:textId="3818FE05" w:rsidR="5AFAD010" w:rsidRDefault="5AFAD010" w:rsidP="5AFAD010">
          <w:pPr>
            <w:pStyle w:val="Header"/>
            <w:ind w:left="-115"/>
          </w:pPr>
          <w:r>
            <w:fldChar w:fldCharType="begin"/>
          </w:r>
          <w:r>
            <w:instrText>PAGE</w:instrText>
          </w:r>
          <w:r w:rsidR="005C0611">
            <w:fldChar w:fldCharType="separate"/>
          </w:r>
          <w:r w:rsidR="00D71EF6">
            <w:rPr>
              <w:noProof/>
            </w:rPr>
            <w:t>10</w:t>
          </w:r>
          <w:r>
            <w:fldChar w:fldCharType="end"/>
          </w:r>
        </w:p>
      </w:tc>
      <w:tc>
        <w:tcPr>
          <w:tcW w:w="3009" w:type="dxa"/>
        </w:tcPr>
        <w:p w14:paraId="258A7968" w14:textId="50386CD5" w:rsidR="5AFAD010" w:rsidRDefault="5AFAD010" w:rsidP="5AFAD010">
          <w:pPr>
            <w:pStyle w:val="Header"/>
            <w:jc w:val="center"/>
          </w:pPr>
        </w:p>
      </w:tc>
      <w:tc>
        <w:tcPr>
          <w:tcW w:w="3009" w:type="dxa"/>
        </w:tcPr>
        <w:p w14:paraId="27887FC0" w14:textId="7A8EDCCE" w:rsidR="5AFAD010" w:rsidRDefault="5AFAD010" w:rsidP="5AFAD010">
          <w:pPr>
            <w:pStyle w:val="Header"/>
            <w:ind w:right="-115"/>
            <w:jc w:val="right"/>
          </w:pPr>
        </w:p>
      </w:tc>
    </w:tr>
  </w:tbl>
  <w:p w14:paraId="7F17C09C" w14:textId="63E4052C" w:rsidR="5AFAD010" w:rsidRDefault="5AFAD010" w:rsidP="5AFAD0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AAD5A5" w14:textId="77777777" w:rsidR="00DF200E" w:rsidRDefault="00DF200E" w:rsidP="00FD2948">
      <w:pPr>
        <w:spacing w:after="0" w:line="240" w:lineRule="auto"/>
      </w:pPr>
      <w:r>
        <w:separator/>
      </w:r>
    </w:p>
  </w:footnote>
  <w:footnote w:type="continuationSeparator" w:id="0">
    <w:p w14:paraId="576729EE" w14:textId="77777777" w:rsidR="00DF200E" w:rsidRDefault="00DF200E" w:rsidP="00FD2948">
      <w:pPr>
        <w:spacing w:after="0" w:line="240" w:lineRule="auto"/>
      </w:pPr>
      <w:r>
        <w:continuationSeparator/>
      </w:r>
    </w:p>
  </w:footnote>
  <w:footnote w:id="1">
    <w:p w14:paraId="49075AD7" w14:textId="06A90606" w:rsidR="657A84DE" w:rsidRDefault="657A84DE" w:rsidP="657A84DE">
      <w:pPr>
        <w:pStyle w:val="FootnoteText"/>
      </w:pPr>
      <w:r w:rsidRPr="657A84DE">
        <w:rPr>
          <w:rStyle w:val="FootnoteReference"/>
          <w:rFonts w:ascii="Times New Roman" w:eastAsia="Times New Roman" w:hAnsi="Times New Roman" w:cs="Times New Roman"/>
        </w:rPr>
        <w:footnoteRef/>
      </w:r>
      <w:r w:rsidR="00FB7706">
        <w:rPr>
          <w:rFonts w:ascii="Times New Roman" w:eastAsia="Times New Roman" w:hAnsi="Times New Roman" w:cs="Times New Roman"/>
        </w:rPr>
        <w:t xml:space="preserve"> Gresham’s Law and Value Theory</w:t>
      </w:r>
    </w:p>
  </w:footnote>
  <w:footnote w:id="2">
    <w:p w14:paraId="3DFE9164" w14:textId="06A399A8" w:rsidR="657A84DE" w:rsidRDefault="657A84DE"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w:t>
      </w:r>
      <w:r w:rsidR="00FB7706">
        <w:rPr>
          <w:rFonts w:ascii="Times New Roman" w:eastAsia="Times New Roman" w:hAnsi="Times New Roman" w:cs="Times New Roman"/>
        </w:rPr>
        <w:t>K</w:t>
      </w:r>
      <w:r w:rsidR="00696210">
        <w:rPr>
          <w:rFonts w:ascii="Times New Roman" w:eastAsia="Times New Roman" w:hAnsi="Times New Roman" w:cs="Times New Roman"/>
        </w:rPr>
        <w:t>aiser (2007), K</w:t>
      </w:r>
      <w:r w:rsidR="00FB7706">
        <w:rPr>
          <w:rFonts w:ascii="Times New Roman" w:eastAsia="Times New Roman" w:hAnsi="Times New Roman" w:cs="Times New Roman"/>
        </w:rPr>
        <w:t>yriazis and Zouboulakis (2004), Pritchard (2015), Blamire (2001)</w:t>
      </w:r>
    </w:p>
  </w:footnote>
  <w:footnote w:id="3">
    <w:p w14:paraId="56C6B4D2" w14:textId="0F4C1495" w:rsidR="00FD2948" w:rsidRPr="000E54E9" w:rsidRDefault="00FD2948"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w:t>
      </w:r>
      <w:r w:rsidR="000E54E9" w:rsidRPr="657A84DE">
        <w:rPr>
          <w:rFonts w:ascii="Times New Roman" w:eastAsia="Times New Roman" w:hAnsi="Times New Roman" w:cs="Times New Roman"/>
        </w:rPr>
        <w:t>Kaiser, 2007, p.445</w:t>
      </w:r>
    </w:p>
  </w:footnote>
  <w:footnote w:id="4">
    <w:p w14:paraId="052430DF" w14:textId="2B9EA2C7" w:rsidR="657A84DE" w:rsidRDefault="657A84DE"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Kaiser, 2007, p.445</w:t>
      </w:r>
    </w:p>
  </w:footnote>
  <w:footnote w:id="5">
    <w:p w14:paraId="46CB63ED" w14:textId="0F7A9FC0" w:rsidR="000E54E9" w:rsidRPr="000E54E9" w:rsidRDefault="000E54E9"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Kaiser, 2007, p.474</w:t>
      </w:r>
    </w:p>
  </w:footnote>
  <w:footnote w:id="6">
    <w:p w14:paraId="5FFC7AD0" w14:textId="640312C1" w:rsidR="657A84DE" w:rsidRDefault="657A84DE"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Kaiser, 2007, p.447</w:t>
      </w:r>
    </w:p>
  </w:footnote>
  <w:footnote w:id="7">
    <w:p w14:paraId="270A3623" w14:textId="7161E371" w:rsidR="657A84DE" w:rsidRDefault="657A84DE"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Kaiser, 2007, p.456</w:t>
      </w:r>
    </w:p>
  </w:footnote>
  <w:footnote w:id="8">
    <w:p w14:paraId="28F3EC18" w14:textId="2843ED84" w:rsidR="657A84DE" w:rsidRDefault="657A84DE"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Kaiser, 2007, p.456</w:t>
      </w:r>
    </w:p>
  </w:footnote>
  <w:footnote w:id="9">
    <w:p w14:paraId="0F03D126" w14:textId="02224893" w:rsidR="657A84DE" w:rsidRDefault="657A84DE"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Kaiser, 2007, p.474</w:t>
      </w:r>
    </w:p>
  </w:footnote>
  <w:footnote w:id="10">
    <w:p w14:paraId="43BB7061" w14:textId="37F68642" w:rsidR="00B16FF2" w:rsidRPr="00B16FF2" w:rsidRDefault="00B16FF2"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Kaiser, 2007, p.</w:t>
      </w:r>
      <w:r w:rsidR="00ED0F32" w:rsidRPr="657A84DE">
        <w:rPr>
          <w:rFonts w:ascii="Times New Roman" w:eastAsia="Times New Roman" w:hAnsi="Times New Roman" w:cs="Times New Roman"/>
        </w:rPr>
        <w:t>474</w:t>
      </w:r>
    </w:p>
  </w:footnote>
  <w:footnote w:id="11">
    <w:p w14:paraId="0AFBFBD0" w14:textId="15C1F706" w:rsidR="657A84DE" w:rsidRDefault="657A84DE"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Kaiser, 2007, p.475</w:t>
      </w:r>
    </w:p>
  </w:footnote>
  <w:footnote w:id="12">
    <w:p w14:paraId="618FF806" w14:textId="7FD74552" w:rsidR="004E38DA" w:rsidRPr="004E38DA" w:rsidRDefault="004E38DA"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Kaiser, 2007, p.475</w:t>
      </w:r>
    </w:p>
  </w:footnote>
  <w:footnote w:id="13">
    <w:p w14:paraId="5C0B2DE4" w14:textId="0DCD3289" w:rsidR="657A84DE" w:rsidRDefault="657A84DE"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Kaiser, 2007, p.457</w:t>
      </w:r>
    </w:p>
  </w:footnote>
  <w:footnote w:id="14">
    <w:p w14:paraId="29D3A130" w14:textId="6E2C2F57" w:rsidR="657A84DE" w:rsidRDefault="657A84DE"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Kyriazis and Zouboulakis, 2004, p.117</w:t>
      </w:r>
    </w:p>
  </w:footnote>
  <w:footnote w:id="15">
    <w:p w14:paraId="04F72672" w14:textId="7AC7A998" w:rsidR="657A84DE" w:rsidRDefault="657A84DE" w:rsidP="0D9CBA87">
      <w:pPr>
        <w:pStyle w:val="FootnoteText"/>
      </w:pPr>
      <w:r w:rsidRPr="0D9CBA87">
        <w:rPr>
          <w:rStyle w:val="FootnoteReference"/>
          <w:rFonts w:ascii="Times New Roman" w:eastAsia="Times New Roman" w:hAnsi="Times New Roman" w:cs="Times New Roman"/>
        </w:rPr>
        <w:footnoteRef/>
      </w:r>
      <w:r w:rsidRPr="0D9CBA87">
        <w:rPr>
          <w:rFonts w:ascii="Times New Roman" w:eastAsia="Times New Roman" w:hAnsi="Times New Roman" w:cs="Times New Roman"/>
        </w:rPr>
        <w:t xml:space="preserve"> Financial Times Lexicon, 2018</w:t>
      </w:r>
    </w:p>
  </w:footnote>
  <w:footnote w:id="16">
    <w:p w14:paraId="0C67A527" w14:textId="5CAA48ED" w:rsidR="657A84DE" w:rsidRDefault="657A84DE" w:rsidP="0D9CBA87">
      <w:pPr>
        <w:pStyle w:val="FootnoteText"/>
      </w:pPr>
      <w:r w:rsidRPr="0D9CBA87">
        <w:rPr>
          <w:rStyle w:val="FootnoteReference"/>
          <w:rFonts w:ascii="Times New Roman" w:eastAsia="Times New Roman" w:hAnsi="Times New Roman" w:cs="Times New Roman"/>
        </w:rPr>
        <w:footnoteRef/>
      </w:r>
      <w:r w:rsidRPr="0D9CBA87">
        <w:rPr>
          <w:rFonts w:ascii="Times New Roman" w:eastAsia="Times New Roman" w:hAnsi="Times New Roman" w:cs="Times New Roman"/>
        </w:rPr>
        <w:t xml:space="preserve"> </w:t>
      </w:r>
      <w:r w:rsidR="00FB7706" w:rsidRPr="0D9CBA87">
        <w:rPr>
          <w:rFonts w:ascii="Times New Roman" w:eastAsia="Times New Roman" w:hAnsi="Times New Roman" w:cs="Times New Roman"/>
        </w:rPr>
        <w:t>Kyriazis</w:t>
      </w:r>
      <w:r w:rsidRPr="0D9CBA87">
        <w:rPr>
          <w:rFonts w:ascii="Times New Roman" w:eastAsia="Times New Roman" w:hAnsi="Times New Roman" w:cs="Times New Roman"/>
        </w:rPr>
        <w:t xml:space="preserve"> and Zouboulakis, 2004, p.118</w:t>
      </w:r>
    </w:p>
  </w:footnote>
  <w:footnote w:id="17">
    <w:p w14:paraId="0B580BE5" w14:textId="2B297A8E" w:rsidR="0D9CBA87" w:rsidRDefault="0D9CBA87" w:rsidP="0D9CBA87">
      <w:pPr>
        <w:pStyle w:val="FootnoteText"/>
      </w:pPr>
      <w:r w:rsidRPr="0D9CBA87">
        <w:rPr>
          <w:rStyle w:val="FootnoteReference"/>
          <w:rFonts w:ascii="Times New Roman" w:eastAsia="Times New Roman" w:hAnsi="Times New Roman" w:cs="Times New Roman"/>
        </w:rPr>
        <w:footnoteRef/>
      </w:r>
      <w:r w:rsidRPr="0D9CBA87">
        <w:rPr>
          <w:rFonts w:ascii="Times New Roman" w:eastAsia="Times New Roman" w:hAnsi="Times New Roman" w:cs="Times New Roman"/>
        </w:rPr>
        <w:t xml:space="preserve"> </w:t>
      </w:r>
      <w:r w:rsidR="00FB7706" w:rsidRPr="0D9CBA87">
        <w:rPr>
          <w:rFonts w:ascii="Times New Roman" w:eastAsia="Times New Roman" w:hAnsi="Times New Roman" w:cs="Times New Roman"/>
        </w:rPr>
        <w:t>Kyriazis</w:t>
      </w:r>
      <w:r w:rsidRPr="0D9CBA87">
        <w:rPr>
          <w:rFonts w:ascii="Times New Roman" w:eastAsia="Times New Roman" w:hAnsi="Times New Roman" w:cs="Times New Roman"/>
        </w:rPr>
        <w:t xml:space="preserve"> and Zouboulakis, 2004, p.117</w:t>
      </w:r>
    </w:p>
  </w:footnote>
  <w:footnote w:id="18">
    <w:p w14:paraId="0F17F5D8" w14:textId="26F2C246" w:rsidR="0D9CBA87" w:rsidRDefault="0D9CBA87" w:rsidP="5AFAD010">
      <w:pPr>
        <w:pStyle w:val="FootnoteText"/>
        <w:rPr>
          <w:rFonts w:ascii="Times New Roman" w:eastAsia="Times New Roman" w:hAnsi="Times New Roman" w:cs="Times New Roman"/>
          <w:sz w:val="19"/>
          <w:szCs w:val="19"/>
        </w:rPr>
      </w:pPr>
      <w:r w:rsidRPr="0D9CBA87">
        <w:rPr>
          <w:rStyle w:val="FootnoteReference"/>
          <w:rFonts w:ascii="Times New Roman" w:eastAsia="Times New Roman" w:hAnsi="Times New Roman" w:cs="Times New Roman"/>
        </w:rPr>
        <w:footnoteRef/>
      </w:r>
      <w:r w:rsidRPr="0D9CBA87">
        <w:rPr>
          <w:rFonts w:ascii="Times New Roman" w:eastAsia="Times New Roman" w:hAnsi="Times New Roman" w:cs="Times New Roman"/>
        </w:rPr>
        <w:t xml:space="preserve"> Kyriazis and Zouboulakis, 2004, p.119</w:t>
      </w:r>
    </w:p>
  </w:footnote>
  <w:footnote w:id="19">
    <w:p w14:paraId="7A1786C8" w14:textId="7536CDF2" w:rsidR="0D9CBA87" w:rsidRDefault="0D9CBA87" w:rsidP="0D9CBA87">
      <w:pPr>
        <w:pStyle w:val="FootnoteText"/>
      </w:pPr>
      <w:r w:rsidRPr="0D9CBA87">
        <w:rPr>
          <w:rStyle w:val="FootnoteReference"/>
          <w:rFonts w:ascii="Times New Roman" w:eastAsia="Times New Roman" w:hAnsi="Times New Roman" w:cs="Times New Roman"/>
        </w:rPr>
        <w:footnoteRef/>
      </w:r>
      <w:r w:rsidRPr="0D9CBA87">
        <w:rPr>
          <w:rFonts w:ascii="Times New Roman" w:eastAsia="Times New Roman" w:hAnsi="Times New Roman" w:cs="Times New Roman"/>
        </w:rPr>
        <w:t xml:space="preserve"> Kyriazis and Zouboulakis, 2004, p.119</w:t>
      </w:r>
    </w:p>
  </w:footnote>
  <w:footnote w:id="20">
    <w:p w14:paraId="6B9D9AFE" w14:textId="3367DCE3" w:rsidR="00FF5187" w:rsidRPr="006C6567" w:rsidRDefault="00FF5187"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w:t>
      </w:r>
      <w:r w:rsidR="00ED1390" w:rsidRPr="657A84DE">
        <w:rPr>
          <w:rFonts w:ascii="Times New Roman" w:eastAsia="Times New Roman" w:hAnsi="Times New Roman" w:cs="Times New Roman"/>
        </w:rPr>
        <w:t xml:space="preserve">Kyriazis and Zouboulakis, </w:t>
      </w:r>
      <w:r w:rsidR="006C6567" w:rsidRPr="657A84DE">
        <w:rPr>
          <w:rFonts w:ascii="Times New Roman" w:eastAsia="Times New Roman" w:hAnsi="Times New Roman" w:cs="Times New Roman"/>
        </w:rPr>
        <w:t>2004, p.128</w:t>
      </w:r>
    </w:p>
  </w:footnote>
  <w:footnote w:id="21">
    <w:p w14:paraId="5F038520" w14:textId="2A74A5BD" w:rsidR="657A84DE" w:rsidRDefault="657A84DE"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Lendering, 2018</w:t>
      </w:r>
    </w:p>
  </w:footnote>
  <w:footnote w:id="22">
    <w:p w14:paraId="7A3BEDAD" w14:textId="2CA1F60A" w:rsidR="657A84DE" w:rsidRDefault="657A84DE"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Kyriazis and Zouboulakis, 2004, p.117</w:t>
      </w:r>
    </w:p>
  </w:footnote>
  <w:footnote w:id="23">
    <w:p w14:paraId="52237751" w14:textId="0D3BA331" w:rsidR="0D9CBA87" w:rsidRDefault="0D9CBA87" w:rsidP="0D9CBA87">
      <w:pPr>
        <w:pStyle w:val="FootnoteText"/>
      </w:pPr>
      <w:r w:rsidRPr="0D9CBA87">
        <w:rPr>
          <w:rStyle w:val="FootnoteReference"/>
          <w:rFonts w:ascii="Times New Roman" w:eastAsia="Times New Roman" w:hAnsi="Times New Roman" w:cs="Times New Roman"/>
        </w:rPr>
        <w:footnoteRef/>
      </w:r>
      <w:r w:rsidRPr="0D9CBA87">
        <w:rPr>
          <w:rFonts w:ascii="Times New Roman" w:eastAsia="Times New Roman" w:hAnsi="Times New Roman" w:cs="Times New Roman"/>
        </w:rPr>
        <w:t xml:space="preserve"> Kyriazis and Zouboulakis, 2004, p.123</w:t>
      </w:r>
    </w:p>
  </w:footnote>
  <w:footnote w:id="24">
    <w:p w14:paraId="56E69349" w14:textId="44684427" w:rsidR="0D9CBA87" w:rsidRDefault="0D9CBA87" w:rsidP="0D9CBA87">
      <w:pPr>
        <w:pStyle w:val="FootnoteText"/>
      </w:pPr>
      <w:r w:rsidRPr="0D9CBA87">
        <w:rPr>
          <w:rStyle w:val="FootnoteReference"/>
          <w:rFonts w:ascii="Times New Roman" w:eastAsia="Times New Roman" w:hAnsi="Times New Roman" w:cs="Times New Roman"/>
        </w:rPr>
        <w:footnoteRef/>
      </w:r>
      <w:r w:rsidRPr="0D9CBA87">
        <w:rPr>
          <w:rFonts w:ascii="Times New Roman" w:eastAsia="Times New Roman" w:hAnsi="Times New Roman" w:cs="Times New Roman"/>
        </w:rPr>
        <w:t xml:space="preserve"> Kyriazis and </w:t>
      </w:r>
      <w:r w:rsidR="00FB7706" w:rsidRPr="0D9CBA87">
        <w:rPr>
          <w:rFonts w:ascii="Times New Roman" w:eastAsia="Times New Roman" w:hAnsi="Times New Roman" w:cs="Times New Roman"/>
        </w:rPr>
        <w:t>Zouboulakis</w:t>
      </w:r>
      <w:r w:rsidRPr="0D9CBA87">
        <w:rPr>
          <w:rFonts w:ascii="Times New Roman" w:eastAsia="Times New Roman" w:hAnsi="Times New Roman" w:cs="Times New Roman"/>
        </w:rPr>
        <w:t>, 2004, p.122</w:t>
      </w:r>
    </w:p>
  </w:footnote>
  <w:footnote w:id="25">
    <w:p w14:paraId="3F119C39" w14:textId="01A6DAC4" w:rsidR="0D9CBA87" w:rsidRDefault="0D9CBA87" w:rsidP="0D9CBA87">
      <w:pPr>
        <w:pStyle w:val="FootnoteText"/>
      </w:pPr>
      <w:r w:rsidRPr="0D9CBA87">
        <w:rPr>
          <w:rStyle w:val="FootnoteReference"/>
          <w:rFonts w:ascii="Times New Roman" w:eastAsia="Times New Roman" w:hAnsi="Times New Roman" w:cs="Times New Roman"/>
        </w:rPr>
        <w:footnoteRef/>
      </w:r>
      <w:r w:rsidRPr="0D9CBA87">
        <w:rPr>
          <w:rFonts w:ascii="Times New Roman" w:eastAsia="Times New Roman" w:hAnsi="Times New Roman" w:cs="Times New Roman"/>
        </w:rPr>
        <w:t xml:space="preserve"> Kyriazis and Zouboulakis, 2004, p.122</w:t>
      </w:r>
    </w:p>
  </w:footnote>
  <w:footnote w:id="26">
    <w:p w14:paraId="154E3768" w14:textId="28DB9872" w:rsidR="0D9CBA87" w:rsidRDefault="0D9CBA87" w:rsidP="0D9CBA87">
      <w:pPr>
        <w:pStyle w:val="FootnoteText"/>
      </w:pPr>
      <w:r w:rsidRPr="0D9CBA87">
        <w:rPr>
          <w:rStyle w:val="FootnoteReference"/>
          <w:rFonts w:ascii="Times New Roman" w:eastAsia="Times New Roman" w:hAnsi="Times New Roman" w:cs="Times New Roman"/>
        </w:rPr>
        <w:footnoteRef/>
      </w:r>
      <w:r w:rsidR="00FB7706">
        <w:rPr>
          <w:rFonts w:ascii="Times New Roman" w:eastAsia="Times New Roman" w:hAnsi="Times New Roman" w:cs="Times New Roman"/>
        </w:rPr>
        <w:t xml:space="preserve"> Kyriaz</w:t>
      </w:r>
      <w:r w:rsidRPr="0D9CBA87">
        <w:rPr>
          <w:rFonts w:ascii="Times New Roman" w:eastAsia="Times New Roman" w:hAnsi="Times New Roman" w:cs="Times New Roman"/>
        </w:rPr>
        <w:t>is and Zouboulakis, 2004, p.122</w:t>
      </w:r>
    </w:p>
  </w:footnote>
  <w:footnote w:id="27">
    <w:p w14:paraId="6E36598D" w14:textId="40E7D94C" w:rsidR="0D9CBA87" w:rsidRDefault="0D9CBA87" w:rsidP="0D9CBA87">
      <w:pPr>
        <w:pStyle w:val="FootnoteText"/>
      </w:pPr>
      <w:r w:rsidRPr="0D9CBA87">
        <w:rPr>
          <w:rStyle w:val="FootnoteReference"/>
          <w:rFonts w:ascii="Times New Roman" w:eastAsia="Times New Roman" w:hAnsi="Times New Roman" w:cs="Times New Roman"/>
        </w:rPr>
        <w:footnoteRef/>
      </w:r>
      <w:r w:rsidRPr="0D9CBA87">
        <w:rPr>
          <w:rFonts w:ascii="Times New Roman" w:eastAsia="Times New Roman" w:hAnsi="Times New Roman" w:cs="Times New Roman"/>
        </w:rPr>
        <w:t xml:space="preserve"> Kyriazis and Zouboulakis, 2004, p.123</w:t>
      </w:r>
    </w:p>
  </w:footnote>
  <w:footnote w:id="28">
    <w:p w14:paraId="6366440B" w14:textId="0DF526B0" w:rsidR="657A84DE" w:rsidRDefault="657A84DE" w:rsidP="0D9CBA87">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Kyriazis and Zouboulakis, 2004, p.129</w:t>
      </w:r>
    </w:p>
  </w:footnote>
  <w:footnote w:id="29">
    <w:p w14:paraId="6FD99522" w14:textId="7572A02A" w:rsidR="00FC512F" w:rsidRPr="00A44ECE" w:rsidRDefault="00FC512F"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Pritchard, 2012, p.18</w:t>
      </w:r>
    </w:p>
  </w:footnote>
  <w:footnote w:id="30">
    <w:p w14:paraId="0530AD0A" w14:textId="54A9771F" w:rsidR="0D9CBA87" w:rsidRDefault="0D9CBA87" w:rsidP="5AFAD010">
      <w:pPr>
        <w:pStyle w:val="FootnoteText"/>
      </w:pPr>
      <w:r w:rsidRPr="5AFAD010">
        <w:rPr>
          <w:rStyle w:val="FootnoteReference"/>
          <w:rFonts w:ascii="Times New Roman" w:eastAsia="Times New Roman" w:hAnsi="Times New Roman" w:cs="Times New Roman"/>
        </w:rPr>
        <w:footnoteRef/>
      </w:r>
      <w:r w:rsidRPr="5AFAD010">
        <w:rPr>
          <w:rFonts w:ascii="Times New Roman" w:eastAsia="Times New Roman" w:hAnsi="Times New Roman" w:cs="Times New Roman"/>
        </w:rPr>
        <w:t xml:space="preserve"> Pritchard, 2012, p.57</w:t>
      </w:r>
    </w:p>
  </w:footnote>
  <w:footnote w:id="31">
    <w:p w14:paraId="3D99E995" w14:textId="789305D8" w:rsidR="00421BA1" w:rsidRPr="00A44ECE" w:rsidRDefault="00421BA1"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Pritchard, 2012, p.18</w:t>
      </w:r>
    </w:p>
  </w:footnote>
  <w:footnote w:id="32">
    <w:p w14:paraId="373667A6" w14:textId="44E57654" w:rsidR="00421BA1" w:rsidRPr="00A44ECE" w:rsidRDefault="00421BA1"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Pritchard, 2012, p.55</w:t>
      </w:r>
    </w:p>
  </w:footnote>
  <w:footnote w:id="33">
    <w:p w14:paraId="3D21EA27" w14:textId="4A5ED755" w:rsidR="0D9CBA87" w:rsidRDefault="0D9CBA87" w:rsidP="5AFAD010">
      <w:pPr>
        <w:pStyle w:val="FootnoteText"/>
      </w:pPr>
      <w:r w:rsidRPr="0D9CBA87">
        <w:rPr>
          <w:rStyle w:val="FootnoteReference"/>
          <w:rFonts w:ascii="Times New Roman" w:eastAsia="Times New Roman" w:hAnsi="Times New Roman" w:cs="Times New Roman"/>
        </w:rPr>
        <w:footnoteRef/>
      </w:r>
      <w:r w:rsidRPr="0D9CBA87">
        <w:rPr>
          <w:rFonts w:ascii="Times New Roman" w:eastAsia="Times New Roman" w:hAnsi="Times New Roman" w:cs="Times New Roman"/>
        </w:rPr>
        <w:t xml:space="preserve"> Pritchard, 2012, p.19</w:t>
      </w:r>
    </w:p>
  </w:footnote>
  <w:footnote w:id="34">
    <w:p w14:paraId="52154333" w14:textId="4C895DCC" w:rsidR="00421BA1" w:rsidRPr="00A44ECE" w:rsidRDefault="00421BA1"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Pritchard, 2012, p.</w:t>
      </w:r>
      <w:r w:rsidR="00A44ECE" w:rsidRPr="657A84DE">
        <w:rPr>
          <w:rFonts w:ascii="Times New Roman" w:eastAsia="Times New Roman" w:hAnsi="Times New Roman" w:cs="Times New Roman"/>
        </w:rPr>
        <w:t>42</w:t>
      </w:r>
    </w:p>
  </w:footnote>
  <w:footnote w:id="35">
    <w:p w14:paraId="1C23EF5C" w14:textId="07D5D42F" w:rsidR="0D9CBA87" w:rsidRDefault="0D9CBA87" w:rsidP="5AFAD010">
      <w:pPr>
        <w:pStyle w:val="FootnoteText"/>
      </w:pPr>
      <w:r w:rsidRPr="5AFAD010">
        <w:rPr>
          <w:rStyle w:val="FootnoteReference"/>
          <w:rFonts w:ascii="Times New Roman" w:eastAsia="Times New Roman" w:hAnsi="Times New Roman" w:cs="Times New Roman"/>
        </w:rPr>
        <w:footnoteRef/>
      </w:r>
      <w:r w:rsidRPr="5AFAD010">
        <w:rPr>
          <w:rFonts w:ascii="Times New Roman" w:eastAsia="Times New Roman" w:hAnsi="Times New Roman" w:cs="Times New Roman"/>
        </w:rPr>
        <w:t xml:space="preserve"> Pritchard, 2012, p.47</w:t>
      </w:r>
    </w:p>
  </w:footnote>
  <w:footnote w:id="36">
    <w:p w14:paraId="31C70312" w14:textId="6E68C11D" w:rsidR="0D9CBA87" w:rsidRDefault="0D9CBA87" w:rsidP="5AFAD010">
      <w:pPr>
        <w:pStyle w:val="FootnoteText"/>
      </w:pPr>
      <w:r w:rsidRPr="5AFAD010">
        <w:rPr>
          <w:rStyle w:val="FootnoteReference"/>
          <w:rFonts w:ascii="Times New Roman" w:eastAsia="Times New Roman" w:hAnsi="Times New Roman" w:cs="Times New Roman"/>
        </w:rPr>
        <w:footnoteRef/>
      </w:r>
      <w:r w:rsidRPr="5AFAD010">
        <w:rPr>
          <w:rFonts w:ascii="Times New Roman" w:eastAsia="Times New Roman" w:hAnsi="Times New Roman" w:cs="Times New Roman"/>
        </w:rPr>
        <w:t xml:space="preserve"> Pritchard, 2012, p.44</w:t>
      </w:r>
    </w:p>
  </w:footnote>
  <w:footnote w:id="37">
    <w:p w14:paraId="17F1CA89" w14:textId="2AAAE850" w:rsidR="0D9CBA87" w:rsidRDefault="0D9CBA87" w:rsidP="5AFAD010">
      <w:pPr>
        <w:pStyle w:val="FootnoteText"/>
      </w:pPr>
      <w:r w:rsidRPr="5AFAD010">
        <w:rPr>
          <w:rStyle w:val="FootnoteReference"/>
          <w:rFonts w:ascii="Times New Roman" w:eastAsia="Times New Roman" w:hAnsi="Times New Roman" w:cs="Times New Roman"/>
        </w:rPr>
        <w:footnoteRef/>
      </w:r>
      <w:r w:rsidRPr="5AFAD010">
        <w:rPr>
          <w:rFonts w:ascii="Times New Roman" w:eastAsia="Times New Roman" w:hAnsi="Times New Roman" w:cs="Times New Roman"/>
        </w:rPr>
        <w:t xml:space="preserve"> Pritchar</w:t>
      </w:r>
      <w:r w:rsidR="00FB7706">
        <w:rPr>
          <w:rFonts w:ascii="Times New Roman" w:eastAsia="Times New Roman" w:hAnsi="Times New Roman" w:cs="Times New Roman"/>
        </w:rPr>
        <w:t>d</w:t>
      </w:r>
      <w:r w:rsidRPr="5AFAD010">
        <w:rPr>
          <w:rFonts w:ascii="Times New Roman" w:eastAsia="Times New Roman" w:hAnsi="Times New Roman" w:cs="Times New Roman"/>
        </w:rPr>
        <w:t>, 2012, p.44</w:t>
      </w:r>
    </w:p>
  </w:footnote>
  <w:footnote w:id="38">
    <w:p w14:paraId="2BACDB53" w14:textId="38F8F0BD" w:rsidR="0D9CBA87" w:rsidRDefault="0D9CBA87" w:rsidP="5AFAD010">
      <w:pPr>
        <w:pStyle w:val="FootnoteText"/>
      </w:pPr>
      <w:r w:rsidRPr="5AFAD010">
        <w:rPr>
          <w:rStyle w:val="FootnoteReference"/>
          <w:rFonts w:ascii="Times New Roman" w:eastAsia="Times New Roman" w:hAnsi="Times New Roman" w:cs="Times New Roman"/>
        </w:rPr>
        <w:footnoteRef/>
      </w:r>
      <w:r w:rsidRPr="5AFAD010">
        <w:rPr>
          <w:rFonts w:ascii="Times New Roman" w:eastAsia="Times New Roman" w:hAnsi="Times New Roman" w:cs="Times New Roman"/>
        </w:rPr>
        <w:t xml:space="preserve"> Pritchard, 2012, p.47</w:t>
      </w:r>
    </w:p>
  </w:footnote>
  <w:footnote w:id="39">
    <w:p w14:paraId="7032F635" w14:textId="0F51A510" w:rsidR="0D9CBA87" w:rsidRDefault="0D9CBA87" w:rsidP="5AFAD010">
      <w:pPr>
        <w:pStyle w:val="FootnoteText"/>
      </w:pPr>
      <w:r w:rsidRPr="5AFAD010">
        <w:rPr>
          <w:rStyle w:val="FootnoteReference"/>
          <w:rFonts w:ascii="Times New Roman" w:eastAsia="Times New Roman" w:hAnsi="Times New Roman" w:cs="Times New Roman"/>
        </w:rPr>
        <w:footnoteRef/>
      </w:r>
      <w:r w:rsidRPr="5AFAD010">
        <w:rPr>
          <w:rFonts w:ascii="Times New Roman" w:eastAsia="Times New Roman" w:hAnsi="Times New Roman" w:cs="Times New Roman"/>
        </w:rPr>
        <w:t xml:space="preserve"> Pritchard, 2012, p.47</w:t>
      </w:r>
    </w:p>
  </w:footnote>
  <w:footnote w:id="40">
    <w:p w14:paraId="05CC591F" w14:textId="341E00C5" w:rsidR="5AFAD010" w:rsidRDefault="5AFAD010" w:rsidP="5AFAD010">
      <w:pPr>
        <w:pStyle w:val="FootnoteText"/>
      </w:pPr>
      <w:r w:rsidRPr="5AFAD010">
        <w:rPr>
          <w:rStyle w:val="FootnoteReference"/>
          <w:rFonts w:ascii="Times New Roman" w:eastAsia="Times New Roman" w:hAnsi="Times New Roman" w:cs="Times New Roman"/>
        </w:rPr>
        <w:footnoteRef/>
      </w:r>
      <w:r w:rsidRPr="5AFAD010">
        <w:rPr>
          <w:rFonts w:ascii="Times New Roman" w:eastAsia="Times New Roman" w:hAnsi="Times New Roman" w:cs="Times New Roman"/>
        </w:rPr>
        <w:t xml:space="preserve"> Pritchard, 2015, p.50</w:t>
      </w:r>
    </w:p>
  </w:footnote>
  <w:footnote w:id="41">
    <w:p w14:paraId="0509438D" w14:textId="5AC3D4B7" w:rsidR="00FC512F" w:rsidRPr="00A44ECE" w:rsidRDefault="00FC512F"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Pritchard, 201</w:t>
      </w:r>
      <w:r w:rsidR="00A44ECE" w:rsidRPr="657A84DE">
        <w:rPr>
          <w:rFonts w:ascii="Times New Roman" w:eastAsia="Times New Roman" w:hAnsi="Times New Roman" w:cs="Times New Roman"/>
        </w:rPr>
        <w:t>5</w:t>
      </w:r>
      <w:r w:rsidRPr="657A84DE">
        <w:rPr>
          <w:rFonts w:ascii="Times New Roman" w:eastAsia="Times New Roman" w:hAnsi="Times New Roman" w:cs="Times New Roman"/>
        </w:rPr>
        <w:t>, p.</w:t>
      </w:r>
      <w:r w:rsidR="00FC2636" w:rsidRPr="657A84DE">
        <w:rPr>
          <w:rFonts w:ascii="Times New Roman" w:eastAsia="Times New Roman" w:hAnsi="Times New Roman" w:cs="Times New Roman"/>
        </w:rPr>
        <w:t>51</w:t>
      </w:r>
    </w:p>
  </w:footnote>
  <w:footnote w:id="42">
    <w:p w14:paraId="0325A08A" w14:textId="75FC821D" w:rsidR="00FC2636" w:rsidRPr="00A44ECE" w:rsidRDefault="00FC2636"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Pritchard, 201</w:t>
      </w:r>
      <w:r w:rsidR="00A44ECE" w:rsidRPr="657A84DE">
        <w:rPr>
          <w:rFonts w:ascii="Times New Roman" w:eastAsia="Times New Roman" w:hAnsi="Times New Roman" w:cs="Times New Roman"/>
        </w:rPr>
        <w:t>5</w:t>
      </w:r>
      <w:r w:rsidRPr="657A84DE">
        <w:rPr>
          <w:rFonts w:ascii="Times New Roman" w:eastAsia="Times New Roman" w:hAnsi="Times New Roman" w:cs="Times New Roman"/>
        </w:rPr>
        <w:t>, p.48</w:t>
      </w:r>
    </w:p>
  </w:footnote>
  <w:footnote w:id="43">
    <w:p w14:paraId="3E49AB8D" w14:textId="4D9E2739" w:rsidR="0D9CBA87" w:rsidRDefault="0D9CBA87" w:rsidP="5AFAD010">
      <w:pPr>
        <w:pStyle w:val="FootnoteText"/>
      </w:pPr>
      <w:r w:rsidRPr="5AFAD010">
        <w:rPr>
          <w:rStyle w:val="FootnoteReference"/>
          <w:rFonts w:ascii="Times New Roman" w:eastAsia="Times New Roman" w:hAnsi="Times New Roman" w:cs="Times New Roman"/>
        </w:rPr>
        <w:footnoteRef/>
      </w:r>
      <w:r w:rsidRPr="5AFAD010">
        <w:rPr>
          <w:rFonts w:ascii="Times New Roman" w:eastAsia="Times New Roman" w:hAnsi="Times New Roman" w:cs="Times New Roman"/>
        </w:rPr>
        <w:t xml:space="preserve"> Pritchard, 2015, p.48</w:t>
      </w:r>
    </w:p>
  </w:footnote>
  <w:footnote w:id="44">
    <w:p w14:paraId="7DBA99FF" w14:textId="2CD9B89F" w:rsidR="0D9CBA87" w:rsidRDefault="0D9CBA87" w:rsidP="5AFAD010">
      <w:pPr>
        <w:pStyle w:val="FootnoteText"/>
      </w:pPr>
      <w:r w:rsidRPr="5AFAD010">
        <w:rPr>
          <w:rStyle w:val="FootnoteReference"/>
          <w:rFonts w:ascii="Times New Roman" w:eastAsia="Times New Roman" w:hAnsi="Times New Roman" w:cs="Times New Roman"/>
        </w:rPr>
        <w:footnoteRef/>
      </w:r>
      <w:r w:rsidRPr="5AFAD010">
        <w:rPr>
          <w:rFonts w:ascii="Times New Roman" w:eastAsia="Times New Roman" w:hAnsi="Times New Roman" w:cs="Times New Roman"/>
        </w:rPr>
        <w:t xml:space="preserve"> Pritchard, 2015, p.50</w:t>
      </w:r>
    </w:p>
  </w:footnote>
  <w:footnote w:id="45">
    <w:p w14:paraId="2A5C408D" w14:textId="0FED77FB" w:rsidR="00FC2636" w:rsidRPr="00A44ECE" w:rsidRDefault="00FC2636"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Pritchard, 201</w:t>
      </w:r>
      <w:r w:rsidR="00A44ECE" w:rsidRPr="657A84DE">
        <w:rPr>
          <w:rFonts w:ascii="Times New Roman" w:eastAsia="Times New Roman" w:hAnsi="Times New Roman" w:cs="Times New Roman"/>
        </w:rPr>
        <w:t>5</w:t>
      </w:r>
      <w:r w:rsidRPr="657A84DE">
        <w:rPr>
          <w:rFonts w:ascii="Times New Roman" w:eastAsia="Times New Roman" w:hAnsi="Times New Roman" w:cs="Times New Roman"/>
        </w:rPr>
        <w:t>, p.</w:t>
      </w:r>
      <w:r w:rsidR="00AE7C61" w:rsidRPr="657A84DE">
        <w:rPr>
          <w:rFonts w:ascii="Times New Roman" w:eastAsia="Times New Roman" w:hAnsi="Times New Roman" w:cs="Times New Roman"/>
        </w:rPr>
        <w:t>49</w:t>
      </w:r>
    </w:p>
  </w:footnote>
  <w:footnote w:id="46">
    <w:p w14:paraId="5CC7C375" w14:textId="104CDC0D" w:rsidR="00AE7C61" w:rsidRDefault="00AE7C61"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Pritchard, 201</w:t>
      </w:r>
      <w:r w:rsidR="00A44ECE" w:rsidRPr="657A84DE">
        <w:rPr>
          <w:rFonts w:ascii="Times New Roman" w:eastAsia="Times New Roman" w:hAnsi="Times New Roman" w:cs="Times New Roman"/>
        </w:rPr>
        <w:t>5</w:t>
      </w:r>
      <w:r w:rsidRPr="657A84DE">
        <w:rPr>
          <w:rFonts w:ascii="Times New Roman" w:eastAsia="Times New Roman" w:hAnsi="Times New Roman" w:cs="Times New Roman"/>
        </w:rPr>
        <w:t>, p.52</w:t>
      </w:r>
    </w:p>
  </w:footnote>
  <w:footnote w:id="47">
    <w:p w14:paraId="51F33DFC" w14:textId="560D63F6" w:rsidR="5AFAD010" w:rsidRDefault="5AFAD010" w:rsidP="5AFAD010">
      <w:pPr>
        <w:pStyle w:val="FootnoteText"/>
      </w:pPr>
      <w:r w:rsidRPr="5AFAD010">
        <w:rPr>
          <w:rStyle w:val="FootnoteReference"/>
          <w:rFonts w:ascii="Times New Roman" w:eastAsia="Times New Roman" w:hAnsi="Times New Roman" w:cs="Times New Roman"/>
        </w:rPr>
        <w:footnoteRef/>
      </w:r>
      <w:r w:rsidRPr="5AFAD010">
        <w:rPr>
          <w:rFonts w:ascii="Times New Roman" w:eastAsia="Times New Roman" w:hAnsi="Times New Roman" w:cs="Times New Roman"/>
        </w:rPr>
        <w:t xml:space="preserve"> Kallet, 1999, p.223</w:t>
      </w:r>
    </w:p>
  </w:footnote>
  <w:footnote w:id="48">
    <w:p w14:paraId="3767CD92" w14:textId="03B967BD" w:rsidR="00E30A3C" w:rsidRPr="00611E13" w:rsidRDefault="00E30A3C"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Kallet, 1999, p.228</w:t>
      </w:r>
    </w:p>
  </w:footnote>
  <w:footnote w:id="49">
    <w:p w14:paraId="2FC25B86" w14:textId="61F3DFCA" w:rsidR="00696210" w:rsidRDefault="00696210">
      <w:pPr>
        <w:pStyle w:val="FootnoteText"/>
      </w:pPr>
      <w:r>
        <w:rPr>
          <w:rStyle w:val="FootnoteReference"/>
        </w:rPr>
        <w:footnoteRef/>
      </w:r>
      <w:r>
        <w:t xml:space="preserve"> Van Wees, 2004, p.239</w:t>
      </w:r>
    </w:p>
  </w:footnote>
  <w:footnote w:id="50">
    <w:p w14:paraId="2221D5AB" w14:textId="21FE8167" w:rsidR="00696210" w:rsidRDefault="00696210">
      <w:pPr>
        <w:pStyle w:val="FootnoteText"/>
      </w:pPr>
      <w:r>
        <w:rPr>
          <w:rStyle w:val="FootnoteReference"/>
        </w:rPr>
        <w:footnoteRef/>
      </w:r>
      <w:r>
        <w:t xml:space="preserve"> Van Wees, 2004, p.239</w:t>
      </w:r>
    </w:p>
  </w:footnote>
  <w:footnote w:id="51">
    <w:p w14:paraId="7E7E23B6" w14:textId="23156D7D" w:rsidR="00E30A3C" w:rsidRPr="00611E13" w:rsidRDefault="00E30A3C"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Kallet, 1999, p.</w:t>
      </w:r>
      <w:r w:rsidR="00160400" w:rsidRPr="657A84DE">
        <w:rPr>
          <w:rFonts w:ascii="Times New Roman" w:eastAsia="Times New Roman" w:hAnsi="Times New Roman" w:cs="Times New Roman"/>
        </w:rPr>
        <w:t>238</w:t>
      </w:r>
    </w:p>
  </w:footnote>
  <w:footnote w:id="52">
    <w:p w14:paraId="42286D64" w14:textId="67F1AE5E" w:rsidR="5AFAD010" w:rsidRPr="003A3422" w:rsidRDefault="5AFAD010" w:rsidP="5AFAD010">
      <w:pPr>
        <w:pStyle w:val="FootnoteText"/>
        <w:rPr>
          <w:rFonts w:ascii="Times New Roman" w:hAnsi="Times New Roman" w:cs="Times New Roman"/>
        </w:rPr>
      </w:pPr>
      <w:r w:rsidRPr="003A3422">
        <w:rPr>
          <w:rStyle w:val="FootnoteReference"/>
          <w:rFonts w:ascii="Times New Roman" w:hAnsi="Times New Roman" w:cs="Times New Roman"/>
        </w:rPr>
        <w:footnoteRef/>
      </w:r>
      <w:r w:rsidRPr="003A3422">
        <w:rPr>
          <w:rFonts w:ascii="Times New Roman" w:hAnsi="Times New Roman" w:cs="Times New Roman"/>
        </w:rPr>
        <w:t xml:space="preserve"> Kallet, 1999, p.229</w:t>
      </w:r>
    </w:p>
  </w:footnote>
  <w:footnote w:id="53">
    <w:p w14:paraId="49987399" w14:textId="07123C7F" w:rsidR="5AFAD010" w:rsidRPr="003A3422" w:rsidRDefault="5AFAD010" w:rsidP="5AFAD010">
      <w:pPr>
        <w:pStyle w:val="FootnoteText"/>
        <w:rPr>
          <w:rFonts w:ascii="Times New Roman" w:hAnsi="Times New Roman" w:cs="Times New Roman"/>
        </w:rPr>
      </w:pPr>
      <w:r w:rsidRPr="003A3422">
        <w:rPr>
          <w:rStyle w:val="FootnoteReference"/>
          <w:rFonts w:ascii="Times New Roman" w:hAnsi="Times New Roman" w:cs="Times New Roman"/>
        </w:rPr>
        <w:footnoteRef/>
      </w:r>
      <w:r w:rsidRPr="003A3422">
        <w:rPr>
          <w:rFonts w:ascii="Times New Roman" w:hAnsi="Times New Roman" w:cs="Times New Roman"/>
        </w:rPr>
        <w:t xml:space="preserve"> Kallet, 1999, p.229</w:t>
      </w:r>
    </w:p>
  </w:footnote>
  <w:footnote w:id="54">
    <w:p w14:paraId="77B19ECB" w14:textId="6A2FAF9C" w:rsidR="5AFAD010" w:rsidRPr="003A3422" w:rsidRDefault="5AFAD010" w:rsidP="5AFAD010">
      <w:pPr>
        <w:pStyle w:val="FootnoteText"/>
        <w:rPr>
          <w:rFonts w:ascii="Times New Roman" w:hAnsi="Times New Roman" w:cs="Times New Roman"/>
        </w:rPr>
      </w:pPr>
      <w:r w:rsidRPr="003A3422">
        <w:rPr>
          <w:rStyle w:val="FootnoteReference"/>
          <w:rFonts w:ascii="Times New Roman" w:hAnsi="Times New Roman" w:cs="Times New Roman"/>
        </w:rPr>
        <w:footnoteRef/>
      </w:r>
      <w:r w:rsidRPr="003A3422">
        <w:rPr>
          <w:rFonts w:ascii="Times New Roman" w:hAnsi="Times New Roman" w:cs="Times New Roman"/>
        </w:rPr>
        <w:t xml:space="preserve"> Blamire, 2001, p.99</w:t>
      </w:r>
    </w:p>
  </w:footnote>
  <w:footnote w:id="55">
    <w:p w14:paraId="04A73405" w14:textId="7B4C81CC" w:rsidR="5AFAD010" w:rsidRPr="003A3422" w:rsidRDefault="5AFAD010" w:rsidP="5AFAD010">
      <w:pPr>
        <w:pStyle w:val="FootnoteText"/>
        <w:rPr>
          <w:rFonts w:ascii="Times New Roman" w:hAnsi="Times New Roman" w:cs="Times New Roman"/>
        </w:rPr>
      </w:pPr>
      <w:r w:rsidRPr="003A3422">
        <w:rPr>
          <w:rStyle w:val="FootnoteReference"/>
          <w:rFonts w:ascii="Times New Roman" w:hAnsi="Times New Roman" w:cs="Times New Roman"/>
        </w:rPr>
        <w:footnoteRef/>
      </w:r>
      <w:r w:rsidRPr="003A3422">
        <w:rPr>
          <w:rFonts w:ascii="Times New Roman" w:hAnsi="Times New Roman" w:cs="Times New Roman"/>
        </w:rPr>
        <w:t xml:space="preserve"> Blamire, 2001, P.99</w:t>
      </w:r>
    </w:p>
  </w:footnote>
  <w:footnote w:id="56">
    <w:p w14:paraId="37774B53" w14:textId="13B86D6B" w:rsidR="5AFAD010" w:rsidRPr="003A3422" w:rsidRDefault="5AFAD010" w:rsidP="5AFAD010">
      <w:pPr>
        <w:pStyle w:val="FootnoteText"/>
        <w:rPr>
          <w:rFonts w:ascii="Times New Roman" w:hAnsi="Times New Roman" w:cs="Times New Roman"/>
        </w:rPr>
      </w:pPr>
      <w:r w:rsidRPr="003A3422">
        <w:rPr>
          <w:rStyle w:val="FootnoteReference"/>
          <w:rFonts w:ascii="Times New Roman" w:hAnsi="Times New Roman" w:cs="Times New Roman"/>
        </w:rPr>
        <w:footnoteRef/>
      </w:r>
      <w:r w:rsidRPr="003A3422">
        <w:rPr>
          <w:rFonts w:ascii="Times New Roman" w:hAnsi="Times New Roman" w:cs="Times New Roman"/>
        </w:rPr>
        <w:t xml:space="preserve"> Blamire, 2001, p.99</w:t>
      </w:r>
    </w:p>
  </w:footnote>
  <w:footnote w:id="57">
    <w:p w14:paraId="7F56FAFD" w14:textId="061A3451" w:rsidR="5AFAD010" w:rsidRPr="003A3422" w:rsidRDefault="5AFAD010" w:rsidP="5AFAD010">
      <w:pPr>
        <w:pStyle w:val="FootnoteText"/>
        <w:rPr>
          <w:rFonts w:ascii="Times New Roman" w:hAnsi="Times New Roman" w:cs="Times New Roman"/>
        </w:rPr>
      </w:pPr>
      <w:r w:rsidRPr="003A3422">
        <w:rPr>
          <w:rStyle w:val="FootnoteReference"/>
          <w:rFonts w:ascii="Times New Roman" w:hAnsi="Times New Roman" w:cs="Times New Roman"/>
        </w:rPr>
        <w:footnoteRef/>
      </w:r>
      <w:r w:rsidRPr="003A3422">
        <w:rPr>
          <w:rFonts w:ascii="Times New Roman" w:hAnsi="Times New Roman" w:cs="Times New Roman"/>
        </w:rPr>
        <w:t xml:space="preserve"> Blamire, 2001, p.109</w:t>
      </w:r>
    </w:p>
  </w:footnote>
  <w:footnote w:id="58">
    <w:p w14:paraId="5E1E1715" w14:textId="6B72E32F" w:rsidR="5AFAD010" w:rsidRPr="003A3422" w:rsidRDefault="5AFAD010" w:rsidP="5AFAD010">
      <w:pPr>
        <w:pStyle w:val="FootnoteText"/>
        <w:rPr>
          <w:rFonts w:ascii="Times New Roman" w:hAnsi="Times New Roman" w:cs="Times New Roman"/>
        </w:rPr>
      </w:pPr>
      <w:r w:rsidRPr="003A3422">
        <w:rPr>
          <w:rStyle w:val="FootnoteReference"/>
          <w:rFonts w:ascii="Times New Roman" w:hAnsi="Times New Roman" w:cs="Times New Roman"/>
        </w:rPr>
        <w:footnoteRef/>
      </w:r>
      <w:r w:rsidRPr="003A3422">
        <w:rPr>
          <w:rFonts w:ascii="Times New Roman" w:hAnsi="Times New Roman" w:cs="Times New Roman"/>
        </w:rPr>
        <w:t xml:space="preserve"> Blamire, 2001, p.109</w:t>
      </w:r>
    </w:p>
  </w:footnote>
  <w:footnote w:id="59">
    <w:p w14:paraId="1BDBA7F7" w14:textId="559AFA90" w:rsidR="003A3422" w:rsidRDefault="003A3422">
      <w:pPr>
        <w:pStyle w:val="FootnoteText"/>
      </w:pPr>
      <w:r w:rsidRPr="003A3422">
        <w:rPr>
          <w:rStyle w:val="FootnoteReference"/>
          <w:rFonts w:ascii="Times New Roman" w:hAnsi="Times New Roman" w:cs="Times New Roman"/>
        </w:rPr>
        <w:footnoteRef/>
      </w:r>
      <w:r w:rsidRPr="003A3422">
        <w:rPr>
          <w:rFonts w:ascii="Times New Roman" w:hAnsi="Times New Roman" w:cs="Times New Roman"/>
        </w:rPr>
        <w:t xml:space="preserve"> Blamire, 2001, p.109</w:t>
      </w:r>
    </w:p>
  </w:footnote>
  <w:footnote w:id="60">
    <w:p w14:paraId="5BA163F3" w14:textId="095B27C4" w:rsidR="003A3422" w:rsidRDefault="003A3422">
      <w:pPr>
        <w:pStyle w:val="FootnoteText"/>
      </w:pPr>
      <w:r>
        <w:rPr>
          <w:rStyle w:val="FootnoteReference"/>
        </w:rPr>
        <w:footnoteRef/>
      </w:r>
      <w:r>
        <w:t xml:space="preserve"> Blamire, 2001, p.101</w:t>
      </w:r>
    </w:p>
  </w:footnote>
  <w:footnote w:id="61">
    <w:p w14:paraId="38846933" w14:textId="2F11EDAF" w:rsidR="003A3422" w:rsidRDefault="003A3422">
      <w:pPr>
        <w:pStyle w:val="FootnoteText"/>
      </w:pPr>
      <w:r>
        <w:rPr>
          <w:rStyle w:val="FootnoteReference"/>
        </w:rPr>
        <w:footnoteRef/>
      </w:r>
      <w:r>
        <w:t xml:space="preserve"> </w:t>
      </w:r>
      <w:r w:rsidR="00893EDE">
        <w:t>IG 13 52A</w:t>
      </w:r>
    </w:p>
    <w:p w14:paraId="7F1FA01C" w14:textId="23B2EA61" w:rsidR="00027BC6" w:rsidRDefault="00027BC6">
      <w:pPr>
        <w:pStyle w:val="FootnoteText"/>
      </w:pPr>
      <w:r>
        <w:t>IG 13 1453</w:t>
      </w:r>
    </w:p>
  </w:footnote>
  <w:footnote w:id="62">
    <w:p w14:paraId="44B080BE" w14:textId="4290D5FC" w:rsidR="00E30A3C" w:rsidRPr="00611E13" w:rsidRDefault="00E30A3C" w:rsidP="5AFAD010">
      <w:pPr>
        <w:pStyle w:val="FootnoteText"/>
        <w:rPr>
          <w:rFonts w:ascii="Times New Roman" w:hAnsi="Times New Roman" w:cs="Times New Roman"/>
        </w:rPr>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Gabrielsen</w:t>
      </w:r>
      <w:r w:rsidR="004408A9" w:rsidRPr="657A84DE">
        <w:rPr>
          <w:rFonts w:ascii="Times New Roman" w:eastAsia="Times New Roman" w:hAnsi="Times New Roman" w:cs="Times New Roman"/>
        </w:rPr>
        <w:t xml:space="preserve">, 2010, </w:t>
      </w:r>
      <w:r w:rsidR="00611E13" w:rsidRPr="657A84DE">
        <w:rPr>
          <w:rFonts w:ascii="Times New Roman" w:eastAsia="Times New Roman" w:hAnsi="Times New Roman" w:cs="Times New Roman"/>
        </w:rPr>
        <w:t>p.204</w:t>
      </w:r>
    </w:p>
  </w:footnote>
  <w:footnote w:id="63">
    <w:p w14:paraId="3B68D6CB" w14:textId="5AA17A70" w:rsidR="00E30A3C" w:rsidRDefault="00E30A3C" w:rsidP="657A84DE">
      <w:pPr>
        <w:pStyle w:val="FootnoteText"/>
      </w:pPr>
      <w:r w:rsidRPr="657A84DE">
        <w:rPr>
          <w:rStyle w:val="FootnoteReference"/>
          <w:rFonts w:ascii="Times New Roman" w:eastAsia="Times New Roman" w:hAnsi="Times New Roman" w:cs="Times New Roman"/>
        </w:rPr>
        <w:footnoteRef/>
      </w:r>
      <w:r w:rsidRPr="657A84DE">
        <w:rPr>
          <w:rFonts w:ascii="Times New Roman" w:eastAsia="Times New Roman" w:hAnsi="Times New Roman" w:cs="Times New Roman"/>
        </w:rPr>
        <w:t xml:space="preserve"> Gabrielsen</w:t>
      </w:r>
      <w:r w:rsidR="00611E13" w:rsidRPr="657A84DE">
        <w:rPr>
          <w:rFonts w:ascii="Times New Roman" w:eastAsia="Times New Roman" w:hAnsi="Times New Roman" w:cs="Times New Roman"/>
        </w:rPr>
        <w:t>, 2010, p.204</w:t>
      </w:r>
    </w:p>
  </w:footnote>
  <w:footnote w:id="64">
    <w:p w14:paraId="40BD2CC9" w14:textId="4B874C05" w:rsidR="003041E5" w:rsidRDefault="003041E5">
      <w:pPr>
        <w:pStyle w:val="FootnoteText"/>
      </w:pPr>
      <w:r>
        <w:rPr>
          <w:rStyle w:val="FootnoteReference"/>
        </w:rPr>
        <w:footnoteRef/>
      </w:r>
      <w:r>
        <w:t xml:space="preserve"> Gabrielsen, 2010, p.204</w:t>
      </w:r>
    </w:p>
  </w:footnote>
  <w:footnote w:id="65">
    <w:p w14:paraId="35B7C2B4" w14:textId="7A3C364A" w:rsidR="003041E5" w:rsidRDefault="003041E5">
      <w:pPr>
        <w:pStyle w:val="FootnoteText"/>
      </w:pPr>
      <w:r>
        <w:rPr>
          <w:rStyle w:val="FootnoteReference"/>
        </w:rPr>
        <w:footnoteRef/>
      </w:r>
      <w:r>
        <w:t xml:space="preserve"> Gabrielsen, 2010, p.204</w:t>
      </w:r>
    </w:p>
  </w:footnote>
  <w:footnote w:id="66">
    <w:p w14:paraId="541F1C14" w14:textId="0EF656C9" w:rsidR="003041E5" w:rsidRDefault="003041E5">
      <w:pPr>
        <w:pStyle w:val="FootnoteText"/>
      </w:pPr>
      <w:r>
        <w:rPr>
          <w:rStyle w:val="FootnoteReference"/>
        </w:rPr>
        <w:footnoteRef/>
      </w:r>
      <w:r>
        <w:t xml:space="preserve"> Gabrielsen, 2010, p.184</w:t>
      </w:r>
    </w:p>
  </w:footnote>
  <w:footnote w:id="67">
    <w:p w14:paraId="0D28899D" w14:textId="4670424E" w:rsidR="00C306C7" w:rsidRDefault="00C306C7">
      <w:pPr>
        <w:pStyle w:val="FootnoteText"/>
      </w:pPr>
      <w:r>
        <w:rPr>
          <w:rStyle w:val="FootnoteReference"/>
        </w:rPr>
        <w:footnoteRef/>
      </w:r>
      <w:r>
        <w:t xml:space="preserve"> Gabrielsen, 2010, p.191</w:t>
      </w:r>
    </w:p>
  </w:footnote>
  <w:footnote w:id="68">
    <w:p w14:paraId="30ACA32E" w14:textId="1984A85B" w:rsidR="00C306C7" w:rsidRDefault="00C306C7">
      <w:pPr>
        <w:pStyle w:val="FootnoteText"/>
      </w:pPr>
      <w:r>
        <w:rPr>
          <w:rStyle w:val="FootnoteReference"/>
        </w:rPr>
        <w:footnoteRef/>
      </w:r>
      <w:r>
        <w:t xml:space="preserve"> Gabrielsen, 2010, p.191</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5AFAD010" w14:paraId="725C123D" w14:textId="77777777" w:rsidTr="5AFAD010">
      <w:tc>
        <w:tcPr>
          <w:tcW w:w="3009" w:type="dxa"/>
        </w:tcPr>
        <w:p w14:paraId="264F03B1" w14:textId="153A16B0" w:rsidR="5AFAD010" w:rsidRDefault="5AFAD010" w:rsidP="5AFAD010">
          <w:pPr>
            <w:pStyle w:val="Header"/>
            <w:ind w:left="-115"/>
          </w:pPr>
          <w:r w:rsidRPr="5AFAD010">
            <w:rPr>
              <w:rFonts w:ascii="Times New Roman" w:eastAsia="Times New Roman" w:hAnsi="Times New Roman" w:cs="Times New Roman"/>
            </w:rPr>
            <w:t>Georgia Biggar</w:t>
          </w:r>
        </w:p>
      </w:tc>
      <w:tc>
        <w:tcPr>
          <w:tcW w:w="3009" w:type="dxa"/>
        </w:tcPr>
        <w:p w14:paraId="26BD1CF7" w14:textId="367D7694" w:rsidR="5AFAD010" w:rsidRDefault="5AFAD010" w:rsidP="5AFAD010">
          <w:pPr>
            <w:pStyle w:val="Header"/>
            <w:jc w:val="center"/>
          </w:pPr>
          <w:r w:rsidRPr="5AFAD010">
            <w:rPr>
              <w:rFonts w:ascii="Times New Roman" w:eastAsia="Times New Roman" w:hAnsi="Times New Roman" w:cs="Times New Roman"/>
            </w:rPr>
            <w:t>HPAH5044</w:t>
          </w:r>
        </w:p>
      </w:tc>
      <w:tc>
        <w:tcPr>
          <w:tcW w:w="3009" w:type="dxa"/>
        </w:tcPr>
        <w:p w14:paraId="1368125D" w14:textId="47C9D07B" w:rsidR="5AFAD010" w:rsidRDefault="5AFAD010" w:rsidP="5AFAD010">
          <w:pPr>
            <w:pStyle w:val="Header"/>
            <w:ind w:right="-115"/>
            <w:jc w:val="right"/>
          </w:pPr>
          <w:r w:rsidRPr="5AFAD010">
            <w:rPr>
              <w:rFonts w:ascii="Times New Roman" w:eastAsia="Times New Roman" w:hAnsi="Times New Roman" w:cs="Times New Roman"/>
            </w:rPr>
            <w:t>1703322</w:t>
          </w:r>
        </w:p>
      </w:tc>
    </w:tr>
  </w:tbl>
  <w:p w14:paraId="52795506" w14:textId="378CED9D" w:rsidR="5AFAD010" w:rsidRDefault="5AFAD010" w:rsidP="5AFAD0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3F9F"/>
    <w:rsid w:val="00007BC9"/>
    <w:rsid w:val="0002497B"/>
    <w:rsid w:val="00027BC6"/>
    <w:rsid w:val="00033EEE"/>
    <w:rsid w:val="00060832"/>
    <w:rsid w:val="00061362"/>
    <w:rsid w:val="00062172"/>
    <w:rsid w:val="00081F5A"/>
    <w:rsid w:val="00084262"/>
    <w:rsid w:val="000E54E9"/>
    <w:rsid w:val="001004DF"/>
    <w:rsid w:val="00136ACD"/>
    <w:rsid w:val="00141243"/>
    <w:rsid w:val="00157C38"/>
    <w:rsid w:val="00160400"/>
    <w:rsid w:val="00165492"/>
    <w:rsid w:val="00193F9F"/>
    <w:rsid w:val="00195202"/>
    <w:rsid w:val="001A710E"/>
    <w:rsid w:val="001B2E24"/>
    <w:rsid w:val="001E0954"/>
    <w:rsid w:val="002075D5"/>
    <w:rsid w:val="002218C6"/>
    <w:rsid w:val="00225B23"/>
    <w:rsid w:val="00245188"/>
    <w:rsid w:val="0026111E"/>
    <w:rsid w:val="002862C9"/>
    <w:rsid w:val="00287F48"/>
    <w:rsid w:val="0029152F"/>
    <w:rsid w:val="00291F3F"/>
    <w:rsid w:val="0029681A"/>
    <w:rsid w:val="002A47E3"/>
    <w:rsid w:val="002D620A"/>
    <w:rsid w:val="003041E5"/>
    <w:rsid w:val="003354E4"/>
    <w:rsid w:val="00344DA3"/>
    <w:rsid w:val="00350D62"/>
    <w:rsid w:val="00374A52"/>
    <w:rsid w:val="00376CE7"/>
    <w:rsid w:val="003932D8"/>
    <w:rsid w:val="003A3422"/>
    <w:rsid w:val="003A70AB"/>
    <w:rsid w:val="003C5DDF"/>
    <w:rsid w:val="003D76BB"/>
    <w:rsid w:val="003E0200"/>
    <w:rsid w:val="003F33CD"/>
    <w:rsid w:val="003F4E37"/>
    <w:rsid w:val="003F76D1"/>
    <w:rsid w:val="004149F2"/>
    <w:rsid w:val="004205B9"/>
    <w:rsid w:val="00420C65"/>
    <w:rsid w:val="00421BA1"/>
    <w:rsid w:val="0042614E"/>
    <w:rsid w:val="00427280"/>
    <w:rsid w:val="00434A43"/>
    <w:rsid w:val="004408A9"/>
    <w:rsid w:val="00440D2A"/>
    <w:rsid w:val="0044334D"/>
    <w:rsid w:val="00457102"/>
    <w:rsid w:val="0047166E"/>
    <w:rsid w:val="00476DA3"/>
    <w:rsid w:val="00476F87"/>
    <w:rsid w:val="00486CED"/>
    <w:rsid w:val="00492AEE"/>
    <w:rsid w:val="004A0C6D"/>
    <w:rsid w:val="004A35D7"/>
    <w:rsid w:val="004A7A9F"/>
    <w:rsid w:val="004B331B"/>
    <w:rsid w:val="004D186C"/>
    <w:rsid w:val="004E032C"/>
    <w:rsid w:val="004E38DA"/>
    <w:rsid w:val="004E67C8"/>
    <w:rsid w:val="004F261B"/>
    <w:rsid w:val="0054410A"/>
    <w:rsid w:val="0055549A"/>
    <w:rsid w:val="0055636D"/>
    <w:rsid w:val="00557E46"/>
    <w:rsid w:val="005607FD"/>
    <w:rsid w:val="00561A5D"/>
    <w:rsid w:val="005C0611"/>
    <w:rsid w:val="005D7A9C"/>
    <w:rsid w:val="005F67CD"/>
    <w:rsid w:val="00600EE9"/>
    <w:rsid w:val="00611E13"/>
    <w:rsid w:val="00651C0F"/>
    <w:rsid w:val="006524AD"/>
    <w:rsid w:val="00653399"/>
    <w:rsid w:val="0066648A"/>
    <w:rsid w:val="00696210"/>
    <w:rsid w:val="006A6D24"/>
    <w:rsid w:val="006B5762"/>
    <w:rsid w:val="006C2972"/>
    <w:rsid w:val="006C6567"/>
    <w:rsid w:val="006F00D4"/>
    <w:rsid w:val="006F0354"/>
    <w:rsid w:val="006F3C3D"/>
    <w:rsid w:val="0071187B"/>
    <w:rsid w:val="00715C55"/>
    <w:rsid w:val="0072479C"/>
    <w:rsid w:val="00733797"/>
    <w:rsid w:val="007356C4"/>
    <w:rsid w:val="00737B6B"/>
    <w:rsid w:val="0075014C"/>
    <w:rsid w:val="00750295"/>
    <w:rsid w:val="007526EA"/>
    <w:rsid w:val="0075772E"/>
    <w:rsid w:val="00784DA3"/>
    <w:rsid w:val="00793161"/>
    <w:rsid w:val="007A5980"/>
    <w:rsid w:val="007D68EF"/>
    <w:rsid w:val="007E2A38"/>
    <w:rsid w:val="007F5591"/>
    <w:rsid w:val="00813773"/>
    <w:rsid w:val="00844F47"/>
    <w:rsid w:val="008535DF"/>
    <w:rsid w:val="00870688"/>
    <w:rsid w:val="008728CF"/>
    <w:rsid w:val="00876D5C"/>
    <w:rsid w:val="00893EDE"/>
    <w:rsid w:val="008C1B4C"/>
    <w:rsid w:val="008E3C8E"/>
    <w:rsid w:val="008E4CBA"/>
    <w:rsid w:val="00903C6E"/>
    <w:rsid w:val="0091693F"/>
    <w:rsid w:val="00924D6C"/>
    <w:rsid w:val="00936399"/>
    <w:rsid w:val="00945A82"/>
    <w:rsid w:val="0095278E"/>
    <w:rsid w:val="00954FF6"/>
    <w:rsid w:val="00983024"/>
    <w:rsid w:val="00994D8D"/>
    <w:rsid w:val="009A0244"/>
    <w:rsid w:val="009B012B"/>
    <w:rsid w:val="009C1B2C"/>
    <w:rsid w:val="009E526F"/>
    <w:rsid w:val="009E6B82"/>
    <w:rsid w:val="009F37FA"/>
    <w:rsid w:val="009F45CE"/>
    <w:rsid w:val="009F47F6"/>
    <w:rsid w:val="00A04202"/>
    <w:rsid w:val="00A06074"/>
    <w:rsid w:val="00A23597"/>
    <w:rsid w:val="00A2613E"/>
    <w:rsid w:val="00A37132"/>
    <w:rsid w:val="00A41B9C"/>
    <w:rsid w:val="00A44ECE"/>
    <w:rsid w:val="00A63F8F"/>
    <w:rsid w:val="00A71233"/>
    <w:rsid w:val="00A76DB7"/>
    <w:rsid w:val="00A91075"/>
    <w:rsid w:val="00AA21C7"/>
    <w:rsid w:val="00AC2964"/>
    <w:rsid w:val="00AD71D0"/>
    <w:rsid w:val="00AE7C61"/>
    <w:rsid w:val="00AF0BDF"/>
    <w:rsid w:val="00B04B9B"/>
    <w:rsid w:val="00B12A17"/>
    <w:rsid w:val="00B16FF2"/>
    <w:rsid w:val="00B2021B"/>
    <w:rsid w:val="00B32EDE"/>
    <w:rsid w:val="00B4432D"/>
    <w:rsid w:val="00B51882"/>
    <w:rsid w:val="00B538DB"/>
    <w:rsid w:val="00B62CAC"/>
    <w:rsid w:val="00B678EC"/>
    <w:rsid w:val="00B800A4"/>
    <w:rsid w:val="00BE452F"/>
    <w:rsid w:val="00BF22CA"/>
    <w:rsid w:val="00BF714A"/>
    <w:rsid w:val="00C07141"/>
    <w:rsid w:val="00C306C7"/>
    <w:rsid w:val="00C63E16"/>
    <w:rsid w:val="00C878F8"/>
    <w:rsid w:val="00CA3CCF"/>
    <w:rsid w:val="00CA7ACE"/>
    <w:rsid w:val="00CB6181"/>
    <w:rsid w:val="00CC281F"/>
    <w:rsid w:val="00CD59B7"/>
    <w:rsid w:val="00CE7C01"/>
    <w:rsid w:val="00CF35D2"/>
    <w:rsid w:val="00CF6B72"/>
    <w:rsid w:val="00D16757"/>
    <w:rsid w:val="00D25641"/>
    <w:rsid w:val="00D308C1"/>
    <w:rsid w:val="00D40848"/>
    <w:rsid w:val="00D419D4"/>
    <w:rsid w:val="00D53670"/>
    <w:rsid w:val="00D623D4"/>
    <w:rsid w:val="00D71EF6"/>
    <w:rsid w:val="00D83A57"/>
    <w:rsid w:val="00D93D33"/>
    <w:rsid w:val="00D97291"/>
    <w:rsid w:val="00DA5677"/>
    <w:rsid w:val="00DC32E8"/>
    <w:rsid w:val="00DC61CC"/>
    <w:rsid w:val="00DE4882"/>
    <w:rsid w:val="00DF200E"/>
    <w:rsid w:val="00DF39CC"/>
    <w:rsid w:val="00E12456"/>
    <w:rsid w:val="00E1579A"/>
    <w:rsid w:val="00E16AF3"/>
    <w:rsid w:val="00E26EDB"/>
    <w:rsid w:val="00E30A3C"/>
    <w:rsid w:val="00E667EC"/>
    <w:rsid w:val="00E7097C"/>
    <w:rsid w:val="00E849FC"/>
    <w:rsid w:val="00E93325"/>
    <w:rsid w:val="00EB4656"/>
    <w:rsid w:val="00EC4200"/>
    <w:rsid w:val="00EC4710"/>
    <w:rsid w:val="00EC4AB2"/>
    <w:rsid w:val="00ED0F32"/>
    <w:rsid w:val="00ED1390"/>
    <w:rsid w:val="00EE3632"/>
    <w:rsid w:val="00EF56CB"/>
    <w:rsid w:val="00EF66DC"/>
    <w:rsid w:val="00F0011D"/>
    <w:rsid w:val="00F11E34"/>
    <w:rsid w:val="00F533CA"/>
    <w:rsid w:val="00F7315F"/>
    <w:rsid w:val="00F86CCE"/>
    <w:rsid w:val="00F97216"/>
    <w:rsid w:val="00FA4B05"/>
    <w:rsid w:val="00FB1C53"/>
    <w:rsid w:val="00FB7706"/>
    <w:rsid w:val="00FC2636"/>
    <w:rsid w:val="00FC512F"/>
    <w:rsid w:val="00FD063C"/>
    <w:rsid w:val="00FD16EE"/>
    <w:rsid w:val="00FD2948"/>
    <w:rsid w:val="00FE22D4"/>
    <w:rsid w:val="00FE2883"/>
    <w:rsid w:val="00FE2C68"/>
    <w:rsid w:val="00FE57DA"/>
    <w:rsid w:val="00FF5187"/>
    <w:rsid w:val="00FF6912"/>
    <w:rsid w:val="0D9CBA87"/>
    <w:rsid w:val="2EE6789D"/>
    <w:rsid w:val="5AFAD010"/>
    <w:rsid w:val="657A8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DBCC4"/>
  <w15:chartTrackingRefBased/>
  <w15:docId w15:val="{2FAEB3A4-7CCA-4168-A1F8-C84B6D56B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51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ubtleEmphasis">
    <w:name w:val="Subtle Emphasis"/>
    <w:basedOn w:val="DefaultParagraphFont"/>
    <w:uiPriority w:val="19"/>
    <w:qFormat/>
    <w:rsid w:val="00A37132"/>
    <w:rPr>
      <w:i/>
      <w:iCs/>
      <w:color w:val="404040" w:themeColor="text1" w:themeTint="BF"/>
    </w:rPr>
  </w:style>
  <w:style w:type="paragraph" w:styleId="FootnoteText">
    <w:name w:val="footnote text"/>
    <w:basedOn w:val="Normal"/>
    <w:link w:val="FootnoteTextChar"/>
    <w:uiPriority w:val="99"/>
    <w:semiHidden/>
    <w:unhideWhenUsed/>
    <w:rsid w:val="00FD29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2948"/>
    <w:rPr>
      <w:sz w:val="20"/>
      <w:szCs w:val="20"/>
    </w:rPr>
  </w:style>
  <w:style w:type="character" w:styleId="FootnoteReference">
    <w:name w:val="footnote reference"/>
    <w:basedOn w:val="DefaultParagraphFont"/>
    <w:uiPriority w:val="99"/>
    <w:semiHidden/>
    <w:unhideWhenUsed/>
    <w:rsid w:val="00FD2948"/>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aragraph">
    <w:name w:val="paragraph"/>
    <w:basedOn w:val="Normal"/>
    <w:rsid w:val="00893E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893EDE"/>
  </w:style>
  <w:style w:type="character" w:customStyle="1" w:styleId="normaltextrun">
    <w:name w:val="normaltextrun"/>
    <w:basedOn w:val="DefaultParagraphFont"/>
    <w:rsid w:val="00893EDE"/>
  </w:style>
  <w:style w:type="character" w:customStyle="1" w:styleId="eop">
    <w:name w:val="eop"/>
    <w:basedOn w:val="DefaultParagraphFont"/>
    <w:rsid w:val="00893EDE"/>
  </w:style>
  <w:style w:type="character" w:styleId="Strong">
    <w:name w:val="Strong"/>
    <w:basedOn w:val="DefaultParagraphFont"/>
    <w:uiPriority w:val="22"/>
    <w:qFormat/>
    <w:rsid w:val="00D97291"/>
    <w:rPr>
      <w:b/>
      <w:bCs/>
    </w:rPr>
  </w:style>
  <w:style w:type="character" w:customStyle="1" w:styleId="selectable">
    <w:name w:val="selectable"/>
    <w:basedOn w:val="DefaultParagraphFont"/>
    <w:rsid w:val="00D972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6575051">
      <w:bodyDiv w:val="1"/>
      <w:marLeft w:val="0"/>
      <w:marRight w:val="0"/>
      <w:marTop w:val="0"/>
      <w:marBottom w:val="0"/>
      <w:divBdr>
        <w:top w:val="none" w:sz="0" w:space="0" w:color="auto"/>
        <w:left w:val="none" w:sz="0" w:space="0" w:color="auto"/>
        <w:bottom w:val="none" w:sz="0" w:space="0" w:color="auto"/>
        <w:right w:val="none" w:sz="0" w:space="0" w:color="auto"/>
      </w:divBdr>
    </w:div>
    <w:div w:id="1070693143">
      <w:bodyDiv w:val="1"/>
      <w:marLeft w:val="0"/>
      <w:marRight w:val="0"/>
      <w:marTop w:val="0"/>
      <w:marBottom w:val="0"/>
      <w:divBdr>
        <w:top w:val="none" w:sz="0" w:space="0" w:color="auto"/>
        <w:left w:val="none" w:sz="0" w:space="0" w:color="auto"/>
        <w:bottom w:val="none" w:sz="0" w:space="0" w:color="auto"/>
        <w:right w:val="none" w:sz="0" w:space="0" w:color="auto"/>
      </w:divBdr>
      <w:divsChild>
        <w:div w:id="1043596746">
          <w:marLeft w:val="0"/>
          <w:marRight w:val="0"/>
          <w:marTop w:val="0"/>
          <w:marBottom w:val="0"/>
          <w:divBdr>
            <w:top w:val="none" w:sz="0" w:space="0" w:color="auto"/>
            <w:left w:val="none" w:sz="0" w:space="0" w:color="auto"/>
            <w:bottom w:val="none" w:sz="0" w:space="0" w:color="auto"/>
            <w:right w:val="none" w:sz="0" w:space="0" w:color="auto"/>
          </w:divBdr>
        </w:div>
        <w:div w:id="291011995">
          <w:marLeft w:val="0"/>
          <w:marRight w:val="0"/>
          <w:marTop w:val="0"/>
          <w:marBottom w:val="0"/>
          <w:divBdr>
            <w:top w:val="none" w:sz="0" w:space="0" w:color="auto"/>
            <w:left w:val="none" w:sz="0" w:space="0" w:color="auto"/>
            <w:bottom w:val="none" w:sz="0" w:space="0" w:color="auto"/>
            <w:right w:val="none" w:sz="0" w:space="0" w:color="auto"/>
          </w:divBdr>
        </w:div>
      </w:divsChild>
    </w:div>
    <w:div w:id="1112439426">
      <w:bodyDiv w:val="1"/>
      <w:marLeft w:val="0"/>
      <w:marRight w:val="0"/>
      <w:marTop w:val="0"/>
      <w:marBottom w:val="0"/>
      <w:divBdr>
        <w:top w:val="none" w:sz="0" w:space="0" w:color="auto"/>
        <w:left w:val="none" w:sz="0" w:space="0" w:color="auto"/>
        <w:bottom w:val="none" w:sz="0" w:space="0" w:color="auto"/>
        <w:right w:val="none" w:sz="0" w:space="0" w:color="auto"/>
      </w:divBdr>
    </w:div>
    <w:div w:id="1885288425">
      <w:bodyDiv w:val="1"/>
      <w:marLeft w:val="0"/>
      <w:marRight w:val="0"/>
      <w:marTop w:val="0"/>
      <w:marBottom w:val="0"/>
      <w:divBdr>
        <w:top w:val="none" w:sz="0" w:space="0" w:color="auto"/>
        <w:left w:val="none" w:sz="0" w:space="0" w:color="auto"/>
        <w:bottom w:val="none" w:sz="0" w:space="0" w:color="auto"/>
        <w:right w:val="none" w:sz="0" w:space="0" w:color="auto"/>
      </w:divBdr>
      <w:divsChild>
        <w:div w:id="1041393890">
          <w:marLeft w:val="0"/>
          <w:marRight w:val="0"/>
          <w:marTop w:val="0"/>
          <w:marBottom w:val="0"/>
          <w:divBdr>
            <w:top w:val="none" w:sz="0" w:space="0" w:color="auto"/>
            <w:left w:val="none" w:sz="0" w:space="0" w:color="auto"/>
            <w:bottom w:val="none" w:sz="0" w:space="0" w:color="auto"/>
            <w:right w:val="none" w:sz="0" w:space="0" w:color="auto"/>
          </w:divBdr>
        </w:div>
        <w:div w:id="1508472434">
          <w:marLeft w:val="0"/>
          <w:marRight w:val="0"/>
          <w:marTop w:val="0"/>
          <w:marBottom w:val="0"/>
          <w:divBdr>
            <w:top w:val="none" w:sz="0" w:space="0" w:color="auto"/>
            <w:left w:val="none" w:sz="0" w:space="0" w:color="auto"/>
            <w:bottom w:val="none" w:sz="0" w:space="0" w:color="auto"/>
            <w:right w:val="none" w:sz="0" w:space="0" w:color="auto"/>
          </w:divBdr>
        </w:div>
        <w:div w:id="7291595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86426D-8380-4D53-BD76-25FEB2E90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12</Pages>
  <Words>2774</Words>
  <Characters>15120</Characters>
  <Application>Microsoft Office Word</Application>
  <DocSecurity>0</DocSecurity>
  <Lines>222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Biggar (1703322)</dc:creator>
  <cp:keywords/>
  <dc:description/>
  <cp:lastModifiedBy>Georgia Biggar (1703322)</cp:lastModifiedBy>
  <cp:revision>7</cp:revision>
  <dcterms:created xsi:type="dcterms:W3CDTF">2018-12-14T19:26:00Z</dcterms:created>
  <dcterms:modified xsi:type="dcterms:W3CDTF">2018-12-14T20:10:00Z</dcterms:modified>
</cp:coreProperties>
</file>