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0504" w14:textId="617062C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Structure for a 2000-Word Assignment on Small-Scale Youth</w:t>
      </w:r>
      <w:r>
        <w:rPr>
          <w:rFonts w:ascii="Times New Roman" w:hAnsi="Times New Roman" w:cs="Times New Roman"/>
        </w:rPr>
        <w:t xml:space="preserve"> Work</w:t>
      </w:r>
      <w:r w:rsidRPr="00FD2ED5">
        <w:rPr>
          <w:rFonts w:ascii="Times New Roman" w:hAnsi="Times New Roman" w:cs="Times New Roman"/>
        </w:rPr>
        <w:t xml:space="preserve"> Research</w:t>
      </w:r>
      <w:r w:rsidRPr="00FD2ED5">
        <w:rPr>
          <w:rFonts w:ascii="Times New Roman" w:hAnsi="Times New Roman" w:cs="Times New Roman"/>
        </w:rPr>
        <w:t xml:space="preserve"> Project</w:t>
      </w:r>
    </w:p>
    <w:p w14:paraId="7C245AD8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Introduction</w:t>
      </w:r>
    </w:p>
    <w:p w14:paraId="19BDFBFE" w14:textId="77777777" w:rsidR="00FD2ED5" w:rsidRPr="00FD2ED5" w:rsidRDefault="00FD2ED5" w:rsidP="00FD2ED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Define small-scale research and its relevance to youth-focused studies.</w:t>
      </w:r>
    </w:p>
    <w:p w14:paraId="28790BED" w14:textId="381E6F5A" w:rsidR="00FD2ED5" w:rsidRPr="00FD2ED5" w:rsidRDefault="00FD2ED5" w:rsidP="00FD2ED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Outline the importance of participatory approaches aligned with young people’s lived experiences.</w:t>
      </w:r>
    </w:p>
    <w:p w14:paraId="46CB55F8" w14:textId="77777777" w:rsidR="00FD2ED5" w:rsidRPr="00FD2ED5" w:rsidRDefault="00FD2ED5" w:rsidP="00FD2ED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State the purpose: to critically evaluate steps for successful execution, ethical considerations, and dissemination strategies.</w:t>
      </w:r>
    </w:p>
    <w:p w14:paraId="01ADE0E4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1. Defining the Research Scope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1.1. Identifying a Youth-Relevant Topic</w:t>
      </w:r>
    </w:p>
    <w:p w14:paraId="06993D7C" w14:textId="33DECEFF" w:rsidR="00FD2ED5" w:rsidRPr="00FD2ED5" w:rsidRDefault="00FD2ED5" w:rsidP="00FD2ED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Collaborate with young people to co-design research questions addressing their priorities (e.g., mental health, education, social justice).</w:t>
      </w:r>
    </w:p>
    <w:p w14:paraId="3FD8696F" w14:textId="79909052" w:rsidR="00FD2ED5" w:rsidRPr="00FD2ED5" w:rsidRDefault="00FD2ED5" w:rsidP="00FD2ED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Balance academic rigo</w:t>
      </w:r>
      <w:r w:rsidRPr="00FD2ED5">
        <w:rPr>
          <w:rFonts w:ascii="Times New Roman" w:hAnsi="Times New Roman" w:cs="Times New Roman"/>
        </w:rPr>
        <w:t>u</w:t>
      </w:r>
      <w:r w:rsidRPr="00FD2ED5">
        <w:rPr>
          <w:rFonts w:ascii="Times New Roman" w:hAnsi="Times New Roman" w:cs="Times New Roman"/>
        </w:rPr>
        <w:t>r with practical relevance to ensure actionable outcomes.</w:t>
      </w:r>
    </w:p>
    <w:p w14:paraId="6C51984F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1.2. Aligning with Methodological Frameworks</w:t>
      </w:r>
    </w:p>
    <w:p w14:paraId="114D0D2E" w14:textId="51E10D65" w:rsidR="00FD2ED5" w:rsidRPr="00FD2ED5" w:rsidRDefault="00FD2ED5" w:rsidP="00FD2ED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Justify qualitative, quantitative, or mixed methods based on the research aim.</w:t>
      </w:r>
    </w:p>
    <w:p w14:paraId="53FF6890" w14:textId="40B2008D" w:rsidR="00FD2ED5" w:rsidRPr="00FD2ED5" w:rsidRDefault="00FD2ED5" w:rsidP="00FD2ED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Example: Use focus groups for exploratory themes or surveys for measurable trends.</w:t>
      </w:r>
    </w:p>
    <w:p w14:paraId="085B47C3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2. Ethical Foundations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2.1. Informed Consent and Assent</w:t>
      </w:r>
    </w:p>
    <w:p w14:paraId="30DCC973" w14:textId="361555E0" w:rsidR="00FD2ED5" w:rsidRPr="00FD2ED5" w:rsidRDefault="00FD2ED5" w:rsidP="00FD2ED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Obtain dual consent: from guardians (if under 18) and voluntary assent from participants, using age-appropriate language.</w:t>
      </w:r>
    </w:p>
    <w:p w14:paraId="212910CE" w14:textId="6B8C4372" w:rsidR="00FD2ED5" w:rsidRPr="00FD2ED5" w:rsidRDefault="00FD2ED5" w:rsidP="00FD2ED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Address power dynamics by ensuring young people understand their right to withdraw.</w:t>
      </w:r>
    </w:p>
    <w:p w14:paraId="3F766203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2.2. Safeguarding and Confidentiality</w:t>
      </w:r>
    </w:p>
    <w:p w14:paraId="3B9AE941" w14:textId="651B99EC" w:rsidR="00FD2ED5" w:rsidRPr="00FD2ED5" w:rsidRDefault="00FD2ED5" w:rsidP="00FD2ED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Implement anonymization techniques to protect identities.</w:t>
      </w:r>
    </w:p>
    <w:p w14:paraId="40F32620" w14:textId="11AF8431" w:rsidR="00FD2ED5" w:rsidRPr="00FD2ED5" w:rsidRDefault="00FD2ED5" w:rsidP="00FD2ED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Develop protocols for reporting safeguarding concerns (e.g., disclosures of harm).</w:t>
      </w:r>
    </w:p>
    <w:p w14:paraId="4B0A665A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2.3. Building Trust and Relationships</w:t>
      </w:r>
    </w:p>
    <w:p w14:paraId="69056488" w14:textId="60777F1E" w:rsidR="00FD2ED5" w:rsidRPr="00FD2ED5" w:rsidRDefault="00FD2ED5" w:rsidP="00FD2ED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Engage gatekeepers (e.g., schools, youth organizations) while prioritizing direct rapport with participants.</w:t>
      </w:r>
    </w:p>
    <w:p w14:paraId="0EEEAD72" w14:textId="3ABA17BB" w:rsidR="00FD2ED5" w:rsidRPr="00FD2ED5" w:rsidRDefault="00FD2ED5" w:rsidP="00FD2ED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Use icebreakers or creative methods (e.g., art, storytelling) to reduce intimidation.</w:t>
      </w:r>
    </w:p>
    <w:p w14:paraId="7580A170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3. Designing the Research Process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3.1. Selecting Age-Appropriate Methods</w:t>
      </w:r>
    </w:p>
    <w:p w14:paraId="62BE3A46" w14:textId="776ADD5B" w:rsidR="00FD2ED5" w:rsidRPr="00FD2ED5" w:rsidRDefault="00FD2ED5" w:rsidP="00FD2ED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Investigate</w:t>
      </w:r>
      <w:r w:rsidRPr="00FD2ED5">
        <w:rPr>
          <w:rFonts w:ascii="Times New Roman" w:hAnsi="Times New Roman" w:cs="Times New Roman"/>
        </w:rPr>
        <w:t xml:space="preserve"> interactive tools: digital platforms, visual aids, or gamified surveys for younger cohorts.</w:t>
      </w:r>
    </w:p>
    <w:p w14:paraId="36CE818C" w14:textId="744B6965" w:rsidR="00FD2ED5" w:rsidRPr="00FD2ED5" w:rsidRDefault="00FD2ED5" w:rsidP="00FD2ED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lastRenderedPageBreak/>
        <w:t>Avoid jargon and adapt questioning styles to cognitive and emotional maturity.</w:t>
      </w:r>
    </w:p>
    <w:p w14:paraId="2B4CA3D7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3.2. Piloting and Flexibility</w:t>
      </w:r>
    </w:p>
    <w:p w14:paraId="363629A0" w14:textId="75E2F6D5" w:rsidR="00FD2ED5" w:rsidRPr="00FD2ED5" w:rsidRDefault="00FD2ED5" w:rsidP="00FD2ED5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Test methods with a small group to refine accessibility and engagemen</w:t>
      </w:r>
      <w:r w:rsidRPr="00FD2ED5">
        <w:rPr>
          <w:rFonts w:ascii="Times New Roman" w:hAnsi="Times New Roman" w:cs="Times New Roman"/>
        </w:rPr>
        <w:t>t</w:t>
      </w:r>
      <w:r w:rsidRPr="00FD2ED5">
        <w:rPr>
          <w:rFonts w:ascii="Times New Roman" w:hAnsi="Times New Roman" w:cs="Times New Roman"/>
        </w:rPr>
        <w:t>.</w:t>
      </w:r>
    </w:p>
    <w:p w14:paraId="56E7B3A5" w14:textId="1F243F65" w:rsidR="00FD2ED5" w:rsidRPr="00FD2ED5" w:rsidRDefault="00FD2ED5" w:rsidP="00FD2ED5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Remain adaptable to unforeseen challenges (e.g., participant fatigue).</w:t>
      </w:r>
    </w:p>
    <w:p w14:paraId="11E39696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4. Data Collection and Analysis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4.1. Inclusive Participation</w:t>
      </w:r>
    </w:p>
    <w:p w14:paraId="6314C392" w14:textId="4CA0BC77" w:rsidR="00FD2ED5" w:rsidRPr="00FD2ED5" w:rsidRDefault="00FD2ED5" w:rsidP="00FD2ED5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Ensure diverse representation across demographics (e.g., age, socioeconomic background).</w:t>
      </w:r>
    </w:p>
    <w:p w14:paraId="2E9F9208" w14:textId="4D6AF29A" w:rsidR="00FD2ED5" w:rsidRPr="00FD2ED5" w:rsidRDefault="00FD2ED5" w:rsidP="00FD2ED5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Mitigate biases by involving young people in data interpretation where feasible.</w:t>
      </w:r>
    </w:p>
    <w:p w14:paraId="3AB1F627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4.2. Analytical Rigor</w:t>
      </w:r>
    </w:p>
    <w:p w14:paraId="583D0750" w14:textId="19893A5D" w:rsidR="00FD2ED5" w:rsidRPr="00FD2ED5" w:rsidRDefault="00FD2ED5" w:rsidP="00FD2ED5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Thematic analysis for qualitative data; descriptive statistics for quantitative insights.</w:t>
      </w:r>
    </w:p>
    <w:p w14:paraId="384E7D67" w14:textId="4090CC0A" w:rsidR="00FD2ED5" w:rsidRPr="00FD2ED5" w:rsidRDefault="00FD2ED5" w:rsidP="00FD2ED5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Triangulate findings with existing literature to enhance validity.</w:t>
      </w:r>
    </w:p>
    <w:p w14:paraId="362D9D21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5. Dissemination Strategies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5.1. Youth-Centered Reporting</w:t>
      </w:r>
    </w:p>
    <w:p w14:paraId="0EF1C41F" w14:textId="5CE0143D" w:rsidR="00FD2ED5" w:rsidRPr="00FD2ED5" w:rsidRDefault="00FD2ED5" w:rsidP="00FD2ED5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Share results through accessible formats: infographics, videos, or community workshops.</w:t>
      </w:r>
    </w:p>
    <w:p w14:paraId="6BFD9786" w14:textId="0045FF93" w:rsidR="00FD2ED5" w:rsidRPr="00FD2ED5" w:rsidRDefault="00FD2ED5" w:rsidP="00FD2ED5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Provide feedback to participants, acknowledging their contributions.</w:t>
      </w:r>
    </w:p>
    <w:p w14:paraId="7AAAEDB5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5.2. Academic and Practical Outreach</w:t>
      </w:r>
    </w:p>
    <w:p w14:paraId="0A6E26AD" w14:textId="4CDC1FE4" w:rsidR="00FD2ED5" w:rsidRPr="00FD2ED5" w:rsidRDefault="00FD2ED5" w:rsidP="00FD2ED5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Publish in open-access journals or present at conferences targeting educators/practitioner</w:t>
      </w:r>
      <w:r w:rsidRPr="00FD2ED5">
        <w:rPr>
          <w:rFonts w:ascii="Times New Roman" w:hAnsi="Times New Roman" w:cs="Times New Roman"/>
        </w:rPr>
        <w:t>s</w:t>
      </w:r>
      <w:r w:rsidRPr="00FD2ED5">
        <w:rPr>
          <w:rFonts w:ascii="Times New Roman" w:hAnsi="Times New Roman" w:cs="Times New Roman"/>
        </w:rPr>
        <w:t>.</w:t>
      </w:r>
    </w:p>
    <w:p w14:paraId="3ECE804E" w14:textId="75C8F76A" w:rsidR="00FD2ED5" w:rsidRPr="00FD2ED5" w:rsidRDefault="00FD2ED5" w:rsidP="00FD2ED5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Partner with youth organizations to implement recommendations.</w:t>
      </w:r>
    </w:p>
    <w:p w14:paraId="131D18CA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6. Critical Reflection</w:t>
      </w:r>
      <w:r w:rsidRPr="00FD2ED5">
        <w:rPr>
          <w:rFonts w:ascii="Times New Roman" w:hAnsi="Times New Roman" w:cs="Times New Roman"/>
        </w:rPr>
        <w:br/>
      </w:r>
      <w:r w:rsidRPr="00FD2ED5">
        <w:rPr>
          <w:rFonts w:ascii="Times New Roman" w:hAnsi="Times New Roman" w:cs="Times New Roman"/>
          <w:b/>
          <w:bCs/>
        </w:rPr>
        <w:t>6.1. Evaluating Success</w:t>
      </w:r>
    </w:p>
    <w:p w14:paraId="5E4CB8CD" w14:textId="39C89B8A" w:rsidR="00FD2ED5" w:rsidRPr="00FD2ED5" w:rsidRDefault="00FD2ED5" w:rsidP="00FD2ED5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Assess methodological strengths/limitations (e.g., sample size constraints in small-scale studies).</w:t>
      </w:r>
    </w:p>
    <w:p w14:paraId="405A6BE3" w14:textId="0B9D7FB0" w:rsidR="00FD2ED5" w:rsidRPr="00FD2ED5" w:rsidRDefault="00FD2ED5" w:rsidP="00FD2ED5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Reflect on personal biases and power dynamics as a researcher.</w:t>
      </w:r>
    </w:p>
    <w:p w14:paraId="67E9AE04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6.2. Ethical Dilemmas Revisited</w:t>
      </w:r>
    </w:p>
    <w:p w14:paraId="0AC5C565" w14:textId="6CB184FC" w:rsidR="00FD2ED5" w:rsidRPr="00FD2ED5" w:rsidRDefault="00FD2ED5" w:rsidP="00FD2ED5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Discuss challenges in balancing confidentiality with safeguarding duties.</w:t>
      </w:r>
    </w:p>
    <w:p w14:paraId="6032636B" w14:textId="7147B8F2" w:rsidR="00FD2ED5" w:rsidRPr="00FD2ED5" w:rsidRDefault="00FD2ED5" w:rsidP="00FD2ED5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Propose strategies for future research (e.g., longitudinal youth panels).</w:t>
      </w:r>
    </w:p>
    <w:p w14:paraId="081CF4C3" w14:textId="77777777" w:rsidR="00FD2ED5" w:rsidRPr="00FD2ED5" w:rsidRDefault="00FD2ED5" w:rsidP="00FD2ED5">
      <w:p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  <w:b/>
          <w:bCs/>
        </w:rPr>
        <w:t>Conclusion</w:t>
      </w:r>
    </w:p>
    <w:p w14:paraId="59E69E1A" w14:textId="77777777" w:rsidR="00FD2ED5" w:rsidRPr="00FD2ED5" w:rsidRDefault="00FD2ED5" w:rsidP="00FD2ED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Recap the interplay between ethical practice, youth agency, and methodological adaptability.</w:t>
      </w:r>
    </w:p>
    <w:p w14:paraId="7F4C2D4C" w14:textId="77777777" w:rsidR="00FD2ED5" w:rsidRPr="00FD2ED5" w:rsidRDefault="00FD2ED5" w:rsidP="00FD2ED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Emphasize the transformative potential of small-scale research in amplifying marginalized voices.</w:t>
      </w:r>
    </w:p>
    <w:p w14:paraId="2872C55B" w14:textId="2A701F5B" w:rsidR="00FD2ED5" w:rsidRPr="00FD2ED5" w:rsidRDefault="00FD2ED5" w:rsidP="00FD2ED5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FD2ED5">
        <w:rPr>
          <w:rFonts w:ascii="Times New Roman" w:hAnsi="Times New Roman" w:cs="Times New Roman"/>
        </w:rPr>
        <w:t>Advocate for participatory frameworks as a standard in youth-focused studies.</w:t>
      </w:r>
    </w:p>
    <w:p w14:paraId="695FED0D" w14:textId="77777777" w:rsidR="00FD2ED5" w:rsidRPr="00FD2ED5" w:rsidRDefault="00FD2ED5">
      <w:pPr>
        <w:rPr>
          <w:rFonts w:ascii="Times New Roman" w:hAnsi="Times New Roman" w:cs="Times New Roman"/>
        </w:rPr>
      </w:pPr>
    </w:p>
    <w:sectPr w:rsidR="00FD2ED5" w:rsidRPr="00FD2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8B"/>
    <w:multiLevelType w:val="multilevel"/>
    <w:tmpl w:val="2126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17F5B"/>
    <w:multiLevelType w:val="multilevel"/>
    <w:tmpl w:val="242AD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D61C2D"/>
    <w:multiLevelType w:val="multilevel"/>
    <w:tmpl w:val="5AC0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E31120"/>
    <w:multiLevelType w:val="multilevel"/>
    <w:tmpl w:val="3788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654851"/>
    <w:multiLevelType w:val="multilevel"/>
    <w:tmpl w:val="1008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BC5596"/>
    <w:multiLevelType w:val="multilevel"/>
    <w:tmpl w:val="2A34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6A658C"/>
    <w:multiLevelType w:val="multilevel"/>
    <w:tmpl w:val="F408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4B47E72"/>
    <w:multiLevelType w:val="multilevel"/>
    <w:tmpl w:val="3C48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200959"/>
    <w:multiLevelType w:val="multilevel"/>
    <w:tmpl w:val="9E909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15D107E"/>
    <w:multiLevelType w:val="multilevel"/>
    <w:tmpl w:val="C9F4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CE048AC"/>
    <w:multiLevelType w:val="multilevel"/>
    <w:tmpl w:val="888E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32D09FD"/>
    <w:multiLevelType w:val="multilevel"/>
    <w:tmpl w:val="A772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3B02BBE"/>
    <w:multiLevelType w:val="multilevel"/>
    <w:tmpl w:val="B208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CF6429"/>
    <w:multiLevelType w:val="multilevel"/>
    <w:tmpl w:val="69EE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9344D6"/>
    <w:multiLevelType w:val="multilevel"/>
    <w:tmpl w:val="2A5C8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7553482">
    <w:abstractNumId w:val="11"/>
  </w:num>
  <w:num w:numId="2" w16cid:durableId="865681669">
    <w:abstractNumId w:val="10"/>
  </w:num>
  <w:num w:numId="3" w16cid:durableId="2052992432">
    <w:abstractNumId w:val="5"/>
  </w:num>
  <w:num w:numId="4" w16cid:durableId="1433090499">
    <w:abstractNumId w:val="12"/>
  </w:num>
  <w:num w:numId="5" w16cid:durableId="1464730518">
    <w:abstractNumId w:val="4"/>
  </w:num>
  <w:num w:numId="6" w16cid:durableId="1647278493">
    <w:abstractNumId w:val="6"/>
  </w:num>
  <w:num w:numId="7" w16cid:durableId="1354576193">
    <w:abstractNumId w:val="9"/>
  </w:num>
  <w:num w:numId="8" w16cid:durableId="1213346401">
    <w:abstractNumId w:val="8"/>
  </w:num>
  <w:num w:numId="9" w16cid:durableId="1940605256">
    <w:abstractNumId w:val="0"/>
  </w:num>
  <w:num w:numId="10" w16cid:durableId="481116584">
    <w:abstractNumId w:val="2"/>
  </w:num>
  <w:num w:numId="11" w16cid:durableId="1873957194">
    <w:abstractNumId w:val="13"/>
  </w:num>
  <w:num w:numId="12" w16cid:durableId="278995646">
    <w:abstractNumId w:val="7"/>
  </w:num>
  <w:num w:numId="13" w16cid:durableId="87240293">
    <w:abstractNumId w:val="14"/>
  </w:num>
  <w:num w:numId="14" w16cid:durableId="450979476">
    <w:abstractNumId w:val="3"/>
  </w:num>
  <w:num w:numId="15" w16cid:durableId="162665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revisionView w:markup="0" w:comments="0" w:insDel="0" w:formatting="0"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ED5"/>
    <w:rsid w:val="009E21D5"/>
    <w:rsid w:val="00FD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40468"/>
  <w15:chartTrackingRefBased/>
  <w15:docId w15:val="{8968A9C8-55DE-4F28-9CA0-F0E35443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E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E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E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E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E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E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E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E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E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E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E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E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E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E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E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E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E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2E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1</cp:revision>
  <dcterms:created xsi:type="dcterms:W3CDTF">2025-04-03T13:42:00Z</dcterms:created>
  <dcterms:modified xsi:type="dcterms:W3CDTF">2025-04-03T13:49:00Z</dcterms:modified>
</cp:coreProperties>
</file>