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CED001" w14:textId="3AFCAE13" w:rsidR="00844064" w:rsidRDefault="00844064">
      <w:pPr>
        <w:rPr>
          <w:rFonts w:ascii="Times New Roman" w:hAnsi="Times New Roman" w:cs="Times New Roman"/>
          <w:sz w:val="24"/>
          <w:szCs w:val="24"/>
        </w:rPr>
      </w:pPr>
    </w:p>
    <w:p w14:paraId="4022B97D" w14:textId="77777777" w:rsidR="00533D29" w:rsidRDefault="00533D29" w:rsidP="00533D29">
      <w:pPr>
        <w:jc w:val="center"/>
        <w:rPr>
          <w:rFonts w:ascii="Times New Roman" w:hAnsi="Times New Roman" w:cs="Times New Roman"/>
          <w:b/>
          <w:bCs/>
          <w:sz w:val="24"/>
          <w:szCs w:val="24"/>
        </w:rPr>
      </w:pPr>
    </w:p>
    <w:p w14:paraId="2BED1AC2" w14:textId="77777777" w:rsidR="00533D29" w:rsidRDefault="00533D29" w:rsidP="00533D29">
      <w:pPr>
        <w:jc w:val="center"/>
        <w:rPr>
          <w:rFonts w:ascii="Times New Roman" w:hAnsi="Times New Roman" w:cs="Times New Roman"/>
          <w:b/>
          <w:bCs/>
          <w:sz w:val="24"/>
          <w:szCs w:val="24"/>
        </w:rPr>
      </w:pPr>
    </w:p>
    <w:p w14:paraId="0AAEF316" w14:textId="0F32D39E" w:rsidR="00533D29" w:rsidRDefault="00533D29" w:rsidP="00533D29">
      <w:pPr>
        <w:jc w:val="center"/>
        <w:rPr>
          <w:rFonts w:ascii="Times New Roman" w:hAnsi="Times New Roman" w:cs="Times New Roman"/>
          <w:b/>
          <w:bCs/>
          <w:sz w:val="24"/>
          <w:szCs w:val="24"/>
        </w:rPr>
      </w:pPr>
      <w:r>
        <w:rPr>
          <w:rFonts w:ascii="Times New Roman" w:hAnsi="Times New Roman" w:cs="Times New Roman"/>
          <w:b/>
          <w:bCs/>
          <w:sz w:val="24"/>
          <w:szCs w:val="24"/>
        </w:rPr>
        <w:t>Critically evaluate whether the ‘Brexit’ vote was influenced by intergroup attitudes.</w:t>
      </w:r>
    </w:p>
    <w:p w14:paraId="3A16B9B4" w14:textId="7D29ECCD" w:rsidR="00533D29" w:rsidRDefault="00533D29" w:rsidP="00533D29">
      <w:pPr>
        <w:jc w:val="center"/>
        <w:rPr>
          <w:rFonts w:ascii="Times New Roman" w:hAnsi="Times New Roman" w:cs="Times New Roman"/>
          <w:b/>
          <w:bCs/>
          <w:sz w:val="24"/>
          <w:szCs w:val="24"/>
        </w:rPr>
      </w:pPr>
      <w:r>
        <w:rPr>
          <w:rFonts w:ascii="Times New Roman" w:hAnsi="Times New Roman" w:cs="Times New Roman"/>
          <w:b/>
          <w:bCs/>
          <w:sz w:val="24"/>
          <w:szCs w:val="24"/>
        </w:rPr>
        <w:t>Demi Easter</w:t>
      </w:r>
    </w:p>
    <w:p w14:paraId="4C6E80F6" w14:textId="7D03F8E8" w:rsidR="00533D29" w:rsidRDefault="00533D29" w:rsidP="00533D29">
      <w:pPr>
        <w:jc w:val="center"/>
        <w:rPr>
          <w:rFonts w:ascii="Times New Roman" w:hAnsi="Times New Roman" w:cs="Times New Roman"/>
          <w:b/>
          <w:bCs/>
          <w:sz w:val="24"/>
          <w:szCs w:val="24"/>
        </w:rPr>
      </w:pPr>
      <w:r>
        <w:rPr>
          <w:rFonts w:ascii="Times New Roman" w:hAnsi="Times New Roman" w:cs="Times New Roman"/>
          <w:b/>
          <w:bCs/>
          <w:sz w:val="24"/>
          <w:szCs w:val="24"/>
        </w:rPr>
        <w:t>University of Wales Trinity Saint David</w:t>
      </w:r>
    </w:p>
    <w:p w14:paraId="1C70D9CA" w14:textId="12618C9E" w:rsidR="00533D29" w:rsidRDefault="00533D29" w:rsidP="00533D29">
      <w:pPr>
        <w:jc w:val="center"/>
        <w:rPr>
          <w:rFonts w:ascii="Times New Roman" w:hAnsi="Times New Roman" w:cs="Times New Roman"/>
          <w:b/>
          <w:bCs/>
          <w:sz w:val="24"/>
          <w:szCs w:val="24"/>
        </w:rPr>
      </w:pPr>
    </w:p>
    <w:p w14:paraId="435C3ADA" w14:textId="77777777" w:rsidR="00533D29" w:rsidRDefault="00533D29">
      <w:pPr>
        <w:rPr>
          <w:rFonts w:ascii="Times New Roman" w:hAnsi="Times New Roman" w:cs="Times New Roman"/>
          <w:b/>
          <w:bCs/>
          <w:sz w:val="24"/>
          <w:szCs w:val="24"/>
        </w:rPr>
      </w:pPr>
      <w:r>
        <w:rPr>
          <w:rFonts w:ascii="Times New Roman" w:hAnsi="Times New Roman" w:cs="Times New Roman"/>
          <w:b/>
          <w:bCs/>
          <w:sz w:val="24"/>
          <w:szCs w:val="24"/>
        </w:rPr>
        <w:br w:type="page"/>
      </w:r>
    </w:p>
    <w:p w14:paraId="45886C3E" w14:textId="745FB200" w:rsidR="00AA5FCF" w:rsidRDefault="001F596C">
      <w:pPr>
        <w:rPr>
          <w:rFonts w:ascii="Times New Roman" w:hAnsi="Times New Roman" w:cs="Times New Roman"/>
          <w:sz w:val="24"/>
          <w:szCs w:val="24"/>
        </w:rPr>
      </w:pPr>
      <w:bookmarkStart w:id="0" w:name="_GoBack"/>
      <w:r>
        <w:rPr>
          <w:rFonts w:ascii="Times New Roman" w:hAnsi="Times New Roman" w:cs="Times New Roman"/>
          <w:sz w:val="24"/>
          <w:szCs w:val="24"/>
        </w:rPr>
        <w:lastRenderedPageBreak/>
        <w:t>Three years after the vote, people are still talking about the</w:t>
      </w:r>
      <w:r w:rsidR="00112E50">
        <w:rPr>
          <w:rFonts w:ascii="Times New Roman" w:hAnsi="Times New Roman" w:cs="Times New Roman"/>
          <w:sz w:val="24"/>
          <w:szCs w:val="24"/>
        </w:rPr>
        <w:t xml:space="preserve"> EU</w:t>
      </w:r>
      <w:r>
        <w:rPr>
          <w:rFonts w:ascii="Times New Roman" w:hAnsi="Times New Roman" w:cs="Times New Roman"/>
          <w:sz w:val="24"/>
          <w:szCs w:val="24"/>
        </w:rPr>
        <w:t xml:space="preserve"> referendum every day, with opinions dividing people on whether the vote was the wisest choice. </w:t>
      </w:r>
      <w:r w:rsidR="00F95FA9">
        <w:rPr>
          <w:rFonts w:ascii="Times New Roman" w:hAnsi="Times New Roman" w:cs="Times New Roman"/>
          <w:sz w:val="24"/>
          <w:szCs w:val="24"/>
        </w:rPr>
        <w:t xml:space="preserve">With all the controversy surrounding the topic of ‘Brexit’, it comes as no surprise that intergroup attitudes, </w:t>
      </w:r>
      <w:r w:rsidR="00510DD1">
        <w:rPr>
          <w:rFonts w:ascii="Times New Roman" w:hAnsi="Times New Roman" w:cs="Times New Roman"/>
          <w:sz w:val="24"/>
          <w:szCs w:val="24"/>
        </w:rPr>
        <w:t xml:space="preserve">and </w:t>
      </w:r>
      <w:r w:rsidR="00F95FA9">
        <w:rPr>
          <w:rFonts w:ascii="Times New Roman" w:hAnsi="Times New Roman" w:cs="Times New Roman"/>
          <w:sz w:val="24"/>
          <w:szCs w:val="24"/>
        </w:rPr>
        <w:t xml:space="preserve">prejudice and racism, </w:t>
      </w:r>
      <w:r w:rsidR="0072026B">
        <w:rPr>
          <w:rFonts w:ascii="Times New Roman" w:hAnsi="Times New Roman" w:cs="Times New Roman"/>
          <w:sz w:val="24"/>
          <w:szCs w:val="24"/>
        </w:rPr>
        <w:t>had the potential to</w:t>
      </w:r>
      <w:r w:rsidR="00F95FA9">
        <w:rPr>
          <w:rFonts w:ascii="Times New Roman" w:hAnsi="Times New Roman" w:cs="Times New Roman"/>
          <w:sz w:val="24"/>
          <w:szCs w:val="24"/>
        </w:rPr>
        <w:t xml:space="preserve"> </w:t>
      </w:r>
      <w:r w:rsidR="0072026B">
        <w:rPr>
          <w:rFonts w:ascii="Times New Roman" w:hAnsi="Times New Roman" w:cs="Times New Roman"/>
          <w:sz w:val="24"/>
          <w:szCs w:val="24"/>
        </w:rPr>
        <w:t>influence the</w:t>
      </w:r>
      <w:r w:rsidR="00F95FA9">
        <w:rPr>
          <w:rFonts w:ascii="Times New Roman" w:hAnsi="Times New Roman" w:cs="Times New Roman"/>
          <w:sz w:val="24"/>
          <w:szCs w:val="24"/>
        </w:rPr>
        <w:t xml:space="preserve"> outcome of ‘Leave’. </w:t>
      </w:r>
      <w:r w:rsidR="00CD5D83">
        <w:rPr>
          <w:rFonts w:ascii="Times New Roman" w:hAnsi="Times New Roman" w:cs="Times New Roman"/>
          <w:sz w:val="24"/>
          <w:szCs w:val="24"/>
        </w:rPr>
        <w:t>Research</w:t>
      </w:r>
      <w:r w:rsidR="0072026B">
        <w:rPr>
          <w:rFonts w:ascii="Times New Roman" w:hAnsi="Times New Roman" w:cs="Times New Roman"/>
          <w:sz w:val="24"/>
          <w:szCs w:val="24"/>
        </w:rPr>
        <w:t xml:space="preserve"> continues to be carried out</w:t>
      </w:r>
      <w:r w:rsidR="00CD5D83">
        <w:rPr>
          <w:rFonts w:ascii="Times New Roman" w:hAnsi="Times New Roman" w:cs="Times New Roman"/>
          <w:sz w:val="24"/>
          <w:szCs w:val="24"/>
        </w:rPr>
        <w:t xml:space="preserve"> into what could have influenced voting attitudes. </w:t>
      </w:r>
      <w:r w:rsidR="00A7440A">
        <w:rPr>
          <w:rFonts w:ascii="Times New Roman" w:hAnsi="Times New Roman" w:cs="Times New Roman"/>
          <w:sz w:val="24"/>
          <w:szCs w:val="24"/>
        </w:rPr>
        <w:t>Allport (1979) defines ‘in-groups’ as being a group which a person belongs to</w:t>
      </w:r>
      <w:r w:rsidR="0064215C">
        <w:rPr>
          <w:rFonts w:ascii="Times New Roman" w:hAnsi="Times New Roman" w:cs="Times New Roman"/>
          <w:sz w:val="24"/>
          <w:szCs w:val="24"/>
        </w:rPr>
        <w:t>,</w:t>
      </w:r>
      <w:r w:rsidR="00A7440A">
        <w:rPr>
          <w:rFonts w:ascii="Times New Roman" w:hAnsi="Times New Roman" w:cs="Times New Roman"/>
          <w:sz w:val="24"/>
          <w:szCs w:val="24"/>
        </w:rPr>
        <w:t xml:space="preserve"> based upon a number of factors, such as religion, occupation and, in this case, race. ‘Out-groups’, in this context, are people who are not the same race as the people of Britain, i.e. people who have migrated into Britain. The attitudes that the in-group, i.e. British natives, hold towards the out-group, i.e. EU natives, and vice versa are the intergroup attitudes which need to be examined. </w:t>
      </w:r>
      <w:r w:rsidR="00906E78">
        <w:rPr>
          <w:rFonts w:ascii="Times New Roman" w:hAnsi="Times New Roman" w:cs="Times New Roman"/>
          <w:sz w:val="24"/>
          <w:szCs w:val="24"/>
        </w:rPr>
        <w:t>The attitudes the British natives held towards EU natives and immigrants prior to the vote may be a key element on why the outcome turned out the way it did</w:t>
      </w:r>
      <w:r w:rsidR="00534A12">
        <w:rPr>
          <w:rFonts w:ascii="Times New Roman" w:hAnsi="Times New Roman" w:cs="Times New Roman"/>
          <w:sz w:val="24"/>
          <w:szCs w:val="24"/>
        </w:rPr>
        <w:t>, i.e. 51.9% ‘Leave’ versus 48.1% ‘Remain’</w:t>
      </w:r>
      <w:r w:rsidR="00906E78">
        <w:rPr>
          <w:rFonts w:ascii="Times New Roman" w:hAnsi="Times New Roman" w:cs="Times New Roman"/>
          <w:sz w:val="24"/>
          <w:szCs w:val="24"/>
        </w:rPr>
        <w:t>.</w:t>
      </w:r>
      <w:r w:rsidR="002954D9">
        <w:rPr>
          <w:rFonts w:ascii="Times New Roman" w:hAnsi="Times New Roman" w:cs="Times New Roman"/>
          <w:sz w:val="24"/>
          <w:szCs w:val="24"/>
        </w:rPr>
        <w:t xml:space="preserve"> Nevertheless, </w:t>
      </w:r>
      <w:r w:rsidR="00B30B82">
        <w:rPr>
          <w:rFonts w:ascii="Times New Roman" w:hAnsi="Times New Roman" w:cs="Times New Roman"/>
          <w:sz w:val="24"/>
          <w:szCs w:val="24"/>
        </w:rPr>
        <w:t xml:space="preserve">many </w:t>
      </w:r>
      <w:r w:rsidR="002954D9">
        <w:rPr>
          <w:rFonts w:ascii="Times New Roman" w:hAnsi="Times New Roman" w:cs="Times New Roman"/>
          <w:sz w:val="24"/>
          <w:szCs w:val="24"/>
        </w:rPr>
        <w:t xml:space="preserve">factors </w:t>
      </w:r>
      <w:r w:rsidR="00B30B82">
        <w:rPr>
          <w:rFonts w:ascii="Times New Roman" w:hAnsi="Times New Roman" w:cs="Times New Roman"/>
          <w:sz w:val="24"/>
          <w:szCs w:val="24"/>
        </w:rPr>
        <w:t>could have</w:t>
      </w:r>
      <w:r w:rsidR="002954D9">
        <w:rPr>
          <w:rFonts w:ascii="Times New Roman" w:hAnsi="Times New Roman" w:cs="Times New Roman"/>
          <w:sz w:val="24"/>
          <w:szCs w:val="24"/>
        </w:rPr>
        <w:t xml:space="preserve"> </w:t>
      </w:r>
      <w:r w:rsidR="00B30B82">
        <w:rPr>
          <w:rFonts w:ascii="Times New Roman" w:hAnsi="Times New Roman" w:cs="Times New Roman"/>
          <w:sz w:val="24"/>
          <w:szCs w:val="24"/>
        </w:rPr>
        <w:t>influenced</w:t>
      </w:r>
      <w:r w:rsidR="002954D9">
        <w:rPr>
          <w:rFonts w:ascii="Times New Roman" w:hAnsi="Times New Roman" w:cs="Times New Roman"/>
          <w:sz w:val="24"/>
          <w:szCs w:val="24"/>
        </w:rPr>
        <w:t xml:space="preserve"> the result of the referendum</w:t>
      </w:r>
      <w:r w:rsidR="00B30B82">
        <w:rPr>
          <w:rFonts w:ascii="Times New Roman" w:hAnsi="Times New Roman" w:cs="Times New Roman"/>
          <w:sz w:val="24"/>
          <w:szCs w:val="24"/>
        </w:rPr>
        <w:t xml:space="preserve">, with </w:t>
      </w:r>
      <w:r w:rsidR="002954D9">
        <w:rPr>
          <w:rFonts w:ascii="Times New Roman" w:hAnsi="Times New Roman" w:cs="Times New Roman"/>
          <w:sz w:val="24"/>
          <w:szCs w:val="24"/>
        </w:rPr>
        <w:t>intergroup attit</w:t>
      </w:r>
      <w:r w:rsidR="00B30B82">
        <w:rPr>
          <w:rFonts w:ascii="Times New Roman" w:hAnsi="Times New Roman" w:cs="Times New Roman"/>
          <w:sz w:val="24"/>
          <w:szCs w:val="24"/>
        </w:rPr>
        <w:t xml:space="preserve">udes possibly playing a major role. </w:t>
      </w:r>
    </w:p>
    <w:p w14:paraId="2F2BB0D7" w14:textId="3A2BF7C1" w:rsidR="00F41E43" w:rsidRDefault="00F41E43">
      <w:pPr>
        <w:rPr>
          <w:rFonts w:ascii="Times New Roman" w:hAnsi="Times New Roman" w:cs="Times New Roman"/>
          <w:sz w:val="24"/>
          <w:szCs w:val="24"/>
        </w:rPr>
      </w:pPr>
    </w:p>
    <w:p w14:paraId="5A1AC760" w14:textId="77777777" w:rsidR="00180F16" w:rsidRDefault="00F41E43" w:rsidP="00180F16">
      <w:pPr>
        <w:rPr>
          <w:rFonts w:ascii="Times New Roman" w:hAnsi="Times New Roman" w:cs="Times New Roman"/>
          <w:sz w:val="24"/>
          <w:szCs w:val="24"/>
        </w:rPr>
      </w:pPr>
      <w:r>
        <w:rPr>
          <w:rFonts w:ascii="Times New Roman" w:hAnsi="Times New Roman" w:cs="Times New Roman"/>
          <w:sz w:val="24"/>
          <w:szCs w:val="24"/>
        </w:rPr>
        <w:t>Researchers Bachmann and Sidaway (2016) found that people provided evidence for five key terms that could have influenced the Brexit vote. These are nationalism, populism, imperialism, fragmentation and inequality. There does seem to be an abundance of evidence for nationalism, fragmentation and inequality, which will be discussed later. All five of these elements could have an impact on intergroup attitudes in a negative way.</w:t>
      </w:r>
      <w:r w:rsidR="005E50DE">
        <w:rPr>
          <w:rFonts w:ascii="Times New Roman" w:hAnsi="Times New Roman" w:cs="Times New Roman"/>
          <w:sz w:val="24"/>
          <w:szCs w:val="24"/>
        </w:rPr>
        <w:t xml:space="preserve"> On the other hand, Burnett (2017) described the referendum as nativist which has created a racist climate in the UK, before and after the referendum. He also states that politicians place the blame of hate crimes on individuals in society, meaning they avoid responsibility for the current state of racism regarding migrants. </w:t>
      </w:r>
      <w:r w:rsidR="00180F16">
        <w:rPr>
          <w:rFonts w:ascii="Times New Roman" w:hAnsi="Times New Roman" w:cs="Times New Roman"/>
          <w:sz w:val="24"/>
          <w:szCs w:val="24"/>
        </w:rPr>
        <w:t xml:space="preserve">Prior to the referendum, research was conducted by Medrano and Koenig (2005) into nationalism and attitudes towards migrant. The UNESCO data reviewed </w:t>
      </w:r>
      <w:r w:rsidR="00180F16">
        <w:rPr>
          <w:rFonts w:ascii="Times New Roman" w:hAnsi="Times New Roman" w:cs="Times New Roman"/>
          <w:sz w:val="24"/>
          <w:szCs w:val="24"/>
        </w:rPr>
        <w:lastRenderedPageBreak/>
        <w:t>by the researchers, concluded that people who did not adhere to models of nationhood, or held nationalistic beliefs, were more open towards migrants and held positive attitudes towards them.</w:t>
      </w:r>
    </w:p>
    <w:p w14:paraId="4CA03447" w14:textId="77777777" w:rsidR="00E5765E" w:rsidRDefault="00E5765E">
      <w:pPr>
        <w:rPr>
          <w:rFonts w:ascii="Times New Roman" w:hAnsi="Times New Roman" w:cs="Times New Roman"/>
          <w:sz w:val="24"/>
          <w:szCs w:val="24"/>
        </w:rPr>
      </w:pPr>
    </w:p>
    <w:p w14:paraId="43CC842D" w14:textId="3CBEE267" w:rsidR="00F41E43" w:rsidRDefault="005E50DE">
      <w:pPr>
        <w:rPr>
          <w:rFonts w:ascii="Times New Roman" w:hAnsi="Times New Roman" w:cs="Times New Roman"/>
          <w:sz w:val="24"/>
          <w:szCs w:val="24"/>
        </w:rPr>
      </w:pPr>
      <w:r>
        <w:rPr>
          <w:rFonts w:ascii="Times New Roman" w:hAnsi="Times New Roman" w:cs="Times New Roman"/>
          <w:sz w:val="24"/>
          <w:szCs w:val="24"/>
        </w:rPr>
        <w:t xml:space="preserve">Evidence </w:t>
      </w:r>
      <w:r w:rsidR="00E16775">
        <w:rPr>
          <w:rFonts w:ascii="Times New Roman" w:hAnsi="Times New Roman" w:cs="Times New Roman"/>
          <w:sz w:val="24"/>
          <w:szCs w:val="24"/>
        </w:rPr>
        <w:t>negative attitudes and racism can be seen in</w:t>
      </w:r>
      <w:r>
        <w:rPr>
          <w:rFonts w:ascii="Times New Roman" w:hAnsi="Times New Roman" w:cs="Times New Roman"/>
          <w:sz w:val="24"/>
          <w:szCs w:val="24"/>
        </w:rPr>
        <w:t xml:space="preserve"> hate crimes</w:t>
      </w:r>
      <w:r w:rsidR="00E16775">
        <w:rPr>
          <w:rFonts w:ascii="Times New Roman" w:hAnsi="Times New Roman" w:cs="Times New Roman"/>
          <w:sz w:val="24"/>
          <w:szCs w:val="24"/>
        </w:rPr>
        <w:t>.</w:t>
      </w:r>
      <w:r>
        <w:rPr>
          <w:rFonts w:ascii="Times New Roman" w:hAnsi="Times New Roman" w:cs="Times New Roman"/>
          <w:sz w:val="24"/>
          <w:szCs w:val="24"/>
        </w:rPr>
        <w:t xml:space="preserve"> Chief Bernard Hogan-Howe for the Metropolitan Police, as cited in Burnett (2017), where only 38 days after the referendum the number of hate crimes reported rose to over 2,300. This could suggest that the referendum gave people an excuse to move their prejudice thoughts into discriminative actions resulting in the rising hate crimes towards migrants in the country. Also, between June 16</w:t>
      </w:r>
      <w:r w:rsidRPr="005E50DE">
        <w:rPr>
          <w:rFonts w:ascii="Times New Roman" w:hAnsi="Times New Roman" w:cs="Times New Roman"/>
          <w:sz w:val="24"/>
          <w:szCs w:val="24"/>
          <w:vertAlign w:val="superscript"/>
        </w:rPr>
        <w:t>th</w:t>
      </w:r>
      <w:r>
        <w:rPr>
          <w:rFonts w:ascii="Times New Roman" w:hAnsi="Times New Roman" w:cs="Times New Roman"/>
          <w:sz w:val="24"/>
          <w:szCs w:val="24"/>
        </w:rPr>
        <w:t xml:space="preserve"> and June 30</w:t>
      </w:r>
      <w:r w:rsidRPr="005E50DE">
        <w:rPr>
          <w:rFonts w:ascii="Times New Roman" w:hAnsi="Times New Roman" w:cs="Times New Roman"/>
          <w:sz w:val="24"/>
          <w:szCs w:val="24"/>
          <w:vertAlign w:val="superscript"/>
        </w:rPr>
        <w:t>th</w:t>
      </w:r>
      <w:r w:rsidR="00E5765E">
        <w:rPr>
          <w:rFonts w:ascii="Times New Roman" w:hAnsi="Times New Roman" w:cs="Times New Roman"/>
          <w:sz w:val="24"/>
          <w:szCs w:val="24"/>
          <w:vertAlign w:val="superscript"/>
        </w:rPr>
        <w:t xml:space="preserve"> </w:t>
      </w:r>
      <w:r>
        <w:rPr>
          <w:rFonts w:ascii="Times New Roman" w:hAnsi="Times New Roman" w:cs="Times New Roman"/>
          <w:sz w:val="24"/>
          <w:szCs w:val="24"/>
        </w:rPr>
        <w:t xml:space="preserve"> in 2016</w:t>
      </w:r>
      <w:r w:rsidR="00E5765E">
        <w:rPr>
          <w:rFonts w:ascii="Times New Roman" w:hAnsi="Times New Roman" w:cs="Times New Roman"/>
          <w:sz w:val="24"/>
          <w:szCs w:val="24"/>
        </w:rPr>
        <w:t>,</w:t>
      </w:r>
      <w:r w:rsidR="00315B0E">
        <w:rPr>
          <w:rFonts w:ascii="Times New Roman" w:hAnsi="Times New Roman" w:cs="Times New Roman"/>
          <w:sz w:val="24"/>
          <w:szCs w:val="24"/>
        </w:rPr>
        <w:t xml:space="preserve"> there were</w:t>
      </w:r>
      <w:r w:rsidR="00E5765E">
        <w:rPr>
          <w:rFonts w:ascii="Times New Roman" w:hAnsi="Times New Roman" w:cs="Times New Roman"/>
          <w:sz w:val="24"/>
          <w:szCs w:val="24"/>
        </w:rPr>
        <w:t xml:space="preserve"> over 3,000 hate crimes</w:t>
      </w:r>
      <w:r w:rsidR="00315B0E">
        <w:rPr>
          <w:rFonts w:ascii="Times New Roman" w:hAnsi="Times New Roman" w:cs="Times New Roman"/>
          <w:sz w:val="24"/>
          <w:szCs w:val="24"/>
        </w:rPr>
        <w:t xml:space="preserve"> recorded by police</w:t>
      </w:r>
      <w:r w:rsidR="00E5765E">
        <w:rPr>
          <w:rFonts w:ascii="Times New Roman" w:hAnsi="Times New Roman" w:cs="Times New Roman"/>
          <w:sz w:val="24"/>
          <w:szCs w:val="24"/>
        </w:rPr>
        <w:t xml:space="preserve"> across the country, which was a</w:t>
      </w:r>
      <w:r w:rsidR="00FF0CBE">
        <w:rPr>
          <w:rFonts w:ascii="Times New Roman" w:hAnsi="Times New Roman" w:cs="Times New Roman"/>
          <w:sz w:val="24"/>
          <w:szCs w:val="24"/>
        </w:rPr>
        <w:t xml:space="preserve">n increase of 42% compared to the same period the previous year </w:t>
      </w:r>
      <w:r w:rsidR="00E5765E">
        <w:rPr>
          <w:rFonts w:ascii="Times New Roman" w:hAnsi="Times New Roman" w:cs="Times New Roman"/>
          <w:sz w:val="24"/>
          <w:szCs w:val="24"/>
        </w:rPr>
        <w:t>. 134 incidents were examined, in Burnett’s article, and found that most of the victims were European migrants and black people, and 51 of these incidents explicitly</w:t>
      </w:r>
      <w:r w:rsidR="00505B2B">
        <w:rPr>
          <w:rFonts w:ascii="Times New Roman" w:hAnsi="Times New Roman" w:cs="Times New Roman"/>
          <w:sz w:val="24"/>
          <w:szCs w:val="24"/>
        </w:rPr>
        <w:t xml:space="preserve"> referenced</w:t>
      </w:r>
      <w:r w:rsidR="00E5765E">
        <w:rPr>
          <w:rFonts w:ascii="Times New Roman" w:hAnsi="Times New Roman" w:cs="Times New Roman"/>
          <w:sz w:val="24"/>
          <w:szCs w:val="24"/>
        </w:rPr>
        <w:t xml:space="preserve"> the EU referendum or the message portrayed by it, e.g. taking back control of the country. Statistics, such as these, would suggest that negative attitudes towards out-groups, by some of the UK population, were present prior to the referendum, which they used as a scapegoat to move these attitudes into racism. </w:t>
      </w:r>
    </w:p>
    <w:p w14:paraId="0AE89B19" w14:textId="69BA3C6F" w:rsidR="00AA5FCF" w:rsidRDefault="00AA5FCF">
      <w:pPr>
        <w:rPr>
          <w:rFonts w:ascii="Times New Roman" w:hAnsi="Times New Roman" w:cs="Times New Roman"/>
          <w:b/>
          <w:bCs/>
          <w:sz w:val="24"/>
          <w:szCs w:val="24"/>
        </w:rPr>
      </w:pPr>
    </w:p>
    <w:p w14:paraId="53F4CD90" w14:textId="5A781795" w:rsidR="00AB6D9F" w:rsidRDefault="00FD5256">
      <w:pPr>
        <w:rPr>
          <w:rFonts w:ascii="Times New Roman" w:hAnsi="Times New Roman" w:cs="Times New Roman"/>
          <w:sz w:val="24"/>
          <w:szCs w:val="24"/>
        </w:rPr>
      </w:pPr>
      <w:r>
        <w:rPr>
          <w:rFonts w:ascii="Times New Roman" w:hAnsi="Times New Roman" w:cs="Times New Roman"/>
          <w:sz w:val="24"/>
          <w:szCs w:val="24"/>
        </w:rPr>
        <w:t xml:space="preserve">Statistics from the Office for National Statistics (ONS) reported in 2015, </w:t>
      </w:r>
      <w:r w:rsidR="00D923BD">
        <w:rPr>
          <w:rFonts w:ascii="Times New Roman" w:hAnsi="Times New Roman" w:cs="Times New Roman"/>
          <w:sz w:val="24"/>
          <w:szCs w:val="24"/>
        </w:rPr>
        <w:t>found in</w:t>
      </w:r>
      <w:r>
        <w:rPr>
          <w:rFonts w:ascii="Times New Roman" w:hAnsi="Times New Roman" w:cs="Times New Roman"/>
          <w:sz w:val="24"/>
          <w:szCs w:val="24"/>
        </w:rPr>
        <w:t xml:space="preserve"> their quarterly migration report, that net migration had reached a high of 336,000, up 82,000 more from the same period the year before. Statistics also show that there was a statistically significant increase of EU citizens migrating into the country, the number increased to 180,000, which had risen 42,000 compared to the previous year.</w:t>
      </w:r>
      <w:r w:rsidR="00077EC1">
        <w:rPr>
          <w:rFonts w:ascii="Times New Roman" w:hAnsi="Times New Roman" w:cs="Times New Roman"/>
          <w:sz w:val="24"/>
          <w:szCs w:val="24"/>
        </w:rPr>
        <w:t xml:space="preserve"> People who expressed concern over immigration into th</w:t>
      </w:r>
      <w:r w:rsidR="00DB1339">
        <w:rPr>
          <w:rFonts w:ascii="Times New Roman" w:hAnsi="Times New Roman" w:cs="Times New Roman"/>
          <w:sz w:val="24"/>
          <w:szCs w:val="24"/>
        </w:rPr>
        <w:t>e country</w:t>
      </w:r>
      <w:r w:rsidR="00077EC1">
        <w:rPr>
          <w:rFonts w:ascii="Times New Roman" w:hAnsi="Times New Roman" w:cs="Times New Roman"/>
          <w:sz w:val="24"/>
          <w:szCs w:val="24"/>
        </w:rPr>
        <w:t xml:space="preserve"> had a</w:t>
      </w:r>
      <w:r w:rsidR="00DB1339">
        <w:rPr>
          <w:rFonts w:ascii="Times New Roman" w:hAnsi="Times New Roman" w:cs="Times New Roman"/>
          <w:sz w:val="24"/>
          <w:szCs w:val="24"/>
        </w:rPr>
        <w:t xml:space="preserve"> much</w:t>
      </w:r>
      <w:r w:rsidR="00077EC1">
        <w:rPr>
          <w:rFonts w:ascii="Times New Roman" w:hAnsi="Times New Roman" w:cs="Times New Roman"/>
          <w:sz w:val="24"/>
          <w:szCs w:val="24"/>
        </w:rPr>
        <w:t xml:space="preserve"> higher chance of voting to leave (Hobalt, 2016, as cited in Zavala, Guerra and </w:t>
      </w:r>
      <w:r w:rsidR="00077EC1">
        <w:rPr>
          <w:rStyle w:val="Hyperlink"/>
          <w:rFonts w:ascii="Times New Roman" w:hAnsi="Times New Roman" w:cs="Times New Roman"/>
          <w:color w:val="auto"/>
          <w:sz w:val="24"/>
          <w:szCs w:val="24"/>
          <w:u w:val="none"/>
        </w:rPr>
        <w:t>Simão, 2017).</w:t>
      </w:r>
    </w:p>
    <w:p w14:paraId="0080962E" w14:textId="77777777" w:rsidR="00FD5256" w:rsidRDefault="00FD5256">
      <w:pPr>
        <w:rPr>
          <w:rFonts w:ascii="Times New Roman" w:hAnsi="Times New Roman" w:cs="Times New Roman"/>
          <w:sz w:val="24"/>
          <w:szCs w:val="24"/>
        </w:rPr>
      </w:pPr>
    </w:p>
    <w:p w14:paraId="70512125" w14:textId="2029E982" w:rsidR="009A6FE9" w:rsidRDefault="00E7638A">
      <w:pPr>
        <w:rPr>
          <w:rFonts w:ascii="Times New Roman" w:hAnsi="Times New Roman" w:cs="Times New Roman"/>
          <w:sz w:val="24"/>
          <w:szCs w:val="24"/>
        </w:rPr>
      </w:pPr>
      <w:r>
        <w:rPr>
          <w:rFonts w:ascii="Times New Roman" w:hAnsi="Times New Roman" w:cs="Times New Roman"/>
          <w:sz w:val="24"/>
          <w:szCs w:val="24"/>
        </w:rPr>
        <w:t>Polish migrants experienced r</w:t>
      </w:r>
      <w:r w:rsidR="006E5C04">
        <w:rPr>
          <w:rFonts w:ascii="Times New Roman" w:hAnsi="Times New Roman" w:cs="Times New Roman"/>
          <w:sz w:val="24"/>
          <w:szCs w:val="24"/>
        </w:rPr>
        <w:t xml:space="preserve">acism and </w:t>
      </w:r>
      <w:r>
        <w:rPr>
          <w:rFonts w:ascii="Times New Roman" w:hAnsi="Times New Roman" w:cs="Times New Roman"/>
          <w:sz w:val="24"/>
          <w:szCs w:val="24"/>
        </w:rPr>
        <w:t>xe</w:t>
      </w:r>
      <w:r w:rsidR="006E5C04">
        <w:rPr>
          <w:rFonts w:ascii="Times New Roman" w:hAnsi="Times New Roman" w:cs="Times New Roman"/>
          <w:sz w:val="24"/>
          <w:szCs w:val="24"/>
        </w:rPr>
        <w:t>nophobia prior to</w:t>
      </w:r>
      <w:r>
        <w:rPr>
          <w:rFonts w:ascii="Times New Roman" w:hAnsi="Times New Roman" w:cs="Times New Roman"/>
          <w:sz w:val="24"/>
          <w:szCs w:val="24"/>
        </w:rPr>
        <w:t xml:space="preserve"> the 2016 </w:t>
      </w:r>
      <w:r w:rsidR="006E5C04">
        <w:rPr>
          <w:rFonts w:ascii="Times New Roman" w:hAnsi="Times New Roman" w:cs="Times New Roman"/>
          <w:sz w:val="24"/>
          <w:szCs w:val="24"/>
        </w:rPr>
        <w:t>Brexit vote</w:t>
      </w:r>
      <w:r>
        <w:rPr>
          <w:rFonts w:ascii="Times New Roman" w:hAnsi="Times New Roman" w:cs="Times New Roman"/>
          <w:sz w:val="24"/>
          <w:szCs w:val="24"/>
        </w:rPr>
        <w:t xml:space="preserve">, which </w:t>
      </w:r>
      <w:r w:rsidR="006E5C04">
        <w:rPr>
          <w:rFonts w:ascii="Times New Roman" w:hAnsi="Times New Roman" w:cs="Times New Roman"/>
          <w:sz w:val="24"/>
          <w:szCs w:val="24"/>
        </w:rPr>
        <w:t>eventually increased again after the vote. This is examined by Rzepnikowska (2019)</w:t>
      </w:r>
      <w:r w:rsidR="00CA5235">
        <w:rPr>
          <w:rFonts w:ascii="Times New Roman" w:hAnsi="Times New Roman" w:cs="Times New Roman"/>
          <w:sz w:val="24"/>
          <w:szCs w:val="24"/>
        </w:rPr>
        <w:t xml:space="preserve"> who show cases the role media and discourse in politics play as well as local context when relations are formed between Polish migrants and the local people in their area. Often Polish migrants have been branded ‘desirable’ and ‘invisible’ due to their whiteness which does not stand out like other ethnic groups, before, during the 2008 economic crisis, and during the vote, following this they had a label placed on them that they were taking local jobs and putting serious strain on public services. These attitudes are negative towards this group of migrants, who experienced racism, in the form of breaking car windows and harassment, before the vote ever took place. This suggests that people’s intergroup attitudes were negative before the vote and these attitudes could have possibly played a role in the way they voted.</w:t>
      </w:r>
      <w:r w:rsidR="009A6FE9">
        <w:rPr>
          <w:rFonts w:ascii="Times New Roman" w:hAnsi="Times New Roman" w:cs="Times New Roman"/>
          <w:sz w:val="24"/>
          <w:szCs w:val="24"/>
        </w:rPr>
        <w:t xml:space="preserve"> </w:t>
      </w:r>
    </w:p>
    <w:p w14:paraId="61C85F66" w14:textId="77777777" w:rsidR="009A6FE9" w:rsidRDefault="009A6FE9">
      <w:pPr>
        <w:rPr>
          <w:rFonts w:ascii="Times New Roman" w:hAnsi="Times New Roman" w:cs="Times New Roman"/>
          <w:sz w:val="24"/>
          <w:szCs w:val="24"/>
        </w:rPr>
      </w:pPr>
    </w:p>
    <w:p w14:paraId="60DF9626" w14:textId="174060C0" w:rsidR="00BA5924" w:rsidRDefault="009A6FE9">
      <w:pPr>
        <w:rPr>
          <w:rFonts w:ascii="Times New Roman" w:hAnsi="Times New Roman" w:cs="Times New Roman"/>
          <w:sz w:val="24"/>
          <w:szCs w:val="24"/>
        </w:rPr>
      </w:pPr>
      <w:r>
        <w:rPr>
          <w:rFonts w:ascii="Times New Roman" w:hAnsi="Times New Roman" w:cs="Times New Roman"/>
          <w:sz w:val="24"/>
          <w:szCs w:val="24"/>
        </w:rPr>
        <w:t>Further evidence, of possible intergroup attitudes, comes from interviews with Polish migrants in 2012 and 2013 before the referendum, also in</w:t>
      </w:r>
      <w:r w:rsidRPr="009A6FE9">
        <w:rPr>
          <w:rFonts w:ascii="Times New Roman" w:hAnsi="Times New Roman" w:cs="Times New Roman"/>
          <w:sz w:val="24"/>
          <w:szCs w:val="24"/>
        </w:rPr>
        <w:t xml:space="preserve"> </w:t>
      </w:r>
      <w:r>
        <w:rPr>
          <w:rFonts w:ascii="Times New Roman" w:hAnsi="Times New Roman" w:cs="Times New Roman"/>
          <w:sz w:val="24"/>
          <w:szCs w:val="24"/>
        </w:rPr>
        <w:t xml:space="preserve">Rzepnikowska’s 2019 article, who say that the media found a ‘scapegoat’ in the Polish migrant population in the country. They were blamed again for taking jobs off the locals and experienced racism regardless of being white. One Polish migrant stated that the media had most of the impact on his local area and the blame was placed on Polish natives as there were many of them in the country at the time. Amongst all the people who reported racism and xenophobia, they all showed a link between class and characteristics, in this case more of the British working class who were white displayed the most discrimination and racism towards migrants. This could suggest that </w:t>
      </w:r>
      <w:r w:rsidR="005C51F0">
        <w:rPr>
          <w:rFonts w:ascii="Times New Roman" w:hAnsi="Times New Roman" w:cs="Times New Roman"/>
          <w:sz w:val="24"/>
          <w:szCs w:val="24"/>
        </w:rPr>
        <w:t xml:space="preserve">people who are poorer and have less education, which could mean less contact with out-groups, display more negative attitudes towards immigrants. These people </w:t>
      </w:r>
      <w:r w:rsidR="00E16775">
        <w:rPr>
          <w:rFonts w:ascii="Times New Roman" w:hAnsi="Times New Roman" w:cs="Times New Roman"/>
          <w:sz w:val="24"/>
          <w:szCs w:val="24"/>
        </w:rPr>
        <w:t>could have</w:t>
      </w:r>
      <w:r w:rsidR="005C51F0">
        <w:rPr>
          <w:rFonts w:ascii="Times New Roman" w:hAnsi="Times New Roman" w:cs="Times New Roman"/>
          <w:sz w:val="24"/>
          <w:szCs w:val="24"/>
        </w:rPr>
        <w:t xml:space="preserve"> </w:t>
      </w:r>
      <w:r w:rsidR="00E7638A">
        <w:rPr>
          <w:rFonts w:ascii="Times New Roman" w:hAnsi="Times New Roman" w:cs="Times New Roman"/>
          <w:sz w:val="24"/>
          <w:szCs w:val="24"/>
        </w:rPr>
        <w:lastRenderedPageBreak/>
        <w:t xml:space="preserve">decided to vote leave </w:t>
      </w:r>
      <w:r w:rsidR="005C51F0">
        <w:rPr>
          <w:rFonts w:ascii="Times New Roman" w:hAnsi="Times New Roman" w:cs="Times New Roman"/>
          <w:sz w:val="24"/>
          <w:szCs w:val="24"/>
        </w:rPr>
        <w:t>due to an increase in immigration, more focused on one group; Polish migrants, and their negative attitudes were shaped by the media platforms around them.</w:t>
      </w:r>
    </w:p>
    <w:p w14:paraId="255B5437" w14:textId="77777777" w:rsidR="00E16775" w:rsidRDefault="00E16775">
      <w:pPr>
        <w:rPr>
          <w:rFonts w:ascii="Times New Roman" w:hAnsi="Times New Roman" w:cs="Times New Roman"/>
          <w:sz w:val="24"/>
          <w:szCs w:val="24"/>
        </w:rPr>
      </w:pPr>
    </w:p>
    <w:p w14:paraId="4B47E95A" w14:textId="7CF179E6" w:rsidR="00B5022C" w:rsidRDefault="00B5022C">
      <w:pPr>
        <w:rPr>
          <w:rStyle w:val="Hyperlink"/>
          <w:rFonts w:ascii="Times New Roman" w:hAnsi="Times New Roman" w:cs="Times New Roman"/>
          <w:color w:val="auto"/>
          <w:sz w:val="24"/>
          <w:szCs w:val="24"/>
          <w:u w:val="none"/>
        </w:rPr>
      </w:pPr>
      <w:r>
        <w:rPr>
          <w:rFonts w:ascii="Times New Roman" w:hAnsi="Times New Roman" w:cs="Times New Roman"/>
          <w:sz w:val="24"/>
          <w:szCs w:val="24"/>
        </w:rPr>
        <w:t xml:space="preserve">The role </w:t>
      </w:r>
      <w:r w:rsidR="00E7638A">
        <w:rPr>
          <w:rFonts w:ascii="Times New Roman" w:hAnsi="Times New Roman" w:cs="Times New Roman"/>
          <w:sz w:val="24"/>
          <w:szCs w:val="24"/>
        </w:rPr>
        <w:t>c</w:t>
      </w:r>
      <w:r>
        <w:rPr>
          <w:rFonts w:ascii="Times New Roman" w:hAnsi="Times New Roman" w:cs="Times New Roman"/>
          <w:sz w:val="24"/>
          <w:szCs w:val="24"/>
        </w:rPr>
        <w:t xml:space="preserve">ollective </w:t>
      </w:r>
      <w:r w:rsidR="00E7638A">
        <w:rPr>
          <w:rFonts w:ascii="Times New Roman" w:hAnsi="Times New Roman" w:cs="Times New Roman"/>
          <w:sz w:val="24"/>
          <w:szCs w:val="24"/>
        </w:rPr>
        <w:t>n</w:t>
      </w:r>
      <w:r>
        <w:rPr>
          <w:rFonts w:ascii="Times New Roman" w:hAnsi="Times New Roman" w:cs="Times New Roman"/>
          <w:sz w:val="24"/>
          <w:szCs w:val="24"/>
        </w:rPr>
        <w:t>arcissism, right-wing authoritarianism and social dominance orientation</w:t>
      </w:r>
      <w:r w:rsidR="00E7638A">
        <w:rPr>
          <w:rFonts w:ascii="Times New Roman" w:hAnsi="Times New Roman" w:cs="Times New Roman"/>
          <w:sz w:val="24"/>
          <w:szCs w:val="24"/>
        </w:rPr>
        <w:t xml:space="preserve"> could have played</w:t>
      </w:r>
      <w:r>
        <w:rPr>
          <w:rFonts w:ascii="Times New Roman" w:hAnsi="Times New Roman" w:cs="Times New Roman"/>
          <w:sz w:val="24"/>
          <w:szCs w:val="24"/>
        </w:rPr>
        <w:t xml:space="preserve"> in the EU referendum was examined by Zavala, Guerra and </w:t>
      </w:r>
      <w:r>
        <w:rPr>
          <w:rStyle w:val="Hyperlink"/>
          <w:rFonts w:ascii="Times New Roman" w:hAnsi="Times New Roman" w:cs="Times New Roman"/>
          <w:color w:val="auto"/>
          <w:sz w:val="24"/>
          <w:szCs w:val="24"/>
          <w:u w:val="none"/>
        </w:rPr>
        <w:t>Simão (2017)</w:t>
      </w:r>
      <w:r w:rsidR="00BA69DB">
        <w:rPr>
          <w:rStyle w:val="Hyperlink"/>
          <w:rFonts w:ascii="Times New Roman" w:hAnsi="Times New Roman" w:cs="Times New Roman"/>
          <w:color w:val="auto"/>
          <w:sz w:val="24"/>
          <w:szCs w:val="24"/>
          <w:u w:val="none"/>
        </w:rPr>
        <w:t xml:space="preserve">, all </w:t>
      </w:r>
      <w:r w:rsidR="00E7638A">
        <w:rPr>
          <w:rStyle w:val="Hyperlink"/>
          <w:rFonts w:ascii="Times New Roman" w:hAnsi="Times New Roman" w:cs="Times New Roman"/>
          <w:color w:val="auto"/>
          <w:sz w:val="24"/>
          <w:szCs w:val="24"/>
          <w:u w:val="none"/>
        </w:rPr>
        <w:t>three factors</w:t>
      </w:r>
      <w:r w:rsidR="00BA69DB">
        <w:rPr>
          <w:rStyle w:val="Hyperlink"/>
          <w:rFonts w:ascii="Times New Roman" w:hAnsi="Times New Roman" w:cs="Times New Roman"/>
          <w:color w:val="auto"/>
          <w:sz w:val="24"/>
          <w:szCs w:val="24"/>
          <w:u w:val="none"/>
        </w:rPr>
        <w:t xml:space="preserve"> could be used to predict political behaviour</w:t>
      </w:r>
      <w:r>
        <w:rPr>
          <w:rStyle w:val="Hyperlink"/>
          <w:rFonts w:ascii="Times New Roman" w:hAnsi="Times New Roman" w:cs="Times New Roman"/>
          <w:color w:val="auto"/>
          <w:sz w:val="24"/>
          <w:szCs w:val="24"/>
          <w:u w:val="none"/>
        </w:rPr>
        <w:t xml:space="preserve">. The researchers found that all three of these predictors were related to the outcome of the vote relating to prejudice regarding national uniqueness, protection of normative status quo and the national international status. These findings corroborate with previous finding showing that the three factors above can be used to explain the negative attitudes towards out-groups, and accounts for the different reasons. However, in this study, the researchers state that </w:t>
      </w:r>
      <w:r w:rsidR="00D4326C">
        <w:rPr>
          <w:rStyle w:val="Hyperlink"/>
          <w:rFonts w:ascii="Times New Roman" w:hAnsi="Times New Roman" w:cs="Times New Roman"/>
          <w:color w:val="auto"/>
          <w:sz w:val="24"/>
          <w:szCs w:val="24"/>
          <w:u w:val="none"/>
        </w:rPr>
        <w:t xml:space="preserve">national identification and national attachment </w:t>
      </w:r>
      <w:r w:rsidR="00BA69DB">
        <w:rPr>
          <w:rStyle w:val="Hyperlink"/>
          <w:rFonts w:ascii="Times New Roman" w:hAnsi="Times New Roman" w:cs="Times New Roman"/>
          <w:color w:val="auto"/>
          <w:sz w:val="24"/>
          <w:szCs w:val="24"/>
          <w:u w:val="none"/>
        </w:rPr>
        <w:t>did not relate to the referendum</w:t>
      </w:r>
      <w:r w:rsidR="00A25290">
        <w:rPr>
          <w:rStyle w:val="Hyperlink"/>
          <w:rFonts w:ascii="Times New Roman" w:hAnsi="Times New Roman" w:cs="Times New Roman"/>
          <w:color w:val="auto"/>
          <w:sz w:val="24"/>
          <w:szCs w:val="24"/>
          <w:u w:val="none"/>
        </w:rPr>
        <w:t xml:space="preserve"> results</w:t>
      </w:r>
      <w:r w:rsidR="00BA69DB">
        <w:rPr>
          <w:rStyle w:val="Hyperlink"/>
          <w:rFonts w:ascii="Times New Roman" w:hAnsi="Times New Roman" w:cs="Times New Roman"/>
          <w:color w:val="auto"/>
          <w:sz w:val="24"/>
          <w:szCs w:val="24"/>
          <w:u w:val="none"/>
        </w:rPr>
        <w:t xml:space="preserve">, not related to the rejection of immigrants or the vote itself due to overlap being controlled. This may be argued against by other researchers, </w:t>
      </w:r>
      <w:r w:rsidR="00FB1BF4">
        <w:rPr>
          <w:rStyle w:val="Hyperlink"/>
          <w:rFonts w:ascii="Times New Roman" w:hAnsi="Times New Roman" w:cs="Times New Roman"/>
          <w:color w:val="auto"/>
          <w:sz w:val="24"/>
          <w:szCs w:val="24"/>
          <w:u w:val="none"/>
        </w:rPr>
        <w:t>such as Virdee and McGeever (2018) discussed later</w:t>
      </w:r>
      <w:r w:rsidR="00BA69DB">
        <w:rPr>
          <w:rStyle w:val="Hyperlink"/>
          <w:rFonts w:ascii="Times New Roman" w:hAnsi="Times New Roman" w:cs="Times New Roman"/>
          <w:color w:val="auto"/>
          <w:sz w:val="24"/>
          <w:szCs w:val="24"/>
          <w:u w:val="none"/>
        </w:rPr>
        <w:t xml:space="preserve">, who </w:t>
      </w:r>
      <w:r w:rsidR="00FB1BF4">
        <w:rPr>
          <w:rStyle w:val="Hyperlink"/>
          <w:rFonts w:ascii="Times New Roman" w:hAnsi="Times New Roman" w:cs="Times New Roman"/>
          <w:color w:val="auto"/>
          <w:sz w:val="24"/>
          <w:szCs w:val="24"/>
          <w:u w:val="none"/>
        </w:rPr>
        <w:t>suggest otherwise</w:t>
      </w:r>
      <w:r w:rsidR="00BA69DB">
        <w:rPr>
          <w:rStyle w:val="Hyperlink"/>
          <w:rFonts w:ascii="Times New Roman" w:hAnsi="Times New Roman" w:cs="Times New Roman"/>
          <w:color w:val="auto"/>
          <w:sz w:val="24"/>
          <w:szCs w:val="24"/>
          <w:u w:val="none"/>
        </w:rPr>
        <w:t xml:space="preserve">. This suggests that </w:t>
      </w:r>
      <w:r w:rsidR="00A25290">
        <w:rPr>
          <w:rStyle w:val="Hyperlink"/>
          <w:rFonts w:ascii="Times New Roman" w:hAnsi="Times New Roman" w:cs="Times New Roman"/>
          <w:color w:val="auto"/>
          <w:sz w:val="24"/>
          <w:szCs w:val="24"/>
          <w:u w:val="none"/>
        </w:rPr>
        <w:t>‘</w:t>
      </w:r>
      <w:r w:rsidR="00BA69DB">
        <w:rPr>
          <w:rStyle w:val="Hyperlink"/>
          <w:rFonts w:ascii="Times New Roman" w:hAnsi="Times New Roman" w:cs="Times New Roman"/>
          <w:color w:val="auto"/>
          <w:sz w:val="24"/>
          <w:szCs w:val="24"/>
          <w:u w:val="none"/>
        </w:rPr>
        <w:t>collective narcissism is a form of ingroup positivity that can predict intergroup hostility, systematically, in an intergroup threat context</w:t>
      </w:r>
      <w:r w:rsidR="00A25290">
        <w:rPr>
          <w:rStyle w:val="Hyperlink"/>
          <w:rFonts w:ascii="Times New Roman" w:hAnsi="Times New Roman" w:cs="Times New Roman"/>
          <w:color w:val="auto"/>
          <w:sz w:val="24"/>
          <w:szCs w:val="24"/>
          <w:u w:val="none"/>
        </w:rPr>
        <w:t>’</w:t>
      </w:r>
      <w:r w:rsidR="00BA69DB">
        <w:rPr>
          <w:rStyle w:val="Hyperlink"/>
          <w:rFonts w:ascii="Times New Roman" w:hAnsi="Times New Roman" w:cs="Times New Roman"/>
          <w:color w:val="auto"/>
          <w:sz w:val="24"/>
          <w:szCs w:val="24"/>
          <w:u w:val="none"/>
        </w:rPr>
        <w:t xml:space="preserve"> (Zavala, in press, as cited in Zavala, Guerra and Simão (2017). </w:t>
      </w:r>
    </w:p>
    <w:p w14:paraId="3AAF3C4E" w14:textId="6FA96096" w:rsidR="0020776B" w:rsidRDefault="0020776B">
      <w:pPr>
        <w:rPr>
          <w:rStyle w:val="Hyperlink"/>
          <w:rFonts w:ascii="Times New Roman" w:hAnsi="Times New Roman" w:cs="Times New Roman"/>
          <w:color w:val="auto"/>
          <w:sz w:val="24"/>
          <w:szCs w:val="24"/>
          <w:u w:val="none"/>
        </w:rPr>
      </w:pPr>
    </w:p>
    <w:p w14:paraId="4FEB5C0B" w14:textId="29CEB8B2" w:rsidR="0020776B" w:rsidRDefault="0020776B">
      <w:pPr>
        <w:rPr>
          <w:rFonts w:ascii="Times New Roman" w:hAnsi="Times New Roman" w:cs="Times New Roman"/>
          <w:sz w:val="24"/>
          <w:szCs w:val="24"/>
        </w:rPr>
      </w:pPr>
      <w:r>
        <w:rPr>
          <w:rStyle w:val="Hyperlink"/>
          <w:rFonts w:ascii="Times New Roman" w:hAnsi="Times New Roman" w:cs="Times New Roman"/>
          <w:color w:val="auto"/>
          <w:sz w:val="24"/>
          <w:szCs w:val="24"/>
          <w:u w:val="none"/>
        </w:rPr>
        <w:t>A sample of 332 UK citizens took part in Zmigrod, Rentfrow and Robbins (2018) research into</w:t>
      </w:r>
      <w:r w:rsidR="00DC5C05">
        <w:rPr>
          <w:rStyle w:val="Hyperlink"/>
          <w:rFonts w:ascii="Times New Roman" w:hAnsi="Times New Roman" w:cs="Times New Roman"/>
          <w:color w:val="auto"/>
          <w:sz w:val="24"/>
          <w:szCs w:val="24"/>
          <w:u w:val="none"/>
        </w:rPr>
        <w:t xml:space="preserve"> the</w:t>
      </w:r>
      <w:r>
        <w:rPr>
          <w:rStyle w:val="Hyperlink"/>
          <w:rFonts w:ascii="Times New Roman" w:hAnsi="Times New Roman" w:cs="Times New Roman"/>
          <w:color w:val="auto"/>
          <w:sz w:val="24"/>
          <w:szCs w:val="24"/>
          <w:u w:val="none"/>
        </w:rPr>
        <w:t xml:space="preserve"> cognitive underpinnings of nationalistic ideology, in a categorisation and rules cognitive tasks, i.e. </w:t>
      </w:r>
      <w:r w:rsidR="00DC5C05">
        <w:rPr>
          <w:rStyle w:val="Hyperlink"/>
          <w:rFonts w:ascii="Times New Roman" w:hAnsi="Times New Roman" w:cs="Times New Roman"/>
          <w:color w:val="auto"/>
          <w:sz w:val="24"/>
          <w:szCs w:val="24"/>
          <w:u w:val="none"/>
        </w:rPr>
        <w:t xml:space="preserve">using the </w:t>
      </w:r>
      <w:r>
        <w:rPr>
          <w:rStyle w:val="Hyperlink"/>
          <w:rFonts w:ascii="Times New Roman" w:hAnsi="Times New Roman" w:cs="Times New Roman"/>
          <w:color w:val="auto"/>
          <w:sz w:val="24"/>
          <w:szCs w:val="24"/>
          <w:u w:val="none"/>
        </w:rPr>
        <w:t xml:space="preserve">Wisconsin Card Sorting Test and the Remote Associates Test. They found that national identity and culture had link with cognitive flexibility, using </w:t>
      </w:r>
      <w:r w:rsidR="00DC5C05">
        <w:rPr>
          <w:rStyle w:val="Hyperlink"/>
          <w:rFonts w:ascii="Times New Roman" w:hAnsi="Times New Roman" w:cs="Times New Roman"/>
          <w:color w:val="auto"/>
          <w:sz w:val="24"/>
          <w:szCs w:val="24"/>
          <w:u w:val="none"/>
        </w:rPr>
        <w:t>referendum voting behaviours displayed</w:t>
      </w:r>
      <w:r>
        <w:rPr>
          <w:rStyle w:val="Hyperlink"/>
          <w:rFonts w:ascii="Times New Roman" w:hAnsi="Times New Roman" w:cs="Times New Roman"/>
          <w:color w:val="auto"/>
          <w:sz w:val="24"/>
          <w:szCs w:val="24"/>
          <w:u w:val="none"/>
        </w:rPr>
        <w:t>. In this</w:t>
      </w:r>
      <w:r w:rsidR="00DC5C05">
        <w:rPr>
          <w:rStyle w:val="Hyperlink"/>
          <w:rFonts w:ascii="Times New Roman" w:hAnsi="Times New Roman" w:cs="Times New Roman"/>
          <w:color w:val="auto"/>
          <w:sz w:val="24"/>
          <w:szCs w:val="24"/>
          <w:u w:val="none"/>
        </w:rPr>
        <w:t xml:space="preserve"> particular research study</w:t>
      </w:r>
      <w:r>
        <w:rPr>
          <w:rStyle w:val="Hyperlink"/>
          <w:rFonts w:ascii="Times New Roman" w:hAnsi="Times New Roman" w:cs="Times New Roman"/>
          <w:color w:val="auto"/>
          <w:sz w:val="24"/>
          <w:szCs w:val="24"/>
          <w:u w:val="none"/>
        </w:rPr>
        <w:t>, objective and subjective cognitive inflexibility had predicted an increase in nationalism</w:t>
      </w:r>
      <w:r w:rsidR="00DC5C05">
        <w:rPr>
          <w:rStyle w:val="Hyperlink"/>
          <w:rFonts w:ascii="Times New Roman" w:hAnsi="Times New Roman" w:cs="Times New Roman"/>
          <w:color w:val="auto"/>
          <w:sz w:val="24"/>
          <w:szCs w:val="24"/>
          <w:u w:val="none"/>
        </w:rPr>
        <w:t xml:space="preserve">, conservatism and  an increase in </w:t>
      </w:r>
      <w:r>
        <w:rPr>
          <w:rStyle w:val="Hyperlink"/>
          <w:rFonts w:ascii="Times New Roman" w:hAnsi="Times New Roman" w:cs="Times New Roman"/>
          <w:color w:val="auto"/>
          <w:sz w:val="24"/>
          <w:szCs w:val="24"/>
          <w:u w:val="none"/>
        </w:rPr>
        <w:t xml:space="preserve"> authoritarianism which all aided predicting support fo</w:t>
      </w:r>
      <w:r w:rsidR="00DC5C05">
        <w:rPr>
          <w:rStyle w:val="Hyperlink"/>
          <w:rFonts w:ascii="Times New Roman" w:hAnsi="Times New Roman" w:cs="Times New Roman"/>
          <w:color w:val="auto"/>
          <w:sz w:val="24"/>
          <w:szCs w:val="24"/>
          <w:u w:val="none"/>
        </w:rPr>
        <w:t>r opposing</w:t>
      </w:r>
      <w:r>
        <w:rPr>
          <w:rStyle w:val="Hyperlink"/>
          <w:rFonts w:ascii="Times New Roman" w:hAnsi="Times New Roman" w:cs="Times New Roman"/>
          <w:color w:val="auto"/>
          <w:sz w:val="24"/>
          <w:szCs w:val="24"/>
          <w:u w:val="none"/>
        </w:rPr>
        <w:t xml:space="preserve"> immigration</w:t>
      </w:r>
      <w:r w:rsidR="00DC5C05">
        <w:rPr>
          <w:rStyle w:val="Hyperlink"/>
          <w:rFonts w:ascii="Times New Roman" w:hAnsi="Times New Roman" w:cs="Times New Roman"/>
          <w:color w:val="auto"/>
          <w:sz w:val="24"/>
          <w:szCs w:val="24"/>
          <w:u w:val="none"/>
        </w:rPr>
        <w:t xml:space="preserve"> </w:t>
      </w:r>
      <w:r w:rsidR="00DC5C05">
        <w:rPr>
          <w:rStyle w:val="Hyperlink"/>
          <w:rFonts w:ascii="Times New Roman" w:hAnsi="Times New Roman" w:cs="Times New Roman"/>
          <w:color w:val="auto"/>
          <w:sz w:val="24"/>
          <w:szCs w:val="24"/>
          <w:u w:val="none"/>
        </w:rPr>
        <w:lastRenderedPageBreak/>
        <w:t>from other countries</w:t>
      </w:r>
      <w:r>
        <w:rPr>
          <w:rStyle w:val="Hyperlink"/>
          <w:rFonts w:ascii="Times New Roman" w:hAnsi="Times New Roman" w:cs="Times New Roman"/>
          <w:color w:val="auto"/>
          <w:sz w:val="24"/>
          <w:szCs w:val="24"/>
          <w:u w:val="none"/>
        </w:rPr>
        <w:t>, support for Brexit and</w:t>
      </w:r>
      <w:r w:rsidR="00DC5C05">
        <w:rPr>
          <w:rStyle w:val="Hyperlink"/>
          <w:rFonts w:ascii="Times New Roman" w:hAnsi="Times New Roman" w:cs="Times New Roman"/>
          <w:color w:val="auto"/>
          <w:sz w:val="24"/>
          <w:szCs w:val="24"/>
          <w:u w:val="none"/>
        </w:rPr>
        <w:t xml:space="preserve"> </w:t>
      </w:r>
      <w:r>
        <w:rPr>
          <w:rStyle w:val="Hyperlink"/>
          <w:rFonts w:ascii="Times New Roman" w:hAnsi="Times New Roman" w:cs="Times New Roman"/>
          <w:color w:val="auto"/>
          <w:sz w:val="24"/>
          <w:szCs w:val="24"/>
          <w:u w:val="none"/>
        </w:rPr>
        <w:t>movement of labour</w:t>
      </w:r>
      <w:r w:rsidR="00DC5C05">
        <w:rPr>
          <w:rStyle w:val="Hyperlink"/>
          <w:rFonts w:ascii="Times New Roman" w:hAnsi="Times New Roman" w:cs="Times New Roman"/>
          <w:color w:val="auto"/>
          <w:sz w:val="24"/>
          <w:szCs w:val="24"/>
          <w:u w:val="none"/>
        </w:rPr>
        <w:t xml:space="preserve"> without restriction</w:t>
      </w:r>
      <w:r>
        <w:rPr>
          <w:rStyle w:val="Hyperlink"/>
          <w:rFonts w:ascii="Times New Roman" w:hAnsi="Times New Roman" w:cs="Times New Roman"/>
          <w:color w:val="auto"/>
          <w:sz w:val="24"/>
          <w:szCs w:val="24"/>
          <w:u w:val="none"/>
        </w:rPr>
        <w:t xml:space="preserve">. The model used in this study accounted for </w:t>
      </w:r>
      <w:r w:rsidR="008B34A3">
        <w:rPr>
          <w:rStyle w:val="Hyperlink"/>
          <w:rFonts w:ascii="Times New Roman" w:hAnsi="Times New Roman" w:cs="Times New Roman"/>
          <w:color w:val="auto"/>
          <w:sz w:val="24"/>
          <w:szCs w:val="24"/>
          <w:u w:val="none"/>
        </w:rPr>
        <w:t xml:space="preserve">47.6% variance, meaning these factors contributed towards support for Brexit. This means that individual differences, in cognitive flexibility, need to be considered as they help shape a person’s nationalistic attitudes and sense of identity. This suggests that perhaps people voted to leave the EU due to being unable to change their views, due to cognitive inflexibility, of immigration and the fear of change in national attitudes and identity may have activated subconscious prejudice, towards out-groups, when deciding their vote. </w:t>
      </w:r>
    </w:p>
    <w:p w14:paraId="4007CB7F" w14:textId="77777777" w:rsidR="00BA5924" w:rsidRDefault="00BA5924">
      <w:pPr>
        <w:rPr>
          <w:rFonts w:ascii="Times New Roman" w:hAnsi="Times New Roman" w:cs="Times New Roman"/>
          <w:sz w:val="24"/>
          <w:szCs w:val="24"/>
        </w:rPr>
      </w:pPr>
    </w:p>
    <w:p w14:paraId="5485E356" w14:textId="34FEC3F4" w:rsidR="004A568E" w:rsidRDefault="0023206D">
      <w:pPr>
        <w:rPr>
          <w:rFonts w:ascii="Times New Roman" w:hAnsi="Times New Roman" w:cs="Times New Roman"/>
          <w:sz w:val="24"/>
          <w:szCs w:val="24"/>
        </w:rPr>
      </w:pPr>
      <w:r>
        <w:rPr>
          <w:rFonts w:ascii="Times New Roman" w:hAnsi="Times New Roman" w:cs="Times New Roman"/>
          <w:sz w:val="24"/>
          <w:szCs w:val="24"/>
        </w:rPr>
        <w:t xml:space="preserve">Following </w:t>
      </w:r>
      <w:r w:rsidR="00BA5924">
        <w:rPr>
          <w:rFonts w:ascii="Times New Roman" w:hAnsi="Times New Roman" w:cs="Times New Roman"/>
          <w:sz w:val="24"/>
          <w:szCs w:val="24"/>
        </w:rPr>
        <w:t>a</w:t>
      </w:r>
      <w:r>
        <w:rPr>
          <w:rFonts w:ascii="Times New Roman" w:hAnsi="Times New Roman" w:cs="Times New Roman"/>
          <w:sz w:val="24"/>
          <w:szCs w:val="24"/>
        </w:rPr>
        <w:t xml:space="preserve"> theme of identity, Virdee &amp; McGeever (2018) looked at the Brexit in terms of how globalisation may have been a threat to the ‘British’ identity and how an attentiveness was place on race and the racism following the vote.</w:t>
      </w:r>
      <w:r w:rsidR="00D62051">
        <w:rPr>
          <w:rFonts w:ascii="Times New Roman" w:hAnsi="Times New Roman" w:cs="Times New Roman"/>
          <w:sz w:val="24"/>
          <w:szCs w:val="24"/>
        </w:rPr>
        <w:t xml:space="preserve"> Racism </w:t>
      </w:r>
      <w:r w:rsidR="001F3A59">
        <w:rPr>
          <w:rFonts w:ascii="Times New Roman" w:hAnsi="Times New Roman" w:cs="Times New Roman"/>
          <w:sz w:val="24"/>
          <w:szCs w:val="24"/>
        </w:rPr>
        <w:t>and stigma related to migrants was</w:t>
      </w:r>
      <w:r w:rsidR="00D62051">
        <w:rPr>
          <w:rFonts w:ascii="Times New Roman" w:hAnsi="Times New Roman" w:cs="Times New Roman"/>
          <w:sz w:val="24"/>
          <w:szCs w:val="24"/>
        </w:rPr>
        <w:t xml:space="preserve"> already present in the country prior to the vote, although it is not always seen, and the ‘Leave’ campaign may have given</w:t>
      </w:r>
      <w:r w:rsidR="0079310F">
        <w:rPr>
          <w:rFonts w:ascii="Times New Roman" w:hAnsi="Times New Roman" w:cs="Times New Roman"/>
          <w:sz w:val="24"/>
          <w:szCs w:val="24"/>
        </w:rPr>
        <w:t xml:space="preserve"> the attention to it that allowed people</w:t>
      </w:r>
      <w:r w:rsidR="00F2197B">
        <w:rPr>
          <w:rFonts w:ascii="Times New Roman" w:hAnsi="Times New Roman" w:cs="Times New Roman"/>
          <w:sz w:val="24"/>
          <w:szCs w:val="24"/>
        </w:rPr>
        <w:t>’</w:t>
      </w:r>
      <w:r w:rsidR="0079310F">
        <w:rPr>
          <w:rFonts w:ascii="Times New Roman" w:hAnsi="Times New Roman" w:cs="Times New Roman"/>
          <w:sz w:val="24"/>
          <w:szCs w:val="24"/>
        </w:rPr>
        <w:t xml:space="preserve">s attitudes to flourish in a negative and racial way. </w:t>
      </w:r>
      <w:r>
        <w:rPr>
          <w:rFonts w:ascii="Times New Roman" w:hAnsi="Times New Roman" w:cs="Times New Roman"/>
          <w:sz w:val="24"/>
          <w:szCs w:val="24"/>
        </w:rPr>
        <w:t>Brexit was constructed around right-wing parties, such as Conservative and UKIP, who claimed the country had to reinstate the will of British people. As with migrants being seen as a threat to identity</w:t>
      </w:r>
      <w:r w:rsidR="00890E5B">
        <w:rPr>
          <w:rFonts w:ascii="Times New Roman" w:hAnsi="Times New Roman" w:cs="Times New Roman"/>
          <w:sz w:val="24"/>
          <w:szCs w:val="24"/>
        </w:rPr>
        <w:t xml:space="preserve"> and an economic threat, </w:t>
      </w:r>
      <w:r>
        <w:rPr>
          <w:rFonts w:ascii="Times New Roman" w:hAnsi="Times New Roman" w:cs="Times New Roman"/>
          <w:sz w:val="24"/>
          <w:szCs w:val="24"/>
        </w:rPr>
        <w:t xml:space="preserve">this being particularly the case </w:t>
      </w:r>
      <w:r w:rsidR="00890E5B">
        <w:rPr>
          <w:rFonts w:ascii="Times New Roman" w:hAnsi="Times New Roman" w:cs="Times New Roman"/>
          <w:sz w:val="24"/>
          <w:szCs w:val="24"/>
        </w:rPr>
        <w:t xml:space="preserve">in the working class according to Virdee &amp; McGeever, representations of migrants evolved them into a security threat in the eyes of any due to leaders, such as Nigel Farage, making statements related to terror attacks and how open boarders would make the people of Britain less safe. </w:t>
      </w:r>
    </w:p>
    <w:p w14:paraId="016BD5BB" w14:textId="20F316D1" w:rsidR="00F2197B" w:rsidRDefault="00F2197B">
      <w:pPr>
        <w:rPr>
          <w:rFonts w:ascii="Times New Roman" w:hAnsi="Times New Roman" w:cs="Times New Roman"/>
          <w:sz w:val="24"/>
          <w:szCs w:val="24"/>
        </w:rPr>
      </w:pPr>
    </w:p>
    <w:p w14:paraId="28BF0607" w14:textId="0670A5FA" w:rsidR="00F2197B" w:rsidRDefault="00F2197B">
      <w:pPr>
        <w:rPr>
          <w:rFonts w:ascii="Times New Roman" w:hAnsi="Times New Roman" w:cs="Times New Roman"/>
          <w:sz w:val="24"/>
          <w:szCs w:val="24"/>
        </w:rPr>
      </w:pPr>
      <w:r>
        <w:rPr>
          <w:rFonts w:ascii="Times New Roman" w:hAnsi="Times New Roman" w:cs="Times New Roman"/>
          <w:sz w:val="24"/>
          <w:szCs w:val="24"/>
        </w:rPr>
        <w:t>Research by Swami, Barron, Weis and Furnham (2018) looks at the role of beliefs and attitudes toward migrants in the form of Islamophobia. People in this study gave their reason for voting to leave the EU</w:t>
      </w:r>
      <w:r w:rsidR="00534A12">
        <w:rPr>
          <w:rFonts w:ascii="Times New Roman" w:hAnsi="Times New Roman" w:cs="Times New Roman"/>
          <w:sz w:val="24"/>
          <w:szCs w:val="24"/>
        </w:rPr>
        <w:t xml:space="preserve"> was their</w:t>
      </w:r>
      <w:r w:rsidR="001A22CD">
        <w:rPr>
          <w:rFonts w:ascii="Times New Roman" w:hAnsi="Times New Roman" w:cs="Times New Roman"/>
          <w:sz w:val="24"/>
          <w:szCs w:val="24"/>
        </w:rPr>
        <w:t xml:space="preserve"> individual</w:t>
      </w:r>
      <w:r w:rsidR="00534A12">
        <w:rPr>
          <w:rFonts w:ascii="Times New Roman" w:hAnsi="Times New Roman" w:cs="Times New Roman"/>
          <w:sz w:val="24"/>
          <w:szCs w:val="24"/>
        </w:rPr>
        <w:t xml:space="preserve"> belief that Muslim immigrants posed a threat. </w:t>
      </w:r>
      <w:r w:rsidR="00534A12">
        <w:rPr>
          <w:rFonts w:ascii="Times New Roman" w:hAnsi="Times New Roman" w:cs="Times New Roman"/>
          <w:sz w:val="24"/>
          <w:szCs w:val="24"/>
        </w:rPr>
        <w:lastRenderedPageBreak/>
        <w:t>The researchers found that Islamophobia had a mediated link with people voting to leave. Finding such as these seemingly highlight, similarly to the findings previously, that identity-based thoughts and feelings by the public may have helped mould voting intentions and caused the outcome.</w:t>
      </w:r>
      <w:r w:rsidR="00666660">
        <w:rPr>
          <w:rFonts w:ascii="Times New Roman" w:hAnsi="Times New Roman" w:cs="Times New Roman"/>
          <w:sz w:val="24"/>
          <w:szCs w:val="24"/>
        </w:rPr>
        <w:t xml:space="preserve"> Studies have shown that individuals may try to re-establish their social identity, due to an increase in immigration of out-groups, through negative and even derogatory views of said out-groups. The researchers concluded that</w:t>
      </w:r>
      <w:r w:rsidR="001A22CD">
        <w:rPr>
          <w:rFonts w:ascii="Times New Roman" w:hAnsi="Times New Roman" w:cs="Times New Roman"/>
          <w:sz w:val="24"/>
          <w:szCs w:val="24"/>
        </w:rPr>
        <w:t xml:space="preserve"> the voting was most likely influence by national attachment  and immigrants posed a symbolic threat to that identity, furthering the view that immigrants are an </w:t>
      </w:r>
      <w:r w:rsidR="00F83DF2">
        <w:rPr>
          <w:rFonts w:ascii="Times New Roman" w:hAnsi="Times New Roman" w:cs="Times New Roman"/>
          <w:sz w:val="24"/>
          <w:szCs w:val="24"/>
        </w:rPr>
        <w:t>out-group</w:t>
      </w:r>
      <w:r w:rsidR="001A22CD">
        <w:rPr>
          <w:rFonts w:ascii="Times New Roman" w:hAnsi="Times New Roman" w:cs="Times New Roman"/>
          <w:sz w:val="24"/>
          <w:szCs w:val="24"/>
        </w:rPr>
        <w:t>, which is heavily associated with prejudice.</w:t>
      </w:r>
      <w:r w:rsidR="00F83DF2">
        <w:rPr>
          <w:rFonts w:ascii="Times New Roman" w:hAnsi="Times New Roman" w:cs="Times New Roman"/>
          <w:sz w:val="24"/>
          <w:szCs w:val="24"/>
        </w:rPr>
        <w:t xml:space="preserve"> Finding, such as these, do suggest that intergroup attitudes did play a role in the vote for some due to prejudice that all people from one area are all the same and pose a threat to the country. </w:t>
      </w:r>
    </w:p>
    <w:p w14:paraId="5C331467" w14:textId="77777777" w:rsidR="002C0806" w:rsidRDefault="002C0806">
      <w:pPr>
        <w:rPr>
          <w:rFonts w:ascii="Times New Roman" w:hAnsi="Times New Roman" w:cs="Times New Roman"/>
          <w:sz w:val="24"/>
          <w:szCs w:val="24"/>
        </w:rPr>
      </w:pPr>
    </w:p>
    <w:p w14:paraId="5DE33923" w14:textId="5DB47531" w:rsidR="00065B09" w:rsidRDefault="002C0806">
      <w:pPr>
        <w:rPr>
          <w:rFonts w:ascii="Times New Roman" w:hAnsi="Times New Roman" w:cs="Times New Roman"/>
          <w:sz w:val="24"/>
          <w:szCs w:val="24"/>
        </w:rPr>
      </w:pPr>
      <w:r>
        <w:rPr>
          <w:rFonts w:ascii="Times New Roman" w:hAnsi="Times New Roman" w:cs="Times New Roman"/>
          <w:sz w:val="24"/>
          <w:szCs w:val="24"/>
        </w:rPr>
        <w:t>Following the results and racist claims of ‘Brexit’, an increase in research into intergroup contact and attitudes people hold</w:t>
      </w:r>
      <w:r w:rsidR="00F2197B">
        <w:rPr>
          <w:rFonts w:ascii="Times New Roman" w:hAnsi="Times New Roman" w:cs="Times New Roman"/>
          <w:sz w:val="24"/>
          <w:szCs w:val="24"/>
        </w:rPr>
        <w:t>, based on the amount of contact,</w:t>
      </w:r>
      <w:r>
        <w:rPr>
          <w:rFonts w:ascii="Times New Roman" w:hAnsi="Times New Roman" w:cs="Times New Roman"/>
          <w:sz w:val="24"/>
          <w:szCs w:val="24"/>
        </w:rPr>
        <w:t xml:space="preserve"> in the country took place. Research comes from Hewstone, Ramiah, Schmid, Floe, Zalk, Wolfer and New (2018)</w:t>
      </w:r>
      <w:r w:rsidR="009F4363">
        <w:rPr>
          <w:rFonts w:ascii="Times New Roman" w:hAnsi="Times New Roman" w:cs="Times New Roman"/>
          <w:sz w:val="24"/>
          <w:szCs w:val="24"/>
        </w:rPr>
        <w:t xml:space="preserve">. The researchers </w:t>
      </w:r>
      <w:r>
        <w:rPr>
          <w:rFonts w:ascii="Times New Roman" w:hAnsi="Times New Roman" w:cs="Times New Roman"/>
          <w:sz w:val="24"/>
          <w:szCs w:val="24"/>
        </w:rPr>
        <w:t>examined these attitudes</w:t>
      </w:r>
      <w:r w:rsidR="009F4363">
        <w:rPr>
          <w:rFonts w:ascii="Times New Roman" w:hAnsi="Times New Roman" w:cs="Times New Roman"/>
          <w:sz w:val="24"/>
          <w:szCs w:val="24"/>
        </w:rPr>
        <w:t xml:space="preserve"> using </w:t>
      </w:r>
      <w:r>
        <w:rPr>
          <w:rFonts w:ascii="Times New Roman" w:hAnsi="Times New Roman" w:cs="Times New Roman"/>
          <w:sz w:val="24"/>
          <w:szCs w:val="24"/>
        </w:rPr>
        <w:t>English high school students</w:t>
      </w:r>
      <w:r w:rsidR="000137ED">
        <w:rPr>
          <w:rFonts w:ascii="Times New Roman" w:hAnsi="Times New Roman" w:cs="Times New Roman"/>
          <w:sz w:val="24"/>
          <w:szCs w:val="24"/>
        </w:rPr>
        <w:t>, over a seven-year period in three different groups</w:t>
      </w:r>
      <w:r>
        <w:rPr>
          <w:rFonts w:ascii="Times New Roman" w:hAnsi="Times New Roman" w:cs="Times New Roman"/>
          <w:sz w:val="24"/>
          <w:szCs w:val="24"/>
        </w:rPr>
        <w:t>.</w:t>
      </w:r>
      <w:r w:rsidR="000137ED">
        <w:rPr>
          <w:rFonts w:ascii="Times New Roman" w:hAnsi="Times New Roman" w:cs="Times New Roman"/>
          <w:sz w:val="24"/>
          <w:szCs w:val="24"/>
        </w:rPr>
        <w:t xml:space="preserve"> All three groups in the </w:t>
      </w:r>
      <w:r w:rsidR="00740097">
        <w:rPr>
          <w:rFonts w:ascii="Times New Roman" w:hAnsi="Times New Roman" w:cs="Times New Roman"/>
          <w:sz w:val="24"/>
          <w:szCs w:val="24"/>
        </w:rPr>
        <w:t>study provides evidence for Allport’s ‘contact theory’ where increase contact with outgroups should improve intergroup attitudes.</w:t>
      </w:r>
      <w:r w:rsidR="000137ED">
        <w:rPr>
          <w:rFonts w:ascii="Times New Roman" w:hAnsi="Times New Roman" w:cs="Times New Roman"/>
          <w:sz w:val="24"/>
          <w:szCs w:val="24"/>
        </w:rPr>
        <w:t xml:space="preserve"> Contact with outgroups, on a daily basis in schools, provides a good environment for people of different groups to interact and it is argued, by these researchers, that this contact at a younger age is critical in shaping intergroup attitudes from early experiences. The researchers conclude that segregation in schools, from groups of other religions and ethnicities, deprives adolescents of the opportunities to have cross-group friendships and contact, which later in life can lead to positive attitudes towards outgroups potentially being completed blocked. </w:t>
      </w:r>
    </w:p>
    <w:p w14:paraId="235F289E" w14:textId="77777777" w:rsidR="00065B09" w:rsidRDefault="00065B09">
      <w:pPr>
        <w:rPr>
          <w:rFonts w:ascii="Times New Roman" w:hAnsi="Times New Roman" w:cs="Times New Roman"/>
          <w:sz w:val="24"/>
          <w:szCs w:val="24"/>
        </w:rPr>
      </w:pPr>
    </w:p>
    <w:p w14:paraId="226E28FF" w14:textId="1B1C7A67" w:rsidR="00533D29" w:rsidRDefault="000137ED">
      <w:pPr>
        <w:rPr>
          <w:rFonts w:ascii="Times New Roman" w:hAnsi="Times New Roman" w:cs="Times New Roman"/>
          <w:sz w:val="24"/>
          <w:szCs w:val="24"/>
        </w:rPr>
      </w:pPr>
      <w:r>
        <w:rPr>
          <w:rFonts w:ascii="Times New Roman" w:hAnsi="Times New Roman" w:cs="Times New Roman"/>
          <w:sz w:val="24"/>
          <w:szCs w:val="24"/>
        </w:rPr>
        <w:lastRenderedPageBreak/>
        <w:t>This could suggest that people who voted ‘Leave’ could have experienced this deprivation when they were of school age and their intergroup contact is limited. This could mean that the only image and experience of outgroups they have was during campaigning and the stereotypes of migrants was instantly a negative one.</w:t>
      </w:r>
      <w:r w:rsidR="00E81458">
        <w:rPr>
          <w:rFonts w:ascii="Times New Roman" w:hAnsi="Times New Roman" w:cs="Times New Roman"/>
          <w:sz w:val="24"/>
          <w:szCs w:val="24"/>
        </w:rPr>
        <w:t xml:space="preserve"> Pettigrew and Tropp (2006), as cited in Dhont, Van Hiel, De Bolle &amp; Roets (2012), </w:t>
      </w:r>
      <w:r w:rsidR="00C75B71">
        <w:rPr>
          <w:rFonts w:ascii="Times New Roman" w:hAnsi="Times New Roman" w:cs="Times New Roman"/>
          <w:sz w:val="24"/>
          <w:szCs w:val="24"/>
        </w:rPr>
        <w:t xml:space="preserve">who state </w:t>
      </w:r>
      <w:r w:rsidR="00E81458">
        <w:rPr>
          <w:rFonts w:ascii="Times New Roman" w:hAnsi="Times New Roman" w:cs="Times New Roman"/>
          <w:sz w:val="24"/>
          <w:szCs w:val="24"/>
        </w:rPr>
        <w:t>‘intergroup contact typically reduces intergroup prejudice’ which supports the above research where intergroup contact is limited the more negative attitudes are held towards out-groups.</w:t>
      </w:r>
    </w:p>
    <w:p w14:paraId="2C86F5CA" w14:textId="50901222" w:rsidR="00965BF9" w:rsidRDefault="00965BF9">
      <w:pPr>
        <w:rPr>
          <w:rFonts w:ascii="Times New Roman" w:hAnsi="Times New Roman" w:cs="Times New Roman"/>
          <w:sz w:val="24"/>
          <w:szCs w:val="24"/>
        </w:rPr>
      </w:pPr>
    </w:p>
    <w:p w14:paraId="15E59203" w14:textId="37E5E2AB" w:rsidR="00180F16" w:rsidRDefault="00965BF9">
      <w:pPr>
        <w:rPr>
          <w:rFonts w:ascii="Times New Roman" w:hAnsi="Times New Roman" w:cs="Times New Roman"/>
          <w:sz w:val="24"/>
          <w:szCs w:val="24"/>
        </w:rPr>
      </w:pPr>
      <w:r>
        <w:rPr>
          <w:rFonts w:ascii="Times New Roman" w:hAnsi="Times New Roman" w:cs="Times New Roman"/>
          <w:sz w:val="24"/>
          <w:szCs w:val="24"/>
        </w:rPr>
        <w:t>In relation to the research above, the longitudinal intergroup effects were examined by Dhont, Van Hiel, De Bolle &amp; Roets (2012) using self and observer reports using 65 participants.</w:t>
      </w:r>
      <w:r w:rsidR="00180F16">
        <w:rPr>
          <w:rFonts w:ascii="Times New Roman" w:hAnsi="Times New Roman" w:cs="Times New Roman"/>
          <w:sz w:val="24"/>
          <w:szCs w:val="24"/>
        </w:rPr>
        <w:t xml:space="preserve"> </w:t>
      </w:r>
      <w:r>
        <w:rPr>
          <w:rFonts w:ascii="Times New Roman" w:hAnsi="Times New Roman" w:cs="Times New Roman"/>
          <w:sz w:val="24"/>
          <w:szCs w:val="24"/>
        </w:rPr>
        <w:t>Although the use of self-reports are heavily argued to be biased</w:t>
      </w:r>
      <w:r w:rsidR="00E81458">
        <w:rPr>
          <w:rFonts w:ascii="Times New Roman" w:hAnsi="Times New Roman" w:cs="Times New Roman"/>
          <w:sz w:val="24"/>
          <w:szCs w:val="24"/>
        </w:rPr>
        <w:t>, the researchers supported the finding of Hewstone et al (2011), as cited in Dhont et al (2012), that these reports are a considerable measure of target ratings of intergroup contact which does support the reliability of self-reports.</w:t>
      </w:r>
      <w:r w:rsidR="00180F16" w:rsidRPr="00180F16">
        <w:rPr>
          <w:rFonts w:ascii="Times New Roman" w:hAnsi="Times New Roman" w:cs="Times New Roman"/>
          <w:sz w:val="24"/>
          <w:szCs w:val="24"/>
        </w:rPr>
        <w:t xml:space="preserve"> </w:t>
      </w:r>
      <w:r w:rsidR="00180F16">
        <w:rPr>
          <w:rFonts w:ascii="Times New Roman" w:hAnsi="Times New Roman" w:cs="Times New Roman"/>
          <w:sz w:val="24"/>
          <w:szCs w:val="24"/>
        </w:rPr>
        <w:t>Findings provide evidence that the more intergroup contact over time there was, the greater decrease in prejudice on an individual scale. This suggests that in order for a remain vote to be cast by an individual, intergroup contact needed to have been prevalent over a time period. It would seem unlikely that areas with a low population of migrants would have this extensive and frequent intergroup contact, which could have resulted in a higher percentage of leave voters.</w:t>
      </w:r>
    </w:p>
    <w:p w14:paraId="7DCDC566" w14:textId="77777777" w:rsidR="00180F16" w:rsidRDefault="00180F16">
      <w:pPr>
        <w:rPr>
          <w:rFonts w:ascii="Times New Roman" w:hAnsi="Times New Roman" w:cs="Times New Roman"/>
          <w:sz w:val="24"/>
          <w:szCs w:val="24"/>
        </w:rPr>
      </w:pPr>
    </w:p>
    <w:p w14:paraId="5EB263E0" w14:textId="43BFF78C" w:rsidR="004051BA" w:rsidRDefault="004051BA">
      <w:pPr>
        <w:rPr>
          <w:rFonts w:ascii="Times New Roman" w:hAnsi="Times New Roman" w:cs="Times New Roman"/>
          <w:sz w:val="24"/>
          <w:szCs w:val="24"/>
        </w:rPr>
      </w:pPr>
      <w:r>
        <w:rPr>
          <w:rFonts w:ascii="Times New Roman" w:hAnsi="Times New Roman" w:cs="Times New Roman"/>
          <w:sz w:val="24"/>
          <w:szCs w:val="24"/>
        </w:rPr>
        <w:t xml:space="preserve">Similarities, to the above research, can be seen in work by Duru, Hanquinet and Cesur (2017) who examined attitudes, perceptions and tolerance in Britain. </w:t>
      </w:r>
      <w:r w:rsidR="00A9421F">
        <w:rPr>
          <w:rFonts w:ascii="Times New Roman" w:hAnsi="Times New Roman" w:cs="Times New Roman"/>
          <w:sz w:val="24"/>
          <w:szCs w:val="24"/>
        </w:rPr>
        <w:t xml:space="preserve">Diversity, in ethnicity, religion etc, is a main theme, the researchers concluding people need to be engaged in culturally diverse networks in order to be more tolerant and excepting of out-groups. People who do not have access to these diverse networks tend to reject diversity, e.g. other groups of people. </w:t>
      </w:r>
      <w:r w:rsidR="00A9421F">
        <w:rPr>
          <w:rFonts w:ascii="Times New Roman" w:hAnsi="Times New Roman" w:cs="Times New Roman"/>
          <w:sz w:val="24"/>
          <w:szCs w:val="24"/>
        </w:rPr>
        <w:lastRenderedPageBreak/>
        <w:t>This is usually due to stereotypes and images of out-groups portrayed in the media.</w:t>
      </w:r>
      <w:r w:rsidR="002406A3">
        <w:rPr>
          <w:rFonts w:ascii="Times New Roman" w:hAnsi="Times New Roman" w:cs="Times New Roman"/>
          <w:sz w:val="24"/>
          <w:szCs w:val="24"/>
        </w:rPr>
        <w:t xml:space="preserve"> The researchers emphasise, in conjunction with ethnicity, that supranational identities have far more influence on a person compared to intergroup contact. Further research into this possibility is needed before anything can be concluded from this. On the other hand, the research above was funded by EUCROSS which could suggest there is some bias in the results with the researchers even providing a disclosure statement that claims there was no potential conflict of interest</w:t>
      </w:r>
      <w:r w:rsidR="005F7E5A">
        <w:rPr>
          <w:rFonts w:ascii="Times New Roman" w:hAnsi="Times New Roman" w:cs="Times New Roman"/>
          <w:sz w:val="24"/>
          <w:szCs w:val="24"/>
        </w:rPr>
        <w:t xml:space="preserve">. </w:t>
      </w:r>
    </w:p>
    <w:p w14:paraId="36888B0E" w14:textId="2F4B5FB8" w:rsidR="006812E0" w:rsidRDefault="006812E0">
      <w:pPr>
        <w:rPr>
          <w:rFonts w:ascii="Times New Roman" w:hAnsi="Times New Roman" w:cs="Times New Roman"/>
          <w:sz w:val="24"/>
          <w:szCs w:val="24"/>
        </w:rPr>
      </w:pPr>
    </w:p>
    <w:p w14:paraId="79A3E231" w14:textId="26C3F533" w:rsidR="006812E0" w:rsidRDefault="006812E0">
      <w:pPr>
        <w:rPr>
          <w:rFonts w:ascii="Times New Roman" w:hAnsi="Times New Roman" w:cs="Times New Roman"/>
          <w:sz w:val="24"/>
          <w:szCs w:val="24"/>
        </w:rPr>
      </w:pPr>
      <w:r>
        <w:rPr>
          <w:rFonts w:ascii="Times New Roman" w:hAnsi="Times New Roman" w:cs="Times New Roman"/>
          <w:sz w:val="24"/>
          <w:szCs w:val="24"/>
        </w:rPr>
        <w:t>On the other hand, Colantone and Stanig (2016) state in their research that people in areas where economic globalization had a large negative effect, meaning people in these harder hit areas were supporters of the leave vote.</w:t>
      </w:r>
      <w:r w:rsidR="001A483F">
        <w:rPr>
          <w:rFonts w:ascii="Times New Roman" w:hAnsi="Times New Roman" w:cs="Times New Roman"/>
          <w:sz w:val="24"/>
          <w:szCs w:val="24"/>
        </w:rPr>
        <w:t xml:space="preserve"> Finding also include that import shock played a role in leave supports as attitudes towards migrants tended to be worsened with import shock and regions with larger impact shock had a higher percentage of leave votes (e.g. Autor et al. 2013, 2014, 2015, 2016, as cited in Colantone and Stanig, 2016).</w:t>
      </w:r>
    </w:p>
    <w:p w14:paraId="3AE95B86" w14:textId="2568F32E" w:rsidR="00841ACE" w:rsidRDefault="00841ACE">
      <w:pPr>
        <w:rPr>
          <w:rFonts w:ascii="Times New Roman" w:hAnsi="Times New Roman" w:cs="Times New Roman"/>
          <w:sz w:val="24"/>
          <w:szCs w:val="24"/>
        </w:rPr>
      </w:pPr>
    </w:p>
    <w:p w14:paraId="4645FAD6" w14:textId="1041DF2B" w:rsidR="00841ACE" w:rsidRDefault="00841ACE">
      <w:pPr>
        <w:rPr>
          <w:rFonts w:ascii="Times New Roman" w:hAnsi="Times New Roman" w:cs="Times New Roman"/>
          <w:sz w:val="24"/>
          <w:szCs w:val="24"/>
        </w:rPr>
      </w:pPr>
      <w:r>
        <w:rPr>
          <w:rFonts w:ascii="Times New Roman" w:hAnsi="Times New Roman" w:cs="Times New Roman"/>
          <w:sz w:val="24"/>
          <w:szCs w:val="24"/>
        </w:rPr>
        <w:t>Research, into vote predictors, comes from</w:t>
      </w:r>
      <w:r w:rsidR="00BB5F11">
        <w:rPr>
          <w:rFonts w:ascii="Times New Roman" w:hAnsi="Times New Roman" w:cs="Times New Roman"/>
          <w:sz w:val="24"/>
          <w:szCs w:val="24"/>
        </w:rPr>
        <w:t xml:space="preserve"> Becker, Fetzer and Novy (2017).Predictors were considered as follows; older age seemed to result in higher leave vote and people who were unemployed </w:t>
      </w:r>
      <w:r w:rsidR="004726FF">
        <w:rPr>
          <w:rFonts w:ascii="Times New Roman" w:hAnsi="Times New Roman" w:cs="Times New Roman"/>
          <w:sz w:val="24"/>
          <w:szCs w:val="24"/>
        </w:rPr>
        <w:t>had a higher leave vote percentage</w:t>
      </w:r>
      <w:r w:rsidR="00BB5F11">
        <w:rPr>
          <w:rFonts w:ascii="Times New Roman" w:hAnsi="Times New Roman" w:cs="Times New Roman"/>
          <w:sz w:val="24"/>
          <w:szCs w:val="24"/>
        </w:rPr>
        <w:t>. In this piece of research, it was found that there was no statistically significant finding that related effects of exposure to media to a person’s vote, which contradicts claims that media played a major role. Although there was a positive association with newspapers, such as the Sun and Daily Mail who favour the Conservative party, and people who voted to leave.</w:t>
      </w:r>
      <w:r w:rsidR="006427AB">
        <w:rPr>
          <w:rFonts w:ascii="Times New Roman" w:hAnsi="Times New Roman" w:cs="Times New Roman"/>
          <w:sz w:val="24"/>
          <w:szCs w:val="24"/>
        </w:rPr>
        <w:t xml:space="preserve"> While there were a range of factors that influenced the vote, a reasonable statement form this article sums up many people’s</w:t>
      </w:r>
      <w:r w:rsidR="00B542BD">
        <w:rPr>
          <w:rFonts w:ascii="Times New Roman" w:hAnsi="Times New Roman" w:cs="Times New Roman"/>
          <w:sz w:val="24"/>
          <w:szCs w:val="24"/>
        </w:rPr>
        <w:t xml:space="preserve"> ongoing</w:t>
      </w:r>
      <w:r w:rsidR="006427AB">
        <w:rPr>
          <w:rFonts w:ascii="Times New Roman" w:hAnsi="Times New Roman" w:cs="Times New Roman"/>
          <w:sz w:val="24"/>
          <w:szCs w:val="24"/>
        </w:rPr>
        <w:t xml:space="preserve"> thoughts</w:t>
      </w:r>
      <w:r w:rsidR="00B542BD">
        <w:rPr>
          <w:rFonts w:ascii="Times New Roman" w:hAnsi="Times New Roman" w:cs="Times New Roman"/>
          <w:sz w:val="24"/>
          <w:szCs w:val="24"/>
        </w:rPr>
        <w:t xml:space="preserve"> on Brexit</w:t>
      </w:r>
      <w:r w:rsidR="006427AB">
        <w:rPr>
          <w:rFonts w:ascii="Times New Roman" w:hAnsi="Times New Roman" w:cs="Times New Roman"/>
          <w:sz w:val="24"/>
          <w:szCs w:val="24"/>
        </w:rPr>
        <w:t>: ‘Britain’s EU referendum can be seen as a protest from those feeling left behind and dissatisfied with the state of politics’-Becker, Fetzer and Novy (2017).</w:t>
      </w:r>
    </w:p>
    <w:p w14:paraId="3B84F54B" w14:textId="77777777" w:rsidR="00F83DF2" w:rsidRDefault="00F83DF2">
      <w:pPr>
        <w:rPr>
          <w:rFonts w:ascii="Times New Roman" w:hAnsi="Times New Roman" w:cs="Times New Roman"/>
          <w:b/>
          <w:bCs/>
          <w:sz w:val="24"/>
          <w:szCs w:val="24"/>
        </w:rPr>
      </w:pPr>
    </w:p>
    <w:p w14:paraId="06C20B85" w14:textId="27F945FA" w:rsidR="002C0806" w:rsidRDefault="001A22CD">
      <w:pPr>
        <w:rPr>
          <w:rFonts w:ascii="Times New Roman" w:hAnsi="Times New Roman" w:cs="Times New Roman"/>
          <w:b/>
          <w:bCs/>
          <w:sz w:val="24"/>
          <w:szCs w:val="24"/>
        </w:rPr>
      </w:pPr>
      <w:r>
        <w:rPr>
          <w:rFonts w:ascii="Times New Roman" w:hAnsi="Times New Roman" w:cs="Times New Roman"/>
          <w:sz w:val="24"/>
          <w:szCs w:val="24"/>
        </w:rPr>
        <w:t>In conclusion, it is clear to see, from the research and evidence reviewed, that intergroup attitudes quite possibly did play a role in the EU referendum vote. While these attitudes are not the only cause of the resulting vote, they do appear to have been a reason most of the people voted ‘Leave’</w:t>
      </w:r>
      <w:r w:rsidR="00F659CE">
        <w:rPr>
          <w:rFonts w:ascii="Times New Roman" w:hAnsi="Times New Roman" w:cs="Times New Roman"/>
          <w:sz w:val="24"/>
          <w:szCs w:val="24"/>
        </w:rPr>
        <w:t>.</w:t>
      </w:r>
      <w:r w:rsidR="0031774C">
        <w:rPr>
          <w:rFonts w:ascii="Times New Roman" w:hAnsi="Times New Roman" w:cs="Times New Roman"/>
          <w:sz w:val="24"/>
          <w:szCs w:val="24"/>
        </w:rPr>
        <w:t xml:space="preserve"> </w:t>
      </w:r>
      <w:r w:rsidR="004D0A65">
        <w:rPr>
          <w:rFonts w:ascii="Times New Roman" w:hAnsi="Times New Roman" w:cs="Times New Roman"/>
          <w:sz w:val="24"/>
          <w:szCs w:val="24"/>
        </w:rPr>
        <w:t>Many people may not have disclosed their</w:t>
      </w:r>
      <w:r w:rsidR="00426CC8">
        <w:rPr>
          <w:rFonts w:ascii="Times New Roman" w:hAnsi="Times New Roman" w:cs="Times New Roman"/>
          <w:sz w:val="24"/>
          <w:szCs w:val="24"/>
        </w:rPr>
        <w:t xml:space="preserve"> true</w:t>
      </w:r>
      <w:r w:rsidR="004D0A65">
        <w:rPr>
          <w:rFonts w:ascii="Times New Roman" w:hAnsi="Times New Roman" w:cs="Times New Roman"/>
          <w:sz w:val="24"/>
          <w:szCs w:val="24"/>
        </w:rPr>
        <w:t xml:space="preserve"> reason</w:t>
      </w:r>
      <w:r w:rsidR="00426CC8">
        <w:rPr>
          <w:rFonts w:ascii="Times New Roman" w:hAnsi="Times New Roman" w:cs="Times New Roman"/>
          <w:sz w:val="24"/>
          <w:szCs w:val="24"/>
        </w:rPr>
        <w:t>s</w:t>
      </w:r>
      <w:r w:rsidR="004D0A65">
        <w:rPr>
          <w:rFonts w:ascii="Times New Roman" w:hAnsi="Times New Roman" w:cs="Times New Roman"/>
          <w:sz w:val="24"/>
          <w:szCs w:val="24"/>
        </w:rPr>
        <w:t xml:space="preserve"> for voting to leave the EU being due to negative intergroup attitudes as they may be seen in a negative way by others. People may simply hold these attitudes towards out-groups without ever acting on them, however, these attitudes would have caused them to vote leave simply because they have a negative attitude towards one group of people, i.e. the Polish</w:t>
      </w:r>
      <w:r w:rsidR="00C3089E">
        <w:rPr>
          <w:rFonts w:ascii="Times New Roman" w:hAnsi="Times New Roman" w:cs="Times New Roman"/>
          <w:sz w:val="24"/>
          <w:szCs w:val="24"/>
        </w:rPr>
        <w:t>.</w:t>
      </w:r>
      <w:r w:rsidR="00801D40">
        <w:rPr>
          <w:rFonts w:ascii="Times New Roman" w:hAnsi="Times New Roman" w:cs="Times New Roman"/>
          <w:sz w:val="24"/>
          <w:szCs w:val="24"/>
        </w:rPr>
        <w:t xml:space="preserve"> The intergroup attitudes people hold tend to be influenced by the people around them and the media seems to play a role on how immigrants are portrayed, in this case a negative way, to the British public.</w:t>
      </w:r>
      <w:r w:rsidR="003D3F8F">
        <w:rPr>
          <w:rFonts w:ascii="Times New Roman" w:hAnsi="Times New Roman" w:cs="Times New Roman"/>
          <w:sz w:val="24"/>
          <w:szCs w:val="24"/>
        </w:rPr>
        <w:t xml:space="preserve"> Regardless of the cause of the vote, negative attitudes towards out-groups should </w:t>
      </w:r>
      <w:r w:rsidR="00426CC8">
        <w:rPr>
          <w:rFonts w:ascii="Times New Roman" w:hAnsi="Times New Roman" w:cs="Times New Roman"/>
          <w:sz w:val="24"/>
          <w:szCs w:val="24"/>
        </w:rPr>
        <w:t>not rationalise prejudice and discrimination towards immigrants</w:t>
      </w:r>
      <w:r w:rsidR="00703C3A">
        <w:rPr>
          <w:rFonts w:ascii="Times New Roman" w:hAnsi="Times New Roman" w:cs="Times New Roman"/>
          <w:sz w:val="24"/>
          <w:szCs w:val="24"/>
        </w:rPr>
        <w:t>.</w:t>
      </w:r>
      <w:bookmarkEnd w:id="0"/>
      <w:r w:rsidR="002C0806">
        <w:rPr>
          <w:rFonts w:ascii="Times New Roman" w:hAnsi="Times New Roman" w:cs="Times New Roman"/>
          <w:b/>
          <w:bCs/>
          <w:sz w:val="24"/>
          <w:szCs w:val="24"/>
        </w:rPr>
        <w:br w:type="page"/>
      </w:r>
    </w:p>
    <w:p w14:paraId="0EA8E47F" w14:textId="77777777" w:rsidR="002C0806" w:rsidRDefault="002C0806">
      <w:pPr>
        <w:rPr>
          <w:rFonts w:ascii="Times New Roman" w:hAnsi="Times New Roman" w:cs="Times New Roman"/>
          <w:b/>
          <w:bCs/>
          <w:sz w:val="24"/>
          <w:szCs w:val="24"/>
        </w:rPr>
      </w:pPr>
    </w:p>
    <w:p w14:paraId="7375392F" w14:textId="0136C2D6" w:rsidR="00533D29" w:rsidRDefault="00533D29" w:rsidP="00533D29">
      <w:pPr>
        <w:rPr>
          <w:rFonts w:ascii="Times New Roman" w:hAnsi="Times New Roman" w:cs="Times New Roman"/>
          <w:b/>
          <w:bCs/>
          <w:sz w:val="24"/>
          <w:szCs w:val="24"/>
        </w:rPr>
      </w:pPr>
      <w:r>
        <w:rPr>
          <w:rFonts w:ascii="Times New Roman" w:hAnsi="Times New Roman" w:cs="Times New Roman"/>
          <w:b/>
          <w:bCs/>
          <w:sz w:val="24"/>
          <w:szCs w:val="24"/>
        </w:rPr>
        <w:t>References:</w:t>
      </w:r>
    </w:p>
    <w:p w14:paraId="1E98476F" w14:textId="5BB1B298" w:rsidR="00545C1E" w:rsidRDefault="00A7440A" w:rsidP="00545C1E">
      <w:pPr>
        <w:ind w:left="720" w:hanging="720"/>
        <w:rPr>
          <w:rFonts w:ascii="Times New Roman" w:hAnsi="Times New Roman" w:cs="Times New Roman"/>
          <w:sz w:val="24"/>
          <w:szCs w:val="24"/>
        </w:rPr>
      </w:pPr>
      <w:r w:rsidRPr="00545C1E">
        <w:rPr>
          <w:rFonts w:ascii="Times New Roman" w:hAnsi="Times New Roman" w:cs="Times New Roman"/>
          <w:sz w:val="24"/>
          <w:szCs w:val="24"/>
        </w:rPr>
        <w:t>Allport. (1979). Formation of In-Groups. The Nature of Prejudice. 31-46. Perseus Books Publishing. NY.</w:t>
      </w:r>
    </w:p>
    <w:p w14:paraId="7C17E1BF" w14:textId="4017DB31" w:rsidR="00834A09" w:rsidRPr="00545C1E" w:rsidRDefault="00F41E43" w:rsidP="008516E1">
      <w:pPr>
        <w:ind w:left="720" w:hanging="720"/>
        <w:rPr>
          <w:rStyle w:val="Hyperlink"/>
          <w:rFonts w:ascii="Times New Roman" w:hAnsi="Times New Roman" w:cs="Times New Roman"/>
          <w:color w:val="auto"/>
          <w:sz w:val="24"/>
          <w:szCs w:val="24"/>
          <w:u w:val="none"/>
        </w:rPr>
      </w:pPr>
      <w:r>
        <w:rPr>
          <w:rFonts w:ascii="Times New Roman" w:hAnsi="Times New Roman" w:cs="Times New Roman"/>
          <w:sz w:val="24"/>
          <w:szCs w:val="24"/>
        </w:rPr>
        <w:t xml:space="preserve">Bachmann, V., and Sidaway, J.D. (2016). Brexit geopolitics. </w:t>
      </w:r>
      <w:r>
        <w:rPr>
          <w:rFonts w:ascii="Times New Roman" w:hAnsi="Times New Roman" w:cs="Times New Roman"/>
          <w:i/>
          <w:iCs/>
          <w:sz w:val="24"/>
          <w:szCs w:val="24"/>
        </w:rPr>
        <w:t xml:space="preserve">Geoforum. </w:t>
      </w:r>
      <w:r>
        <w:rPr>
          <w:rFonts w:ascii="Times New Roman" w:hAnsi="Times New Roman" w:cs="Times New Roman"/>
          <w:sz w:val="24"/>
          <w:szCs w:val="24"/>
        </w:rPr>
        <w:t>77, 47-50. Elsevier.</w:t>
      </w:r>
    </w:p>
    <w:p w14:paraId="52120A29" w14:textId="507388CE" w:rsidR="00841ACE" w:rsidRDefault="00841ACE" w:rsidP="00545C1E">
      <w:pPr>
        <w:ind w:left="720" w:hanging="720"/>
        <w:rPr>
          <w:rStyle w:val="Hyperlink"/>
          <w:rFonts w:ascii="Times New Roman" w:hAnsi="Times New Roman" w:cs="Times New Roman"/>
          <w:color w:val="auto"/>
          <w:sz w:val="24"/>
          <w:szCs w:val="24"/>
          <w:u w:val="none"/>
        </w:rPr>
      </w:pPr>
      <w:r w:rsidRPr="00545C1E">
        <w:rPr>
          <w:rFonts w:ascii="Times New Roman" w:hAnsi="Times New Roman" w:cs="Times New Roman"/>
          <w:sz w:val="24"/>
          <w:szCs w:val="24"/>
        </w:rPr>
        <w:t>Becker, S.</w:t>
      </w:r>
      <w:r w:rsidRPr="00545C1E">
        <w:rPr>
          <w:rStyle w:val="Hyperlink"/>
          <w:rFonts w:ascii="Times New Roman" w:hAnsi="Times New Roman" w:cs="Times New Roman"/>
          <w:color w:val="auto"/>
          <w:sz w:val="24"/>
          <w:szCs w:val="24"/>
          <w:u w:val="none"/>
        </w:rPr>
        <w:t xml:space="preserve">O., Fetzer, T., and Novy, D. (2017). Who voted for Brexit? A comprehensive district-level analysis. </w:t>
      </w:r>
      <w:r w:rsidRPr="00545C1E">
        <w:rPr>
          <w:rStyle w:val="Hyperlink"/>
          <w:rFonts w:ascii="Times New Roman" w:hAnsi="Times New Roman" w:cs="Times New Roman"/>
          <w:i/>
          <w:iCs/>
          <w:color w:val="auto"/>
          <w:sz w:val="24"/>
          <w:szCs w:val="24"/>
          <w:u w:val="none"/>
        </w:rPr>
        <w:t>Economic Policy</w:t>
      </w:r>
      <w:r w:rsidR="00BB5F11" w:rsidRPr="00545C1E">
        <w:rPr>
          <w:rStyle w:val="Hyperlink"/>
          <w:rFonts w:ascii="Times New Roman" w:hAnsi="Times New Roman" w:cs="Times New Roman"/>
          <w:i/>
          <w:iCs/>
          <w:color w:val="auto"/>
          <w:sz w:val="24"/>
          <w:szCs w:val="24"/>
          <w:u w:val="none"/>
        </w:rPr>
        <w:t xml:space="preserve">. </w:t>
      </w:r>
      <w:r w:rsidR="00BB5F11" w:rsidRPr="00545C1E">
        <w:rPr>
          <w:rStyle w:val="Hyperlink"/>
          <w:rFonts w:ascii="Times New Roman" w:hAnsi="Times New Roman" w:cs="Times New Roman"/>
          <w:color w:val="auto"/>
          <w:sz w:val="24"/>
          <w:szCs w:val="24"/>
          <w:u w:val="none"/>
        </w:rPr>
        <w:t>603-651. UK.</w:t>
      </w:r>
    </w:p>
    <w:p w14:paraId="7B543414" w14:textId="3FC5C591" w:rsidR="008F28B1" w:rsidRDefault="008F28B1" w:rsidP="00545C1E">
      <w:pPr>
        <w:ind w:left="720" w:hanging="720"/>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 xml:space="preserve">Burnett, J. (2017). Racial violence and the Brexit state. </w:t>
      </w:r>
      <w:r>
        <w:rPr>
          <w:rStyle w:val="Hyperlink"/>
          <w:rFonts w:ascii="Times New Roman" w:hAnsi="Times New Roman" w:cs="Times New Roman"/>
          <w:i/>
          <w:iCs/>
          <w:color w:val="auto"/>
          <w:sz w:val="24"/>
          <w:szCs w:val="24"/>
          <w:u w:val="none"/>
        </w:rPr>
        <w:t xml:space="preserve">Institute of Race Relations. </w:t>
      </w:r>
      <w:r>
        <w:rPr>
          <w:rStyle w:val="Hyperlink"/>
          <w:rFonts w:ascii="Times New Roman" w:hAnsi="Times New Roman" w:cs="Times New Roman"/>
          <w:color w:val="auto"/>
          <w:sz w:val="24"/>
          <w:szCs w:val="24"/>
          <w:u w:val="none"/>
        </w:rPr>
        <w:t>Vol. 58, No. 4, 85-97. SAGE.</w:t>
      </w:r>
    </w:p>
    <w:p w14:paraId="2139200C" w14:textId="70C58B86" w:rsidR="009A0FFD" w:rsidRDefault="009A0FFD" w:rsidP="00545C1E">
      <w:pPr>
        <w:ind w:left="720" w:hanging="720"/>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 xml:space="preserve">Colantone, I., &amp; Stanig, P. (2016). Global Competition and Brexit. </w:t>
      </w:r>
      <w:r>
        <w:rPr>
          <w:rStyle w:val="Hyperlink"/>
          <w:rFonts w:ascii="Times New Roman" w:hAnsi="Times New Roman" w:cs="Times New Roman"/>
          <w:i/>
          <w:iCs/>
          <w:color w:val="auto"/>
          <w:sz w:val="24"/>
          <w:szCs w:val="24"/>
          <w:u w:val="none"/>
        </w:rPr>
        <w:t xml:space="preserve">Centre for Applied Research on International Markets, Banking, Finance and Regulation. </w:t>
      </w:r>
      <w:r>
        <w:rPr>
          <w:rStyle w:val="Hyperlink"/>
          <w:rFonts w:ascii="Times New Roman" w:hAnsi="Times New Roman" w:cs="Times New Roman"/>
          <w:color w:val="auto"/>
          <w:sz w:val="24"/>
          <w:szCs w:val="24"/>
          <w:u w:val="none"/>
        </w:rPr>
        <w:t>44, 1-46.</w:t>
      </w:r>
    </w:p>
    <w:p w14:paraId="65867CE1" w14:textId="2F78953C" w:rsidR="00590466" w:rsidRPr="00C84CE7" w:rsidRDefault="00590466" w:rsidP="00545C1E">
      <w:pPr>
        <w:ind w:left="720" w:hanging="720"/>
        <w:rPr>
          <w:rStyle w:val="Hyperlink"/>
          <w:rFonts w:ascii="Times New Roman" w:hAnsi="Times New Roman" w:cs="Times New Roman"/>
          <w:i/>
          <w:iCs/>
          <w:color w:val="auto"/>
          <w:sz w:val="24"/>
          <w:szCs w:val="24"/>
          <w:u w:val="none"/>
        </w:rPr>
      </w:pPr>
      <w:r>
        <w:rPr>
          <w:rStyle w:val="Hyperlink"/>
          <w:rFonts w:ascii="Times New Roman" w:hAnsi="Times New Roman" w:cs="Times New Roman"/>
          <w:color w:val="auto"/>
          <w:sz w:val="24"/>
          <w:szCs w:val="24"/>
          <w:u w:val="none"/>
        </w:rPr>
        <w:t xml:space="preserve">Dhont, K., </w:t>
      </w:r>
      <w:r w:rsidR="00C84CE7">
        <w:rPr>
          <w:rStyle w:val="Hyperlink"/>
          <w:rFonts w:ascii="Times New Roman" w:hAnsi="Times New Roman" w:cs="Times New Roman"/>
          <w:color w:val="auto"/>
          <w:sz w:val="24"/>
          <w:szCs w:val="24"/>
          <w:u w:val="none"/>
        </w:rPr>
        <w:t xml:space="preserve">Van Hiel, A., De Bolle, M., &amp; Roets, A. (2012). Longitudinal Intergroup Contact Effects on Prejudice Using Self- and Observer- Reports. </w:t>
      </w:r>
      <w:r w:rsidR="00C84CE7">
        <w:rPr>
          <w:rStyle w:val="Hyperlink"/>
          <w:rFonts w:ascii="Times New Roman" w:hAnsi="Times New Roman" w:cs="Times New Roman"/>
          <w:i/>
          <w:iCs/>
          <w:color w:val="auto"/>
          <w:sz w:val="24"/>
          <w:szCs w:val="24"/>
          <w:u w:val="none"/>
        </w:rPr>
        <w:t xml:space="preserve">British Journal of Social Psychology. </w:t>
      </w:r>
      <w:r w:rsidR="00C84CE7">
        <w:rPr>
          <w:rStyle w:val="Hyperlink"/>
          <w:rFonts w:ascii="Times New Roman" w:hAnsi="Times New Roman" w:cs="Times New Roman"/>
          <w:color w:val="auto"/>
          <w:sz w:val="24"/>
          <w:szCs w:val="24"/>
          <w:u w:val="none"/>
        </w:rPr>
        <w:t>1-36.</w:t>
      </w:r>
      <w:r w:rsidR="00C84CE7">
        <w:rPr>
          <w:rStyle w:val="Hyperlink"/>
          <w:rFonts w:ascii="Times New Roman" w:hAnsi="Times New Roman" w:cs="Times New Roman"/>
          <w:i/>
          <w:iCs/>
          <w:color w:val="auto"/>
          <w:sz w:val="24"/>
          <w:szCs w:val="24"/>
          <w:u w:val="none"/>
        </w:rPr>
        <w:t xml:space="preserve"> </w:t>
      </w:r>
    </w:p>
    <w:p w14:paraId="0518286E" w14:textId="3AF4F260" w:rsidR="00C3089E" w:rsidRPr="00545C1E" w:rsidRDefault="00C3089E" w:rsidP="00545C1E">
      <w:pPr>
        <w:ind w:left="720" w:hanging="720"/>
        <w:rPr>
          <w:rStyle w:val="Hyperlink"/>
          <w:rFonts w:ascii="Times New Roman" w:hAnsi="Times New Roman" w:cs="Times New Roman"/>
          <w:color w:val="auto"/>
          <w:sz w:val="24"/>
          <w:szCs w:val="24"/>
          <w:u w:val="none"/>
        </w:rPr>
      </w:pPr>
      <w:r w:rsidRPr="00545C1E">
        <w:rPr>
          <w:rFonts w:ascii="Times New Roman" w:hAnsi="Times New Roman" w:cs="Times New Roman"/>
          <w:sz w:val="24"/>
          <w:szCs w:val="24"/>
        </w:rPr>
        <w:t>Duru, D.</w:t>
      </w:r>
      <w:r w:rsidRPr="00545C1E">
        <w:rPr>
          <w:rStyle w:val="Hyperlink"/>
          <w:rFonts w:ascii="Times New Roman" w:hAnsi="Times New Roman" w:cs="Times New Roman"/>
          <w:color w:val="auto"/>
          <w:sz w:val="24"/>
          <w:szCs w:val="24"/>
          <w:u w:val="none"/>
        </w:rPr>
        <w:t xml:space="preserve">N., Hanquinet, L., Cesur, N.S. (2017). Perceptions of diversity and attitudes of tolerance in the ‘fragmented’ U.K. </w:t>
      </w:r>
      <w:r w:rsidRPr="00545C1E">
        <w:rPr>
          <w:rStyle w:val="Hyperlink"/>
          <w:rFonts w:ascii="Times New Roman" w:hAnsi="Times New Roman" w:cs="Times New Roman"/>
          <w:i/>
          <w:iCs/>
          <w:color w:val="auto"/>
          <w:sz w:val="24"/>
          <w:szCs w:val="24"/>
          <w:u w:val="none"/>
        </w:rPr>
        <w:t xml:space="preserve">Journal of Ethnic and Migration Studies. </w:t>
      </w:r>
      <w:r w:rsidRPr="00545C1E">
        <w:rPr>
          <w:rStyle w:val="Hyperlink"/>
          <w:rFonts w:ascii="Times New Roman" w:hAnsi="Times New Roman" w:cs="Times New Roman"/>
          <w:color w:val="auto"/>
          <w:sz w:val="24"/>
          <w:szCs w:val="24"/>
          <w:u w:val="none"/>
        </w:rPr>
        <w:t>Vol. 43, No. 4, 674-692. Routledge; Taylor &amp; Francis Group.</w:t>
      </w:r>
    </w:p>
    <w:p w14:paraId="50D5BC65" w14:textId="46A2649E" w:rsidR="002C0806" w:rsidRDefault="002C0806" w:rsidP="00545C1E">
      <w:pPr>
        <w:ind w:left="720" w:hanging="720"/>
        <w:rPr>
          <w:rFonts w:ascii="Times New Roman" w:hAnsi="Times New Roman" w:cs="Times New Roman"/>
          <w:sz w:val="24"/>
          <w:szCs w:val="24"/>
        </w:rPr>
      </w:pPr>
      <w:r w:rsidRPr="00545C1E">
        <w:rPr>
          <w:rFonts w:ascii="Times New Roman" w:hAnsi="Times New Roman" w:cs="Times New Roman"/>
          <w:sz w:val="24"/>
          <w:szCs w:val="24"/>
        </w:rPr>
        <w:t xml:space="preserve">Hewstone, M., Ramiah, A.A., Schmid, K., Floe. C., Zalk, M.V., Wolfer, R., and New. R. (2018). Influence of segregation versus mixing: Intergroup contact and attitudes among White-British and Asian-British students in high schools on Oldham, England. </w:t>
      </w:r>
      <w:r w:rsidRPr="00545C1E">
        <w:rPr>
          <w:rFonts w:ascii="Times New Roman" w:hAnsi="Times New Roman" w:cs="Times New Roman"/>
          <w:i/>
          <w:iCs/>
          <w:sz w:val="24"/>
          <w:szCs w:val="24"/>
        </w:rPr>
        <w:t>Theory and Research in Education</w:t>
      </w:r>
      <w:r w:rsidRPr="00545C1E">
        <w:rPr>
          <w:rFonts w:ascii="Times New Roman" w:hAnsi="Times New Roman" w:cs="Times New Roman"/>
          <w:sz w:val="24"/>
          <w:szCs w:val="24"/>
        </w:rPr>
        <w:t>. Vol. 16, No. 2, 179-203. SAGE</w:t>
      </w:r>
    </w:p>
    <w:p w14:paraId="5EFAD8FD" w14:textId="1226497D" w:rsidR="001A483F" w:rsidRPr="001A483F" w:rsidRDefault="001A483F" w:rsidP="00545C1E">
      <w:pPr>
        <w:ind w:left="720" w:hanging="720"/>
        <w:rPr>
          <w:rFonts w:ascii="Times New Roman" w:hAnsi="Times New Roman" w:cs="Times New Roman"/>
          <w:i/>
          <w:iCs/>
          <w:sz w:val="24"/>
          <w:szCs w:val="24"/>
        </w:rPr>
      </w:pPr>
      <w:r>
        <w:rPr>
          <w:rFonts w:ascii="Times New Roman" w:hAnsi="Times New Roman" w:cs="Times New Roman"/>
          <w:sz w:val="24"/>
          <w:szCs w:val="24"/>
        </w:rPr>
        <w:t xml:space="preserve">Medrano, J.D., and Koenig, M. (2005). Nationalism, Citizenship and Immigration in Social Science Research. </w:t>
      </w:r>
      <w:r>
        <w:rPr>
          <w:rFonts w:ascii="Times New Roman" w:hAnsi="Times New Roman" w:cs="Times New Roman"/>
          <w:i/>
          <w:iCs/>
          <w:sz w:val="24"/>
          <w:szCs w:val="24"/>
        </w:rPr>
        <w:t xml:space="preserve">International Journal on Multicultural Societies. </w:t>
      </w:r>
      <w:r>
        <w:rPr>
          <w:rFonts w:ascii="Times New Roman" w:hAnsi="Times New Roman" w:cs="Times New Roman"/>
          <w:sz w:val="24"/>
          <w:szCs w:val="24"/>
        </w:rPr>
        <w:t>Vol. 7, No, 2, 82-89. United Nations Educational, Scientific and Cultural Organization.</w:t>
      </w:r>
      <w:r>
        <w:rPr>
          <w:rFonts w:ascii="Times New Roman" w:hAnsi="Times New Roman" w:cs="Times New Roman"/>
          <w:i/>
          <w:iCs/>
          <w:sz w:val="24"/>
          <w:szCs w:val="24"/>
        </w:rPr>
        <w:t xml:space="preserve"> </w:t>
      </w:r>
    </w:p>
    <w:p w14:paraId="4A2CBD02" w14:textId="4E9A7484" w:rsidR="00FD5256" w:rsidRDefault="00FD5256" w:rsidP="00545C1E">
      <w:pPr>
        <w:ind w:left="720" w:hanging="720"/>
        <w:rPr>
          <w:rFonts w:ascii="Times New Roman" w:hAnsi="Times New Roman" w:cs="Times New Roman"/>
          <w:sz w:val="24"/>
          <w:szCs w:val="24"/>
        </w:rPr>
      </w:pPr>
      <w:r>
        <w:rPr>
          <w:rFonts w:ascii="Times New Roman" w:hAnsi="Times New Roman" w:cs="Times New Roman"/>
          <w:sz w:val="24"/>
          <w:szCs w:val="24"/>
        </w:rPr>
        <w:lastRenderedPageBreak/>
        <w:t xml:space="preserve">Office for National Statistics (ONS). (2015). Migration Statistics Quarterly Report: November 2015. Information retrieved from: </w:t>
      </w:r>
      <w:hyperlink r:id="rId8" w:history="1">
        <w:r w:rsidRPr="00FD5256">
          <w:rPr>
            <w:color w:val="0000FF"/>
            <w:u w:val="single"/>
          </w:rPr>
          <w:t>https://www.ons.gov.uk/peoplepopulationandcommunity/populationandmigration/internationalmigration/bulletins/migrationstatisticsquarterlyreport/november2015</w:t>
        </w:r>
      </w:hyperlink>
    </w:p>
    <w:p w14:paraId="50887EB5" w14:textId="62DABA16" w:rsidR="005C7066" w:rsidRPr="005C7066" w:rsidRDefault="005C7066" w:rsidP="00545C1E">
      <w:pPr>
        <w:ind w:left="720" w:hanging="720"/>
        <w:rPr>
          <w:rFonts w:ascii="Times New Roman" w:hAnsi="Times New Roman" w:cs="Times New Roman"/>
          <w:sz w:val="24"/>
          <w:szCs w:val="24"/>
        </w:rPr>
      </w:pPr>
      <w:r>
        <w:rPr>
          <w:rFonts w:ascii="Times New Roman" w:hAnsi="Times New Roman" w:cs="Times New Roman"/>
          <w:sz w:val="24"/>
          <w:szCs w:val="24"/>
        </w:rPr>
        <w:t xml:space="preserve">Rzepnikowska, A. (2019). Racism and xenophobia experienced by Polish migrants in the UK before and after Brexit vote. </w:t>
      </w:r>
      <w:r>
        <w:rPr>
          <w:rFonts w:ascii="Times New Roman" w:hAnsi="Times New Roman" w:cs="Times New Roman"/>
          <w:i/>
          <w:iCs/>
          <w:sz w:val="24"/>
          <w:szCs w:val="24"/>
        </w:rPr>
        <w:t xml:space="preserve">Journal of Ethnic and Migration Studies. </w:t>
      </w:r>
      <w:r>
        <w:rPr>
          <w:rFonts w:ascii="Times New Roman" w:hAnsi="Times New Roman" w:cs="Times New Roman"/>
          <w:sz w:val="24"/>
          <w:szCs w:val="24"/>
        </w:rPr>
        <w:t xml:space="preserve">Vol. 45, No. 1, 61-77. Routledge; Taylor &amp; Francis Group. DOI:10.1080/1369183X.2018.1451308 </w:t>
      </w:r>
    </w:p>
    <w:p w14:paraId="0D72DAA4" w14:textId="62030F42" w:rsidR="008333A1" w:rsidRDefault="008333A1" w:rsidP="00545C1E">
      <w:pPr>
        <w:ind w:left="720" w:hanging="720"/>
        <w:rPr>
          <w:rFonts w:ascii="Times New Roman" w:hAnsi="Times New Roman" w:cs="Times New Roman"/>
          <w:sz w:val="24"/>
          <w:szCs w:val="24"/>
        </w:rPr>
      </w:pPr>
      <w:r w:rsidRPr="00545C1E">
        <w:rPr>
          <w:rFonts w:ascii="Times New Roman" w:hAnsi="Times New Roman" w:cs="Times New Roman"/>
          <w:sz w:val="24"/>
          <w:szCs w:val="24"/>
        </w:rPr>
        <w:t xml:space="preserve">Swami, V., Barron, D., Weis, L., and Furnham, A. (2018). To Brexit or not to Brexit: The roles of Islamophobia, conspiracist beliefs, and integrated threat in voting intentions for the United Kingdom European Union membership referendum. </w:t>
      </w:r>
      <w:r w:rsidRPr="00545C1E">
        <w:rPr>
          <w:rFonts w:ascii="Times New Roman" w:hAnsi="Times New Roman" w:cs="Times New Roman"/>
          <w:i/>
          <w:iCs/>
          <w:sz w:val="24"/>
          <w:szCs w:val="24"/>
        </w:rPr>
        <w:t xml:space="preserve">British Journal of Psychology. </w:t>
      </w:r>
      <w:r w:rsidRPr="00545C1E">
        <w:rPr>
          <w:rFonts w:ascii="Times New Roman" w:hAnsi="Times New Roman" w:cs="Times New Roman"/>
          <w:sz w:val="24"/>
          <w:szCs w:val="24"/>
        </w:rPr>
        <w:t xml:space="preserve">109, 156-179. The British Psychological Association. </w:t>
      </w:r>
    </w:p>
    <w:p w14:paraId="2A6D54A2" w14:textId="36D90C9D" w:rsidR="009A0FFD" w:rsidRPr="009A0FFD" w:rsidRDefault="009A0FFD" w:rsidP="00545C1E">
      <w:pPr>
        <w:ind w:left="720" w:hanging="720"/>
        <w:rPr>
          <w:rFonts w:ascii="Times New Roman" w:hAnsi="Times New Roman" w:cs="Times New Roman"/>
          <w:sz w:val="24"/>
          <w:szCs w:val="24"/>
        </w:rPr>
      </w:pPr>
      <w:r>
        <w:rPr>
          <w:rFonts w:ascii="Times New Roman" w:hAnsi="Times New Roman" w:cs="Times New Roman"/>
          <w:sz w:val="24"/>
          <w:szCs w:val="24"/>
        </w:rPr>
        <w:t xml:space="preserve">Tilford, S. (2016). Britain, immigration and Brexit. </w:t>
      </w:r>
      <w:r>
        <w:rPr>
          <w:rFonts w:ascii="Times New Roman" w:hAnsi="Times New Roman" w:cs="Times New Roman"/>
          <w:i/>
          <w:iCs/>
          <w:sz w:val="24"/>
          <w:szCs w:val="24"/>
        </w:rPr>
        <w:t xml:space="preserve">Centre for European Reform. </w:t>
      </w:r>
      <w:r>
        <w:rPr>
          <w:rFonts w:ascii="Times New Roman" w:hAnsi="Times New Roman" w:cs="Times New Roman"/>
          <w:sz w:val="24"/>
          <w:szCs w:val="24"/>
        </w:rPr>
        <w:t>105, 1-2.</w:t>
      </w:r>
    </w:p>
    <w:p w14:paraId="4B8BB998" w14:textId="7872C0D3" w:rsidR="00BC19E1" w:rsidRDefault="00BC19E1" w:rsidP="00545C1E">
      <w:pPr>
        <w:ind w:left="720" w:hanging="720"/>
        <w:rPr>
          <w:rStyle w:val="Hyperlink"/>
          <w:rFonts w:ascii="Times New Roman" w:hAnsi="Times New Roman" w:cs="Times New Roman"/>
          <w:color w:val="auto"/>
          <w:sz w:val="24"/>
          <w:szCs w:val="24"/>
          <w:u w:val="none"/>
        </w:rPr>
      </w:pPr>
      <w:r w:rsidRPr="00545C1E">
        <w:rPr>
          <w:rStyle w:val="Hyperlink"/>
          <w:rFonts w:ascii="Times New Roman" w:hAnsi="Times New Roman" w:cs="Times New Roman"/>
          <w:color w:val="auto"/>
          <w:sz w:val="24"/>
          <w:szCs w:val="24"/>
          <w:u w:val="none"/>
        </w:rPr>
        <w:t xml:space="preserve">Virdee, S., &amp; McGeever, B. </w:t>
      </w:r>
      <w:r w:rsidR="0023206D" w:rsidRPr="00545C1E">
        <w:rPr>
          <w:rStyle w:val="Hyperlink"/>
          <w:rFonts w:ascii="Times New Roman" w:hAnsi="Times New Roman" w:cs="Times New Roman"/>
          <w:color w:val="auto"/>
          <w:sz w:val="24"/>
          <w:szCs w:val="24"/>
          <w:u w:val="none"/>
        </w:rPr>
        <w:t>(2018). Racism, Crisis, Brexit. Ethnic and Racial Studies. Vol, 41, No. 10, 1802-1819. Routledge; Taylor &amp; Francis Group. DOI: 10.1080/01419870.2017.1361544</w:t>
      </w:r>
    </w:p>
    <w:p w14:paraId="655C5F61" w14:textId="0A8983A0" w:rsidR="0048554B" w:rsidRDefault="0048554B" w:rsidP="00545C1E">
      <w:pPr>
        <w:ind w:left="720" w:hanging="720"/>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 xml:space="preserve">Zavala, A.G., Guerra, R., and </w:t>
      </w:r>
      <w:bookmarkStart w:id="1" w:name="_Hlk22728948"/>
      <w:r>
        <w:rPr>
          <w:rStyle w:val="Hyperlink"/>
          <w:rFonts w:ascii="Times New Roman" w:hAnsi="Times New Roman" w:cs="Times New Roman"/>
          <w:color w:val="auto"/>
          <w:sz w:val="24"/>
          <w:szCs w:val="24"/>
          <w:u w:val="none"/>
        </w:rPr>
        <w:t>Simã</w:t>
      </w:r>
      <w:r w:rsidR="00DF3841">
        <w:rPr>
          <w:rStyle w:val="Hyperlink"/>
          <w:rFonts w:ascii="Times New Roman" w:hAnsi="Times New Roman" w:cs="Times New Roman"/>
          <w:color w:val="auto"/>
          <w:sz w:val="24"/>
          <w:szCs w:val="24"/>
          <w:u w:val="none"/>
        </w:rPr>
        <w:t>o</w:t>
      </w:r>
      <w:bookmarkEnd w:id="1"/>
      <w:r w:rsidR="00DF3841">
        <w:rPr>
          <w:rStyle w:val="Hyperlink"/>
          <w:rFonts w:ascii="Times New Roman" w:hAnsi="Times New Roman" w:cs="Times New Roman"/>
          <w:color w:val="auto"/>
          <w:sz w:val="24"/>
          <w:szCs w:val="24"/>
          <w:u w:val="none"/>
        </w:rPr>
        <w:t xml:space="preserve">, C. (2017). The Relationship between the Brexit Vote and Individual Predictors of Prejudice: Collective Narcissism, Right Wing Authoritarianism, Social Dominance Orientation. </w:t>
      </w:r>
      <w:r w:rsidR="00DF3841">
        <w:rPr>
          <w:rStyle w:val="Hyperlink"/>
          <w:rFonts w:ascii="Times New Roman" w:hAnsi="Times New Roman" w:cs="Times New Roman"/>
          <w:i/>
          <w:iCs/>
          <w:color w:val="auto"/>
          <w:sz w:val="24"/>
          <w:szCs w:val="24"/>
          <w:u w:val="none"/>
        </w:rPr>
        <w:t xml:space="preserve">Personality and Social Psychology. </w:t>
      </w:r>
      <w:r w:rsidR="00366D0B">
        <w:rPr>
          <w:rStyle w:val="Hyperlink"/>
          <w:rFonts w:ascii="Times New Roman" w:hAnsi="Times New Roman" w:cs="Times New Roman"/>
          <w:color w:val="auto"/>
          <w:sz w:val="24"/>
          <w:szCs w:val="24"/>
          <w:u w:val="none"/>
        </w:rPr>
        <w:t>Vol. 8, No. 2023, 1-14. Frontiers in Psychology.</w:t>
      </w:r>
    </w:p>
    <w:p w14:paraId="588B3F48" w14:textId="3A4B0FED" w:rsidR="001019E1" w:rsidRPr="001019E1" w:rsidRDefault="001019E1" w:rsidP="00545C1E">
      <w:pPr>
        <w:ind w:left="720" w:hanging="720"/>
        <w:rPr>
          <w:rStyle w:val="Hyperlink"/>
          <w:rFonts w:ascii="Times New Roman" w:hAnsi="Times New Roman" w:cs="Times New Roman"/>
          <w:color w:val="auto"/>
          <w:sz w:val="28"/>
          <w:szCs w:val="28"/>
          <w:u w:val="none"/>
        </w:rPr>
      </w:pPr>
      <w:r>
        <w:rPr>
          <w:rStyle w:val="Hyperlink"/>
          <w:rFonts w:ascii="Times New Roman" w:hAnsi="Times New Roman" w:cs="Times New Roman"/>
          <w:color w:val="auto"/>
          <w:sz w:val="24"/>
          <w:szCs w:val="24"/>
          <w:u w:val="none"/>
        </w:rPr>
        <w:t xml:space="preserve">Zmigrod, L., Rentfrow, P.J., and Robbins, T.W. (2018). Cognitive underpinnings of nationalistic ideology in the context of Brexit. </w:t>
      </w:r>
      <w:r>
        <w:rPr>
          <w:rStyle w:val="Hyperlink"/>
          <w:rFonts w:ascii="Times New Roman" w:hAnsi="Times New Roman" w:cs="Times New Roman"/>
          <w:i/>
          <w:iCs/>
          <w:color w:val="auto"/>
          <w:sz w:val="24"/>
          <w:szCs w:val="24"/>
          <w:u w:val="none"/>
        </w:rPr>
        <w:t xml:space="preserve">PNAS. </w:t>
      </w:r>
      <w:r>
        <w:rPr>
          <w:rStyle w:val="Hyperlink"/>
          <w:rFonts w:ascii="Times New Roman" w:hAnsi="Times New Roman" w:cs="Times New Roman"/>
          <w:color w:val="auto"/>
          <w:sz w:val="24"/>
          <w:szCs w:val="24"/>
          <w:u w:val="none"/>
        </w:rPr>
        <w:t>Vol. 115, No. 19, 4532-4540.</w:t>
      </w:r>
    </w:p>
    <w:p w14:paraId="0707AA9D" w14:textId="77777777" w:rsidR="0023206D" w:rsidRPr="00C64C8B" w:rsidRDefault="0023206D" w:rsidP="00C64C8B">
      <w:pPr>
        <w:ind w:left="360"/>
        <w:rPr>
          <w:rFonts w:ascii="Times New Roman" w:hAnsi="Times New Roman" w:cs="Times New Roman"/>
          <w:sz w:val="28"/>
          <w:szCs w:val="28"/>
        </w:rPr>
      </w:pPr>
    </w:p>
    <w:sectPr w:rsidR="0023206D" w:rsidRPr="00C64C8B" w:rsidSect="00533D29">
      <w:headerReference w:type="default"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FC13C5" w14:textId="77777777" w:rsidR="00533D29" w:rsidRDefault="00533D29" w:rsidP="00533D29">
      <w:pPr>
        <w:spacing w:line="240" w:lineRule="auto"/>
      </w:pPr>
      <w:r>
        <w:separator/>
      </w:r>
    </w:p>
  </w:endnote>
  <w:endnote w:type="continuationSeparator" w:id="0">
    <w:p w14:paraId="3CA36949" w14:textId="77777777" w:rsidR="00533D29" w:rsidRDefault="00533D29" w:rsidP="00533D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C11FD7" w14:textId="317967A9" w:rsidR="00533D29" w:rsidRDefault="00533D29">
    <w:pPr>
      <w:pStyle w:val="Footer"/>
    </w:pPr>
    <w:r>
      <w:tab/>
      <w:t>1702759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3E0B28" w14:textId="04F16001" w:rsidR="00533D29" w:rsidRDefault="00533D29">
    <w:pPr>
      <w:pStyle w:val="Footer"/>
    </w:pPr>
    <w:r>
      <w:tab/>
      <w:t>1702759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3DB174" w14:textId="77777777" w:rsidR="00533D29" w:rsidRDefault="00533D29" w:rsidP="00533D29">
      <w:pPr>
        <w:spacing w:line="240" w:lineRule="auto"/>
      </w:pPr>
      <w:r>
        <w:separator/>
      </w:r>
    </w:p>
  </w:footnote>
  <w:footnote w:type="continuationSeparator" w:id="0">
    <w:p w14:paraId="781FBC85" w14:textId="77777777" w:rsidR="00533D29" w:rsidRDefault="00533D29" w:rsidP="00533D2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3EB008" w14:textId="70CB2540" w:rsidR="00533D29" w:rsidRDefault="00533D29">
    <w:pPr>
      <w:pStyle w:val="Header"/>
    </w:pPr>
    <w:r>
      <w:t>Intergroup Attitudes</w:t>
    </w:r>
    <w:r>
      <w:tab/>
      <w:t xml:space="preserve">                                                                                                                                          </w:t>
    </w:r>
    <w:r>
      <w:fldChar w:fldCharType="begin"/>
    </w:r>
    <w:r>
      <w:instrText xml:space="preserve"> PAGE   \* MERGEFORMAT </w:instrText>
    </w:r>
    <w:r>
      <w:fldChar w:fldCharType="separate"/>
    </w:r>
    <w:r>
      <w:rPr>
        <w:noProof/>
      </w:rPr>
      <w:t>1</w:t>
    </w:r>
    <w:r>
      <w:rPr>
        <w:noProof/>
      </w:rPr>
      <w:fldChar w:fldCharType="end"/>
    </w:r>
    <w:r>
      <w:tab/>
    </w:r>
    <w:r>
      <w:tab/>
    </w:r>
  </w:p>
  <w:p w14:paraId="00EC7277" w14:textId="77777777" w:rsidR="00533D29" w:rsidRDefault="00533D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8AAA34" w14:textId="7CC71881" w:rsidR="00533D29" w:rsidRDefault="00533D29">
    <w:pPr>
      <w:pStyle w:val="Header"/>
    </w:pPr>
    <w:r>
      <w:t>Running Head: Intergroup Attitudes</w:t>
    </w:r>
    <w:r>
      <w:tab/>
    </w:r>
    <w:r>
      <w:tab/>
    </w:r>
    <w:r>
      <w:fldChar w:fldCharType="begin"/>
    </w:r>
    <w:r>
      <w:instrText xml:space="preserve"> PAGE   \* MERGEFORMAT </w:instrText>
    </w:r>
    <w:r>
      <w:fldChar w:fldCharType="separate"/>
    </w:r>
    <w:r>
      <w:rPr>
        <w:noProof/>
      </w:rPr>
      <w:t>1</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6F490E"/>
    <w:multiLevelType w:val="hybridMultilevel"/>
    <w:tmpl w:val="DF987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D29"/>
    <w:rsid w:val="00005631"/>
    <w:rsid w:val="000137ED"/>
    <w:rsid w:val="00021537"/>
    <w:rsid w:val="00065B09"/>
    <w:rsid w:val="00077EC1"/>
    <w:rsid w:val="000B5B2B"/>
    <w:rsid w:val="001019E1"/>
    <w:rsid w:val="00112E50"/>
    <w:rsid w:val="00180F16"/>
    <w:rsid w:val="001831E6"/>
    <w:rsid w:val="001A22CD"/>
    <w:rsid w:val="001A28A0"/>
    <w:rsid w:val="001A483F"/>
    <w:rsid w:val="001F2BFE"/>
    <w:rsid w:val="001F3A59"/>
    <w:rsid w:val="001F596C"/>
    <w:rsid w:val="0020776B"/>
    <w:rsid w:val="0023206D"/>
    <w:rsid w:val="002406A3"/>
    <w:rsid w:val="00263B48"/>
    <w:rsid w:val="0028004D"/>
    <w:rsid w:val="002954D9"/>
    <w:rsid w:val="002977ED"/>
    <w:rsid w:val="002C0806"/>
    <w:rsid w:val="002E7E88"/>
    <w:rsid w:val="003033A3"/>
    <w:rsid w:val="00304630"/>
    <w:rsid w:val="00315B0E"/>
    <w:rsid w:val="0031774C"/>
    <w:rsid w:val="00366D0B"/>
    <w:rsid w:val="003A444D"/>
    <w:rsid w:val="003D3F8F"/>
    <w:rsid w:val="003E2D7F"/>
    <w:rsid w:val="003F7303"/>
    <w:rsid w:val="004051BA"/>
    <w:rsid w:val="00426CC8"/>
    <w:rsid w:val="00435B99"/>
    <w:rsid w:val="004726FF"/>
    <w:rsid w:val="0048554B"/>
    <w:rsid w:val="004A568E"/>
    <w:rsid w:val="004D0A65"/>
    <w:rsid w:val="004F274F"/>
    <w:rsid w:val="0050265F"/>
    <w:rsid w:val="00505B2B"/>
    <w:rsid w:val="00510DD1"/>
    <w:rsid w:val="00533D29"/>
    <w:rsid w:val="00534A12"/>
    <w:rsid w:val="00545C1E"/>
    <w:rsid w:val="00565472"/>
    <w:rsid w:val="00590466"/>
    <w:rsid w:val="005A29F1"/>
    <w:rsid w:val="005C51F0"/>
    <w:rsid w:val="005C7066"/>
    <w:rsid w:val="005E50DE"/>
    <w:rsid w:val="005F7E5A"/>
    <w:rsid w:val="00621B46"/>
    <w:rsid w:val="0064215C"/>
    <w:rsid w:val="006427AB"/>
    <w:rsid w:val="00666660"/>
    <w:rsid w:val="006812E0"/>
    <w:rsid w:val="006A02F4"/>
    <w:rsid w:val="006A0364"/>
    <w:rsid w:val="006B3C8A"/>
    <w:rsid w:val="006D48D5"/>
    <w:rsid w:val="006E3E0F"/>
    <w:rsid w:val="006E5C04"/>
    <w:rsid w:val="006E7A88"/>
    <w:rsid w:val="00703C3A"/>
    <w:rsid w:val="0072026B"/>
    <w:rsid w:val="007259BE"/>
    <w:rsid w:val="00740097"/>
    <w:rsid w:val="00747002"/>
    <w:rsid w:val="00754DAB"/>
    <w:rsid w:val="00763AC9"/>
    <w:rsid w:val="0079310F"/>
    <w:rsid w:val="007C1138"/>
    <w:rsid w:val="00801D40"/>
    <w:rsid w:val="008333A1"/>
    <w:rsid w:val="00834A09"/>
    <w:rsid w:val="00841ACE"/>
    <w:rsid w:val="00844064"/>
    <w:rsid w:val="008516E1"/>
    <w:rsid w:val="00867388"/>
    <w:rsid w:val="00890E5B"/>
    <w:rsid w:val="008B34A3"/>
    <w:rsid w:val="008C303E"/>
    <w:rsid w:val="008E0BF8"/>
    <w:rsid w:val="008F28B1"/>
    <w:rsid w:val="00906E78"/>
    <w:rsid w:val="009601AF"/>
    <w:rsid w:val="00965BF9"/>
    <w:rsid w:val="009A0FFD"/>
    <w:rsid w:val="009A6FE9"/>
    <w:rsid w:val="009C2F25"/>
    <w:rsid w:val="009E3F58"/>
    <w:rsid w:val="009E730B"/>
    <w:rsid w:val="009F4363"/>
    <w:rsid w:val="00A25290"/>
    <w:rsid w:val="00A7440A"/>
    <w:rsid w:val="00A879C9"/>
    <w:rsid w:val="00A916B7"/>
    <w:rsid w:val="00A9421F"/>
    <w:rsid w:val="00AA5FCF"/>
    <w:rsid w:val="00AB6D9F"/>
    <w:rsid w:val="00AC4F6A"/>
    <w:rsid w:val="00AF1ECC"/>
    <w:rsid w:val="00AF4557"/>
    <w:rsid w:val="00B03D7A"/>
    <w:rsid w:val="00B23587"/>
    <w:rsid w:val="00B30B82"/>
    <w:rsid w:val="00B45DFE"/>
    <w:rsid w:val="00B5022C"/>
    <w:rsid w:val="00B542BD"/>
    <w:rsid w:val="00BA03BF"/>
    <w:rsid w:val="00BA5924"/>
    <w:rsid w:val="00BA69DB"/>
    <w:rsid w:val="00BB5F11"/>
    <w:rsid w:val="00BC19E1"/>
    <w:rsid w:val="00BE3688"/>
    <w:rsid w:val="00C05C4E"/>
    <w:rsid w:val="00C3089E"/>
    <w:rsid w:val="00C41449"/>
    <w:rsid w:val="00C511C2"/>
    <w:rsid w:val="00C64C8B"/>
    <w:rsid w:val="00C7024A"/>
    <w:rsid w:val="00C75B71"/>
    <w:rsid w:val="00C84CE7"/>
    <w:rsid w:val="00CA5235"/>
    <w:rsid w:val="00CA5C9E"/>
    <w:rsid w:val="00CD12E6"/>
    <w:rsid w:val="00CD5D83"/>
    <w:rsid w:val="00CE29DE"/>
    <w:rsid w:val="00D13A8A"/>
    <w:rsid w:val="00D4326C"/>
    <w:rsid w:val="00D50D7F"/>
    <w:rsid w:val="00D62051"/>
    <w:rsid w:val="00D821D9"/>
    <w:rsid w:val="00D923BD"/>
    <w:rsid w:val="00DB1339"/>
    <w:rsid w:val="00DC41E1"/>
    <w:rsid w:val="00DC5C05"/>
    <w:rsid w:val="00DE47A2"/>
    <w:rsid w:val="00DE70B0"/>
    <w:rsid w:val="00DF3841"/>
    <w:rsid w:val="00E16775"/>
    <w:rsid w:val="00E419ED"/>
    <w:rsid w:val="00E460BF"/>
    <w:rsid w:val="00E5765E"/>
    <w:rsid w:val="00E66BA0"/>
    <w:rsid w:val="00E7638A"/>
    <w:rsid w:val="00E81458"/>
    <w:rsid w:val="00EB3823"/>
    <w:rsid w:val="00ED6DC9"/>
    <w:rsid w:val="00F14B38"/>
    <w:rsid w:val="00F2197B"/>
    <w:rsid w:val="00F30F5D"/>
    <w:rsid w:val="00F41E43"/>
    <w:rsid w:val="00F659CE"/>
    <w:rsid w:val="00F83DF2"/>
    <w:rsid w:val="00F95FA9"/>
    <w:rsid w:val="00FB1BF4"/>
    <w:rsid w:val="00FD5256"/>
    <w:rsid w:val="00FF0C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39CD7"/>
  <w15:chartTrackingRefBased/>
  <w15:docId w15:val="{B8213400-ED6C-4A65-9766-CDFBEFED1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480"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3D29"/>
    <w:pPr>
      <w:tabs>
        <w:tab w:val="center" w:pos="4513"/>
        <w:tab w:val="right" w:pos="9026"/>
      </w:tabs>
      <w:spacing w:line="240" w:lineRule="auto"/>
    </w:pPr>
  </w:style>
  <w:style w:type="character" w:customStyle="1" w:styleId="HeaderChar">
    <w:name w:val="Header Char"/>
    <w:basedOn w:val="DefaultParagraphFont"/>
    <w:link w:val="Header"/>
    <w:uiPriority w:val="99"/>
    <w:rsid w:val="00533D29"/>
  </w:style>
  <w:style w:type="paragraph" w:styleId="Footer">
    <w:name w:val="footer"/>
    <w:basedOn w:val="Normal"/>
    <w:link w:val="FooterChar"/>
    <w:uiPriority w:val="99"/>
    <w:unhideWhenUsed/>
    <w:rsid w:val="00533D29"/>
    <w:pPr>
      <w:tabs>
        <w:tab w:val="center" w:pos="4513"/>
        <w:tab w:val="right" w:pos="9026"/>
      </w:tabs>
      <w:spacing w:line="240" w:lineRule="auto"/>
    </w:pPr>
  </w:style>
  <w:style w:type="character" w:customStyle="1" w:styleId="FooterChar">
    <w:name w:val="Footer Char"/>
    <w:basedOn w:val="DefaultParagraphFont"/>
    <w:link w:val="Footer"/>
    <w:uiPriority w:val="99"/>
    <w:rsid w:val="00533D29"/>
  </w:style>
  <w:style w:type="paragraph" w:styleId="ListParagraph">
    <w:name w:val="List Paragraph"/>
    <w:basedOn w:val="Normal"/>
    <w:uiPriority w:val="34"/>
    <w:qFormat/>
    <w:rsid w:val="00A7440A"/>
    <w:pPr>
      <w:ind w:left="720"/>
      <w:contextualSpacing/>
    </w:pPr>
  </w:style>
  <w:style w:type="character" w:styleId="Hyperlink">
    <w:name w:val="Hyperlink"/>
    <w:basedOn w:val="DefaultParagraphFont"/>
    <w:uiPriority w:val="99"/>
    <w:semiHidden/>
    <w:unhideWhenUsed/>
    <w:rsid w:val="00E419E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peoplepopulationandcommunity/populationandmigration/internationalmigration/bulletins/migrationstatisticsquarterlyreport/november201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5F66AE-B7A0-41B0-83B2-ED4ECD874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865</TotalTime>
  <Pages>12</Pages>
  <Words>3094</Words>
  <Characters>17642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Demi Easter</dc:creator>
  <cp:keywords/>
  <dc:description/>
  <cp:lastModifiedBy>Demi Easter</cp:lastModifiedBy>
  <cp:revision>138</cp:revision>
  <dcterms:created xsi:type="dcterms:W3CDTF">2019-10-01T10:24:00Z</dcterms:created>
  <dcterms:modified xsi:type="dcterms:W3CDTF">2019-11-04T14:01:00Z</dcterms:modified>
</cp:coreProperties>
</file>