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51FD4" w14:textId="27EF2F00" w:rsidR="00DD697F" w:rsidRDefault="00A35821" w:rsidP="00A35821">
      <w:pPr>
        <w:jc w:val="center"/>
      </w:pPr>
      <w:r w:rsidRPr="004C5EE4">
        <w:rPr>
          <w:rFonts w:cs="Arial"/>
          <w:noProof/>
          <w:szCs w:val="24"/>
          <w:lang w:eastAsia="en-GB"/>
        </w:rPr>
        <w:drawing>
          <wp:inline distT="0" distB="0" distL="0" distR="0" wp14:anchorId="1DEAE859" wp14:editId="16A04CEE">
            <wp:extent cx="4518660" cy="2510367"/>
            <wp:effectExtent l="0" t="0" r="0" b="4445"/>
            <wp:docPr id="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text on i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4580774" cy="2544875"/>
                    </a:xfrm>
                    <a:prstGeom prst="rect">
                      <a:avLst/>
                    </a:prstGeom>
                  </pic:spPr>
                </pic:pic>
              </a:graphicData>
            </a:graphic>
          </wp:inline>
        </w:drawing>
      </w:r>
    </w:p>
    <w:p w14:paraId="4B3575E0" w14:textId="246E8A78" w:rsidR="00231428" w:rsidRDefault="00231428" w:rsidP="00A35821">
      <w:pPr>
        <w:jc w:val="center"/>
        <w:rPr>
          <w:sz w:val="36"/>
          <w:szCs w:val="36"/>
        </w:rPr>
      </w:pPr>
      <w:r w:rsidRPr="00231428">
        <w:rPr>
          <w:sz w:val="36"/>
          <w:szCs w:val="36"/>
        </w:rPr>
        <w:t>B</w:t>
      </w:r>
      <w:r>
        <w:rPr>
          <w:sz w:val="36"/>
          <w:szCs w:val="36"/>
        </w:rPr>
        <w:t>A Hons International Hotel Management</w:t>
      </w:r>
    </w:p>
    <w:p w14:paraId="3239F5ED" w14:textId="77777777" w:rsidR="00231428" w:rsidRDefault="00231428" w:rsidP="00A35821">
      <w:pPr>
        <w:jc w:val="center"/>
        <w:rPr>
          <w:sz w:val="36"/>
          <w:szCs w:val="36"/>
        </w:rPr>
      </w:pPr>
    </w:p>
    <w:p w14:paraId="2A0D7BBD" w14:textId="091B9164" w:rsidR="00231428" w:rsidRPr="00231428" w:rsidRDefault="00231428" w:rsidP="00A35821">
      <w:pPr>
        <w:jc w:val="center"/>
        <w:rPr>
          <w:b/>
          <w:bCs/>
          <w:sz w:val="48"/>
          <w:szCs w:val="48"/>
          <w:u w:val="single"/>
        </w:rPr>
      </w:pPr>
      <w:r w:rsidRPr="00231428">
        <w:rPr>
          <w:b/>
          <w:bCs/>
          <w:sz w:val="48"/>
          <w:szCs w:val="48"/>
          <w:u w:val="single"/>
        </w:rPr>
        <w:t>Personnel Resourcing and Development</w:t>
      </w:r>
    </w:p>
    <w:p w14:paraId="3EF47962" w14:textId="1F3056BC" w:rsidR="00231428" w:rsidRPr="00231428" w:rsidRDefault="00231428" w:rsidP="00A35821">
      <w:pPr>
        <w:jc w:val="center"/>
        <w:rPr>
          <w:b/>
          <w:bCs/>
          <w:sz w:val="48"/>
          <w:szCs w:val="48"/>
          <w:u w:val="single"/>
        </w:rPr>
      </w:pPr>
      <w:r w:rsidRPr="00231428">
        <w:rPr>
          <w:b/>
          <w:bCs/>
          <w:sz w:val="48"/>
          <w:szCs w:val="48"/>
          <w:u w:val="single"/>
        </w:rPr>
        <w:t>BMIH5005</w:t>
      </w:r>
    </w:p>
    <w:p w14:paraId="12CD321D" w14:textId="77777777" w:rsidR="00231428" w:rsidRDefault="00231428" w:rsidP="00A35821">
      <w:pPr>
        <w:jc w:val="center"/>
        <w:rPr>
          <w:sz w:val="36"/>
          <w:szCs w:val="36"/>
        </w:rPr>
      </w:pPr>
    </w:p>
    <w:p w14:paraId="040D2322" w14:textId="65083C87" w:rsidR="00231428" w:rsidRDefault="00231428" w:rsidP="00A35821">
      <w:pPr>
        <w:jc w:val="center"/>
        <w:rPr>
          <w:sz w:val="36"/>
          <w:szCs w:val="36"/>
        </w:rPr>
      </w:pPr>
      <w:r>
        <w:rPr>
          <w:sz w:val="36"/>
          <w:szCs w:val="36"/>
        </w:rPr>
        <w:t>Mohammed Abdul Bathen</w:t>
      </w:r>
    </w:p>
    <w:p w14:paraId="0E5228B8" w14:textId="286BA140" w:rsidR="00231428" w:rsidRDefault="00231428" w:rsidP="00A35821">
      <w:pPr>
        <w:jc w:val="center"/>
        <w:rPr>
          <w:sz w:val="36"/>
          <w:szCs w:val="36"/>
        </w:rPr>
      </w:pPr>
      <w:r>
        <w:rPr>
          <w:sz w:val="36"/>
          <w:szCs w:val="36"/>
        </w:rPr>
        <w:t>ID: 2212002</w:t>
      </w:r>
    </w:p>
    <w:p w14:paraId="16E04B1A" w14:textId="710CA6D2" w:rsidR="00231428" w:rsidRDefault="00231428" w:rsidP="00A35821">
      <w:pPr>
        <w:jc w:val="center"/>
        <w:rPr>
          <w:sz w:val="36"/>
          <w:szCs w:val="36"/>
        </w:rPr>
      </w:pPr>
      <w:r>
        <w:rPr>
          <w:sz w:val="36"/>
          <w:szCs w:val="36"/>
        </w:rPr>
        <w:t>Lecturer: Deborah Lloyd</w:t>
      </w:r>
    </w:p>
    <w:p w14:paraId="085438EF" w14:textId="436BFE5D" w:rsidR="00231428" w:rsidRDefault="00231428" w:rsidP="00A35821">
      <w:pPr>
        <w:jc w:val="center"/>
        <w:rPr>
          <w:sz w:val="36"/>
          <w:szCs w:val="36"/>
        </w:rPr>
      </w:pPr>
      <w:r>
        <w:rPr>
          <w:sz w:val="36"/>
          <w:szCs w:val="36"/>
        </w:rPr>
        <w:t>Word Count:</w:t>
      </w:r>
      <w:r w:rsidR="007C59A3">
        <w:rPr>
          <w:sz w:val="36"/>
          <w:szCs w:val="36"/>
        </w:rPr>
        <w:t xml:space="preserve"> 1868</w:t>
      </w:r>
    </w:p>
    <w:p w14:paraId="704E8D8B" w14:textId="77777777" w:rsidR="00231428" w:rsidRDefault="00231428" w:rsidP="00A35821">
      <w:pPr>
        <w:jc w:val="center"/>
        <w:rPr>
          <w:sz w:val="36"/>
          <w:szCs w:val="36"/>
        </w:rPr>
      </w:pPr>
    </w:p>
    <w:p w14:paraId="18A28B0F" w14:textId="1CF48845" w:rsidR="00231428" w:rsidRDefault="00231428" w:rsidP="00231428">
      <w:pPr>
        <w:jc w:val="center"/>
        <w:rPr>
          <w:b/>
          <w:bCs/>
          <w:color w:val="2F5496" w:themeColor="accent1" w:themeShade="BF"/>
          <w:sz w:val="36"/>
          <w:szCs w:val="36"/>
        </w:rPr>
      </w:pPr>
      <w:r w:rsidRPr="00231428">
        <w:rPr>
          <w:b/>
          <w:bCs/>
          <w:color w:val="2F5496" w:themeColor="accent1" w:themeShade="BF"/>
          <w:sz w:val="36"/>
          <w:szCs w:val="36"/>
        </w:rPr>
        <w:t>Assignment 1; How to engage employees from Generation Zs throughout the employee lifecycle.</w:t>
      </w:r>
    </w:p>
    <w:p w14:paraId="1F4577EA" w14:textId="77777777" w:rsidR="00231428" w:rsidRDefault="00231428" w:rsidP="00231428">
      <w:pPr>
        <w:jc w:val="center"/>
        <w:rPr>
          <w:b/>
          <w:bCs/>
          <w:color w:val="2F5496" w:themeColor="accent1" w:themeShade="BF"/>
          <w:sz w:val="36"/>
          <w:szCs w:val="36"/>
        </w:rPr>
      </w:pPr>
    </w:p>
    <w:p w14:paraId="33783864" w14:textId="77777777" w:rsidR="00231428" w:rsidRDefault="00231428" w:rsidP="00231428">
      <w:pPr>
        <w:jc w:val="center"/>
        <w:rPr>
          <w:b/>
          <w:bCs/>
          <w:color w:val="2F5496" w:themeColor="accent1" w:themeShade="BF"/>
          <w:sz w:val="36"/>
          <w:szCs w:val="36"/>
        </w:rPr>
      </w:pPr>
    </w:p>
    <w:p w14:paraId="5C279043" w14:textId="77777777" w:rsidR="00231428" w:rsidRDefault="00231428" w:rsidP="00231428">
      <w:pPr>
        <w:jc w:val="center"/>
        <w:rPr>
          <w:b/>
          <w:bCs/>
          <w:color w:val="2F5496" w:themeColor="accent1" w:themeShade="BF"/>
          <w:sz w:val="36"/>
          <w:szCs w:val="36"/>
        </w:rPr>
      </w:pPr>
    </w:p>
    <w:p w14:paraId="39DA5E77" w14:textId="717C4882" w:rsidR="00231428" w:rsidRPr="00C604E0" w:rsidRDefault="00C604E0" w:rsidP="00C604E0">
      <w:pPr>
        <w:spacing w:line="360" w:lineRule="auto"/>
        <w:jc w:val="both"/>
        <w:rPr>
          <w:rFonts w:ascii="Arial" w:hAnsi="Arial" w:cs="Arial"/>
          <w:sz w:val="24"/>
          <w:szCs w:val="24"/>
        </w:rPr>
      </w:pPr>
      <w:r>
        <w:rPr>
          <w:rFonts w:ascii="Arial" w:hAnsi="Arial" w:cs="Arial"/>
          <w:sz w:val="24"/>
          <w:szCs w:val="24"/>
        </w:rPr>
        <w:lastRenderedPageBreak/>
        <w:t>This essay will be assessing how to engage employees from generation Zs throughout the employee lifecycle. Research show that t</w:t>
      </w:r>
      <w:r w:rsidR="00231428" w:rsidRPr="00C604E0">
        <w:rPr>
          <w:rFonts w:ascii="Arial" w:hAnsi="Arial" w:cs="Arial"/>
          <w:sz w:val="24"/>
          <w:szCs w:val="24"/>
        </w:rPr>
        <w:t xml:space="preserve">his present world is developed based on modern technology. This world is for the new generation. The new generation's priority and expectation is always different from the others. That's why the new employees in an organisation may have different expectations and it will require different engagement strategies. The human resource department always has a key role in developing increased engagement in the organisation. In this assignment, there will be a proper explanation of increased engagement and the inclusion of new generations. The advantages of employee engagement will be present in this assessment. Different types of engagement models of different organisations from the hotel industry will also be found. </w:t>
      </w:r>
    </w:p>
    <w:p w14:paraId="0966D7FF" w14:textId="212202D2" w:rsidR="00231428" w:rsidRPr="00C604E0" w:rsidRDefault="00231428" w:rsidP="00C604E0">
      <w:pPr>
        <w:spacing w:line="360" w:lineRule="auto"/>
        <w:jc w:val="both"/>
        <w:rPr>
          <w:rFonts w:ascii="Arial" w:hAnsi="Arial" w:cs="Arial"/>
          <w:b/>
          <w:bCs/>
          <w:sz w:val="24"/>
          <w:szCs w:val="24"/>
        </w:rPr>
      </w:pPr>
      <w:r w:rsidRPr="00C604E0">
        <w:rPr>
          <w:rFonts w:ascii="Arial" w:hAnsi="Arial" w:cs="Arial"/>
          <w:sz w:val="24"/>
          <w:szCs w:val="24"/>
        </w:rPr>
        <w:t>Human resources always have a crucial role in the engagement activities of employees.  Effective employee engagement is always required for any organisation (</w:t>
      </w:r>
      <w:r w:rsidRPr="00C604E0">
        <w:rPr>
          <w:rFonts w:ascii="Arial" w:hAnsi="Arial" w:cs="Arial"/>
          <w:color w:val="222222"/>
          <w:sz w:val="24"/>
          <w:szCs w:val="24"/>
          <w:shd w:val="clear" w:color="auto" w:fill="FFFFFF"/>
        </w:rPr>
        <w:t>Gupta, 2018)</w:t>
      </w:r>
      <w:r w:rsidRPr="00C604E0">
        <w:rPr>
          <w:rFonts w:ascii="Arial" w:hAnsi="Arial" w:cs="Arial"/>
          <w:sz w:val="24"/>
          <w:szCs w:val="24"/>
        </w:rPr>
        <w:t xml:space="preserve">. There are different types of roles that </w:t>
      </w:r>
      <w:r w:rsidR="00C604E0">
        <w:rPr>
          <w:rFonts w:ascii="Arial" w:hAnsi="Arial" w:cs="Arial"/>
          <w:sz w:val="24"/>
          <w:szCs w:val="24"/>
        </w:rPr>
        <w:t>HR</w:t>
      </w:r>
      <w:r w:rsidRPr="00C604E0">
        <w:rPr>
          <w:rFonts w:ascii="Arial" w:hAnsi="Arial" w:cs="Arial"/>
          <w:sz w:val="24"/>
          <w:szCs w:val="24"/>
        </w:rPr>
        <w:t xml:space="preserve"> department should p</w:t>
      </w:r>
      <w:r w:rsidR="00C604E0">
        <w:rPr>
          <w:rFonts w:ascii="Arial" w:hAnsi="Arial" w:cs="Arial"/>
          <w:sz w:val="24"/>
          <w:szCs w:val="24"/>
        </w:rPr>
        <w:t>erform</w:t>
      </w:r>
      <w:r w:rsidRPr="00C604E0">
        <w:rPr>
          <w:rFonts w:ascii="Arial" w:hAnsi="Arial" w:cs="Arial"/>
          <w:sz w:val="24"/>
          <w:szCs w:val="24"/>
        </w:rPr>
        <w:t xml:space="preserve">. The employees might have specific expectations and the practice of culture. The organisations also have their specific culture. Human resources always need to maintain a proper alignment in between these two cultures. Human resources always </w:t>
      </w:r>
      <w:r w:rsidR="00C604E0">
        <w:rPr>
          <w:rFonts w:ascii="Arial" w:hAnsi="Arial" w:cs="Arial"/>
          <w:sz w:val="24"/>
          <w:szCs w:val="24"/>
        </w:rPr>
        <w:t>represent</w:t>
      </w:r>
      <w:r w:rsidRPr="00C604E0">
        <w:rPr>
          <w:rFonts w:ascii="Arial" w:hAnsi="Arial" w:cs="Arial"/>
          <w:sz w:val="24"/>
          <w:szCs w:val="24"/>
        </w:rPr>
        <w:t xml:space="preserve"> a crucial role in developing an inclusive working environment. The employee development program is also another activity of the human resource department that trains the employees for their specific roles (</w:t>
      </w:r>
      <w:r w:rsidRPr="00C604E0">
        <w:rPr>
          <w:rFonts w:ascii="Arial" w:hAnsi="Arial" w:cs="Arial"/>
          <w:color w:val="222222"/>
          <w:sz w:val="24"/>
          <w:szCs w:val="24"/>
          <w:shd w:val="clear" w:color="auto" w:fill="FFFFFF"/>
        </w:rPr>
        <w:t>Markos and Sridevi, 2020)</w:t>
      </w:r>
      <w:r w:rsidRPr="00C604E0">
        <w:rPr>
          <w:rFonts w:ascii="Arial" w:hAnsi="Arial" w:cs="Arial"/>
          <w:sz w:val="24"/>
          <w:szCs w:val="24"/>
        </w:rPr>
        <w:t xml:space="preserve">. The organisation DoubleTree by Hilton is always trying to maintain this development activity. This organisation always </w:t>
      </w:r>
      <w:r w:rsidR="00C604E0" w:rsidRPr="00C604E0">
        <w:rPr>
          <w:rFonts w:ascii="Arial" w:hAnsi="Arial" w:cs="Arial"/>
          <w:sz w:val="24"/>
          <w:szCs w:val="24"/>
        </w:rPr>
        <w:t>produces</w:t>
      </w:r>
      <w:r w:rsidRPr="00C604E0">
        <w:rPr>
          <w:rFonts w:ascii="Arial" w:hAnsi="Arial" w:cs="Arial"/>
          <w:sz w:val="24"/>
          <w:szCs w:val="24"/>
        </w:rPr>
        <w:t xml:space="preserve"> different types of courses and training session for its employees. Recognition and rewards are another way to engage the employees with the organisation. The human resource department always needs to provide some reward and recognition to the performing workers. Recognition can help to motivate the employees to increase their attachment and engagement with the organisation. There are also some other roles that the human resource department should play in improving engagement (Armstrong, 2020). Wellness and work-life balance, feedback and communication, diversity and inclusion, and career growth are some examples. The organisation DoubleTree and its HR team always try to maintain these roles.</w:t>
      </w:r>
    </w:p>
    <w:p w14:paraId="4979002B"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 xml:space="preserve">The people who were born from the 1990s to 2010 are generally known as Generation Z. These groups of people are born in the digital age. They have their unique </w:t>
      </w:r>
      <w:r w:rsidRPr="00C604E0">
        <w:rPr>
          <w:rFonts w:ascii="Arial" w:hAnsi="Arial" w:cs="Arial"/>
          <w:sz w:val="24"/>
          <w:szCs w:val="24"/>
        </w:rPr>
        <w:lastRenderedPageBreak/>
        <w:t xml:space="preserve">characteristics and unique environment. They have also different expectations and experience (Gallagher, 2016). </w:t>
      </w:r>
    </w:p>
    <w:p w14:paraId="420843BE" w14:textId="5B574C76"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 xml:space="preserve">The group of people of Generation Z has an interest in technology. As the bone in the modern era, they have access to smartphones, social media, and the Internet. </w:t>
      </w:r>
      <w:r w:rsidR="00407919" w:rsidRPr="00C604E0">
        <w:rPr>
          <w:rFonts w:ascii="Arial" w:hAnsi="Arial" w:cs="Arial"/>
          <w:sz w:val="24"/>
          <w:szCs w:val="24"/>
        </w:rPr>
        <w:t>All</w:t>
      </w:r>
      <w:r w:rsidRPr="00C604E0">
        <w:rPr>
          <w:rFonts w:ascii="Arial" w:hAnsi="Arial" w:cs="Arial"/>
          <w:sz w:val="24"/>
          <w:szCs w:val="24"/>
        </w:rPr>
        <w:t xml:space="preserve"> these accesses</w:t>
      </w:r>
      <w:r w:rsidR="00407919">
        <w:rPr>
          <w:rFonts w:ascii="Arial" w:hAnsi="Arial" w:cs="Arial"/>
          <w:sz w:val="24"/>
          <w:szCs w:val="24"/>
        </w:rPr>
        <w:t>,</w:t>
      </w:r>
      <w:r w:rsidRPr="00C604E0">
        <w:rPr>
          <w:rFonts w:ascii="Arial" w:hAnsi="Arial" w:cs="Arial"/>
          <w:sz w:val="24"/>
          <w:szCs w:val="24"/>
        </w:rPr>
        <w:t xml:space="preserve"> help them to grow their life Tech savvy. These people have strong communication power both personal and professional (Dolot, 2018). </w:t>
      </w:r>
    </w:p>
    <w:p w14:paraId="521BACDC"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The group of people from the generation that is always comfortable with the Internet. They love to communicate through the Internet. They do different types of online research, e-commerce activities, and different technological areas. They always try to get their services online.</w:t>
      </w:r>
    </w:p>
    <w:p w14:paraId="0AC34FCA"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 xml:space="preserve">These groups of people are always diverse from the others. This group of people is always open to accepting diversity in any form. They always have their mind open for social justice and equity (Cilliers, 2017). </w:t>
      </w:r>
    </w:p>
    <w:p w14:paraId="01D8A006"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There are also some other characteristics of this generation. These people have entrepreneurial mind-sets, financially conscious and independent learners. The Hilton group is always open to considering these characteristics of the new generation. Double Tree by Hilton is one of the renowned hotel chain organisations that is known for its hospitality and employee engagement. The unique characteristics of the workers differ this organisation from the others (</w:t>
      </w:r>
      <w:r w:rsidRPr="00C604E0">
        <w:rPr>
          <w:rFonts w:ascii="Arial" w:hAnsi="Arial" w:cs="Arial"/>
          <w:color w:val="222222"/>
          <w:sz w:val="24"/>
          <w:szCs w:val="24"/>
          <w:shd w:val="clear" w:color="auto" w:fill="FFFFFF"/>
        </w:rPr>
        <w:t>Reeve, 2020)</w:t>
      </w:r>
      <w:r w:rsidRPr="00C604E0">
        <w:rPr>
          <w:rFonts w:ascii="Arial" w:hAnsi="Arial" w:cs="Arial"/>
          <w:sz w:val="24"/>
          <w:szCs w:val="24"/>
        </w:rPr>
        <w:t xml:space="preserve">. </w:t>
      </w:r>
    </w:p>
    <w:p w14:paraId="7E31CF36" w14:textId="77777777" w:rsidR="00407919" w:rsidRDefault="00407919" w:rsidP="00C604E0">
      <w:pPr>
        <w:spacing w:line="360" w:lineRule="auto"/>
        <w:jc w:val="both"/>
        <w:rPr>
          <w:rFonts w:ascii="Arial" w:hAnsi="Arial" w:cs="Arial"/>
          <w:sz w:val="24"/>
          <w:szCs w:val="24"/>
        </w:rPr>
      </w:pPr>
      <w:r>
        <w:rPr>
          <w:rFonts w:ascii="Arial" w:hAnsi="Arial" w:cs="Arial"/>
          <w:sz w:val="24"/>
          <w:szCs w:val="24"/>
        </w:rPr>
        <w:t>Furthermore,</w:t>
      </w:r>
      <w:r w:rsidR="00231428" w:rsidRPr="00C604E0">
        <w:rPr>
          <w:rFonts w:ascii="Arial" w:hAnsi="Arial" w:cs="Arial"/>
          <w:sz w:val="24"/>
          <w:szCs w:val="24"/>
        </w:rPr>
        <w:t xml:space="preserve"> there are also some other activities that this organisation can follow to improve the engagement of workers. A hospitality training program for the employees will be one of the candidate options for improving engagement. Offering certificates for good services to the guest and other service-related performance. It would be another option for improving engagement. </w:t>
      </w:r>
      <w:r>
        <w:rPr>
          <w:rFonts w:ascii="Arial" w:hAnsi="Arial" w:cs="Arial"/>
          <w:sz w:val="24"/>
          <w:szCs w:val="24"/>
        </w:rPr>
        <w:t>This will then let i</w:t>
      </w:r>
      <w:r w:rsidR="00231428" w:rsidRPr="00C604E0">
        <w:rPr>
          <w:rFonts w:ascii="Arial" w:hAnsi="Arial" w:cs="Arial"/>
          <w:sz w:val="24"/>
          <w:szCs w:val="24"/>
        </w:rPr>
        <w:t>t enhance the skills of employees and motivate them to work more consciously</w:t>
      </w:r>
      <w:r>
        <w:rPr>
          <w:rFonts w:ascii="Arial" w:hAnsi="Arial" w:cs="Arial"/>
          <w:sz w:val="24"/>
          <w:szCs w:val="24"/>
        </w:rPr>
        <w:t xml:space="preserve"> and effectively</w:t>
      </w:r>
      <w:r w:rsidR="00231428" w:rsidRPr="00C604E0">
        <w:rPr>
          <w:rFonts w:ascii="Arial" w:hAnsi="Arial" w:cs="Arial"/>
          <w:sz w:val="24"/>
          <w:szCs w:val="24"/>
        </w:rPr>
        <w:t>. Recognition and rewards should be presented to the employees for their better performance. Guest feedback integration will be another option for improvement. Any kind of feedback from the guest can be shared with the management which will improve the overall quality of service. Proper engagement with the organisation will open this opportunity (</w:t>
      </w:r>
      <w:r w:rsidR="00231428" w:rsidRPr="00C604E0">
        <w:rPr>
          <w:rFonts w:ascii="Arial" w:hAnsi="Arial" w:cs="Arial"/>
          <w:color w:val="222222"/>
          <w:sz w:val="24"/>
          <w:szCs w:val="24"/>
          <w:shd w:val="clear" w:color="auto" w:fill="FFFFFF"/>
        </w:rPr>
        <w:t>Duque, 2020)</w:t>
      </w:r>
      <w:r w:rsidR="00231428" w:rsidRPr="00C604E0">
        <w:rPr>
          <w:rFonts w:ascii="Arial" w:hAnsi="Arial" w:cs="Arial"/>
          <w:sz w:val="24"/>
          <w:szCs w:val="24"/>
        </w:rPr>
        <w:t xml:space="preserve">. Cross-training activities are another efficient process for improving the engagement of employees. </w:t>
      </w:r>
    </w:p>
    <w:p w14:paraId="6E7FBD06" w14:textId="03EEE0C6"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lastRenderedPageBreak/>
        <w:t>Providing opportunities to the employees for cross-training in the hotel or outside the hotel. In this process, the employees will develop their skills in different areas which will improve the engagement. Engaging a team with the organisation is one of the criteria for success. When any team is engaged with the organisation, it can provide more successful results (</w:t>
      </w:r>
      <w:r w:rsidRPr="00C604E0">
        <w:rPr>
          <w:rFonts w:ascii="Arial" w:hAnsi="Arial" w:cs="Arial"/>
          <w:color w:val="222222"/>
          <w:sz w:val="24"/>
          <w:szCs w:val="24"/>
          <w:shd w:val="clear" w:color="auto" w:fill="FFFFFF"/>
        </w:rPr>
        <w:t>Fotaris, 2019)</w:t>
      </w:r>
      <w:r w:rsidRPr="00C604E0">
        <w:rPr>
          <w:rFonts w:ascii="Arial" w:hAnsi="Arial" w:cs="Arial"/>
          <w:sz w:val="24"/>
          <w:szCs w:val="24"/>
        </w:rPr>
        <w:t xml:space="preserve">. There are different types of advantages and benefits of employee engagement with the organisation. </w:t>
      </w:r>
    </w:p>
    <w:p w14:paraId="35838DE3" w14:textId="25586019"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Proper engagement with the organisation to improve the productivity of employees.  Motivated employees are always the best performers. Employees try to do their work with proper dignity and efficiency. Engagement with the organisation also improves the creativity and innovation of employees (</w:t>
      </w:r>
      <w:r w:rsidRPr="00C604E0">
        <w:rPr>
          <w:rFonts w:ascii="Arial" w:hAnsi="Arial" w:cs="Arial"/>
          <w:color w:val="222222"/>
          <w:sz w:val="24"/>
          <w:szCs w:val="24"/>
          <w:shd w:val="clear" w:color="auto" w:fill="FFFFFF"/>
        </w:rPr>
        <w:t>Gratton, 2021)</w:t>
      </w:r>
      <w:r w:rsidRPr="00C604E0">
        <w:rPr>
          <w:rFonts w:ascii="Arial" w:hAnsi="Arial" w:cs="Arial"/>
          <w:sz w:val="24"/>
          <w:szCs w:val="24"/>
        </w:rPr>
        <w:t>. As the present generation is always independent, they need to be motivated with employee engagement. With the help of employee engagement, organisations can benefit by faster problem-solving, and adaptability to new changes and can develop positive company reputation. The organisation DoubleTree by Hilton and its human resource team are always open to capitali</w:t>
      </w:r>
      <w:r w:rsidR="00407919">
        <w:rPr>
          <w:rFonts w:ascii="Arial" w:hAnsi="Arial" w:cs="Arial"/>
          <w:sz w:val="24"/>
          <w:szCs w:val="24"/>
        </w:rPr>
        <w:t>s</w:t>
      </w:r>
      <w:r w:rsidRPr="00C604E0">
        <w:rPr>
          <w:rFonts w:ascii="Arial" w:hAnsi="Arial" w:cs="Arial"/>
          <w:sz w:val="24"/>
          <w:szCs w:val="24"/>
        </w:rPr>
        <w:t xml:space="preserve">ing on these benefits. By ensuring engagement in the workplace with the present generation, this organisation </w:t>
      </w:r>
      <w:r w:rsidR="00407919">
        <w:rPr>
          <w:rFonts w:ascii="Arial" w:hAnsi="Arial" w:cs="Arial"/>
          <w:sz w:val="24"/>
          <w:szCs w:val="24"/>
        </w:rPr>
        <w:t xml:space="preserve">can </w:t>
      </w:r>
      <w:r w:rsidRPr="00C604E0">
        <w:rPr>
          <w:rFonts w:ascii="Arial" w:hAnsi="Arial" w:cs="Arial"/>
          <w:sz w:val="24"/>
          <w:szCs w:val="24"/>
        </w:rPr>
        <w:t xml:space="preserve">also </w:t>
      </w:r>
      <w:r w:rsidR="00407919">
        <w:rPr>
          <w:rFonts w:ascii="Arial" w:hAnsi="Arial" w:cs="Arial"/>
          <w:sz w:val="24"/>
          <w:szCs w:val="24"/>
        </w:rPr>
        <w:t xml:space="preserve">be </w:t>
      </w:r>
      <w:r w:rsidRPr="00C604E0">
        <w:rPr>
          <w:rFonts w:ascii="Arial" w:hAnsi="Arial" w:cs="Arial"/>
          <w:sz w:val="24"/>
          <w:szCs w:val="24"/>
        </w:rPr>
        <w:t>benefited from high-quality output, lower turnover rates, better customer service, and cost-saving activities (</w:t>
      </w:r>
      <w:r w:rsidRPr="00C604E0">
        <w:rPr>
          <w:rFonts w:ascii="Arial" w:hAnsi="Arial" w:cs="Arial"/>
          <w:color w:val="222222"/>
          <w:sz w:val="24"/>
          <w:szCs w:val="24"/>
          <w:shd w:val="clear" w:color="auto" w:fill="FFFFFF"/>
        </w:rPr>
        <w:t>Shaik, 2019)</w:t>
      </w:r>
      <w:r w:rsidRPr="00C604E0">
        <w:rPr>
          <w:rFonts w:ascii="Arial" w:hAnsi="Arial" w:cs="Arial"/>
          <w:sz w:val="24"/>
          <w:szCs w:val="24"/>
        </w:rPr>
        <w:t>. That's why every organisation needs to know the benefits of employee engagement. The HR department of DoubleTree by Hilton considered the employee's life cycle in different stages. In every stage, there are some specific characteristics and activities that this department needs to perform. These stages are also developed after considering this present generation (</w:t>
      </w:r>
      <w:r w:rsidRPr="00C604E0">
        <w:rPr>
          <w:rFonts w:ascii="Arial" w:hAnsi="Arial" w:cs="Arial"/>
          <w:color w:val="222222"/>
          <w:sz w:val="24"/>
          <w:szCs w:val="24"/>
          <w:shd w:val="clear" w:color="auto" w:fill="FFFFFF"/>
        </w:rPr>
        <w:t>Hsu, 2022)</w:t>
      </w:r>
      <w:r w:rsidRPr="00C604E0">
        <w:rPr>
          <w:rFonts w:ascii="Arial" w:hAnsi="Arial" w:cs="Arial"/>
          <w:sz w:val="24"/>
          <w:szCs w:val="24"/>
        </w:rPr>
        <w:t xml:space="preserve">. </w:t>
      </w:r>
    </w:p>
    <w:p w14:paraId="360091F9" w14:textId="77777777" w:rsidR="00407919" w:rsidRDefault="00231428" w:rsidP="00C604E0">
      <w:pPr>
        <w:spacing w:line="360" w:lineRule="auto"/>
        <w:jc w:val="both"/>
        <w:rPr>
          <w:rFonts w:ascii="Arial" w:hAnsi="Arial" w:cs="Arial"/>
          <w:sz w:val="24"/>
          <w:szCs w:val="24"/>
        </w:rPr>
      </w:pPr>
      <w:r w:rsidRPr="00C604E0">
        <w:rPr>
          <w:rFonts w:ascii="Arial" w:hAnsi="Arial" w:cs="Arial"/>
          <w:sz w:val="24"/>
          <w:szCs w:val="24"/>
        </w:rPr>
        <w:t>The first day of the emp</w:t>
      </w:r>
      <w:r w:rsidR="00407919">
        <w:rPr>
          <w:rFonts w:ascii="Arial" w:hAnsi="Arial" w:cs="Arial"/>
          <w:sz w:val="24"/>
          <w:szCs w:val="24"/>
        </w:rPr>
        <w:t>loyee</w:t>
      </w:r>
      <w:r w:rsidRPr="00C604E0">
        <w:rPr>
          <w:rFonts w:ascii="Arial" w:hAnsi="Arial" w:cs="Arial"/>
          <w:sz w:val="24"/>
          <w:szCs w:val="24"/>
        </w:rPr>
        <w:t>s life cycle is attraction. It means attracting talented candidates for the organisation. In this section, organisations generally try to get specific employees for specific positions with maximum skill sets. After that, the recruitment stays developed where the recruiter of this organisation builds a recruitment process. By developing a proper recruitment process, organisations try to the best candidate.  Organisations like Double Tree always try to maintain their reputation by recruiting the best candidates (</w:t>
      </w:r>
      <w:r w:rsidRPr="00C604E0">
        <w:rPr>
          <w:rFonts w:ascii="Arial" w:hAnsi="Arial" w:cs="Arial"/>
          <w:color w:val="222222"/>
          <w:sz w:val="24"/>
          <w:szCs w:val="24"/>
          <w:shd w:val="clear" w:color="auto" w:fill="FFFFFF"/>
        </w:rPr>
        <w:t>Jordan, 2020)</w:t>
      </w:r>
      <w:r w:rsidRPr="00C604E0">
        <w:rPr>
          <w:rFonts w:ascii="Arial" w:hAnsi="Arial" w:cs="Arial"/>
          <w:sz w:val="24"/>
          <w:szCs w:val="24"/>
        </w:rPr>
        <w:t xml:space="preserve">. After recruiting the employees, this organisation runs its process for integrating new employees with the company culture. Employees are introduced to the vision, mission, and values of the organisation. After implementing the employees in their specific positions, the development of employees is started. These days’ employees are generally trained </w:t>
      </w:r>
      <w:r w:rsidRPr="00C604E0">
        <w:rPr>
          <w:rFonts w:ascii="Arial" w:hAnsi="Arial" w:cs="Arial"/>
          <w:sz w:val="24"/>
          <w:szCs w:val="24"/>
        </w:rPr>
        <w:lastRenderedPageBreak/>
        <w:t xml:space="preserve">with different skills and other activities. Employee retention is the next stage where the company provides different types of beneficiary activities before retention the employees. After that separation is the final stage where employees who do not apply to the organisation are respectfully separated from the organisation (Friedman, 2012). </w:t>
      </w:r>
    </w:p>
    <w:p w14:paraId="798EAC3E" w14:textId="77777777" w:rsidR="00DB61F5" w:rsidRDefault="00231428" w:rsidP="00C604E0">
      <w:pPr>
        <w:spacing w:line="360" w:lineRule="auto"/>
        <w:jc w:val="both"/>
        <w:rPr>
          <w:rFonts w:ascii="Arial" w:hAnsi="Arial" w:cs="Arial"/>
          <w:sz w:val="24"/>
          <w:szCs w:val="24"/>
        </w:rPr>
      </w:pPr>
      <w:r w:rsidRPr="00C604E0">
        <w:rPr>
          <w:rFonts w:ascii="Arial" w:hAnsi="Arial" w:cs="Arial"/>
          <w:sz w:val="24"/>
          <w:szCs w:val="24"/>
        </w:rPr>
        <w:t>These are some of the stages that an employee from DoubleTree organisation faces. Engagement is always essential for any kind of productivity. It also help</w:t>
      </w:r>
      <w:r w:rsidR="00407919">
        <w:rPr>
          <w:rFonts w:ascii="Arial" w:hAnsi="Arial" w:cs="Arial"/>
          <w:sz w:val="24"/>
          <w:szCs w:val="24"/>
        </w:rPr>
        <w:t>s</w:t>
      </w:r>
      <w:r w:rsidRPr="00C604E0">
        <w:rPr>
          <w:rFonts w:ascii="Arial" w:hAnsi="Arial" w:cs="Arial"/>
          <w:sz w:val="24"/>
          <w:szCs w:val="24"/>
        </w:rPr>
        <w:t xml:space="preserve"> to improve job satisfaction and organisational success (</w:t>
      </w:r>
      <w:r w:rsidRPr="00C604E0">
        <w:rPr>
          <w:rFonts w:ascii="Arial" w:hAnsi="Arial" w:cs="Arial"/>
          <w:color w:val="222222"/>
          <w:sz w:val="24"/>
          <w:szCs w:val="24"/>
          <w:shd w:val="clear" w:color="auto" w:fill="FFFFFF"/>
        </w:rPr>
        <w:t>Johnson, 2014)</w:t>
      </w:r>
      <w:r w:rsidRPr="00C604E0">
        <w:rPr>
          <w:rFonts w:ascii="Arial" w:hAnsi="Arial" w:cs="Arial"/>
          <w:sz w:val="24"/>
          <w:szCs w:val="24"/>
        </w:rPr>
        <w:t xml:space="preserve">. Different types of strategy help to develop the right engagement in the team. Proper communication is one of the examples of engagement strategies that is followed in my team.  Maintaining a proper communication channel and transferring communication with the team members helped to develop the right engagement. </w:t>
      </w:r>
      <w:r w:rsidR="00407919">
        <w:rPr>
          <w:rFonts w:ascii="Arial" w:hAnsi="Arial" w:cs="Arial"/>
          <w:sz w:val="24"/>
          <w:szCs w:val="24"/>
        </w:rPr>
        <w:t xml:space="preserve">This </w:t>
      </w:r>
      <w:r w:rsidRPr="00C604E0">
        <w:rPr>
          <w:rFonts w:ascii="Arial" w:hAnsi="Arial" w:cs="Arial"/>
          <w:sz w:val="24"/>
          <w:szCs w:val="24"/>
        </w:rPr>
        <w:t>encourage</w:t>
      </w:r>
      <w:r w:rsidR="00407919">
        <w:rPr>
          <w:rFonts w:ascii="Arial" w:hAnsi="Arial" w:cs="Arial"/>
          <w:sz w:val="24"/>
          <w:szCs w:val="24"/>
        </w:rPr>
        <w:t>s</w:t>
      </w:r>
      <w:r w:rsidRPr="00C604E0">
        <w:rPr>
          <w:rFonts w:ascii="Arial" w:hAnsi="Arial" w:cs="Arial"/>
          <w:sz w:val="24"/>
          <w:szCs w:val="24"/>
        </w:rPr>
        <w:t xml:space="preserve"> </w:t>
      </w:r>
      <w:r w:rsidR="00407919">
        <w:rPr>
          <w:rFonts w:ascii="Arial" w:hAnsi="Arial" w:cs="Arial"/>
          <w:sz w:val="24"/>
          <w:szCs w:val="24"/>
        </w:rPr>
        <w:t>each</w:t>
      </w:r>
      <w:r w:rsidRPr="00C604E0">
        <w:rPr>
          <w:rFonts w:ascii="Arial" w:hAnsi="Arial" w:cs="Arial"/>
          <w:sz w:val="24"/>
          <w:szCs w:val="24"/>
        </w:rPr>
        <w:t xml:space="preserve"> </w:t>
      </w:r>
      <w:r w:rsidR="00407919" w:rsidRPr="00C604E0">
        <w:rPr>
          <w:rFonts w:ascii="Arial" w:hAnsi="Arial" w:cs="Arial"/>
          <w:sz w:val="24"/>
          <w:szCs w:val="24"/>
        </w:rPr>
        <w:t>member</w:t>
      </w:r>
      <w:r w:rsidRPr="00C604E0">
        <w:rPr>
          <w:rFonts w:ascii="Arial" w:hAnsi="Arial" w:cs="Arial"/>
          <w:sz w:val="24"/>
          <w:szCs w:val="24"/>
        </w:rPr>
        <w:t xml:space="preserve"> to work</w:t>
      </w:r>
      <w:r w:rsidR="00407919">
        <w:rPr>
          <w:rFonts w:ascii="Arial" w:hAnsi="Arial" w:cs="Arial"/>
          <w:sz w:val="24"/>
          <w:szCs w:val="24"/>
        </w:rPr>
        <w:t xml:space="preserve"> together</w:t>
      </w:r>
      <w:r w:rsidRPr="00C604E0">
        <w:rPr>
          <w:rFonts w:ascii="Arial" w:hAnsi="Arial" w:cs="Arial"/>
          <w:sz w:val="24"/>
          <w:szCs w:val="24"/>
        </w:rPr>
        <w:t xml:space="preserve"> as a team. Setting clear expectations is another strategy of engagement in the organisation. Every team member should know the expectations of any project (</w:t>
      </w:r>
      <w:r w:rsidRPr="00C604E0">
        <w:rPr>
          <w:rFonts w:ascii="Arial" w:hAnsi="Arial" w:cs="Arial"/>
          <w:color w:val="222222"/>
          <w:sz w:val="24"/>
          <w:szCs w:val="24"/>
          <w:shd w:val="clear" w:color="auto" w:fill="FFFFFF"/>
        </w:rPr>
        <w:t>Baron, 2021</w:t>
      </w:r>
      <w:r w:rsidRPr="00C604E0">
        <w:rPr>
          <w:rFonts w:ascii="Arial" w:hAnsi="Arial" w:cs="Arial"/>
          <w:sz w:val="24"/>
          <w:szCs w:val="24"/>
        </w:rPr>
        <w:t xml:space="preserve">). </w:t>
      </w:r>
      <w:r w:rsidR="00407919">
        <w:rPr>
          <w:rFonts w:ascii="Arial" w:hAnsi="Arial" w:cs="Arial"/>
          <w:sz w:val="24"/>
          <w:szCs w:val="24"/>
        </w:rPr>
        <w:t xml:space="preserve">This helps to maintain </w:t>
      </w:r>
      <w:r w:rsidRPr="00C604E0">
        <w:rPr>
          <w:rFonts w:ascii="Arial" w:hAnsi="Arial" w:cs="Arial"/>
          <w:sz w:val="24"/>
          <w:szCs w:val="24"/>
        </w:rPr>
        <w:t>a proper plan and update</w:t>
      </w:r>
      <w:r w:rsidR="00407919">
        <w:rPr>
          <w:rFonts w:ascii="Arial" w:hAnsi="Arial" w:cs="Arial"/>
          <w:sz w:val="24"/>
          <w:szCs w:val="24"/>
        </w:rPr>
        <w:t>s</w:t>
      </w:r>
      <w:r w:rsidRPr="00C604E0">
        <w:rPr>
          <w:rFonts w:ascii="Arial" w:hAnsi="Arial" w:cs="Arial"/>
          <w:sz w:val="24"/>
          <w:szCs w:val="24"/>
        </w:rPr>
        <w:t xml:space="preserve"> with the changes. Professional development is another activity for ensuring engagement in the team. The feedback loop is always maintained to improve the departments of team members. For increasing the bonds of employees, team building activities are always present. Some other activities are performed in the team to improve engagement (</w:t>
      </w:r>
      <w:r w:rsidRPr="00C604E0">
        <w:rPr>
          <w:rFonts w:ascii="Arial" w:hAnsi="Arial" w:cs="Arial"/>
          <w:color w:val="222222"/>
          <w:sz w:val="24"/>
          <w:szCs w:val="24"/>
          <w:shd w:val="clear" w:color="auto" w:fill="FFFFFF"/>
        </w:rPr>
        <w:t>Megginson, 2017)</w:t>
      </w:r>
      <w:r w:rsidRPr="00C604E0">
        <w:rPr>
          <w:rFonts w:ascii="Arial" w:hAnsi="Arial" w:cs="Arial"/>
          <w:sz w:val="24"/>
          <w:szCs w:val="24"/>
        </w:rPr>
        <w:t>. Conflict resolution, personal growth support, social events, telling projects, and inclusive decision-making activities are some examples. For developing a positive workplace, improving productivity, and retaining talent, an employee engagement model is always required in an organisation. The organisation DoubleTree Hilton has also a specific strategy for ensuring employees' engagement with the organisation (</w:t>
      </w:r>
      <w:r w:rsidRPr="00C604E0">
        <w:rPr>
          <w:rFonts w:ascii="Arial" w:hAnsi="Arial" w:cs="Arial"/>
          <w:color w:val="222222"/>
          <w:sz w:val="24"/>
          <w:szCs w:val="24"/>
          <w:shd w:val="clear" w:color="auto" w:fill="FFFFFF"/>
        </w:rPr>
        <w:t>Catteeuw, 2017)</w:t>
      </w:r>
      <w:r w:rsidRPr="00C604E0">
        <w:rPr>
          <w:rFonts w:ascii="Arial" w:hAnsi="Arial" w:cs="Arial"/>
          <w:sz w:val="24"/>
          <w:szCs w:val="24"/>
        </w:rPr>
        <w:t>.</w:t>
      </w:r>
    </w:p>
    <w:p w14:paraId="12E70DDE" w14:textId="57A159DE"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The employee engagement model can be developed through some other models. Maslow's hierarchy theory is one of them. This theory helps to fulfil the needs of employees and increase the engagement of employees. Based on Maslow's hierarchy theory, and please always want to fulfil their basic needs which is known as physical need. After that, we want to fulfil their security. Self-actuali</w:t>
      </w:r>
      <w:r w:rsidR="00DB61F5">
        <w:rPr>
          <w:rFonts w:ascii="Arial" w:hAnsi="Arial" w:cs="Arial"/>
          <w:sz w:val="24"/>
          <w:szCs w:val="24"/>
        </w:rPr>
        <w:t>s</w:t>
      </w:r>
      <w:r w:rsidRPr="00C604E0">
        <w:rPr>
          <w:rFonts w:ascii="Arial" w:hAnsi="Arial" w:cs="Arial"/>
          <w:sz w:val="24"/>
          <w:szCs w:val="24"/>
        </w:rPr>
        <w:t>ation and self-esteem are some other needs. Always try to fulfil these needs on a hierarchy basis. There are also some other guidelines before developing a proper engagement model. The organisation needs to assess the current state of its employees. The organisation also needs to identify the objectives of and please engagement (</w:t>
      </w:r>
      <w:r w:rsidRPr="00C604E0">
        <w:rPr>
          <w:rFonts w:ascii="Arial" w:hAnsi="Arial" w:cs="Arial"/>
          <w:color w:val="222222"/>
          <w:sz w:val="24"/>
          <w:szCs w:val="24"/>
          <w:shd w:val="clear" w:color="auto" w:fill="FFFFFF"/>
        </w:rPr>
        <w:t>Vance, 2016)</w:t>
      </w:r>
      <w:r w:rsidRPr="00C604E0">
        <w:rPr>
          <w:rFonts w:ascii="Arial" w:hAnsi="Arial" w:cs="Arial"/>
          <w:sz w:val="24"/>
          <w:szCs w:val="24"/>
        </w:rPr>
        <w:t xml:space="preserve">.  Building a </w:t>
      </w:r>
      <w:r w:rsidRPr="00C604E0">
        <w:rPr>
          <w:rFonts w:ascii="Arial" w:hAnsi="Arial" w:cs="Arial"/>
          <w:sz w:val="24"/>
          <w:szCs w:val="24"/>
        </w:rPr>
        <w:lastRenderedPageBreak/>
        <w:t>proper cross-functional team is another criterion. After that organisation needs to develop a specific, measurable, achievable, relevant, and the time bounded strategy. The organisation DoubleTree by Hilton is always trying to develop its engagement model after fulfilling all these criteria. DoubleTree by Hilton is a renowned hotel chain organisation from the hotel industry. Some other organisations are successfully operating their business in this hotel industry. They have their engagement model. Marriott International hotel is one of the examples. The employees of this organisation are always connected with the activities of this organisation. The employees of this organisation are always encouraged to participate in different voluntary activities and operations.</w:t>
      </w:r>
      <w:r w:rsidR="00DB61F5">
        <w:rPr>
          <w:rFonts w:ascii="Arial" w:hAnsi="Arial" w:cs="Arial"/>
          <w:sz w:val="24"/>
          <w:szCs w:val="24"/>
        </w:rPr>
        <w:t xml:space="preserve"> </w:t>
      </w:r>
      <w:r w:rsidRPr="00C604E0">
        <w:rPr>
          <w:rFonts w:ascii="Arial" w:hAnsi="Arial" w:cs="Arial"/>
          <w:sz w:val="24"/>
          <w:szCs w:val="24"/>
        </w:rPr>
        <w:t>This inclusion helped to improve the engagement of employees. The engagement model of this organisation increased the morale of the employees and reflected a positive vibe on the reputation (</w:t>
      </w:r>
      <w:r w:rsidRPr="00C604E0">
        <w:rPr>
          <w:rFonts w:ascii="Arial" w:hAnsi="Arial" w:cs="Arial"/>
          <w:color w:val="222222"/>
          <w:sz w:val="24"/>
          <w:szCs w:val="24"/>
          <w:shd w:val="clear" w:color="auto" w:fill="FFFFFF"/>
        </w:rPr>
        <w:t>Moletsane, 2019)</w:t>
      </w:r>
      <w:r w:rsidRPr="00C604E0">
        <w:rPr>
          <w:rFonts w:ascii="Arial" w:hAnsi="Arial" w:cs="Arial"/>
          <w:sz w:val="24"/>
          <w:szCs w:val="24"/>
        </w:rPr>
        <w:t xml:space="preserve">. </w:t>
      </w:r>
    </w:p>
    <w:p w14:paraId="450BAD4E"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 xml:space="preserve">Four Seasons is another international hotel that has a great employee engagement model. This organisation always tries to maintain employee engagement and try to maintain responsibility for the environment (Morris, 2017). The engagement model encourages the employees to maintain sustainability. It also ensured the career growth of the employees. Some other organisations have their specific please engagement model. They are also successfully operating their model and ensuring employee engagement. All these engagement models ensured the effectiveness of the engagement model in an organisation. That's why, it can be said that the right engagement model in DoubleTree by Hilton would help to improve its performance. </w:t>
      </w:r>
    </w:p>
    <w:p w14:paraId="7CA02692" w14:textId="26175B53"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Employee engagement is the process of connecting employees with the values of the organisation. By implementing employee engagement, an organisation ensures the highest productivity of its employees.  DoubleTree by Hilton is one of the examples that successfully implemented its engagement model. Employees may have different characteristics which have a direct connection with the engagement model. By developing an engagement model after considering the generation of the present world and its employees we can improve efficiency. Employee engagement can be different based on different life cycles. The human resource department always needs to consider the life cycle of an employee. Employee engagement can bring lots of positivity and benefits to the organisation.</w:t>
      </w:r>
    </w:p>
    <w:p w14:paraId="26F4B709"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br w:type="page"/>
      </w:r>
    </w:p>
    <w:p w14:paraId="151EA1D3" w14:textId="77777777" w:rsidR="00231428" w:rsidRPr="007C59A3" w:rsidRDefault="00231428" w:rsidP="00C604E0">
      <w:pPr>
        <w:spacing w:line="360" w:lineRule="auto"/>
        <w:jc w:val="both"/>
        <w:rPr>
          <w:rFonts w:ascii="Arial" w:hAnsi="Arial" w:cs="Arial"/>
          <w:b/>
          <w:bCs/>
          <w:sz w:val="24"/>
          <w:szCs w:val="24"/>
          <w:u w:val="single"/>
        </w:rPr>
      </w:pPr>
      <w:bookmarkStart w:id="0" w:name="_Toc148209518"/>
      <w:r w:rsidRPr="007C59A3">
        <w:rPr>
          <w:rFonts w:ascii="Arial" w:hAnsi="Arial" w:cs="Arial"/>
          <w:b/>
          <w:bCs/>
          <w:sz w:val="24"/>
          <w:szCs w:val="24"/>
          <w:u w:val="single"/>
        </w:rPr>
        <w:lastRenderedPageBreak/>
        <w:t>References</w:t>
      </w:r>
      <w:bookmarkEnd w:id="0"/>
    </w:p>
    <w:p w14:paraId="5332CF0D"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Armstrong, M. and Taylor, S. 2020. Armstrong’s handbook of human resource management practice. 15th edition. London, United Kingdom</w:t>
      </w:r>
    </w:p>
    <w:p w14:paraId="5F3E16CA"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Baron, A., 2021. What do engagement measures mean? </w:t>
      </w:r>
      <w:r w:rsidRPr="00C604E0">
        <w:rPr>
          <w:rFonts w:ascii="Arial" w:hAnsi="Arial" w:cs="Arial"/>
          <w:i/>
          <w:iCs/>
          <w:color w:val="222222"/>
          <w:sz w:val="24"/>
          <w:szCs w:val="24"/>
          <w:shd w:val="clear" w:color="auto" w:fill="FFFFFF"/>
        </w:rPr>
        <w:t>Strategic HR Review</w:t>
      </w:r>
      <w:r w:rsidRPr="00C604E0">
        <w:rPr>
          <w:rFonts w:ascii="Arial" w:hAnsi="Arial" w:cs="Arial"/>
          <w:color w:val="222222"/>
          <w:sz w:val="24"/>
          <w:szCs w:val="24"/>
          <w:shd w:val="clear" w:color="auto" w:fill="FFFFFF"/>
        </w:rPr>
        <w:t>, </w:t>
      </w:r>
      <w:r w:rsidRPr="00C604E0">
        <w:rPr>
          <w:rFonts w:ascii="Arial" w:hAnsi="Arial" w:cs="Arial"/>
          <w:i/>
          <w:iCs/>
          <w:color w:val="222222"/>
          <w:sz w:val="24"/>
          <w:szCs w:val="24"/>
          <w:shd w:val="clear" w:color="auto" w:fill="FFFFFF"/>
        </w:rPr>
        <w:t>12</w:t>
      </w:r>
      <w:r w:rsidRPr="00C604E0">
        <w:rPr>
          <w:rFonts w:ascii="Arial" w:hAnsi="Arial" w:cs="Arial"/>
          <w:color w:val="222222"/>
          <w:sz w:val="24"/>
          <w:szCs w:val="24"/>
          <w:shd w:val="clear" w:color="auto" w:fill="FFFFFF"/>
        </w:rPr>
        <w:t>(1), pp.21-25.</w:t>
      </w:r>
    </w:p>
    <w:p w14:paraId="6BFD20E4"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Catteeuw, F., Flynn, E. and Vonderhorst, J., 2017. Employee engagement: Boosting productivity in turbulent times. </w:t>
      </w:r>
      <w:r w:rsidRPr="00C604E0">
        <w:rPr>
          <w:rFonts w:ascii="Arial" w:hAnsi="Arial" w:cs="Arial"/>
          <w:i/>
          <w:iCs/>
          <w:color w:val="222222"/>
          <w:sz w:val="24"/>
          <w:szCs w:val="24"/>
          <w:shd w:val="clear" w:color="auto" w:fill="FFFFFF"/>
        </w:rPr>
        <w:t>Organisation Development Journal</w:t>
      </w:r>
      <w:r w:rsidRPr="00C604E0">
        <w:rPr>
          <w:rFonts w:ascii="Arial" w:hAnsi="Arial" w:cs="Arial"/>
          <w:color w:val="222222"/>
          <w:sz w:val="24"/>
          <w:szCs w:val="24"/>
          <w:shd w:val="clear" w:color="auto" w:fill="FFFFFF"/>
        </w:rPr>
        <w:t>, </w:t>
      </w:r>
      <w:r w:rsidRPr="00C604E0">
        <w:rPr>
          <w:rFonts w:ascii="Arial" w:hAnsi="Arial" w:cs="Arial"/>
          <w:i/>
          <w:iCs/>
          <w:color w:val="222222"/>
          <w:sz w:val="24"/>
          <w:szCs w:val="24"/>
          <w:shd w:val="clear" w:color="auto" w:fill="FFFFFF"/>
        </w:rPr>
        <w:t>25</w:t>
      </w:r>
      <w:r w:rsidRPr="00C604E0">
        <w:rPr>
          <w:rFonts w:ascii="Arial" w:hAnsi="Arial" w:cs="Arial"/>
          <w:color w:val="222222"/>
          <w:sz w:val="24"/>
          <w:szCs w:val="24"/>
          <w:shd w:val="clear" w:color="auto" w:fill="FFFFFF"/>
        </w:rPr>
        <w:t>(2).</w:t>
      </w:r>
    </w:p>
    <w:p w14:paraId="68E3BF0A"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Cilliers, E.J., 2017. The challenge of teaching Generation Z. PEOPLE International Journal of Social Sciences.</w:t>
      </w:r>
    </w:p>
    <w:p w14:paraId="0424D859"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Dolot, A., 2018. The characteristics of Generation Z. E-mentor, 74(2), pp.44-50.</w:t>
      </w:r>
    </w:p>
    <w:p w14:paraId="148C8F86"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Duque, L., Costa, R., Dias, Á., Pereira, L., Santos, J. and António, N., 2020. New ways of working and the physical environment to improve employee engagement. </w:t>
      </w:r>
      <w:r w:rsidRPr="00C604E0">
        <w:rPr>
          <w:rFonts w:ascii="Arial" w:hAnsi="Arial" w:cs="Arial"/>
          <w:i/>
          <w:iCs/>
          <w:color w:val="222222"/>
          <w:sz w:val="24"/>
          <w:szCs w:val="24"/>
          <w:shd w:val="clear" w:color="auto" w:fill="FFFFFF"/>
        </w:rPr>
        <w:t>Sustainability</w:t>
      </w:r>
      <w:r w:rsidRPr="00C604E0">
        <w:rPr>
          <w:rFonts w:ascii="Arial" w:hAnsi="Arial" w:cs="Arial"/>
          <w:color w:val="222222"/>
          <w:sz w:val="24"/>
          <w:szCs w:val="24"/>
          <w:shd w:val="clear" w:color="auto" w:fill="FFFFFF"/>
        </w:rPr>
        <w:t>, </w:t>
      </w:r>
      <w:r w:rsidRPr="00C604E0">
        <w:rPr>
          <w:rFonts w:ascii="Arial" w:hAnsi="Arial" w:cs="Arial"/>
          <w:i/>
          <w:iCs/>
          <w:color w:val="222222"/>
          <w:sz w:val="24"/>
          <w:szCs w:val="24"/>
          <w:shd w:val="clear" w:color="auto" w:fill="FFFFFF"/>
        </w:rPr>
        <w:t>12</w:t>
      </w:r>
      <w:r w:rsidRPr="00C604E0">
        <w:rPr>
          <w:rFonts w:ascii="Arial" w:hAnsi="Arial" w:cs="Arial"/>
          <w:color w:val="222222"/>
          <w:sz w:val="24"/>
          <w:szCs w:val="24"/>
          <w:shd w:val="clear" w:color="auto" w:fill="FFFFFF"/>
        </w:rPr>
        <w:t>(17), p.6759.</w:t>
      </w:r>
    </w:p>
    <w:p w14:paraId="6F6ABC34"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Fotaris, P. and Mastoras, T., 2019, October. Escape rooms for learning: A systematic review. In </w:t>
      </w:r>
      <w:r w:rsidRPr="00C604E0">
        <w:rPr>
          <w:rFonts w:ascii="Arial" w:hAnsi="Arial" w:cs="Arial"/>
          <w:i/>
          <w:iCs/>
          <w:color w:val="222222"/>
          <w:sz w:val="24"/>
          <w:szCs w:val="24"/>
          <w:shd w:val="clear" w:color="auto" w:fill="FFFFFF"/>
        </w:rPr>
        <w:t>Proceedings of the European Conference on Games Based Learning</w:t>
      </w:r>
      <w:r w:rsidRPr="00C604E0">
        <w:rPr>
          <w:rFonts w:ascii="Arial" w:hAnsi="Arial" w:cs="Arial"/>
          <w:color w:val="222222"/>
          <w:sz w:val="24"/>
          <w:szCs w:val="24"/>
          <w:shd w:val="clear" w:color="auto" w:fill="FFFFFF"/>
        </w:rPr>
        <w:t> (pp. 235-243).</w:t>
      </w:r>
    </w:p>
    <w:p w14:paraId="6CC2FD64"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Friedman, A. 2012. Continuing professional development: lifelong learning of millions. London: Routledge.</w:t>
      </w:r>
    </w:p>
    <w:p w14:paraId="0F7FD1C1"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Gallagher, K. 2016. Essential study and employment skills for business and management students. Oxford: Oxford University Press.</w:t>
      </w:r>
    </w:p>
    <w:p w14:paraId="359E864C"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Gratton, L., 2021. How to do hybrid right. </w:t>
      </w:r>
      <w:r w:rsidRPr="00C604E0">
        <w:rPr>
          <w:rFonts w:ascii="Arial" w:hAnsi="Arial" w:cs="Arial"/>
          <w:i/>
          <w:iCs/>
          <w:color w:val="222222"/>
          <w:sz w:val="24"/>
          <w:szCs w:val="24"/>
          <w:shd w:val="clear" w:color="auto" w:fill="FFFFFF"/>
        </w:rPr>
        <w:t>Harvard Business Review</w:t>
      </w:r>
      <w:r w:rsidRPr="00C604E0">
        <w:rPr>
          <w:rFonts w:ascii="Arial" w:hAnsi="Arial" w:cs="Arial"/>
          <w:color w:val="222222"/>
          <w:sz w:val="24"/>
          <w:szCs w:val="24"/>
          <w:shd w:val="clear" w:color="auto" w:fill="FFFFFF"/>
        </w:rPr>
        <w:t>, </w:t>
      </w:r>
      <w:r w:rsidRPr="00C604E0">
        <w:rPr>
          <w:rFonts w:ascii="Arial" w:hAnsi="Arial" w:cs="Arial"/>
          <w:i/>
          <w:iCs/>
          <w:color w:val="222222"/>
          <w:sz w:val="24"/>
          <w:szCs w:val="24"/>
          <w:shd w:val="clear" w:color="auto" w:fill="FFFFFF"/>
        </w:rPr>
        <w:t>99</w:t>
      </w:r>
      <w:r w:rsidRPr="00C604E0">
        <w:rPr>
          <w:rFonts w:ascii="Arial" w:hAnsi="Arial" w:cs="Arial"/>
          <w:color w:val="222222"/>
          <w:sz w:val="24"/>
          <w:szCs w:val="24"/>
          <w:shd w:val="clear" w:color="auto" w:fill="FFFFFF"/>
        </w:rPr>
        <w:t>(3), pp.66-74.</w:t>
      </w:r>
    </w:p>
    <w:p w14:paraId="1D92D965"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Gupta, M., 2018. Engaging employees at work: Insights from India. </w:t>
      </w:r>
      <w:r w:rsidRPr="00C604E0">
        <w:rPr>
          <w:rFonts w:ascii="Arial" w:hAnsi="Arial" w:cs="Arial"/>
          <w:i/>
          <w:iCs/>
          <w:color w:val="222222"/>
          <w:sz w:val="24"/>
          <w:szCs w:val="24"/>
          <w:shd w:val="clear" w:color="auto" w:fill="FFFFFF"/>
        </w:rPr>
        <w:t>Advances in Developing Human Resources</w:t>
      </w:r>
      <w:r w:rsidRPr="00C604E0">
        <w:rPr>
          <w:rFonts w:ascii="Arial" w:hAnsi="Arial" w:cs="Arial"/>
          <w:color w:val="222222"/>
          <w:sz w:val="24"/>
          <w:szCs w:val="24"/>
          <w:shd w:val="clear" w:color="auto" w:fill="FFFFFF"/>
        </w:rPr>
        <w:t>, </w:t>
      </w:r>
      <w:r w:rsidRPr="00C604E0">
        <w:rPr>
          <w:rFonts w:ascii="Arial" w:hAnsi="Arial" w:cs="Arial"/>
          <w:i/>
          <w:iCs/>
          <w:color w:val="222222"/>
          <w:sz w:val="24"/>
          <w:szCs w:val="24"/>
          <w:shd w:val="clear" w:color="auto" w:fill="FFFFFF"/>
        </w:rPr>
        <w:t>20</w:t>
      </w:r>
      <w:r w:rsidRPr="00C604E0">
        <w:rPr>
          <w:rFonts w:ascii="Arial" w:hAnsi="Arial" w:cs="Arial"/>
          <w:color w:val="222222"/>
          <w:sz w:val="24"/>
          <w:szCs w:val="24"/>
          <w:shd w:val="clear" w:color="auto" w:fill="FFFFFF"/>
        </w:rPr>
        <w:t>(1), pp.3-10.</w:t>
      </w:r>
    </w:p>
    <w:p w14:paraId="25AAAB9E" w14:textId="4D33D6CD"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Hsu, C.H. and Powers, T.F., 2022. </w:t>
      </w:r>
      <w:r w:rsidRPr="00C604E0">
        <w:rPr>
          <w:rFonts w:ascii="Arial" w:hAnsi="Arial" w:cs="Arial"/>
          <w:i/>
          <w:iCs/>
          <w:color w:val="222222"/>
          <w:sz w:val="24"/>
          <w:szCs w:val="24"/>
          <w:shd w:val="clear" w:color="auto" w:fill="FFFFFF"/>
        </w:rPr>
        <w:t>Marketing hospitality</w:t>
      </w:r>
      <w:r w:rsidRPr="00C604E0">
        <w:rPr>
          <w:rFonts w:ascii="Arial" w:hAnsi="Arial" w:cs="Arial"/>
          <w:color w:val="222222"/>
          <w:sz w:val="24"/>
          <w:szCs w:val="24"/>
          <w:shd w:val="clear" w:color="auto" w:fill="FFFFFF"/>
        </w:rPr>
        <w:t xml:space="preserve">. John Wiley &amp; Sons, </w:t>
      </w:r>
      <w:r w:rsidR="00DB61F5" w:rsidRPr="00C604E0">
        <w:rPr>
          <w:rFonts w:ascii="Arial" w:hAnsi="Arial" w:cs="Arial"/>
          <w:color w:val="222222"/>
          <w:sz w:val="24"/>
          <w:szCs w:val="24"/>
          <w:shd w:val="clear" w:color="auto" w:fill="FFFFFF"/>
        </w:rPr>
        <w:t>Inc.</w:t>
      </w:r>
    </w:p>
    <w:p w14:paraId="1F86A185"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Johnson, M., 2014. </w:t>
      </w:r>
      <w:r w:rsidRPr="00C604E0">
        <w:rPr>
          <w:rFonts w:ascii="Arial" w:hAnsi="Arial" w:cs="Arial"/>
          <w:i/>
          <w:iCs/>
          <w:color w:val="222222"/>
          <w:sz w:val="24"/>
          <w:szCs w:val="24"/>
          <w:shd w:val="clear" w:color="auto" w:fill="FFFFFF"/>
        </w:rPr>
        <w:t>The new rules of engagement: life-work balance and employee commitment</w:t>
      </w:r>
      <w:r w:rsidRPr="00C604E0">
        <w:rPr>
          <w:rFonts w:ascii="Arial" w:hAnsi="Arial" w:cs="Arial"/>
          <w:color w:val="222222"/>
          <w:sz w:val="24"/>
          <w:szCs w:val="24"/>
          <w:shd w:val="clear" w:color="auto" w:fill="FFFFFF"/>
        </w:rPr>
        <w:t>. CIPD Publishing.</w:t>
      </w:r>
    </w:p>
    <w:p w14:paraId="0AEF2BFC" w14:textId="0188995D"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 xml:space="preserve">Jordan, D.T.L., 2020. Human </w:t>
      </w:r>
      <w:r w:rsidR="00DB61F5" w:rsidRPr="00C604E0">
        <w:rPr>
          <w:rFonts w:ascii="Arial" w:hAnsi="Arial" w:cs="Arial"/>
          <w:color w:val="222222"/>
          <w:sz w:val="24"/>
          <w:szCs w:val="24"/>
          <w:shd w:val="clear" w:color="auto" w:fill="FFFFFF"/>
        </w:rPr>
        <w:t>Behaviour</w:t>
      </w:r>
      <w:r w:rsidRPr="00C604E0">
        <w:rPr>
          <w:rFonts w:ascii="Arial" w:hAnsi="Arial" w:cs="Arial"/>
          <w:color w:val="222222"/>
          <w:sz w:val="24"/>
          <w:szCs w:val="24"/>
          <w:shd w:val="clear" w:color="auto" w:fill="FFFFFF"/>
        </w:rPr>
        <w:t xml:space="preserve"> and the Social </w:t>
      </w:r>
      <w:r w:rsidR="00DB61F5" w:rsidRPr="00C604E0">
        <w:rPr>
          <w:rFonts w:ascii="Arial" w:hAnsi="Arial" w:cs="Arial"/>
          <w:color w:val="222222"/>
          <w:sz w:val="24"/>
          <w:szCs w:val="24"/>
          <w:shd w:val="clear" w:color="auto" w:fill="FFFFFF"/>
        </w:rPr>
        <w:t>Environment.</w:t>
      </w:r>
    </w:p>
    <w:p w14:paraId="14770CA9"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lastRenderedPageBreak/>
        <w:t>Markos, S. and Sridevi, M.S., 2020. Employee engagement: The key to improving performance. </w:t>
      </w:r>
      <w:r w:rsidRPr="00C604E0">
        <w:rPr>
          <w:rFonts w:ascii="Arial" w:hAnsi="Arial" w:cs="Arial"/>
          <w:i/>
          <w:iCs/>
          <w:color w:val="222222"/>
          <w:sz w:val="24"/>
          <w:szCs w:val="24"/>
          <w:shd w:val="clear" w:color="auto" w:fill="FFFFFF"/>
        </w:rPr>
        <w:t>International journal of business and management</w:t>
      </w:r>
      <w:r w:rsidRPr="00C604E0">
        <w:rPr>
          <w:rFonts w:ascii="Arial" w:hAnsi="Arial" w:cs="Arial"/>
          <w:color w:val="222222"/>
          <w:sz w:val="24"/>
          <w:szCs w:val="24"/>
          <w:shd w:val="clear" w:color="auto" w:fill="FFFFFF"/>
        </w:rPr>
        <w:t>, </w:t>
      </w:r>
      <w:r w:rsidRPr="00C604E0">
        <w:rPr>
          <w:rFonts w:ascii="Arial" w:hAnsi="Arial" w:cs="Arial"/>
          <w:i/>
          <w:iCs/>
          <w:color w:val="222222"/>
          <w:sz w:val="24"/>
          <w:szCs w:val="24"/>
          <w:shd w:val="clear" w:color="auto" w:fill="FFFFFF"/>
        </w:rPr>
        <w:t>5</w:t>
      </w:r>
      <w:r w:rsidRPr="00C604E0">
        <w:rPr>
          <w:rFonts w:ascii="Arial" w:hAnsi="Arial" w:cs="Arial"/>
          <w:color w:val="222222"/>
          <w:sz w:val="24"/>
          <w:szCs w:val="24"/>
          <w:shd w:val="clear" w:color="auto" w:fill="FFFFFF"/>
        </w:rPr>
        <w:t>(12), p.89.</w:t>
      </w:r>
    </w:p>
    <w:p w14:paraId="362D6605"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color w:val="222222"/>
          <w:sz w:val="24"/>
          <w:szCs w:val="24"/>
          <w:shd w:val="clear" w:color="auto" w:fill="FFFFFF"/>
        </w:rPr>
        <w:t>Megginson, D. and Whitaker, V., 2017. </w:t>
      </w:r>
      <w:r w:rsidRPr="00C604E0">
        <w:rPr>
          <w:rFonts w:ascii="Arial" w:hAnsi="Arial" w:cs="Arial"/>
          <w:i/>
          <w:iCs/>
          <w:color w:val="222222"/>
          <w:sz w:val="24"/>
          <w:szCs w:val="24"/>
          <w:shd w:val="clear" w:color="auto" w:fill="FFFFFF"/>
        </w:rPr>
        <w:t>Continuing professional development</w:t>
      </w:r>
      <w:r w:rsidRPr="00C604E0">
        <w:rPr>
          <w:rFonts w:ascii="Arial" w:hAnsi="Arial" w:cs="Arial"/>
          <w:color w:val="222222"/>
          <w:sz w:val="24"/>
          <w:szCs w:val="24"/>
          <w:shd w:val="clear" w:color="auto" w:fill="FFFFFF"/>
        </w:rPr>
        <w:t>. Kogan Page Publishers.</w:t>
      </w:r>
    </w:p>
    <w:p w14:paraId="06AF9141"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color w:val="222222"/>
          <w:sz w:val="24"/>
          <w:szCs w:val="24"/>
          <w:shd w:val="clear" w:color="auto" w:fill="FFFFFF"/>
        </w:rPr>
        <w:t>Moletsane, M., Tefera, O. and Migiro, S., 2019. The Relationship between Employee Engagement and Organisational Productivity of Sugar Industry in South Africa: The Employees' Perspective. </w:t>
      </w:r>
      <w:r w:rsidRPr="00C604E0">
        <w:rPr>
          <w:rFonts w:ascii="Arial" w:hAnsi="Arial" w:cs="Arial"/>
          <w:i/>
          <w:iCs/>
          <w:color w:val="222222"/>
          <w:sz w:val="24"/>
          <w:szCs w:val="24"/>
          <w:shd w:val="clear" w:color="auto" w:fill="FFFFFF"/>
        </w:rPr>
        <w:t>African Journal of Business &amp; Economic Research</w:t>
      </w:r>
      <w:r w:rsidRPr="00C604E0">
        <w:rPr>
          <w:rFonts w:ascii="Arial" w:hAnsi="Arial" w:cs="Arial"/>
          <w:color w:val="222222"/>
          <w:sz w:val="24"/>
          <w:szCs w:val="24"/>
          <w:shd w:val="clear" w:color="auto" w:fill="FFFFFF"/>
        </w:rPr>
        <w:t>, </w:t>
      </w:r>
      <w:r w:rsidRPr="00C604E0">
        <w:rPr>
          <w:rFonts w:ascii="Arial" w:hAnsi="Arial" w:cs="Arial"/>
          <w:i/>
          <w:iCs/>
          <w:color w:val="222222"/>
          <w:sz w:val="24"/>
          <w:szCs w:val="24"/>
          <w:shd w:val="clear" w:color="auto" w:fill="FFFFFF"/>
        </w:rPr>
        <w:t>14</w:t>
      </w:r>
      <w:r w:rsidRPr="00C604E0">
        <w:rPr>
          <w:rFonts w:ascii="Arial" w:hAnsi="Arial" w:cs="Arial"/>
          <w:color w:val="222222"/>
          <w:sz w:val="24"/>
          <w:szCs w:val="24"/>
          <w:shd w:val="clear" w:color="auto" w:fill="FFFFFF"/>
        </w:rPr>
        <w:t>(1).</w:t>
      </w:r>
    </w:p>
    <w:p w14:paraId="18643060" w14:textId="77777777" w:rsidR="00231428" w:rsidRPr="00C604E0" w:rsidRDefault="00231428" w:rsidP="00C604E0">
      <w:pPr>
        <w:spacing w:line="360" w:lineRule="auto"/>
        <w:jc w:val="both"/>
        <w:rPr>
          <w:rFonts w:ascii="Arial" w:hAnsi="Arial" w:cs="Arial"/>
          <w:sz w:val="24"/>
          <w:szCs w:val="24"/>
        </w:rPr>
      </w:pPr>
      <w:r w:rsidRPr="00C604E0">
        <w:rPr>
          <w:rFonts w:ascii="Arial" w:hAnsi="Arial" w:cs="Arial"/>
          <w:sz w:val="24"/>
          <w:szCs w:val="24"/>
        </w:rPr>
        <w:t xml:space="preserve">Morris, B., 2017. The ‘human factor’ in business results for, CIPD. Available at: https://www.cipd.org/en/search/?term=Human%2BBehavior%2Band%2Bthe%2BSocial%2BEnvironment%2B (Accessed: 15 October 2023). </w:t>
      </w:r>
    </w:p>
    <w:p w14:paraId="56A08A79"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Reeve, J. and Shin, S.H., 2020. How teachers can support students’ agentic engagement. </w:t>
      </w:r>
      <w:r w:rsidRPr="00C604E0">
        <w:rPr>
          <w:rFonts w:ascii="Arial" w:hAnsi="Arial" w:cs="Arial"/>
          <w:i/>
          <w:iCs/>
          <w:color w:val="222222"/>
          <w:sz w:val="24"/>
          <w:szCs w:val="24"/>
          <w:shd w:val="clear" w:color="auto" w:fill="FFFFFF"/>
        </w:rPr>
        <w:t>Theory Into Practice</w:t>
      </w:r>
      <w:r w:rsidRPr="00C604E0">
        <w:rPr>
          <w:rFonts w:ascii="Arial" w:hAnsi="Arial" w:cs="Arial"/>
          <w:color w:val="222222"/>
          <w:sz w:val="24"/>
          <w:szCs w:val="24"/>
          <w:shd w:val="clear" w:color="auto" w:fill="FFFFFF"/>
        </w:rPr>
        <w:t>, </w:t>
      </w:r>
      <w:r w:rsidRPr="00C604E0">
        <w:rPr>
          <w:rFonts w:ascii="Arial" w:hAnsi="Arial" w:cs="Arial"/>
          <w:i/>
          <w:iCs/>
          <w:color w:val="222222"/>
          <w:sz w:val="24"/>
          <w:szCs w:val="24"/>
          <w:shd w:val="clear" w:color="auto" w:fill="FFFFFF"/>
        </w:rPr>
        <w:t>59</w:t>
      </w:r>
      <w:r w:rsidRPr="00C604E0">
        <w:rPr>
          <w:rFonts w:ascii="Arial" w:hAnsi="Arial" w:cs="Arial"/>
          <w:color w:val="222222"/>
          <w:sz w:val="24"/>
          <w:szCs w:val="24"/>
          <w:shd w:val="clear" w:color="auto" w:fill="FFFFFF"/>
        </w:rPr>
        <w:t>(2), pp.150-161.</w:t>
      </w:r>
    </w:p>
    <w:p w14:paraId="67ED1541"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Shaik, F.F. and Makhecha, U.P., 2019. Drivers of employee engagement in global virtual teams. </w:t>
      </w:r>
      <w:r w:rsidRPr="00C604E0">
        <w:rPr>
          <w:rFonts w:ascii="Arial" w:hAnsi="Arial" w:cs="Arial"/>
          <w:i/>
          <w:iCs/>
          <w:color w:val="222222"/>
          <w:sz w:val="24"/>
          <w:szCs w:val="24"/>
          <w:shd w:val="clear" w:color="auto" w:fill="FFFFFF"/>
        </w:rPr>
        <w:t>Australasian Journal of Information Systems</w:t>
      </w:r>
      <w:r w:rsidRPr="00C604E0">
        <w:rPr>
          <w:rFonts w:ascii="Arial" w:hAnsi="Arial" w:cs="Arial"/>
          <w:color w:val="222222"/>
          <w:sz w:val="24"/>
          <w:szCs w:val="24"/>
          <w:shd w:val="clear" w:color="auto" w:fill="FFFFFF"/>
        </w:rPr>
        <w:t>, </w:t>
      </w:r>
      <w:r w:rsidRPr="00C604E0">
        <w:rPr>
          <w:rFonts w:ascii="Arial" w:hAnsi="Arial" w:cs="Arial"/>
          <w:i/>
          <w:iCs/>
          <w:color w:val="222222"/>
          <w:sz w:val="24"/>
          <w:szCs w:val="24"/>
          <w:shd w:val="clear" w:color="auto" w:fill="FFFFFF"/>
        </w:rPr>
        <w:t>23</w:t>
      </w:r>
      <w:r w:rsidRPr="00C604E0">
        <w:rPr>
          <w:rFonts w:ascii="Arial" w:hAnsi="Arial" w:cs="Arial"/>
          <w:color w:val="222222"/>
          <w:sz w:val="24"/>
          <w:szCs w:val="24"/>
          <w:shd w:val="clear" w:color="auto" w:fill="FFFFFF"/>
        </w:rPr>
        <w:t>.</w:t>
      </w:r>
    </w:p>
    <w:p w14:paraId="0D553B87" w14:textId="77777777" w:rsidR="00231428" w:rsidRPr="00C604E0" w:rsidRDefault="00231428" w:rsidP="00C604E0">
      <w:pPr>
        <w:spacing w:line="360" w:lineRule="auto"/>
        <w:jc w:val="both"/>
        <w:rPr>
          <w:rFonts w:ascii="Arial" w:hAnsi="Arial" w:cs="Arial"/>
          <w:color w:val="222222"/>
          <w:sz w:val="24"/>
          <w:szCs w:val="24"/>
          <w:shd w:val="clear" w:color="auto" w:fill="FFFFFF"/>
        </w:rPr>
      </w:pPr>
      <w:r w:rsidRPr="00C604E0">
        <w:rPr>
          <w:rFonts w:ascii="Arial" w:hAnsi="Arial" w:cs="Arial"/>
          <w:color w:val="222222"/>
          <w:sz w:val="24"/>
          <w:szCs w:val="24"/>
          <w:shd w:val="clear" w:color="auto" w:fill="FFFFFF"/>
        </w:rPr>
        <w:t>Vance, R.J., 2016. Employee engagement and commitment. </w:t>
      </w:r>
      <w:r w:rsidRPr="00C604E0">
        <w:rPr>
          <w:rFonts w:ascii="Arial" w:hAnsi="Arial" w:cs="Arial"/>
          <w:i/>
          <w:iCs/>
          <w:color w:val="222222"/>
          <w:sz w:val="24"/>
          <w:szCs w:val="24"/>
          <w:shd w:val="clear" w:color="auto" w:fill="FFFFFF"/>
        </w:rPr>
        <w:t>SHRM Foundation</w:t>
      </w:r>
      <w:r w:rsidRPr="00C604E0">
        <w:rPr>
          <w:rFonts w:ascii="Arial" w:hAnsi="Arial" w:cs="Arial"/>
          <w:color w:val="222222"/>
          <w:sz w:val="24"/>
          <w:szCs w:val="24"/>
          <w:shd w:val="clear" w:color="auto" w:fill="FFFFFF"/>
        </w:rPr>
        <w:t>, </w:t>
      </w:r>
      <w:r w:rsidRPr="00C604E0">
        <w:rPr>
          <w:rFonts w:ascii="Arial" w:hAnsi="Arial" w:cs="Arial"/>
          <w:i/>
          <w:iCs/>
          <w:color w:val="222222"/>
          <w:sz w:val="24"/>
          <w:szCs w:val="24"/>
          <w:shd w:val="clear" w:color="auto" w:fill="FFFFFF"/>
        </w:rPr>
        <w:t>1</w:t>
      </w:r>
      <w:r w:rsidRPr="00C604E0">
        <w:rPr>
          <w:rFonts w:ascii="Arial" w:hAnsi="Arial" w:cs="Arial"/>
          <w:color w:val="222222"/>
          <w:sz w:val="24"/>
          <w:szCs w:val="24"/>
          <w:shd w:val="clear" w:color="auto" w:fill="FFFFFF"/>
        </w:rPr>
        <w:t>, pp.1-53.</w:t>
      </w:r>
    </w:p>
    <w:p w14:paraId="5CC9EA46" w14:textId="77777777" w:rsidR="00231428" w:rsidRPr="00C604E0" w:rsidRDefault="00231428" w:rsidP="00C604E0">
      <w:pPr>
        <w:spacing w:line="360" w:lineRule="auto"/>
        <w:jc w:val="both"/>
        <w:rPr>
          <w:rFonts w:ascii="Arial" w:hAnsi="Arial" w:cs="Arial"/>
          <w:color w:val="2F5496" w:themeColor="accent1" w:themeShade="BF"/>
          <w:sz w:val="24"/>
          <w:szCs w:val="24"/>
        </w:rPr>
      </w:pPr>
    </w:p>
    <w:sectPr w:rsidR="00231428" w:rsidRPr="00C604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367"/>
    <w:rsid w:val="00231428"/>
    <w:rsid w:val="003A2E1C"/>
    <w:rsid w:val="003A47B7"/>
    <w:rsid w:val="003F0D83"/>
    <w:rsid w:val="00407919"/>
    <w:rsid w:val="004B182E"/>
    <w:rsid w:val="00627367"/>
    <w:rsid w:val="007C59A3"/>
    <w:rsid w:val="00A35821"/>
    <w:rsid w:val="00C604E0"/>
    <w:rsid w:val="00DB61F5"/>
    <w:rsid w:val="00DD697F"/>
    <w:rsid w:val="00F86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D97CA"/>
  <w15:chartTrackingRefBased/>
  <w15:docId w15:val="{109C3533-EB68-40AB-8BAF-94FBD7FD6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725</TotalTime>
  <Pages>8</Pages>
  <Words>2347</Words>
  <Characters>13381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Bathen</dc:creator>
  <cp:keywords/>
  <dc:description/>
  <cp:lastModifiedBy>Mohammed Bathen</cp:lastModifiedBy>
  <cp:revision>4</cp:revision>
  <dcterms:created xsi:type="dcterms:W3CDTF">2023-10-18T21:33:00Z</dcterms:created>
  <dcterms:modified xsi:type="dcterms:W3CDTF">2023-10-23T10:23:00Z</dcterms:modified>
</cp:coreProperties>
</file>