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E43AA" w14:textId="7C69166F" w:rsidR="0085587D" w:rsidRDefault="00246BB0">
      <w:r>
        <w:rPr>
          <w:noProof/>
        </w:rPr>
        <w:drawing>
          <wp:inline distT="0" distB="0" distL="0" distR="0" wp14:anchorId="668E9DD4" wp14:editId="3A51F356">
            <wp:extent cx="2091193" cy="1045597"/>
            <wp:effectExtent l="0" t="0" r="4445" b="2540"/>
            <wp:docPr id="345370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370011" name="Picture 34537001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05666" cy="1052834"/>
                    </a:xfrm>
                    <a:prstGeom prst="rect">
                      <a:avLst/>
                    </a:prstGeom>
                  </pic:spPr>
                </pic:pic>
              </a:graphicData>
            </a:graphic>
          </wp:inline>
        </w:drawing>
      </w:r>
    </w:p>
    <w:p w14:paraId="192DBF89" w14:textId="77777777" w:rsidR="00246BB0" w:rsidRDefault="00246BB0"/>
    <w:p w14:paraId="62F7C7B9" w14:textId="77777777" w:rsidR="00C574CC" w:rsidRPr="00C574CC" w:rsidRDefault="00C574CC" w:rsidP="00C574CC">
      <w:r w:rsidRPr="00C574CC">
        <w:t xml:space="preserve">STUDENT NAME: MOIN SHER </w:t>
      </w:r>
    </w:p>
    <w:p w14:paraId="56B60229" w14:textId="77777777" w:rsidR="00C574CC" w:rsidRPr="00C574CC" w:rsidRDefault="00C574CC" w:rsidP="00C574CC">
      <w:r w:rsidRPr="00C574CC">
        <w:t>STUDENT NUMBER: 2434714</w:t>
      </w:r>
    </w:p>
    <w:p w14:paraId="1F7DC5B3" w14:textId="77777777" w:rsidR="00C574CC" w:rsidRPr="00C574CC" w:rsidRDefault="00C574CC" w:rsidP="00C574CC">
      <w:r w:rsidRPr="00C574CC">
        <w:t>MODULE CODE AND TITLE: LCLM5002, DEVELOPING AND MANAGING INDIVIDUALS AND TEAMS</w:t>
      </w:r>
    </w:p>
    <w:p w14:paraId="7456A056" w14:textId="37161F99" w:rsidR="00246BB0" w:rsidRDefault="00C574CC" w:rsidP="00C574CC">
      <w:r w:rsidRPr="00C574CC">
        <w:t>LECTURER: SUKHPREET GREWAL</w:t>
      </w:r>
    </w:p>
    <w:sdt>
      <w:sdtPr>
        <w:rPr>
          <w:rFonts w:asciiTheme="minorHAnsi" w:eastAsiaTheme="minorHAnsi" w:hAnsiTheme="minorHAnsi" w:cstheme="minorBidi"/>
          <w:b w:val="0"/>
          <w:color w:val="auto"/>
          <w:kern w:val="2"/>
          <w:sz w:val="24"/>
          <w:szCs w:val="24"/>
          <w:lang w:val="en-GB"/>
          <w14:ligatures w14:val="standardContextual"/>
        </w:rPr>
        <w:id w:val="-954856822"/>
        <w:docPartObj>
          <w:docPartGallery w:val="Table of Contents"/>
          <w:docPartUnique/>
        </w:docPartObj>
      </w:sdtPr>
      <w:sdtEndPr>
        <w:rPr>
          <w:bCs/>
          <w:noProof/>
        </w:rPr>
      </w:sdtEndPr>
      <w:sdtContent>
        <w:p w14:paraId="370DFA1E" w14:textId="304BB5D7" w:rsidR="00757EFD" w:rsidRDefault="00757EFD">
          <w:pPr>
            <w:pStyle w:val="TOCHeading"/>
          </w:pPr>
          <w:r>
            <w:t>Contents</w:t>
          </w:r>
        </w:p>
        <w:p w14:paraId="103B49C4" w14:textId="518134CF" w:rsidR="00757EFD" w:rsidRDefault="00757EFD">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237152815" w:history="1">
            <w:r w:rsidRPr="00803484">
              <w:rPr>
                <w:rStyle w:val="Hyperlink"/>
                <w:noProof/>
              </w:rPr>
              <w:t>1.</w:t>
            </w:r>
            <w:r>
              <w:rPr>
                <w:rFonts w:eastAsiaTheme="minorEastAsia"/>
                <w:noProof/>
                <w:lang w:eastAsia="en-GB"/>
              </w:rPr>
              <w:tab/>
            </w:r>
            <w:r w:rsidRPr="00803484">
              <w:rPr>
                <w:rStyle w:val="Hyperlink"/>
                <w:noProof/>
              </w:rPr>
              <w:t>Introduction</w:t>
            </w:r>
            <w:r>
              <w:rPr>
                <w:noProof/>
                <w:webHidden/>
              </w:rPr>
              <w:tab/>
            </w:r>
            <w:r>
              <w:rPr>
                <w:noProof/>
                <w:webHidden/>
              </w:rPr>
              <w:fldChar w:fldCharType="begin"/>
            </w:r>
            <w:r>
              <w:rPr>
                <w:noProof/>
                <w:webHidden/>
              </w:rPr>
              <w:instrText xml:space="preserve"> PAGEREF _Toc237152815 \h </w:instrText>
            </w:r>
            <w:r>
              <w:rPr>
                <w:noProof/>
                <w:webHidden/>
              </w:rPr>
            </w:r>
            <w:r>
              <w:rPr>
                <w:noProof/>
                <w:webHidden/>
              </w:rPr>
              <w:fldChar w:fldCharType="separate"/>
            </w:r>
            <w:r>
              <w:rPr>
                <w:noProof/>
                <w:webHidden/>
              </w:rPr>
              <w:t>1</w:t>
            </w:r>
            <w:r>
              <w:rPr>
                <w:noProof/>
                <w:webHidden/>
              </w:rPr>
              <w:fldChar w:fldCharType="end"/>
            </w:r>
          </w:hyperlink>
        </w:p>
        <w:p w14:paraId="4D89AA1C" w14:textId="2B4A242B" w:rsidR="00757EFD" w:rsidRDefault="00757EFD">
          <w:pPr>
            <w:pStyle w:val="TOC1"/>
            <w:tabs>
              <w:tab w:val="left" w:pos="480"/>
              <w:tab w:val="right" w:leader="dot" w:pos="9016"/>
            </w:tabs>
            <w:rPr>
              <w:rFonts w:eastAsiaTheme="minorEastAsia"/>
              <w:noProof/>
              <w:lang w:eastAsia="en-GB"/>
            </w:rPr>
          </w:pPr>
          <w:hyperlink w:anchor="_Toc237152816" w:history="1">
            <w:r w:rsidRPr="00803484">
              <w:rPr>
                <w:rStyle w:val="Hyperlink"/>
                <w:noProof/>
              </w:rPr>
              <w:t>2.</w:t>
            </w:r>
            <w:r>
              <w:rPr>
                <w:rFonts w:eastAsiaTheme="minorEastAsia"/>
                <w:noProof/>
                <w:lang w:eastAsia="en-GB"/>
              </w:rPr>
              <w:tab/>
            </w:r>
            <w:r w:rsidRPr="00803484">
              <w:rPr>
                <w:rStyle w:val="Hyperlink"/>
                <w:noProof/>
              </w:rPr>
              <w:t>Explanation of Key Factors</w:t>
            </w:r>
            <w:r>
              <w:rPr>
                <w:noProof/>
                <w:webHidden/>
              </w:rPr>
              <w:tab/>
            </w:r>
            <w:r>
              <w:rPr>
                <w:noProof/>
                <w:webHidden/>
              </w:rPr>
              <w:fldChar w:fldCharType="begin"/>
            </w:r>
            <w:r>
              <w:rPr>
                <w:noProof/>
                <w:webHidden/>
              </w:rPr>
              <w:instrText xml:space="preserve"> PAGEREF _Toc237152816 \h </w:instrText>
            </w:r>
            <w:r>
              <w:rPr>
                <w:noProof/>
                <w:webHidden/>
              </w:rPr>
            </w:r>
            <w:r>
              <w:rPr>
                <w:noProof/>
                <w:webHidden/>
              </w:rPr>
              <w:fldChar w:fldCharType="separate"/>
            </w:r>
            <w:r>
              <w:rPr>
                <w:noProof/>
                <w:webHidden/>
              </w:rPr>
              <w:t>2</w:t>
            </w:r>
            <w:r>
              <w:rPr>
                <w:noProof/>
                <w:webHidden/>
              </w:rPr>
              <w:fldChar w:fldCharType="end"/>
            </w:r>
          </w:hyperlink>
        </w:p>
        <w:p w14:paraId="354FE012" w14:textId="6177E148" w:rsidR="00757EFD" w:rsidRDefault="00757EFD">
          <w:pPr>
            <w:pStyle w:val="TOC1"/>
            <w:tabs>
              <w:tab w:val="left" w:pos="480"/>
              <w:tab w:val="right" w:leader="dot" w:pos="9016"/>
            </w:tabs>
            <w:rPr>
              <w:rFonts w:eastAsiaTheme="minorEastAsia"/>
              <w:noProof/>
              <w:lang w:eastAsia="en-GB"/>
            </w:rPr>
          </w:pPr>
          <w:hyperlink w:anchor="_Toc237152817" w:history="1">
            <w:r w:rsidRPr="00803484">
              <w:rPr>
                <w:rStyle w:val="Hyperlink"/>
                <w:noProof/>
              </w:rPr>
              <w:t>3.</w:t>
            </w:r>
            <w:r>
              <w:rPr>
                <w:rFonts w:eastAsiaTheme="minorEastAsia"/>
                <w:noProof/>
                <w:lang w:eastAsia="en-GB"/>
              </w:rPr>
              <w:tab/>
            </w:r>
            <w:r w:rsidRPr="00803484">
              <w:rPr>
                <w:rStyle w:val="Hyperlink"/>
                <w:noProof/>
              </w:rPr>
              <w:t>Evaluation of Contemporary HR Practices</w:t>
            </w:r>
            <w:r>
              <w:rPr>
                <w:noProof/>
                <w:webHidden/>
              </w:rPr>
              <w:tab/>
            </w:r>
            <w:r>
              <w:rPr>
                <w:noProof/>
                <w:webHidden/>
              </w:rPr>
              <w:fldChar w:fldCharType="begin"/>
            </w:r>
            <w:r>
              <w:rPr>
                <w:noProof/>
                <w:webHidden/>
              </w:rPr>
              <w:instrText xml:space="preserve"> PAGEREF _Toc237152817 \h </w:instrText>
            </w:r>
            <w:r>
              <w:rPr>
                <w:noProof/>
                <w:webHidden/>
              </w:rPr>
            </w:r>
            <w:r>
              <w:rPr>
                <w:noProof/>
                <w:webHidden/>
              </w:rPr>
              <w:fldChar w:fldCharType="separate"/>
            </w:r>
            <w:r>
              <w:rPr>
                <w:noProof/>
                <w:webHidden/>
              </w:rPr>
              <w:t>3</w:t>
            </w:r>
            <w:r>
              <w:rPr>
                <w:noProof/>
                <w:webHidden/>
              </w:rPr>
              <w:fldChar w:fldCharType="end"/>
            </w:r>
          </w:hyperlink>
        </w:p>
        <w:p w14:paraId="5453DB98" w14:textId="60373A44" w:rsidR="00757EFD" w:rsidRDefault="00757EFD">
          <w:pPr>
            <w:pStyle w:val="TOC1"/>
            <w:tabs>
              <w:tab w:val="left" w:pos="480"/>
              <w:tab w:val="right" w:leader="dot" w:pos="9016"/>
            </w:tabs>
            <w:rPr>
              <w:rFonts w:eastAsiaTheme="minorEastAsia"/>
              <w:noProof/>
              <w:lang w:eastAsia="en-GB"/>
            </w:rPr>
          </w:pPr>
          <w:hyperlink w:anchor="_Toc237152818" w:history="1">
            <w:r w:rsidRPr="00803484">
              <w:rPr>
                <w:rStyle w:val="Hyperlink"/>
                <w:noProof/>
              </w:rPr>
              <w:t>4.</w:t>
            </w:r>
            <w:r>
              <w:rPr>
                <w:rFonts w:eastAsiaTheme="minorEastAsia"/>
                <w:noProof/>
                <w:lang w:eastAsia="en-GB"/>
              </w:rPr>
              <w:tab/>
            </w:r>
            <w:r w:rsidRPr="00803484">
              <w:rPr>
                <w:rStyle w:val="Hyperlink"/>
                <w:noProof/>
              </w:rPr>
              <w:t>Critical Evaluation of Managerial Implementation</w:t>
            </w:r>
            <w:r>
              <w:rPr>
                <w:noProof/>
                <w:webHidden/>
              </w:rPr>
              <w:tab/>
            </w:r>
            <w:r>
              <w:rPr>
                <w:noProof/>
                <w:webHidden/>
              </w:rPr>
              <w:fldChar w:fldCharType="begin"/>
            </w:r>
            <w:r>
              <w:rPr>
                <w:noProof/>
                <w:webHidden/>
              </w:rPr>
              <w:instrText xml:space="preserve"> PAGEREF _Toc237152818 \h </w:instrText>
            </w:r>
            <w:r>
              <w:rPr>
                <w:noProof/>
                <w:webHidden/>
              </w:rPr>
            </w:r>
            <w:r>
              <w:rPr>
                <w:noProof/>
                <w:webHidden/>
              </w:rPr>
              <w:fldChar w:fldCharType="separate"/>
            </w:r>
            <w:r>
              <w:rPr>
                <w:noProof/>
                <w:webHidden/>
              </w:rPr>
              <w:t>5</w:t>
            </w:r>
            <w:r>
              <w:rPr>
                <w:noProof/>
                <w:webHidden/>
              </w:rPr>
              <w:fldChar w:fldCharType="end"/>
            </w:r>
          </w:hyperlink>
        </w:p>
        <w:p w14:paraId="301C33E1" w14:textId="7974E0C3" w:rsidR="00757EFD" w:rsidRDefault="00757EFD">
          <w:pPr>
            <w:pStyle w:val="TOC1"/>
            <w:tabs>
              <w:tab w:val="left" w:pos="480"/>
              <w:tab w:val="right" w:leader="dot" w:pos="9016"/>
            </w:tabs>
            <w:rPr>
              <w:rFonts w:eastAsiaTheme="minorEastAsia"/>
              <w:noProof/>
              <w:lang w:eastAsia="en-GB"/>
            </w:rPr>
          </w:pPr>
          <w:hyperlink w:anchor="_Toc237152819" w:history="1">
            <w:r w:rsidRPr="00803484">
              <w:rPr>
                <w:rStyle w:val="Hyperlink"/>
                <w:noProof/>
              </w:rPr>
              <w:t>5.</w:t>
            </w:r>
            <w:r>
              <w:rPr>
                <w:rFonts w:eastAsiaTheme="minorEastAsia"/>
                <w:noProof/>
                <w:lang w:eastAsia="en-GB"/>
              </w:rPr>
              <w:tab/>
            </w:r>
            <w:r w:rsidRPr="00803484">
              <w:rPr>
                <w:rStyle w:val="Hyperlink"/>
                <w:noProof/>
              </w:rPr>
              <w:t>Conclusion, recommendations.</w:t>
            </w:r>
            <w:r>
              <w:rPr>
                <w:noProof/>
                <w:webHidden/>
              </w:rPr>
              <w:tab/>
            </w:r>
            <w:r>
              <w:rPr>
                <w:noProof/>
                <w:webHidden/>
              </w:rPr>
              <w:fldChar w:fldCharType="begin"/>
            </w:r>
            <w:r>
              <w:rPr>
                <w:noProof/>
                <w:webHidden/>
              </w:rPr>
              <w:instrText xml:space="preserve"> PAGEREF _Toc237152819 \h </w:instrText>
            </w:r>
            <w:r>
              <w:rPr>
                <w:noProof/>
                <w:webHidden/>
              </w:rPr>
            </w:r>
            <w:r>
              <w:rPr>
                <w:noProof/>
                <w:webHidden/>
              </w:rPr>
              <w:fldChar w:fldCharType="separate"/>
            </w:r>
            <w:r>
              <w:rPr>
                <w:noProof/>
                <w:webHidden/>
              </w:rPr>
              <w:t>6</w:t>
            </w:r>
            <w:r>
              <w:rPr>
                <w:noProof/>
                <w:webHidden/>
              </w:rPr>
              <w:fldChar w:fldCharType="end"/>
            </w:r>
          </w:hyperlink>
        </w:p>
        <w:p w14:paraId="44FF1A87" w14:textId="03BA0FDA" w:rsidR="00757EFD" w:rsidRDefault="00757EFD">
          <w:pPr>
            <w:pStyle w:val="TOC1"/>
            <w:tabs>
              <w:tab w:val="left" w:pos="480"/>
              <w:tab w:val="right" w:leader="dot" w:pos="9016"/>
            </w:tabs>
            <w:rPr>
              <w:rFonts w:eastAsiaTheme="minorEastAsia"/>
              <w:noProof/>
              <w:lang w:eastAsia="en-GB"/>
            </w:rPr>
          </w:pPr>
          <w:hyperlink w:anchor="_Toc237152820" w:history="1">
            <w:r w:rsidRPr="00803484">
              <w:rPr>
                <w:rStyle w:val="Hyperlink"/>
                <w:noProof/>
              </w:rPr>
              <w:t>6.</w:t>
            </w:r>
            <w:r>
              <w:rPr>
                <w:rFonts w:eastAsiaTheme="minorEastAsia"/>
                <w:noProof/>
                <w:lang w:eastAsia="en-GB"/>
              </w:rPr>
              <w:tab/>
            </w:r>
            <w:r w:rsidRPr="00803484">
              <w:rPr>
                <w:rStyle w:val="Hyperlink"/>
                <w:noProof/>
              </w:rPr>
              <w:t>References</w:t>
            </w:r>
            <w:r>
              <w:rPr>
                <w:noProof/>
                <w:webHidden/>
              </w:rPr>
              <w:tab/>
            </w:r>
            <w:r>
              <w:rPr>
                <w:noProof/>
                <w:webHidden/>
              </w:rPr>
              <w:fldChar w:fldCharType="begin"/>
            </w:r>
            <w:r>
              <w:rPr>
                <w:noProof/>
                <w:webHidden/>
              </w:rPr>
              <w:instrText xml:space="preserve"> PAGEREF _Toc237152820 \h </w:instrText>
            </w:r>
            <w:r>
              <w:rPr>
                <w:noProof/>
                <w:webHidden/>
              </w:rPr>
            </w:r>
            <w:r>
              <w:rPr>
                <w:noProof/>
                <w:webHidden/>
              </w:rPr>
              <w:fldChar w:fldCharType="separate"/>
            </w:r>
            <w:r>
              <w:rPr>
                <w:noProof/>
                <w:webHidden/>
              </w:rPr>
              <w:t>7</w:t>
            </w:r>
            <w:r>
              <w:rPr>
                <w:noProof/>
                <w:webHidden/>
              </w:rPr>
              <w:fldChar w:fldCharType="end"/>
            </w:r>
          </w:hyperlink>
        </w:p>
        <w:p w14:paraId="2E412D96" w14:textId="13FEC802" w:rsidR="00757EFD" w:rsidRDefault="00757EFD">
          <w:r>
            <w:rPr>
              <w:b/>
              <w:bCs/>
              <w:noProof/>
            </w:rPr>
            <w:fldChar w:fldCharType="end"/>
          </w:r>
        </w:p>
      </w:sdtContent>
    </w:sdt>
    <w:p w14:paraId="5BC3E73A" w14:textId="77777777" w:rsidR="005C4014" w:rsidRDefault="005C4014" w:rsidP="00C574CC"/>
    <w:p w14:paraId="3965D316" w14:textId="3B6C2CF2" w:rsidR="00523DCD" w:rsidRDefault="00573CE6" w:rsidP="00757EFD">
      <w:pPr>
        <w:pStyle w:val="Title"/>
        <w:jc w:val="center"/>
      </w:pPr>
      <w:r w:rsidRPr="00573CE6">
        <w:t>Component 2- Individual Report</w:t>
      </w:r>
    </w:p>
    <w:p w14:paraId="4C620A9E" w14:textId="5C0250AB" w:rsidR="00573CE6" w:rsidRPr="000F41E5" w:rsidRDefault="004F7802" w:rsidP="00402893">
      <w:pPr>
        <w:pStyle w:val="Heading1"/>
        <w:numPr>
          <w:ilvl w:val="0"/>
          <w:numId w:val="6"/>
        </w:numPr>
      </w:pPr>
      <w:bookmarkStart w:id="0" w:name="_Toc237152815"/>
      <w:r w:rsidRPr="000F41E5">
        <w:t>Introduction</w:t>
      </w:r>
      <w:bookmarkEnd w:id="0"/>
    </w:p>
    <w:p w14:paraId="6F5A97DF" w14:textId="2E3D1CA8" w:rsidR="004F7802" w:rsidRDefault="00516B8D" w:rsidP="00573CE6">
      <w:pPr>
        <w:rPr>
          <w:rFonts w:ascii="Arial" w:hAnsi="Arial" w:cs="Arial"/>
          <w:sz w:val="22"/>
          <w:szCs w:val="22"/>
        </w:rPr>
      </w:pPr>
      <w:r w:rsidRPr="00516B8D">
        <w:rPr>
          <w:rFonts w:ascii="Arial" w:hAnsi="Arial" w:cs="Arial"/>
          <w:sz w:val="22"/>
          <w:szCs w:val="22"/>
        </w:rPr>
        <w:t>This report</w:t>
      </w:r>
      <w:r w:rsidR="00201765">
        <w:rPr>
          <w:rFonts w:ascii="Arial" w:hAnsi="Arial" w:cs="Arial"/>
          <w:sz w:val="22"/>
          <w:szCs w:val="22"/>
        </w:rPr>
        <w:t xml:space="preserve"> will</w:t>
      </w:r>
      <w:r w:rsidRPr="00516B8D">
        <w:rPr>
          <w:rFonts w:ascii="Arial" w:hAnsi="Arial" w:cs="Arial"/>
          <w:sz w:val="22"/>
          <w:szCs w:val="22"/>
        </w:rPr>
        <w:t xml:space="preserve"> examine the Human Resource challenges faced by Marks &amp; Spencer (M&amp;S), one of the UK's leading retailers. The purpose of the report is to evaluate how the organisation can respond effectively to technological advancements, talent acquisition and retention, and Diversity, Equity and Inclusion (DEI). These issues have become increasingly important as organisations operate within a highly competitive and rapidly changing business environment</w:t>
      </w:r>
      <w:r w:rsidR="004E18A1" w:rsidRPr="004E18A1">
        <w:t xml:space="preserve"> </w:t>
      </w:r>
      <w:r w:rsidR="004E18A1" w:rsidRPr="004E18A1">
        <w:rPr>
          <w:rFonts w:ascii="Arial" w:hAnsi="Arial" w:cs="Arial"/>
          <w:sz w:val="22"/>
          <w:szCs w:val="22"/>
        </w:rPr>
        <w:t>(Johnson et al., 2020)</w:t>
      </w:r>
      <w:r w:rsidR="004E18A1">
        <w:rPr>
          <w:rFonts w:ascii="Arial" w:hAnsi="Arial" w:cs="Arial"/>
          <w:sz w:val="22"/>
          <w:szCs w:val="22"/>
        </w:rPr>
        <w:t>.</w:t>
      </w:r>
      <w:r w:rsidRPr="00516B8D">
        <w:rPr>
          <w:rFonts w:ascii="Arial" w:hAnsi="Arial" w:cs="Arial"/>
          <w:sz w:val="22"/>
          <w:szCs w:val="22"/>
        </w:rPr>
        <w:t xml:space="preserve"> The report explains how these factors influence </w:t>
      </w:r>
      <w:r w:rsidR="004D76D5">
        <w:rPr>
          <w:rFonts w:ascii="Arial" w:hAnsi="Arial" w:cs="Arial"/>
          <w:sz w:val="22"/>
          <w:szCs w:val="22"/>
        </w:rPr>
        <w:t>the organisation</w:t>
      </w:r>
      <w:r w:rsidR="00E56105">
        <w:rPr>
          <w:rFonts w:ascii="Arial" w:hAnsi="Arial" w:cs="Arial"/>
          <w:sz w:val="22"/>
          <w:szCs w:val="22"/>
        </w:rPr>
        <w:t xml:space="preserve">’s </w:t>
      </w:r>
      <w:r w:rsidRPr="00516B8D">
        <w:rPr>
          <w:rFonts w:ascii="Arial" w:hAnsi="Arial" w:cs="Arial"/>
          <w:sz w:val="22"/>
          <w:szCs w:val="22"/>
        </w:rPr>
        <w:t>performance, employee engagement and long-term sustainability</w:t>
      </w:r>
      <w:r w:rsidR="00487F4E" w:rsidRPr="00487F4E">
        <w:t xml:space="preserve"> </w:t>
      </w:r>
      <w:r w:rsidR="00487F4E" w:rsidRPr="00487F4E">
        <w:rPr>
          <w:rFonts w:ascii="Arial" w:hAnsi="Arial" w:cs="Arial"/>
          <w:sz w:val="22"/>
          <w:szCs w:val="22"/>
        </w:rPr>
        <w:t>(Freeman, 1984).</w:t>
      </w:r>
      <w:r w:rsidRPr="00516B8D">
        <w:rPr>
          <w:rFonts w:ascii="Arial" w:hAnsi="Arial" w:cs="Arial"/>
          <w:sz w:val="22"/>
          <w:szCs w:val="22"/>
        </w:rPr>
        <w:t xml:space="preserve"> It </w:t>
      </w:r>
      <w:r w:rsidR="00C41E7A">
        <w:rPr>
          <w:rFonts w:ascii="Arial" w:hAnsi="Arial" w:cs="Arial"/>
          <w:sz w:val="22"/>
          <w:szCs w:val="22"/>
        </w:rPr>
        <w:t xml:space="preserve">will also </w:t>
      </w:r>
      <w:r w:rsidRPr="00516B8D">
        <w:rPr>
          <w:rFonts w:ascii="Arial" w:hAnsi="Arial" w:cs="Arial"/>
          <w:sz w:val="22"/>
          <w:szCs w:val="22"/>
        </w:rPr>
        <w:t xml:space="preserve">evaluate the HR practices used to address these challenges and </w:t>
      </w:r>
      <w:r w:rsidR="00C41E7A">
        <w:rPr>
          <w:rFonts w:ascii="Arial" w:hAnsi="Arial" w:cs="Arial"/>
          <w:sz w:val="22"/>
          <w:szCs w:val="22"/>
        </w:rPr>
        <w:t xml:space="preserve">will </w:t>
      </w:r>
      <w:r w:rsidRPr="00516B8D">
        <w:rPr>
          <w:rFonts w:ascii="Arial" w:hAnsi="Arial" w:cs="Arial"/>
          <w:sz w:val="22"/>
          <w:szCs w:val="22"/>
        </w:rPr>
        <w:t xml:space="preserve">critically examine the role of departmental managers in ensuring successful implementation. Finally, the report </w:t>
      </w:r>
      <w:r w:rsidR="00920244">
        <w:rPr>
          <w:rFonts w:ascii="Arial" w:hAnsi="Arial" w:cs="Arial"/>
          <w:sz w:val="22"/>
          <w:szCs w:val="22"/>
        </w:rPr>
        <w:t xml:space="preserve">will provide </w:t>
      </w:r>
      <w:r w:rsidRPr="00516B8D">
        <w:rPr>
          <w:rFonts w:ascii="Arial" w:hAnsi="Arial" w:cs="Arial"/>
          <w:sz w:val="22"/>
          <w:szCs w:val="22"/>
        </w:rPr>
        <w:t>practical recommendations that could strengthen M&amp;S's HR strategy and organisational effectiveness</w:t>
      </w:r>
      <w:r w:rsidR="00920244">
        <w:rPr>
          <w:rFonts w:ascii="Arial" w:hAnsi="Arial" w:cs="Arial"/>
          <w:sz w:val="22"/>
          <w:szCs w:val="22"/>
        </w:rPr>
        <w:t>.</w:t>
      </w:r>
    </w:p>
    <w:p w14:paraId="38F3103C" w14:textId="77777777" w:rsidR="00C26D43" w:rsidRDefault="00C26D43" w:rsidP="00757EFD">
      <w:pPr>
        <w:rPr>
          <w:rFonts w:ascii="Arial" w:hAnsi="Arial" w:cs="Arial"/>
          <w:b/>
          <w:bCs/>
          <w:sz w:val="22"/>
          <w:szCs w:val="22"/>
        </w:rPr>
      </w:pPr>
    </w:p>
    <w:p w14:paraId="6EF1044A" w14:textId="6948DC3C" w:rsidR="00147508" w:rsidRPr="000633CE" w:rsidRDefault="00CA0D91" w:rsidP="000633CE">
      <w:pPr>
        <w:pStyle w:val="Heading1"/>
        <w:numPr>
          <w:ilvl w:val="0"/>
          <w:numId w:val="6"/>
        </w:numPr>
      </w:pPr>
      <w:bookmarkStart w:id="1" w:name="_Toc237152816"/>
      <w:r w:rsidRPr="00C26D43">
        <w:lastRenderedPageBreak/>
        <w:t>Explanation of Key Factors</w:t>
      </w:r>
      <w:bookmarkEnd w:id="1"/>
    </w:p>
    <w:p w14:paraId="3658CE36" w14:textId="2C313527" w:rsidR="00147508" w:rsidRPr="00630167" w:rsidRDefault="00147508" w:rsidP="00630167">
      <w:pPr>
        <w:rPr>
          <w:rFonts w:ascii="Arial" w:hAnsi="Arial" w:cs="Arial"/>
          <w:sz w:val="22"/>
          <w:szCs w:val="22"/>
        </w:rPr>
      </w:pPr>
      <w:r w:rsidRPr="00516B8D">
        <w:rPr>
          <w:rFonts w:ascii="Arial" w:hAnsi="Arial" w:cs="Arial"/>
          <w:sz w:val="22"/>
          <w:szCs w:val="22"/>
        </w:rPr>
        <w:t>Human Resource departments play a critical role in helping organisations respond to changes in the business environment. For a large UK retailer such as Marks &amp; Spencer, adapting to technological advancements, attracting and retaining talented employees, and promoting Diversity, Equity, and Inclusion are among the most significant contemporary HR challenges</w:t>
      </w:r>
      <w:r w:rsidR="002D44E2" w:rsidRPr="002D44E2">
        <w:t xml:space="preserve"> </w:t>
      </w:r>
      <w:r w:rsidR="002D44E2" w:rsidRPr="002D44E2">
        <w:rPr>
          <w:rFonts w:ascii="Arial" w:hAnsi="Arial" w:cs="Arial"/>
          <w:sz w:val="22"/>
          <w:szCs w:val="22"/>
        </w:rPr>
        <w:t>(Johnson et al., 2020).</w:t>
      </w:r>
      <w:r w:rsidRPr="00516B8D">
        <w:rPr>
          <w:rFonts w:ascii="Arial" w:hAnsi="Arial" w:cs="Arial"/>
          <w:sz w:val="22"/>
          <w:szCs w:val="22"/>
        </w:rPr>
        <w:t xml:space="preserve"> Effectively managing these factors enables the organisation to improve organisational performance, enhance employee engagement, and ensure long-term sustainability in an increasingly competitive retail market.</w:t>
      </w:r>
    </w:p>
    <w:p w14:paraId="7CA895A7" w14:textId="6AC9E667" w:rsidR="00147508" w:rsidRPr="00630167" w:rsidRDefault="00147508" w:rsidP="00630167">
      <w:pPr>
        <w:rPr>
          <w:rFonts w:ascii="Arial" w:hAnsi="Arial" w:cs="Arial"/>
          <w:sz w:val="22"/>
          <w:szCs w:val="22"/>
        </w:rPr>
      </w:pPr>
      <w:r w:rsidRPr="00516B8D">
        <w:rPr>
          <w:rFonts w:ascii="Arial" w:hAnsi="Arial" w:cs="Arial"/>
          <w:sz w:val="22"/>
          <w:szCs w:val="22"/>
        </w:rPr>
        <w:t>One of the key organisational issues facing M&amp;S is adapting to technological advancements. The retail industry has undergone significant digital transformation, with the growth of e-commerce, artificial intelligence (AI), self-service technology, data analytics, and automated supply chain systems. Customers increasingly expect seamless online shopping experiences,</w:t>
      </w:r>
      <w:r w:rsidR="008F4784" w:rsidRPr="00516B8D">
        <w:rPr>
          <w:rFonts w:ascii="Arial" w:hAnsi="Arial" w:cs="Arial"/>
          <w:sz w:val="22"/>
          <w:szCs w:val="22"/>
        </w:rPr>
        <w:t xml:space="preserve"> lower priced groceries,</w:t>
      </w:r>
      <w:r w:rsidRPr="00516B8D">
        <w:rPr>
          <w:rFonts w:ascii="Arial" w:hAnsi="Arial" w:cs="Arial"/>
          <w:sz w:val="22"/>
          <w:szCs w:val="22"/>
        </w:rPr>
        <w:t xml:space="preserve"> fast delivery, and personalised services. As a result, M&amp;S has invested in digital technologies to modernise its operations and remain competitive. However, introducing new technologies requires employees to develop new digital skills and adapt to changing ways of working. HR plays an essential role by identifying skills gaps, providing training and development programmes, and supporting employees throughout organisational change</w:t>
      </w:r>
      <w:r w:rsidR="00000326" w:rsidRPr="00000326">
        <w:t xml:space="preserve"> </w:t>
      </w:r>
      <w:r w:rsidR="00000326">
        <w:t>(</w:t>
      </w:r>
      <w:r w:rsidR="00000326" w:rsidRPr="00000326">
        <w:rPr>
          <w:rFonts w:ascii="Arial" w:hAnsi="Arial" w:cs="Arial"/>
          <w:sz w:val="22"/>
          <w:szCs w:val="22"/>
        </w:rPr>
        <w:t>Kotter, 1996)</w:t>
      </w:r>
      <w:r w:rsidR="00E910D3">
        <w:rPr>
          <w:rFonts w:ascii="Arial" w:hAnsi="Arial" w:cs="Arial"/>
          <w:sz w:val="22"/>
          <w:szCs w:val="22"/>
        </w:rPr>
        <w:t>.</w:t>
      </w:r>
      <w:r w:rsidRPr="00516B8D">
        <w:rPr>
          <w:rFonts w:ascii="Arial" w:hAnsi="Arial" w:cs="Arial"/>
          <w:sz w:val="22"/>
          <w:szCs w:val="22"/>
        </w:rPr>
        <w:t xml:space="preserve"> Effective management of technological change improves productivity, operational efficiency, and customer satisfaction. </w:t>
      </w:r>
      <w:r w:rsidR="00CE0C85" w:rsidRPr="00516B8D">
        <w:rPr>
          <w:rFonts w:ascii="Arial" w:hAnsi="Arial" w:cs="Arial"/>
          <w:sz w:val="22"/>
          <w:szCs w:val="22"/>
        </w:rPr>
        <w:t>On the other hand</w:t>
      </w:r>
      <w:r w:rsidRPr="00516B8D">
        <w:rPr>
          <w:rFonts w:ascii="Arial" w:hAnsi="Arial" w:cs="Arial"/>
          <w:sz w:val="22"/>
          <w:szCs w:val="22"/>
        </w:rPr>
        <w:t>, inadequate training or poor communication can lead to employee resistance, reduced morale and lower performance, ultimately affecting the organisation's long-term competitiveness.</w:t>
      </w:r>
    </w:p>
    <w:p w14:paraId="1ED0214B" w14:textId="7096F88B" w:rsidR="00147508" w:rsidRPr="00C24D06" w:rsidRDefault="00147508" w:rsidP="00C24D06">
      <w:pPr>
        <w:rPr>
          <w:rFonts w:ascii="Arial" w:hAnsi="Arial" w:cs="Arial"/>
          <w:sz w:val="22"/>
          <w:szCs w:val="22"/>
        </w:rPr>
      </w:pPr>
      <w:r w:rsidRPr="00516B8D">
        <w:rPr>
          <w:rFonts w:ascii="Arial" w:hAnsi="Arial" w:cs="Arial"/>
          <w:sz w:val="22"/>
          <w:szCs w:val="22"/>
        </w:rPr>
        <w:t>Another major challenge is talent acquisition and retention. The UK retail sector continues to experience labour shortages, increased competition for skilled workers, and changing employee expectations regarding work-life balance, career progression, and flexible working arrangements. M&amp;S must compete with other retailers and organisations to recruit employees with strong customer service, leadership, and digital capabilities. High employee turnover can increase recruitment and training costs, disrupt business operations, and reduce service quality. HR therefore focuses on creating attractive recruitment strategies, offering competitive pay and benefits, providing opportunities for career development, and recognising employee contributions. Investing in employee learning and development encourages career progression and increases job satisfaction, making employees more likely to remain with the organisation</w:t>
      </w:r>
      <w:r w:rsidR="00E910D3" w:rsidRPr="00E910D3">
        <w:t xml:space="preserve"> </w:t>
      </w:r>
      <w:r w:rsidR="00E910D3" w:rsidRPr="00E910D3">
        <w:rPr>
          <w:rFonts w:ascii="Arial" w:hAnsi="Arial" w:cs="Arial"/>
          <w:sz w:val="22"/>
          <w:szCs w:val="22"/>
        </w:rPr>
        <w:t>(Armstrong and Taylor, 2023)</w:t>
      </w:r>
      <w:r w:rsidR="00E910D3">
        <w:rPr>
          <w:rFonts w:ascii="Arial" w:hAnsi="Arial" w:cs="Arial"/>
          <w:sz w:val="22"/>
          <w:szCs w:val="22"/>
        </w:rPr>
        <w:t>.</w:t>
      </w:r>
      <w:r w:rsidRPr="00516B8D">
        <w:rPr>
          <w:rFonts w:ascii="Arial" w:hAnsi="Arial" w:cs="Arial"/>
          <w:sz w:val="22"/>
          <w:szCs w:val="22"/>
        </w:rPr>
        <w:t xml:space="preserve"> Retaining experienced staff also strengthens organisational knowledge and helps maintain consistent customer service standards, supporting improved organisational performance and sustainable business growth.</w:t>
      </w:r>
    </w:p>
    <w:p w14:paraId="7DD94EFB" w14:textId="7C1950CE" w:rsidR="00147508" w:rsidRPr="00C24D06" w:rsidRDefault="00147508" w:rsidP="00C24D06">
      <w:pPr>
        <w:rPr>
          <w:rFonts w:ascii="Arial" w:hAnsi="Arial" w:cs="Arial"/>
          <w:sz w:val="22"/>
          <w:szCs w:val="22"/>
        </w:rPr>
      </w:pPr>
      <w:r w:rsidRPr="00516B8D">
        <w:rPr>
          <w:rFonts w:ascii="Arial" w:hAnsi="Arial" w:cs="Arial"/>
          <w:sz w:val="22"/>
          <w:szCs w:val="22"/>
        </w:rPr>
        <w:t xml:space="preserve">Diversity, Equity, and Inclusion has become an important priority for organisations operating in diverse societies. M&amp;S employs people from a wide range of cultural backgrounds, age groups, genders, and experiences. Creating an inclusive workplace ensures that employees feel respected, valued, and able to contribute fully regardless of their personal characteristics. HR is responsible for implementing fair recruitment practices, ensuring equal opportunities for promotion, providing diversity training, and preventing discrimination within the workplace. Effective DEI initiatives encourage innovation by bringing together employees with different perspectives and ideas, leading to improved decision-making and problem-solving. Furthermore, organisations that demonstrate a commitment to equality often </w:t>
      </w:r>
      <w:r w:rsidRPr="00516B8D">
        <w:rPr>
          <w:rFonts w:ascii="Arial" w:hAnsi="Arial" w:cs="Arial"/>
          <w:sz w:val="22"/>
          <w:szCs w:val="22"/>
        </w:rPr>
        <w:lastRenderedPageBreak/>
        <w:t>enhance their employer brand, making them more attractive to potential employees and customers. Compliance with UK legislation, including the Equality Act 2010, also reduces legal risks and protects the organisation's reputation.</w:t>
      </w:r>
    </w:p>
    <w:p w14:paraId="704E8B4B" w14:textId="21A91E85" w:rsidR="00147508" w:rsidRPr="00C24D06" w:rsidRDefault="00147508" w:rsidP="00C24D06">
      <w:pPr>
        <w:rPr>
          <w:rFonts w:ascii="Arial" w:hAnsi="Arial" w:cs="Arial"/>
          <w:sz w:val="22"/>
          <w:szCs w:val="22"/>
        </w:rPr>
      </w:pPr>
      <w:r w:rsidRPr="00516B8D">
        <w:rPr>
          <w:rFonts w:ascii="Arial" w:hAnsi="Arial" w:cs="Arial"/>
          <w:sz w:val="22"/>
          <w:szCs w:val="22"/>
        </w:rPr>
        <w:t>These three HR challenges are closely connected and have a direct impact on organisational performance. Successfully implementing new technologies depends on recruiting employees with appropriate digital skills and providing ongoing learning opportunities. Similarly, organisations that value diversity and inclusion are often better positioned to attract talented individuals from a wider range of backgrounds, improving creativity and organisational effectiveness. Employees who feel supported through technological change, offered opportunities for career progression, and treated fairly are generally more engaged with their work. Higher employee engagement is associated with increased motivation, stronger organisational commitment, improved productivity, lower absent</w:t>
      </w:r>
      <w:r w:rsidR="0077021D" w:rsidRPr="00516B8D">
        <w:rPr>
          <w:rFonts w:ascii="Arial" w:hAnsi="Arial" w:cs="Arial"/>
          <w:sz w:val="22"/>
          <w:szCs w:val="22"/>
        </w:rPr>
        <w:t>s</w:t>
      </w:r>
      <w:r w:rsidRPr="00516B8D">
        <w:rPr>
          <w:rFonts w:ascii="Arial" w:hAnsi="Arial" w:cs="Arial"/>
          <w:sz w:val="22"/>
          <w:szCs w:val="22"/>
        </w:rPr>
        <w:t>, and reduced staff turnover.</w:t>
      </w:r>
    </w:p>
    <w:p w14:paraId="73A0E770" w14:textId="3CA4528E" w:rsidR="0077021D" w:rsidRPr="000633CE" w:rsidRDefault="00147508" w:rsidP="000633CE">
      <w:pPr>
        <w:rPr>
          <w:rFonts w:ascii="Arial" w:hAnsi="Arial" w:cs="Arial"/>
          <w:sz w:val="22"/>
          <w:szCs w:val="22"/>
        </w:rPr>
      </w:pPr>
      <w:r w:rsidRPr="00516B8D">
        <w:rPr>
          <w:rFonts w:ascii="Arial" w:hAnsi="Arial" w:cs="Arial"/>
          <w:sz w:val="22"/>
          <w:szCs w:val="22"/>
        </w:rPr>
        <w:t xml:space="preserve">Long-term sustainability also depends on an organisation's ability to adapt continuously to external changes while maintaining a skilled, motivated, and diverse workforce. As customer expectations, technology, and labour markets continue to </w:t>
      </w:r>
      <w:r w:rsidR="00805EDD" w:rsidRPr="00516B8D">
        <w:rPr>
          <w:rFonts w:ascii="Arial" w:hAnsi="Arial" w:cs="Arial"/>
          <w:sz w:val="22"/>
          <w:szCs w:val="22"/>
        </w:rPr>
        <w:t>change</w:t>
      </w:r>
      <w:r w:rsidRPr="00516B8D">
        <w:rPr>
          <w:rFonts w:ascii="Arial" w:hAnsi="Arial" w:cs="Arial"/>
          <w:sz w:val="22"/>
          <w:szCs w:val="22"/>
        </w:rPr>
        <w:t xml:space="preserve">, M&amp;S must ensure its HR strategies remain responsive and forward-looking. </w:t>
      </w:r>
    </w:p>
    <w:p w14:paraId="2281AB93" w14:textId="34FE3DF5" w:rsidR="000633CE" w:rsidRPr="000633CE" w:rsidRDefault="007278EC" w:rsidP="000633CE">
      <w:pPr>
        <w:pStyle w:val="Heading1"/>
        <w:numPr>
          <w:ilvl w:val="0"/>
          <w:numId w:val="6"/>
        </w:numPr>
      </w:pPr>
      <w:bookmarkStart w:id="2" w:name="_Toc237152817"/>
      <w:r w:rsidRPr="00543B97">
        <w:t>Evaluation of Contemporary HR Practices</w:t>
      </w:r>
      <w:bookmarkEnd w:id="2"/>
    </w:p>
    <w:p w14:paraId="649C9FA9" w14:textId="6F1C8F28" w:rsidR="00410CD1" w:rsidRPr="00630167" w:rsidRDefault="00410CD1" w:rsidP="00630167">
      <w:pPr>
        <w:rPr>
          <w:rFonts w:ascii="Arial" w:hAnsi="Arial" w:cs="Arial"/>
          <w:sz w:val="22"/>
          <w:szCs w:val="22"/>
        </w:rPr>
      </w:pPr>
      <w:r w:rsidRPr="00516B8D">
        <w:rPr>
          <w:rFonts w:ascii="Arial" w:hAnsi="Arial" w:cs="Arial"/>
          <w:sz w:val="22"/>
          <w:szCs w:val="22"/>
        </w:rPr>
        <w:t xml:space="preserve">Marks &amp; Spencer has implemented a range of Human Resource practices to respond to technological change, improve talent acquisition and retention, and promote Diversity, Equity and Inclusion. These practices support the organisation's long-term business objectives while helping to maintain a skilled, motivated and inclusive workforce. However, although these initiatives provide many benefits, they also present challenges that </w:t>
      </w:r>
      <w:r w:rsidR="008C27F7">
        <w:rPr>
          <w:rFonts w:ascii="Arial" w:hAnsi="Arial" w:cs="Arial"/>
          <w:sz w:val="22"/>
          <w:szCs w:val="22"/>
        </w:rPr>
        <w:t>need</w:t>
      </w:r>
      <w:r w:rsidRPr="00516B8D">
        <w:rPr>
          <w:rFonts w:ascii="Arial" w:hAnsi="Arial" w:cs="Arial"/>
          <w:sz w:val="22"/>
          <w:szCs w:val="22"/>
        </w:rPr>
        <w:t xml:space="preserve"> continuous monitoring and improvement.</w:t>
      </w:r>
    </w:p>
    <w:p w14:paraId="66F7BD32" w14:textId="18D0D7D5" w:rsidR="00410CD1" w:rsidRPr="00630167" w:rsidRDefault="00410CD1" w:rsidP="00630167">
      <w:pPr>
        <w:rPr>
          <w:rFonts w:ascii="Arial" w:hAnsi="Arial" w:cs="Arial"/>
          <w:sz w:val="22"/>
          <w:szCs w:val="22"/>
        </w:rPr>
      </w:pPr>
      <w:r w:rsidRPr="00516B8D">
        <w:rPr>
          <w:rFonts w:ascii="Arial" w:hAnsi="Arial" w:cs="Arial"/>
          <w:sz w:val="22"/>
          <w:szCs w:val="22"/>
        </w:rPr>
        <w:t>One of the most significant HR practices adopted by M&amp;S is the use of digital HR systems and workforce analytics. The company has invested in modern HR technology to streamline recruitment, employee onboarding, performance management and learning and development. Digital platforms allow managers to monitor employee performance, identify skills gaps and make informed workforce planning decisions using real-time data</w:t>
      </w:r>
      <w:r w:rsidR="00936978" w:rsidRPr="00936978">
        <w:t xml:space="preserve"> </w:t>
      </w:r>
      <w:r w:rsidR="00936978" w:rsidRPr="00936978">
        <w:rPr>
          <w:rFonts w:ascii="Arial" w:hAnsi="Arial" w:cs="Arial"/>
          <w:sz w:val="22"/>
          <w:szCs w:val="22"/>
        </w:rPr>
        <w:t>(Armstrong and Taylor, 2023).</w:t>
      </w:r>
      <w:r w:rsidRPr="00516B8D">
        <w:rPr>
          <w:rFonts w:ascii="Arial" w:hAnsi="Arial" w:cs="Arial"/>
          <w:sz w:val="22"/>
          <w:szCs w:val="22"/>
        </w:rPr>
        <w:t xml:space="preserve"> These systems also improve efficiency by reducing administrative tasks, allowing HR professionals to focus on strategic activities rather than routine paperwork.</w:t>
      </w:r>
    </w:p>
    <w:p w14:paraId="3B8CD281" w14:textId="01E761CD" w:rsidR="00410CD1" w:rsidRPr="00B03B04" w:rsidRDefault="00410CD1" w:rsidP="00B03B04">
      <w:pPr>
        <w:rPr>
          <w:rFonts w:ascii="Arial" w:hAnsi="Arial" w:cs="Arial"/>
          <w:sz w:val="22"/>
          <w:szCs w:val="22"/>
        </w:rPr>
      </w:pPr>
      <w:r w:rsidRPr="00516B8D">
        <w:rPr>
          <w:rFonts w:ascii="Arial" w:hAnsi="Arial" w:cs="Arial"/>
          <w:sz w:val="22"/>
          <w:szCs w:val="22"/>
        </w:rPr>
        <w:t>The effectiveness of digital HR systems is evident through improved decision-making, faster recruitment processes and enhanced employee development opportunities. Workforce analytics enables M&amp;S to identify trends such as employee turnover, absenteeism and training requirements, allowing proactive interventions before problems become significant. However, the increased use of employee data raises concerns regarding privacy and data security. Furthermore, employees who are less confident with technology may require additional training to ensure that digital transformation benefits the entire workforce rather than creating barriers.</w:t>
      </w:r>
    </w:p>
    <w:p w14:paraId="250AAEC3" w14:textId="356C00CC" w:rsidR="00410CD1" w:rsidRPr="00516B8D" w:rsidRDefault="00410CD1" w:rsidP="00516B8D">
      <w:pPr>
        <w:rPr>
          <w:rFonts w:ascii="Arial" w:hAnsi="Arial" w:cs="Arial"/>
          <w:sz w:val="22"/>
          <w:szCs w:val="22"/>
        </w:rPr>
      </w:pPr>
      <w:r w:rsidRPr="00516B8D">
        <w:rPr>
          <w:rFonts w:ascii="Arial" w:hAnsi="Arial" w:cs="Arial"/>
          <w:sz w:val="22"/>
          <w:szCs w:val="22"/>
        </w:rPr>
        <w:t xml:space="preserve">To strengthen talent acquisition and retention, M&amp;S has developed a strong employer brand supported by strategic workforce planning. The company promotes career development, apprenticeships, graduate programmes and internal promotion opportunities to attract talented individuals while retaining existing employees. Flexible working arrangements, </w:t>
      </w:r>
      <w:r w:rsidRPr="00516B8D">
        <w:rPr>
          <w:rFonts w:ascii="Arial" w:hAnsi="Arial" w:cs="Arial"/>
          <w:sz w:val="22"/>
          <w:szCs w:val="22"/>
        </w:rPr>
        <w:lastRenderedPageBreak/>
        <w:t>employee wellbeing initiatives and competitive reward packages also contribute to employee satisfaction and organisational commitment.</w:t>
      </w:r>
    </w:p>
    <w:p w14:paraId="7CE966F2" w14:textId="70B86799" w:rsidR="00410CD1" w:rsidRPr="00B03B04" w:rsidRDefault="00410CD1" w:rsidP="00B03B04">
      <w:pPr>
        <w:rPr>
          <w:rFonts w:ascii="Arial" w:hAnsi="Arial" w:cs="Arial"/>
          <w:sz w:val="22"/>
          <w:szCs w:val="22"/>
        </w:rPr>
      </w:pPr>
      <w:r w:rsidRPr="00516B8D">
        <w:rPr>
          <w:rFonts w:ascii="Arial" w:hAnsi="Arial" w:cs="Arial"/>
          <w:sz w:val="22"/>
          <w:szCs w:val="22"/>
        </w:rPr>
        <w:t>These practices provide several advantages. A positive employer brand makes M&amp;S more attractive in a competitive labour market, reducing recruitment costs and improving the quality of applicants. Internal career progression opportunities encourage employee loyalty by demonstrating that long-term careers are available within the organisation. In addition, strategic workforce planning enables M&amp;S to forecast future staffing needs and prepare for changing customer demands or technological developments.</w:t>
      </w:r>
    </w:p>
    <w:p w14:paraId="4AE2EBF5" w14:textId="19C035A5" w:rsidR="00410CD1" w:rsidRPr="00B03B04" w:rsidRDefault="00410CD1" w:rsidP="00B03B04">
      <w:pPr>
        <w:rPr>
          <w:rFonts w:ascii="Arial" w:hAnsi="Arial" w:cs="Arial"/>
          <w:sz w:val="22"/>
          <w:szCs w:val="22"/>
        </w:rPr>
      </w:pPr>
      <w:r w:rsidRPr="00516B8D">
        <w:rPr>
          <w:rFonts w:ascii="Arial" w:hAnsi="Arial" w:cs="Arial"/>
          <w:sz w:val="22"/>
          <w:szCs w:val="22"/>
        </w:rPr>
        <w:t>Despite these strengths, talent retention remains challenging within the retail sector due to relatively high employee turnover, demanding working conditions and competition from other retailers. Offering flexible working and development opportunities may not always prevent employees from leaving if competitors provide higher salaries or more favourable working conditions. Consequently, M&amp;S must regularly review its reward strategies and employee value proposition to remain competitive.</w:t>
      </w:r>
    </w:p>
    <w:p w14:paraId="7F5AAD18" w14:textId="310A4A0E" w:rsidR="00410CD1" w:rsidRPr="00B03B04" w:rsidRDefault="00410CD1" w:rsidP="00B03B04">
      <w:pPr>
        <w:rPr>
          <w:rFonts w:ascii="Arial" w:hAnsi="Arial" w:cs="Arial"/>
          <w:sz w:val="22"/>
          <w:szCs w:val="22"/>
        </w:rPr>
      </w:pPr>
      <w:r w:rsidRPr="00516B8D">
        <w:rPr>
          <w:rFonts w:ascii="Arial" w:hAnsi="Arial" w:cs="Arial"/>
          <w:sz w:val="22"/>
          <w:szCs w:val="22"/>
        </w:rPr>
        <w:t>Employee engagement has also become an important HR practice for supporting retention. M&amp;S encourages regular communication between employees and managers through performance reviews, feedback systems and employee surveys. Recognition programmes, wellbeing support and training opportunities help employees feel valued and motivated. High levels of employee engagement are associated with increased productivity, improved customer service and lower absent</w:t>
      </w:r>
      <w:r w:rsidR="00880178">
        <w:rPr>
          <w:rFonts w:ascii="Arial" w:hAnsi="Arial" w:cs="Arial"/>
          <w:sz w:val="22"/>
          <w:szCs w:val="22"/>
        </w:rPr>
        <w:t>s</w:t>
      </w:r>
      <w:r w:rsidR="00535EE0" w:rsidRPr="00535EE0">
        <w:t xml:space="preserve"> </w:t>
      </w:r>
      <w:r w:rsidR="00535EE0" w:rsidRPr="00535EE0">
        <w:rPr>
          <w:rFonts w:ascii="Arial" w:hAnsi="Arial" w:cs="Arial"/>
          <w:sz w:val="22"/>
          <w:szCs w:val="22"/>
        </w:rPr>
        <w:t>(Bourne, 2015)</w:t>
      </w:r>
      <w:r w:rsidRPr="00516B8D">
        <w:rPr>
          <w:rFonts w:ascii="Arial" w:hAnsi="Arial" w:cs="Arial"/>
          <w:sz w:val="22"/>
          <w:szCs w:val="22"/>
        </w:rPr>
        <w:t>. However, maintaining engagement across a large workforce with employees working in different locations can be difficult. Some employees may also experience change fatigue as the organisation continues to modernise its operations.</w:t>
      </w:r>
    </w:p>
    <w:p w14:paraId="6B336B26" w14:textId="063ECC25" w:rsidR="00410CD1" w:rsidRPr="00B03B04" w:rsidRDefault="00410CD1" w:rsidP="00B03B04">
      <w:pPr>
        <w:rPr>
          <w:rFonts w:ascii="Arial" w:hAnsi="Arial" w:cs="Arial"/>
          <w:sz w:val="22"/>
          <w:szCs w:val="22"/>
        </w:rPr>
      </w:pPr>
      <w:r w:rsidRPr="00516B8D">
        <w:rPr>
          <w:rFonts w:ascii="Arial" w:hAnsi="Arial" w:cs="Arial"/>
          <w:sz w:val="22"/>
          <w:szCs w:val="22"/>
        </w:rPr>
        <w:t>To promote Diversity, Equity and Inclusion, M&amp;S has introduced inclusive recruitment practices alongside comprehensive DEI policies and leadership development initiatives. Recruitment processes are designed to attract candidates from diverse backgrounds by reducing bias and promoting equal employment opportunities. Leadership development programmes encourage managers to create inclusive workplace cultures where employees feel respected regardless of age, gender, ethnicity, disability or other protected characteristics.</w:t>
      </w:r>
    </w:p>
    <w:p w14:paraId="2C573A46" w14:textId="090FBBB0" w:rsidR="00410CD1" w:rsidRPr="00B03B04" w:rsidRDefault="00410CD1" w:rsidP="00B03B04">
      <w:pPr>
        <w:rPr>
          <w:rFonts w:ascii="Arial" w:hAnsi="Arial" w:cs="Arial"/>
          <w:sz w:val="22"/>
          <w:szCs w:val="22"/>
        </w:rPr>
      </w:pPr>
      <w:r w:rsidRPr="00752655">
        <w:rPr>
          <w:rFonts w:ascii="Arial" w:hAnsi="Arial" w:cs="Arial"/>
          <w:sz w:val="22"/>
          <w:szCs w:val="22"/>
        </w:rPr>
        <w:t>These initiatives strengthen organisational performance by encouraging innovation, improving employee engagement and enhancing the company's reputation among customers and potential employees. A diverse workforce brings different perspectives that support creativity and better decision-making</w:t>
      </w:r>
      <w:r w:rsidR="00D67A71">
        <w:rPr>
          <w:rFonts w:ascii="Arial" w:hAnsi="Arial" w:cs="Arial"/>
          <w:sz w:val="22"/>
          <w:szCs w:val="22"/>
        </w:rPr>
        <w:t xml:space="preserve"> </w:t>
      </w:r>
      <w:r w:rsidR="00D67A71" w:rsidRPr="00D67A71">
        <w:rPr>
          <w:rFonts w:ascii="Arial" w:hAnsi="Arial" w:cs="Arial"/>
          <w:sz w:val="22"/>
          <w:szCs w:val="22"/>
        </w:rPr>
        <w:t>(Shore et al., 2011).</w:t>
      </w:r>
      <w:r w:rsidRPr="00752655">
        <w:rPr>
          <w:rFonts w:ascii="Arial" w:hAnsi="Arial" w:cs="Arial"/>
          <w:sz w:val="22"/>
          <w:szCs w:val="22"/>
        </w:rPr>
        <w:t xml:space="preserve"> Inclusive leadership also improves employee trust and contributes to higher job satisfaction.</w:t>
      </w:r>
    </w:p>
    <w:p w14:paraId="62019952" w14:textId="5096542E" w:rsidR="00410CD1" w:rsidRPr="00B03B04" w:rsidRDefault="00410CD1" w:rsidP="00B03B04">
      <w:pPr>
        <w:rPr>
          <w:rFonts w:ascii="Arial" w:hAnsi="Arial" w:cs="Arial"/>
          <w:sz w:val="22"/>
          <w:szCs w:val="22"/>
        </w:rPr>
      </w:pPr>
      <w:r w:rsidRPr="00752655">
        <w:rPr>
          <w:rFonts w:ascii="Arial" w:hAnsi="Arial" w:cs="Arial"/>
          <w:sz w:val="22"/>
          <w:szCs w:val="22"/>
        </w:rPr>
        <w:t>Nevertheless, DEI initiatives can face limitations if they are not consistently embedded throughout the organisation. Policies alone cannot guarantee an inclusive culture, and unconscious bias may still influence recruitment or promotion decisions. Achieving meaningful diversity requires continuous training, regular monitoring of workforce data and strong commitment from senior leadership. M&amp;S must therefore ensure that DEI objectives are integrated into business strategy rather than treated as separate HR initiatives.</w:t>
      </w:r>
    </w:p>
    <w:p w14:paraId="631E2F6D" w14:textId="47024078" w:rsidR="00486293" w:rsidRPr="00FC6B6F" w:rsidRDefault="00410CD1" w:rsidP="00FC6B6F">
      <w:pPr>
        <w:rPr>
          <w:rFonts w:ascii="Arial" w:hAnsi="Arial" w:cs="Arial"/>
          <w:sz w:val="22"/>
          <w:szCs w:val="22"/>
        </w:rPr>
      </w:pPr>
      <w:r w:rsidRPr="00752655">
        <w:rPr>
          <w:rFonts w:ascii="Arial" w:hAnsi="Arial" w:cs="Arial"/>
          <w:sz w:val="22"/>
          <w:szCs w:val="22"/>
        </w:rPr>
        <w:t xml:space="preserve">Overall, M&amp;S demonstrates the use of contemporary HR practices that effectively address technological change, talent management and workplace inclusion. While digital HR </w:t>
      </w:r>
      <w:r w:rsidRPr="00752655">
        <w:rPr>
          <w:rFonts w:ascii="Arial" w:hAnsi="Arial" w:cs="Arial"/>
          <w:sz w:val="22"/>
          <w:szCs w:val="22"/>
        </w:rPr>
        <w:lastRenderedPageBreak/>
        <w:t>systems, strategic workforce planning, employee engagement programmes and DEI initiatives provide significant organisational benefits, their long-term success depends on continuous evaluation, employee involvement and leadership commitment. By adapting these practices to meet changing workforce expectations, M&amp;S can strengthen employee performance, enhance organisational resilience and maintain a sustainable competitive advantage.</w:t>
      </w:r>
    </w:p>
    <w:p w14:paraId="7F6B385B" w14:textId="226189F7" w:rsidR="00486293" w:rsidRPr="00FC6B6F" w:rsidRDefault="00AE314C" w:rsidP="00FC6B6F">
      <w:pPr>
        <w:pStyle w:val="Heading1"/>
        <w:numPr>
          <w:ilvl w:val="0"/>
          <w:numId w:val="6"/>
        </w:numPr>
      </w:pPr>
      <w:bookmarkStart w:id="3" w:name="_Toc237152818"/>
      <w:r w:rsidRPr="0077021D">
        <w:t>Critical Evaluation of Managerial Implementation</w:t>
      </w:r>
      <w:bookmarkEnd w:id="3"/>
    </w:p>
    <w:p w14:paraId="0064D809" w14:textId="08865AC8" w:rsidR="00486293" w:rsidRPr="00B03B04" w:rsidRDefault="00486293" w:rsidP="00B03B04">
      <w:pPr>
        <w:rPr>
          <w:rFonts w:ascii="Arial" w:hAnsi="Arial" w:cs="Arial"/>
          <w:sz w:val="22"/>
          <w:szCs w:val="22"/>
        </w:rPr>
      </w:pPr>
      <w:r w:rsidRPr="00752655">
        <w:rPr>
          <w:rFonts w:ascii="Arial" w:hAnsi="Arial" w:cs="Arial"/>
          <w:sz w:val="22"/>
          <w:szCs w:val="22"/>
        </w:rPr>
        <w:t xml:space="preserve">The successful implementation of contemporary Human Resource (HR) practices at Marks &amp; Spencer </w:t>
      </w:r>
      <w:r w:rsidR="00565365">
        <w:rPr>
          <w:rFonts w:ascii="Arial" w:hAnsi="Arial" w:cs="Arial"/>
          <w:sz w:val="22"/>
          <w:szCs w:val="22"/>
        </w:rPr>
        <w:t xml:space="preserve">largely depends </w:t>
      </w:r>
      <w:r w:rsidRPr="00752655">
        <w:rPr>
          <w:rFonts w:ascii="Arial" w:hAnsi="Arial" w:cs="Arial"/>
          <w:sz w:val="22"/>
          <w:szCs w:val="22"/>
        </w:rPr>
        <w:t>on the effectiveness of departmental managers. While HR departments design policies and strategies, managers are responsible for embedding these practices into daily operations. Their ability to lead change, communicate effectively and monitor progress is essential if M&amp;S is to respond quickly to technological developments, improve talent management and create a more diverse and inclusive workplace.</w:t>
      </w:r>
    </w:p>
    <w:p w14:paraId="6F0D8C6E" w14:textId="38FB1BAD" w:rsidR="00486293" w:rsidRPr="00B03B04" w:rsidRDefault="00486293" w:rsidP="00B03B04">
      <w:pPr>
        <w:rPr>
          <w:rFonts w:ascii="Arial" w:hAnsi="Arial" w:cs="Arial"/>
          <w:sz w:val="22"/>
          <w:szCs w:val="22"/>
        </w:rPr>
      </w:pPr>
      <w:r w:rsidRPr="00752655">
        <w:rPr>
          <w:rFonts w:ascii="Arial" w:hAnsi="Arial" w:cs="Arial"/>
          <w:sz w:val="22"/>
          <w:szCs w:val="22"/>
        </w:rPr>
        <w:t xml:space="preserve">Leadership accountability is one of the most important factors influencing successful implementation. Departmental managers must take responsibility for ensuring that HR policies are applied consistently and fairly across all areas of the business. This includes supporting digital transformation initiatives, encouraging employee development and promoting inclusive behaviours. Managers who actively demonstrate commitment to </w:t>
      </w:r>
      <w:r w:rsidR="000A74C8">
        <w:rPr>
          <w:rFonts w:ascii="Arial" w:hAnsi="Arial" w:cs="Arial"/>
          <w:sz w:val="22"/>
          <w:szCs w:val="22"/>
        </w:rPr>
        <w:t>company</w:t>
      </w:r>
      <w:r w:rsidRPr="00752655">
        <w:rPr>
          <w:rFonts w:ascii="Arial" w:hAnsi="Arial" w:cs="Arial"/>
          <w:sz w:val="22"/>
          <w:szCs w:val="22"/>
        </w:rPr>
        <w:t xml:space="preserve"> values are more likely to gain employee trust and increase engagement. </w:t>
      </w:r>
      <w:r w:rsidR="00886108">
        <w:rPr>
          <w:rFonts w:ascii="Arial" w:hAnsi="Arial" w:cs="Arial"/>
          <w:sz w:val="22"/>
          <w:szCs w:val="22"/>
        </w:rPr>
        <w:t>However</w:t>
      </w:r>
      <w:r w:rsidRPr="00752655">
        <w:rPr>
          <w:rFonts w:ascii="Arial" w:hAnsi="Arial" w:cs="Arial"/>
          <w:sz w:val="22"/>
          <w:szCs w:val="22"/>
        </w:rPr>
        <w:t xml:space="preserve">, if leaders fail to model expected behaviours or treat HR initiatives as a low priority, employees may resist change or </w:t>
      </w:r>
      <w:r w:rsidR="00886108">
        <w:rPr>
          <w:rFonts w:ascii="Arial" w:hAnsi="Arial" w:cs="Arial"/>
          <w:sz w:val="22"/>
          <w:szCs w:val="22"/>
        </w:rPr>
        <w:t xml:space="preserve">see company </w:t>
      </w:r>
      <w:r w:rsidRPr="00752655">
        <w:rPr>
          <w:rFonts w:ascii="Arial" w:hAnsi="Arial" w:cs="Arial"/>
          <w:sz w:val="22"/>
          <w:szCs w:val="22"/>
        </w:rPr>
        <w:t>commitments as insincere</w:t>
      </w:r>
      <w:r w:rsidR="001E733C" w:rsidRPr="001E733C">
        <w:t xml:space="preserve"> </w:t>
      </w:r>
      <w:r w:rsidR="001E733C" w:rsidRPr="001E733C">
        <w:rPr>
          <w:rFonts w:ascii="Arial" w:hAnsi="Arial" w:cs="Arial"/>
          <w:sz w:val="22"/>
          <w:szCs w:val="22"/>
        </w:rPr>
        <w:t>(Kotter, 1996).</w:t>
      </w:r>
      <w:r w:rsidRPr="00752655">
        <w:rPr>
          <w:rFonts w:ascii="Arial" w:hAnsi="Arial" w:cs="Arial"/>
          <w:sz w:val="22"/>
          <w:szCs w:val="22"/>
        </w:rPr>
        <w:t xml:space="preserve"> Therefore, M&amp;S should hold managers accountable by incorporating HR-related objectives, such as employee engagement, retention and diversity targets, into performance appraisals.</w:t>
      </w:r>
    </w:p>
    <w:p w14:paraId="783C16F0" w14:textId="260A3734" w:rsidR="00486293" w:rsidRPr="00B03B04" w:rsidRDefault="00486293" w:rsidP="00B03B04">
      <w:pPr>
        <w:rPr>
          <w:rFonts w:ascii="Arial" w:hAnsi="Arial" w:cs="Arial"/>
          <w:sz w:val="22"/>
          <w:szCs w:val="22"/>
        </w:rPr>
      </w:pPr>
      <w:r w:rsidRPr="00752655">
        <w:rPr>
          <w:rFonts w:ascii="Arial" w:hAnsi="Arial" w:cs="Arial"/>
          <w:sz w:val="22"/>
          <w:szCs w:val="22"/>
        </w:rPr>
        <w:t xml:space="preserve">Effective communication is equally important when implementing new HR practices. Organisational change often creates uncertainty among employees, particularly when new technologies or working practices are introduced. Managers must communicate the purpose, benefits and expected outcomes of HR initiatives clearly and consistently. Regular team meetings, one-to-one discussions and digital communication platforms can help ensure employees understand organisational changes while providing opportunities to ask questions and raise concerns. Two-way communication also allows managers to identify issues early and </w:t>
      </w:r>
      <w:r w:rsidR="00B03B04" w:rsidRPr="00752655">
        <w:rPr>
          <w:rFonts w:ascii="Arial" w:hAnsi="Arial" w:cs="Arial"/>
          <w:sz w:val="22"/>
          <w:szCs w:val="22"/>
        </w:rPr>
        <w:t>adjust</w:t>
      </w:r>
      <w:r w:rsidRPr="00752655">
        <w:rPr>
          <w:rFonts w:ascii="Arial" w:hAnsi="Arial" w:cs="Arial"/>
          <w:sz w:val="22"/>
          <w:szCs w:val="22"/>
        </w:rPr>
        <w:t xml:space="preserve"> where necessary. However, communication alone is insufficient if employees feel their feedback is ignored. Managers must therefore demonstrate that employee opinions influence decision-making to build trust and encourage greater commitment to change</w:t>
      </w:r>
      <w:r w:rsidR="0016492D" w:rsidRPr="0016492D">
        <w:t xml:space="preserve"> </w:t>
      </w:r>
      <w:r w:rsidR="0016492D" w:rsidRPr="0016492D">
        <w:rPr>
          <w:rFonts w:ascii="Arial" w:hAnsi="Arial" w:cs="Arial"/>
          <w:sz w:val="22"/>
          <w:szCs w:val="22"/>
        </w:rPr>
        <w:t>(PMI, 2021).</w:t>
      </w:r>
    </w:p>
    <w:p w14:paraId="6F5F3F09" w14:textId="529EBB1A" w:rsidR="00486293" w:rsidRPr="00B03B04" w:rsidRDefault="00486293" w:rsidP="00B03B04">
      <w:pPr>
        <w:rPr>
          <w:rFonts w:ascii="Arial" w:hAnsi="Arial" w:cs="Arial"/>
          <w:sz w:val="22"/>
          <w:szCs w:val="22"/>
        </w:rPr>
      </w:pPr>
      <w:r w:rsidRPr="00752655">
        <w:rPr>
          <w:rFonts w:ascii="Arial" w:hAnsi="Arial" w:cs="Arial"/>
          <w:sz w:val="22"/>
          <w:szCs w:val="22"/>
        </w:rPr>
        <w:t>Monitoring and performance measurement enable managers to evaluate whether HR practices are delivering the intended outcomes. M&amp;S can use workforce analytics and key performance indicators, including employee turnover rates, absence levels, training completion, recruitment times and employee engagement scores, to assess organisational performance. Regular monitoring enables managers to identify trends, measure progress and intervene quickly when problems arise. Nevertheless, over</w:t>
      </w:r>
      <w:r w:rsidR="00E01867">
        <w:rPr>
          <w:rFonts w:ascii="Arial" w:hAnsi="Arial" w:cs="Arial"/>
          <w:sz w:val="22"/>
          <w:szCs w:val="22"/>
        </w:rPr>
        <w:t xml:space="preserve">ly </w:t>
      </w:r>
      <w:r w:rsidRPr="00752655">
        <w:rPr>
          <w:rFonts w:ascii="Arial" w:hAnsi="Arial" w:cs="Arial"/>
          <w:sz w:val="22"/>
          <w:szCs w:val="22"/>
        </w:rPr>
        <w:t>rel</w:t>
      </w:r>
      <w:r w:rsidR="00E01867">
        <w:rPr>
          <w:rFonts w:ascii="Arial" w:hAnsi="Arial" w:cs="Arial"/>
          <w:sz w:val="22"/>
          <w:szCs w:val="22"/>
        </w:rPr>
        <w:t>ying</w:t>
      </w:r>
      <w:r w:rsidRPr="00752655">
        <w:rPr>
          <w:rFonts w:ascii="Arial" w:hAnsi="Arial" w:cs="Arial"/>
          <w:sz w:val="22"/>
          <w:szCs w:val="22"/>
        </w:rPr>
        <w:t xml:space="preserve"> on quanti</w:t>
      </w:r>
      <w:r w:rsidR="00877548">
        <w:rPr>
          <w:rFonts w:ascii="Arial" w:hAnsi="Arial" w:cs="Arial"/>
          <w:sz w:val="22"/>
          <w:szCs w:val="22"/>
        </w:rPr>
        <w:t>ty</w:t>
      </w:r>
      <w:r w:rsidRPr="00752655">
        <w:rPr>
          <w:rFonts w:ascii="Arial" w:hAnsi="Arial" w:cs="Arial"/>
          <w:sz w:val="22"/>
          <w:szCs w:val="22"/>
        </w:rPr>
        <w:t xml:space="preserve"> data may overlook important qualit</w:t>
      </w:r>
      <w:r w:rsidR="00877548">
        <w:rPr>
          <w:rFonts w:ascii="Arial" w:hAnsi="Arial" w:cs="Arial"/>
          <w:sz w:val="22"/>
          <w:szCs w:val="22"/>
        </w:rPr>
        <w:t>y</w:t>
      </w:r>
      <w:r w:rsidRPr="00752655">
        <w:rPr>
          <w:rFonts w:ascii="Arial" w:hAnsi="Arial" w:cs="Arial"/>
          <w:sz w:val="22"/>
          <w:szCs w:val="22"/>
        </w:rPr>
        <w:t xml:space="preserve"> factors such as employee wellbeing, motivation and workplace relationships. Managers should therefore combine performance metrics with employee feedback, surveys and regular performance conversations to gain a more comprehensive understanding of workforce effectiveness</w:t>
      </w:r>
      <w:r w:rsidR="00AD4D82" w:rsidRPr="00AD4D82">
        <w:t xml:space="preserve"> </w:t>
      </w:r>
      <w:r w:rsidR="00AD4D82" w:rsidRPr="00AD4D82">
        <w:rPr>
          <w:rFonts w:ascii="Arial" w:hAnsi="Arial" w:cs="Arial"/>
          <w:sz w:val="22"/>
          <w:szCs w:val="22"/>
        </w:rPr>
        <w:t>(PMI, 2021).</w:t>
      </w:r>
    </w:p>
    <w:p w14:paraId="53F969BC" w14:textId="6A01BBB6" w:rsidR="00486293" w:rsidRPr="00B03B04" w:rsidRDefault="00486293" w:rsidP="00B03B04">
      <w:pPr>
        <w:rPr>
          <w:rFonts w:ascii="Arial" w:hAnsi="Arial" w:cs="Arial"/>
          <w:sz w:val="22"/>
          <w:szCs w:val="22"/>
        </w:rPr>
      </w:pPr>
      <w:r w:rsidRPr="00752655">
        <w:rPr>
          <w:rFonts w:ascii="Arial" w:hAnsi="Arial" w:cs="Arial"/>
          <w:sz w:val="22"/>
          <w:szCs w:val="22"/>
        </w:rPr>
        <w:lastRenderedPageBreak/>
        <w:t>Organisational culture also plays a critical role in determining whether HR practices succeed. M&amp;S promotes values based on respect, inclusion and customer service, but these values must be consistently reinforced by departmental managers through everyday behaviours and decision</w:t>
      </w:r>
      <w:r w:rsidR="00360B45">
        <w:rPr>
          <w:rFonts w:ascii="Arial" w:hAnsi="Arial" w:cs="Arial"/>
          <w:sz w:val="22"/>
          <w:szCs w:val="22"/>
        </w:rPr>
        <w:t xml:space="preserve"> </w:t>
      </w:r>
      <w:r w:rsidRPr="00752655">
        <w:rPr>
          <w:rFonts w:ascii="Arial" w:hAnsi="Arial" w:cs="Arial"/>
          <w:sz w:val="22"/>
          <w:szCs w:val="22"/>
        </w:rPr>
        <w:t>making. Managers should encourage collaboration, recognise employee achievements and create psychologically safe environments where individuals feel comfortable expressing ideas or concerns. A positive organisational culture supports employee engagement, innovation and retention, whereas inconsistent management practices can undermine trust and reduce employee commitment. This demonstrates that organisational culture is shaped not only by company policies but also by the behaviour of individual leaders</w:t>
      </w:r>
      <w:r w:rsidR="008707FC" w:rsidRPr="008707FC">
        <w:t xml:space="preserve"> </w:t>
      </w:r>
      <w:r w:rsidR="008707FC" w:rsidRPr="008707FC">
        <w:rPr>
          <w:rFonts w:ascii="Arial" w:hAnsi="Arial" w:cs="Arial"/>
          <w:sz w:val="22"/>
          <w:szCs w:val="22"/>
        </w:rPr>
        <w:t>(Johnson et al., 2020).</w:t>
      </w:r>
    </w:p>
    <w:p w14:paraId="7BCAA621" w14:textId="4E7CE9A9" w:rsidR="00486293" w:rsidRPr="00B03B04" w:rsidRDefault="00486293" w:rsidP="00B03B04">
      <w:pPr>
        <w:rPr>
          <w:rFonts w:ascii="Arial" w:hAnsi="Arial" w:cs="Arial"/>
          <w:sz w:val="22"/>
          <w:szCs w:val="22"/>
        </w:rPr>
      </w:pPr>
      <w:r w:rsidRPr="00752655">
        <w:rPr>
          <w:rFonts w:ascii="Arial" w:hAnsi="Arial" w:cs="Arial"/>
          <w:sz w:val="22"/>
          <w:szCs w:val="22"/>
        </w:rPr>
        <w:t>Despite the benefits of contemporary HR practices, several barriers may prevent successful implementation. Employees may resist technological change due to concerns about job security or a lack of digital skills, while limited financial resources and heavy workloads may reduce managers' capacity to introduce new initiatives effectively. In addition, unconscious bias and inconsistent leadership behaviours may limit the effectiveness of Diversity, Equity and Inclusion programmes. To overcome these challenges, M&amp;S should provide comprehensive management training, invest in continuous employee development and maintain open communication throughout periods of organisational change. Senior leadership should also provide sufficient resources and visible support to reinforce the importance of HR initiatives.</w:t>
      </w:r>
    </w:p>
    <w:p w14:paraId="2CEB8686" w14:textId="2B5B0E62" w:rsidR="00486293" w:rsidRPr="00FC6B6F" w:rsidRDefault="00486293" w:rsidP="00FC6B6F">
      <w:pPr>
        <w:rPr>
          <w:rFonts w:ascii="Arial" w:hAnsi="Arial" w:cs="Arial"/>
          <w:sz w:val="22"/>
          <w:szCs w:val="22"/>
        </w:rPr>
      </w:pPr>
      <w:r w:rsidRPr="00752655">
        <w:rPr>
          <w:rFonts w:ascii="Arial" w:hAnsi="Arial" w:cs="Arial"/>
          <w:sz w:val="22"/>
          <w:szCs w:val="22"/>
        </w:rPr>
        <w:t>Overall, departmental managers play a decisive role in ensuring that contemporary HR practices are implemented effectively and without unnecessary delay. Strong leadership accountability, clear communication, effective performance monitoring and a positive organisational culture enable M&amp;S to overcome implementation challenges and achieve its strategic HR objectives. By taking an active leadership role, managers can improve employee engagement, strengthen organisational performance and support the company's long-term sustainability</w:t>
      </w:r>
      <w:r w:rsidR="002A5B12" w:rsidRPr="002A5B12">
        <w:t xml:space="preserve"> </w:t>
      </w:r>
      <w:r w:rsidR="002A5B12" w:rsidRPr="002A5B12">
        <w:rPr>
          <w:rFonts w:ascii="Arial" w:hAnsi="Arial" w:cs="Arial"/>
          <w:sz w:val="22"/>
          <w:szCs w:val="22"/>
        </w:rPr>
        <w:t>(Freeman, 1984).</w:t>
      </w:r>
    </w:p>
    <w:p w14:paraId="4BB36D28" w14:textId="29206A7D" w:rsidR="002A4563" w:rsidRPr="00FC6B6F" w:rsidRDefault="0003295E" w:rsidP="00FC6B6F">
      <w:pPr>
        <w:pStyle w:val="Heading1"/>
        <w:numPr>
          <w:ilvl w:val="0"/>
          <w:numId w:val="6"/>
        </w:numPr>
      </w:pPr>
      <w:bookmarkStart w:id="4" w:name="_Toc237152819"/>
      <w:r w:rsidRPr="0077021D">
        <w:t>Conclusion, recommendation</w:t>
      </w:r>
      <w:r w:rsidR="00482C56" w:rsidRPr="0077021D">
        <w:t>s</w:t>
      </w:r>
      <w:r w:rsidR="002A4563" w:rsidRPr="00516B8D">
        <w:t>.</w:t>
      </w:r>
      <w:bookmarkEnd w:id="4"/>
    </w:p>
    <w:p w14:paraId="78C46B04" w14:textId="63285352" w:rsidR="002A4563" w:rsidRPr="00FC556B" w:rsidRDefault="002A4563" w:rsidP="00FC556B">
      <w:pPr>
        <w:rPr>
          <w:rFonts w:ascii="Arial" w:hAnsi="Arial" w:cs="Arial"/>
          <w:b/>
          <w:bCs/>
          <w:sz w:val="22"/>
          <w:szCs w:val="22"/>
        </w:rPr>
      </w:pPr>
      <w:r w:rsidRPr="00B03B04">
        <w:rPr>
          <w:rFonts w:ascii="Arial" w:hAnsi="Arial" w:cs="Arial"/>
          <w:b/>
          <w:bCs/>
          <w:sz w:val="22"/>
          <w:szCs w:val="22"/>
        </w:rPr>
        <w:t>Conclusion</w:t>
      </w:r>
    </w:p>
    <w:p w14:paraId="1B7CD3F4" w14:textId="74FD4B50" w:rsidR="002A4563" w:rsidRPr="00FC556B" w:rsidRDefault="002A4563" w:rsidP="00FC556B">
      <w:pPr>
        <w:rPr>
          <w:rFonts w:ascii="Arial" w:hAnsi="Arial" w:cs="Arial"/>
          <w:sz w:val="22"/>
          <w:szCs w:val="22"/>
        </w:rPr>
      </w:pPr>
      <w:r w:rsidRPr="00752655">
        <w:rPr>
          <w:rFonts w:ascii="Arial" w:hAnsi="Arial" w:cs="Arial"/>
          <w:sz w:val="22"/>
          <w:szCs w:val="22"/>
        </w:rPr>
        <w:t>The analysis demonstrates that adapting to technological change, attracting and retaining skilled employees, and creating an inclusive workplace are critical priorities for M&amp;S. Contemporary HR practices, including digital HR systems, workforce analytics, strategic workforce planning, employee engagement initiatives and DEI policies, provide effective ways of addressing these challenges. However, their success depends on consistent implementation, strong leadership and continuous evaluation. Departmental managers play a vital role by communicating organisational change, monitoring employee performance, supporting inclusive behaviours and ensuring HR policies are applied consistently. While challenges such as employee resistance to change, high staff turnover and unconscious bias remain, these barriers can be reduced through effective leadership, employee development and ongoing organisational commitment.</w:t>
      </w:r>
    </w:p>
    <w:p w14:paraId="78D72D0A" w14:textId="0664FC45" w:rsidR="002A4563" w:rsidRPr="00FC556B" w:rsidRDefault="002A4563" w:rsidP="00FC556B">
      <w:pPr>
        <w:rPr>
          <w:rFonts w:ascii="Arial" w:hAnsi="Arial" w:cs="Arial"/>
          <w:b/>
          <w:bCs/>
          <w:sz w:val="22"/>
          <w:szCs w:val="22"/>
        </w:rPr>
      </w:pPr>
      <w:r w:rsidRPr="00B03B04">
        <w:rPr>
          <w:rFonts w:ascii="Arial" w:hAnsi="Arial" w:cs="Arial"/>
          <w:b/>
          <w:bCs/>
          <w:sz w:val="22"/>
          <w:szCs w:val="22"/>
        </w:rPr>
        <w:t>Recommendations</w:t>
      </w:r>
    </w:p>
    <w:p w14:paraId="6279E953" w14:textId="51252798" w:rsidR="002A4563" w:rsidRPr="006955F1" w:rsidRDefault="002A4563" w:rsidP="006955F1">
      <w:pPr>
        <w:rPr>
          <w:rFonts w:ascii="Arial" w:hAnsi="Arial" w:cs="Arial"/>
          <w:sz w:val="22"/>
          <w:szCs w:val="22"/>
        </w:rPr>
      </w:pPr>
      <w:r w:rsidRPr="00752655">
        <w:rPr>
          <w:rFonts w:ascii="Arial" w:hAnsi="Arial" w:cs="Arial"/>
          <w:sz w:val="22"/>
          <w:szCs w:val="22"/>
        </w:rPr>
        <w:t xml:space="preserve">Based on the findings of this report, </w:t>
      </w:r>
      <w:r w:rsidR="002E2D48">
        <w:rPr>
          <w:rFonts w:ascii="Arial" w:hAnsi="Arial" w:cs="Arial"/>
          <w:sz w:val="22"/>
          <w:szCs w:val="22"/>
        </w:rPr>
        <w:t xml:space="preserve">I would propose </w:t>
      </w:r>
      <w:r w:rsidRPr="00752655">
        <w:rPr>
          <w:rFonts w:ascii="Arial" w:hAnsi="Arial" w:cs="Arial"/>
          <w:sz w:val="22"/>
          <w:szCs w:val="22"/>
        </w:rPr>
        <w:t>the following recommendations:</w:t>
      </w:r>
    </w:p>
    <w:p w14:paraId="79F8F3C9" w14:textId="3A7007BA" w:rsidR="002A4563" w:rsidRPr="002A4563" w:rsidRDefault="002A4563" w:rsidP="002A4563">
      <w:pPr>
        <w:pStyle w:val="ListParagraph"/>
        <w:numPr>
          <w:ilvl w:val="0"/>
          <w:numId w:val="3"/>
        </w:numPr>
        <w:rPr>
          <w:rFonts w:ascii="Arial" w:hAnsi="Arial" w:cs="Arial"/>
          <w:sz w:val="22"/>
          <w:szCs w:val="22"/>
        </w:rPr>
      </w:pPr>
      <w:r w:rsidRPr="002A4563">
        <w:rPr>
          <w:rFonts w:ascii="Arial" w:hAnsi="Arial" w:cs="Arial"/>
          <w:sz w:val="22"/>
          <w:szCs w:val="22"/>
        </w:rPr>
        <w:lastRenderedPageBreak/>
        <w:t>Continue investing in digital HR technologies while providing regular training to improve employees' digital skills and confidence.</w:t>
      </w:r>
    </w:p>
    <w:p w14:paraId="5EAD4FAB" w14:textId="52D3FEF8" w:rsidR="002A4563" w:rsidRPr="002A4563" w:rsidRDefault="002A4563" w:rsidP="002A4563">
      <w:pPr>
        <w:pStyle w:val="ListParagraph"/>
        <w:numPr>
          <w:ilvl w:val="0"/>
          <w:numId w:val="3"/>
        </w:numPr>
        <w:rPr>
          <w:rFonts w:ascii="Arial" w:hAnsi="Arial" w:cs="Arial"/>
          <w:sz w:val="22"/>
          <w:szCs w:val="22"/>
        </w:rPr>
      </w:pPr>
      <w:r w:rsidRPr="002A4563">
        <w:rPr>
          <w:rFonts w:ascii="Arial" w:hAnsi="Arial" w:cs="Arial"/>
          <w:sz w:val="22"/>
          <w:szCs w:val="22"/>
        </w:rPr>
        <w:t>Strengthen employee retention</w:t>
      </w:r>
      <w:r w:rsidR="00366F42">
        <w:rPr>
          <w:rFonts w:ascii="Arial" w:hAnsi="Arial" w:cs="Arial"/>
          <w:sz w:val="22"/>
          <w:szCs w:val="22"/>
        </w:rPr>
        <w:t>/loyalty</w:t>
      </w:r>
      <w:r w:rsidRPr="002A4563">
        <w:rPr>
          <w:rFonts w:ascii="Arial" w:hAnsi="Arial" w:cs="Arial"/>
          <w:sz w:val="22"/>
          <w:szCs w:val="22"/>
        </w:rPr>
        <w:t xml:space="preserve"> by expanding career development opportunities, mentoring programmes and flexible working arrangements.</w:t>
      </w:r>
    </w:p>
    <w:p w14:paraId="39D63175" w14:textId="3BAE2FEB" w:rsidR="002A4563" w:rsidRPr="002A4563" w:rsidRDefault="002A4563" w:rsidP="002A4563">
      <w:pPr>
        <w:pStyle w:val="ListParagraph"/>
        <w:numPr>
          <w:ilvl w:val="0"/>
          <w:numId w:val="3"/>
        </w:numPr>
        <w:rPr>
          <w:rFonts w:ascii="Arial" w:hAnsi="Arial" w:cs="Arial"/>
          <w:sz w:val="22"/>
          <w:szCs w:val="22"/>
        </w:rPr>
      </w:pPr>
      <w:r w:rsidRPr="002A4563">
        <w:rPr>
          <w:rFonts w:ascii="Arial" w:hAnsi="Arial" w:cs="Arial"/>
          <w:sz w:val="22"/>
          <w:szCs w:val="22"/>
        </w:rPr>
        <w:t>Increase the use of workforce analytics to identify trends in recruitment, employee engagement and staff turnover, enabling earlier intervention.</w:t>
      </w:r>
    </w:p>
    <w:p w14:paraId="69342347" w14:textId="24712689" w:rsidR="002A4563" w:rsidRPr="002A4563" w:rsidRDefault="002A4563" w:rsidP="002A4563">
      <w:pPr>
        <w:pStyle w:val="ListParagraph"/>
        <w:numPr>
          <w:ilvl w:val="0"/>
          <w:numId w:val="3"/>
        </w:numPr>
        <w:rPr>
          <w:rFonts w:ascii="Arial" w:hAnsi="Arial" w:cs="Arial"/>
          <w:sz w:val="22"/>
          <w:szCs w:val="22"/>
        </w:rPr>
      </w:pPr>
      <w:r w:rsidRPr="002A4563">
        <w:rPr>
          <w:rFonts w:ascii="Arial" w:hAnsi="Arial" w:cs="Arial"/>
          <w:sz w:val="22"/>
          <w:szCs w:val="22"/>
        </w:rPr>
        <w:t>Provide mandatory leadership and DEI training for all departmental managers to encourage inclusive decision-making and reduce unconscious bias.</w:t>
      </w:r>
    </w:p>
    <w:p w14:paraId="103A4977" w14:textId="6C3BE31E" w:rsidR="002A4563" w:rsidRPr="002A4563" w:rsidRDefault="002A4563" w:rsidP="002A4563">
      <w:pPr>
        <w:pStyle w:val="ListParagraph"/>
        <w:numPr>
          <w:ilvl w:val="0"/>
          <w:numId w:val="3"/>
        </w:numPr>
        <w:rPr>
          <w:rFonts w:ascii="Arial" w:hAnsi="Arial" w:cs="Arial"/>
          <w:sz w:val="22"/>
          <w:szCs w:val="22"/>
        </w:rPr>
      </w:pPr>
      <w:r w:rsidRPr="002A4563">
        <w:rPr>
          <w:rFonts w:ascii="Arial" w:hAnsi="Arial" w:cs="Arial"/>
          <w:sz w:val="22"/>
          <w:szCs w:val="22"/>
        </w:rPr>
        <w:t xml:space="preserve">Introduce regular employee feedback surveys and action plans to ensure staff concerns are addressed </w:t>
      </w:r>
      <w:r w:rsidR="00E4010F" w:rsidRPr="002A4563">
        <w:rPr>
          <w:rFonts w:ascii="Arial" w:hAnsi="Arial" w:cs="Arial"/>
          <w:sz w:val="22"/>
          <w:szCs w:val="22"/>
        </w:rPr>
        <w:t>promptly,</w:t>
      </w:r>
      <w:r w:rsidRPr="002A4563">
        <w:rPr>
          <w:rFonts w:ascii="Arial" w:hAnsi="Arial" w:cs="Arial"/>
          <w:sz w:val="22"/>
          <w:szCs w:val="22"/>
        </w:rPr>
        <w:t xml:space="preserve"> and organisational improvements are continuously monitored.</w:t>
      </w:r>
    </w:p>
    <w:p w14:paraId="69ADB7D1" w14:textId="6736ABE1" w:rsidR="00486293" w:rsidRDefault="002A4563" w:rsidP="002A4563">
      <w:pPr>
        <w:pStyle w:val="ListParagraph"/>
        <w:numPr>
          <w:ilvl w:val="0"/>
          <w:numId w:val="3"/>
        </w:numPr>
        <w:rPr>
          <w:rFonts w:ascii="Arial" w:hAnsi="Arial" w:cs="Arial"/>
          <w:sz w:val="22"/>
          <w:szCs w:val="22"/>
        </w:rPr>
      </w:pPr>
      <w:r w:rsidRPr="002A4563">
        <w:rPr>
          <w:rFonts w:ascii="Arial" w:hAnsi="Arial" w:cs="Arial"/>
          <w:sz w:val="22"/>
          <w:szCs w:val="22"/>
        </w:rPr>
        <w:t>Review HR strategies annually to ensure they remain aligned with changing workforce expectations, technological developments and M&amp;S's long-term business objectives.</w:t>
      </w:r>
    </w:p>
    <w:p w14:paraId="7FB58E13" w14:textId="77777777" w:rsidR="00FB67F8" w:rsidRDefault="00FB67F8" w:rsidP="00441D4D">
      <w:pPr>
        <w:ind w:left="720"/>
        <w:rPr>
          <w:rFonts w:ascii="Arial" w:hAnsi="Arial" w:cs="Arial"/>
          <w:b/>
          <w:bCs/>
          <w:sz w:val="22"/>
          <w:szCs w:val="22"/>
        </w:rPr>
      </w:pPr>
    </w:p>
    <w:p w14:paraId="5D7E0BDE" w14:textId="27C8E898" w:rsidR="00441D4D" w:rsidRPr="00861BDF" w:rsidRDefault="00441D4D" w:rsidP="00757EFD">
      <w:pPr>
        <w:pStyle w:val="Heading1"/>
        <w:numPr>
          <w:ilvl w:val="0"/>
          <w:numId w:val="6"/>
        </w:numPr>
      </w:pPr>
      <w:bookmarkStart w:id="5" w:name="_Toc237152820"/>
      <w:r w:rsidRPr="00861BDF">
        <w:t>References</w:t>
      </w:r>
      <w:bookmarkEnd w:id="5"/>
    </w:p>
    <w:p w14:paraId="0C84E3E3" w14:textId="54D45911" w:rsidR="00FB67F8" w:rsidRDefault="00FB67F8" w:rsidP="00441D4D">
      <w:pPr>
        <w:ind w:left="720"/>
        <w:rPr>
          <w:rFonts w:ascii="Arial" w:hAnsi="Arial" w:cs="Arial"/>
          <w:sz w:val="22"/>
          <w:szCs w:val="22"/>
        </w:rPr>
      </w:pPr>
      <w:r w:rsidRPr="00FB67F8">
        <w:rPr>
          <w:rFonts w:ascii="Arial" w:hAnsi="Arial" w:cs="Arial"/>
          <w:sz w:val="22"/>
          <w:szCs w:val="22"/>
        </w:rPr>
        <w:t xml:space="preserve">Marks and Spencer Group plc (2026) </w:t>
      </w:r>
      <w:r w:rsidRPr="00467FC7">
        <w:rPr>
          <w:rFonts w:ascii="Arial" w:hAnsi="Arial" w:cs="Arial"/>
          <w:i/>
          <w:iCs/>
          <w:sz w:val="22"/>
          <w:szCs w:val="22"/>
        </w:rPr>
        <w:t>M&amp;S Annual Report 2026</w:t>
      </w:r>
      <w:r w:rsidRPr="00FB67F8">
        <w:rPr>
          <w:rFonts w:ascii="Arial" w:hAnsi="Arial" w:cs="Arial"/>
          <w:sz w:val="22"/>
          <w:szCs w:val="22"/>
        </w:rPr>
        <w:t xml:space="preserve">. Available at: </w:t>
      </w:r>
      <w:hyperlink r:id="rId9" w:history="1">
        <w:r w:rsidR="00433B76" w:rsidRPr="00433B76">
          <w:rPr>
            <w:rStyle w:val="Hyperlink"/>
            <w:rFonts w:ascii="Arial" w:hAnsi="Arial" w:cs="Arial"/>
            <w:sz w:val="22"/>
            <w:szCs w:val="22"/>
          </w:rPr>
          <w:t>https://corporate.marksandspencer.com/investors/our-performance-updates/2026-annual-report</w:t>
        </w:r>
      </w:hyperlink>
      <w:r w:rsidR="00433B76">
        <w:rPr>
          <w:rFonts w:ascii="Arial" w:hAnsi="Arial" w:cs="Arial"/>
          <w:sz w:val="22"/>
          <w:szCs w:val="22"/>
        </w:rPr>
        <w:t xml:space="preserve"> </w:t>
      </w:r>
      <w:r w:rsidRPr="00FB67F8">
        <w:rPr>
          <w:rFonts w:ascii="Arial" w:hAnsi="Arial" w:cs="Arial"/>
          <w:sz w:val="22"/>
          <w:szCs w:val="22"/>
        </w:rPr>
        <w:t>(Accessed 1st August 2026)</w:t>
      </w:r>
    </w:p>
    <w:p w14:paraId="72EB82C0" w14:textId="4FE38A50" w:rsidR="0016492D" w:rsidRDefault="00DC7AFE" w:rsidP="00441D4D">
      <w:pPr>
        <w:ind w:left="720"/>
        <w:rPr>
          <w:rFonts w:ascii="Arial" w:hAnsi="Arial" w:cs="Arial"/>
          <w:sz w:val="22"/>
          <w:szCs w:val="22"/>
        </w:rPr>
      </w:pPr>
      <w:r w:rsidRPr="00DC7AFE">
        <w:rPr>
          <w:rFonts w:ascii="Arial" w:hAnsi="Arial" w:cs="Arial"/>
          <w:sz w:val="22"/>
          <w:szCs w:val="22"/>
        </w:rPr>
        <w:t xml:space="preserve">Armstrong, M. and Taylor, S. (2023) </w:t>
      </w:r>
      <w:r w:rsidRPr="00DC7AFE">
        <w:rPr>
          <w:rFonts w:ascii="Arial" w:hAnsi="Arial" w:cs="Arial"/>
          <w:i/>
          <w:iCs/>
          <w:sz w:val="22"/>
          <w:szCs w:val="22"/>
        </w:rPr>
        <w:t>Armstrong's Handbook of Human Resource Management Practice.</w:t>
      </w:r>
      <w:r w:rsidRPr="00DC7AFE">
        <w:rPr>
          <w:rFonts w:ascii="Arial" w:hAnsi="Arial" w:cs="Arial"/>
          <w:sz w:val="22"/>
          <w:szCs w:val="22"/>
        </w:rPr>
        <w:t xml:space="preserve"> 16th </w:t>
      </w:r>
      <w:proofErr w:type="spellStart"/>
      <w:r w:rsidRPr="00DC7AFE">
        <w:rPr>
          <w:rFonts w:ascii="Arial" w:hAnsi="Arial" w:cs="Arial"/>
          <w:sz w:val="22"/>
          <w:szCs w:val="22"/>
        </w:rPr>
        <w:t>edn</w:t>
      </w:r>
      <w:proofErr w:type="spellEnd"/>
      <w:r w:rsidRPr="00DC7AFE">
        <w:rPr>
          <w:rFonts w:ascii="Arial" w:hAnsi="Arial" w:cs="Arial"/>
          <w:sz w:val="22"/>
          <w:szCs w:val="22"/>
        </w:rPr>
        <w:t>. London: Kogan Page.</w:t>
      </w:r>
    </w:p>
    <w:p w14:paraId="1662D9F9" w14:textId="363D99C7" w:rsidR="0002446D" w:rsidRDefault="00106270" w:rsidP="00441D4D">
      <w:pPr>
        <w:ind w:left="720"/>
        <w:rPr>
          <w:rFonts w:ascii="Arial" w:hAnsi="Arial" w:cs="Arial"/>
          <w:sz w:val="22"/>
          <w:szCs w:val="22"/>
        </w:rPr>
      </w:pPr>
      <w:r w:rsidRPr="00106270">
        <w:rPr>
          <w:rFonts w:ascii="Arial" w:hAnsi="Arial" w:cs="Arial"/>
          <w:sz w:val="22"/>
          <w:szCs w:val="22"/>
        </w:rPr>
        <w:t xml:space="preserve">Bourne, L. (2015) </w:t>
      </w:r>
      <w:r w:rsidRPr="00106270">
        <w:rPr>
          <w:rFonts w:ascii="Arial" w:hAnsi="Arial" w:cs="Arial"/>
          <w:i/>
          <w:iCs/>
          <w:sz w:val="22"/>
          <w:szCs w:val="22"/>
        </w:rPr>
        <w:t>Stakeholder Relationship Management</w:t>
      </w:r>
      <w:r w:rsidRPr="00106270">
        <w:rPr>
          <w:rFonts w:ascii="Arial" w:hAnsi="Arial" w:cs="Arial"/>
          <w:sz w:val="22"/>
          <w:szCs w:val="22"/>
        </w:rPr>
        <w:t>. London: Routledge.</w:t>
      </w:r>
    </w:p>
    <w:p w14:paraId="6129B470" w14:textId="510C7941" w:rsidR="00360B01" w:rsidRDefault="00360B01" w:rsidP="00441D4D">
      <w:pPr>
        <w:ind w:left="720"/>
        <w:rPr>
          <w:rFonts w:ascii="Arial" w:hAnsi="Arial" w:cs="Arial"/>
          <w:sz w:val="22"/>
          <w:szCs w:val="22"/>
        </w:rPr>
      </w:pPr>
      <w:r w:rsidRPr="00360B01">
        <w:rPr>
          <w:rFonts w:ascii="Arial" w:hAnsi="Arial" w:cs="Arial"/>
          <w:sz w:val="22"/>
          <w:szCs w:val="22"/>
        </w:rPr>
        <w:t xml:space="preserve">Kotter, J.P. (1996) </w:t>
      </w:r>
      <w:r w:rsidRPr="00360B01">
        <w:rPr>
          <w:rFonts w:ascii="Arial" w:hAnsi="Arial" w:cs="Arial"/>
          <w:i/>
          <w:iCs/>
          <w:sz w:val="22"/>
          <w:szCs w:val="22"/>
        </w:rPr>
        <w:t>Leading Change.</w:t>
      </w:r>
      <w:r w:rsidRPr="00360B01">
        <w:rPr>
          <w:rFonts w:ascii="Arial" w:hAnsi="Arial" w:cs="Arial"/>
          <w:sz w:val="22"/>
          <w:szCs w:val="22"/>
        </w:rPr>
        <w:t xml:space="preserve"> Boston: Harvard Business School Press.</w:t>
      </w:r>
    </w:p>
    <w:p w14:paraId="493FA27B" w14:textId="5591BA57" w:rsidR="0084158B" w:rsidRDefault="0084158B" w:rsidP="00441D4D">
      <w:pPr>
        <w:ind w:left="720"/>
        <w:rPr>
          <w:rFonts w:ascii="Arial" w:hAnsi="Arial" w:cs="Arial"/>
          <w:sz w:val="22"/>
          <w:szCs w:val="22"/>
        </w:rPr>
      </w:pPr>
      <w:r w:rsidRPr="0084158B">
        <w:rPr>
          <w:rFonts w:ascii="Arial" w:hAnsi="Arial" w:cs="Arial"/>
          <w:sz w:val="22"/>
          <w:szCs w:val="22"/>
        </w:rPr>
        <w:t xml:space="preserve">Project Management Institute (2021) </w:t>
      </w:r>
      <w:r w:rsidRPr="0084158B">
        <w:rPr>
          <w:rFonts w:ascii="Arial" w:hAnsi="Arial" w:cs="Arial"/>
          <w:i/>
          <w:iCs/>
          <w:sz w:val="22"/>
          <w:szCs w:val="22"/>
        </w:rPr>
        <w:t>A Guide to the Project Management Body of Knowledge</w:t>
      </w:r>
      <w:r w:rsidRPr="0084158B">
        <w:rPr>
          <w:rFonts w:ascii="Arial" w:hAnsi="Arial" w:cs="Arial"/>
          <w:sz w:val="22"/>
          <w:szCs w:val="22"/>
        </w:rPr>
        <w:t xml:space="preserve"> (PMBOK® Guide). 7th </w:t>
      </w:r>
      <w:proofErr w:type="spellStart"/>
      <w:r w:rsidRPr="0084158B">
        <w:rPr>
          <w:rFonts w:ascii="Arial" w:hAnsi="Arial" w:cs="Arial"/>
          <w:sz w:val="22"/>
          <w:szCs w:val="22"/>
        </w:rPr>
        <w:t>edn</w:t>
      </w:r>
      <w:proofErr w:type="spellEnd"/>
      <w:r w:rsidRPr="0084158B">
        <w:rPr>
          <w:rFonts w:ascii="Arial" w:hAnsi="Arial" w:cs="Arial"/>
          <w:sz w:val="22"/>
          <w:szCs w:val="22"/>
        </w:rPr>
        <w:t>. Newtown Square, PA: PMI.</w:t>
      </w:r>
    </w:p>
    <w:p w14:paraId="46E5FC05" w14:textId="34B28F79" w:rsidR="00B24FD7" w:rsidRDefault="00B24FD7" w:rsidP="00441D4D">
      <w:pPr>
        <w:ind w:left="720"/>
        <w:rPr>
          <w:rFonts w:ascii="Arial" w:hAnsi="Arial" w:cs="Arial"/>
          <w:sz w:val="22"/>
          <w:szCs w:val="22"/>
        </w:rPr>
      </w:pPr>
      <w:r w:rsidRPr="00B24FD7">
        <w:rPr>
          <w:rFonts w:ascii="Arial" w:hAnsi="Arial" w:cs="Arial"/>
          <w:sz w:val="22"/>
          <w:szCs w:val="22"/>
        </w:rPr>
        <w:t xml:space="preserve">Freeman, R.E. (1984) </w:t>
      </w:r>
      <w:r w:rsidRPr="00B24FD7">
        <w:rPr>
          <w:rFonts w:ascii="Arial" w:hAnsi="Arial" w:cs="Arial"/>
          <w:i/>
          <w:iCs/>
          <w:sz w:val="22"/>
          <w:szCs w:val="22"/>
        </w:rPr>
        <w:t>Strategic Management: A Stakeholder Approach</w:t>
      </w:r>
      <w:r w:rsidRPr="00B24FD7">
        <w:rPr>
          <w:rFonts w:ascii="Arial" w:hAnsi="Arial" w:cs="Arial"/>
          <w:sz w:val="22"/>
          <w:szCs w:val="22"/>
        </w:rPr>
        <w:t>. Boston: Pitman.</w:t>
      </w:r>
    </w:p>
    <w:p w14:paraId="51FA5FFD" w14:textId="571E203E" w:rsidR="00480338" w:rsidRDefault="00480338" w:rsidP="00441D4D">
      <w:pPr>
        <w:ind w:left="720"/>
        <w:rPr>
          <w:rFonts w:ascii="Arial" w:hAnsi="Arial" w:cs="Arial"/>
          <w:sz w:val="22"/>
          <w:szCs w:val="22"/>
        </w:rPr>
      </w:pPr>
      <w:r w:rsidRPr="00480338">
        <w:rPr>
          <w:rFonts w:ascii="Arial" w:hAnsi="Arial" w:cs="Arial"/>
          <w:sz w:val="22"/>
          <w:szCs w:val="22"/>
        </w:rPr>
        <w:t xml:space="preserve">Johnson, G., Scholes, K., Whittington, R. and Angwin, D. (2020) </w:t>
      </w:r>
      <w:r w:rsidRPr="00480338">
        <w:rPr>
          <w:rFonts w:ascii="Arial" w:hAnsi="Arial" w:cs="Arial"/>
          <w:i/>
          <w:iCs/>
          <w:sz w:val="22"/>
          <w:szCs w:val="22"/>
        </w:rPr>
        <w:t>Exploring Strategy</w:t>
      </w:r>
      <w:r w:rsidRPr="00480338">
        <w:rPr>
          <w:rFonts w:ascii="Arial" w:hAnsi="Arial" w:cs="Arial"/>
          <w:sz w:val="22"/>
          <w:szCs w:val="22"/>
        </w:rPr>
        <w:t xml:space="preserve">. 12th </w:t>
      </w:r>
      <w:proofErr w:type="spellStart"/>
      <w:r w:rsidRPr="00480338">
        <w:rPr>
          <w:rFonts w:ascii="Arial" w:hAnsi="Arial" w:cs="Arial"/>
          <w:sz w:val="22"/>
          <w:szCs w:val="22"/>
        </w:rPr>
        <w:t>edn</w:t>
      </w:r>
      <w:proofErr w:type="spellEnd"/>
      <w:r w:rsidRPr="00480338">
        <w:rPr>
          <w:rFonts w:ascii="Arial" w:hAnsi="Arial" w:cs="Arial"/>
          <w:sz w:val="22"/>
          <w:szCs w:val="22"/>
        </w:rPr>
        <w:t>. Harlow: Pearson.</w:t>
      </w:r>
    </w:p>
    <w:p w14:paraId="0CFA6E06" w14:textId="5CFD801B" w:rsidR="00ED777D" w:rsidRPr="00FB67F8" w:rsidRDefault="00ED777D" w:rsidP="00441D4D">
      <w:pPr>
        <w:ind w:left="720"/>
        <w:rPr>
          <w:rFonts w:ascii="Arial" w:hAnsi="Arial" w:cs="Arial"/>
          <w:sz w:val="22"/>
          <w:szCs w:val="22"/>
        </w:rPr>
      </w:pPr>
      <w:r w:rsidRPr="00ED777D">
        <w:rPr>
          <w:rFonts w:ascii="Arial" w:hAnsi="Arial" w:cs="Arial"/>
          <w:sz w:val="22"/>
          <w:szCs w:val="22"/>
        </w:rPr>
        <w:t>Shore, L.M., Randel, A.E., Chung, B.G., Dean, M.A., Ehrhart, K.H. and Singh, G. (2011) ‘</w:t>
      </w:r>
      <w:r w:rsidRPr="00ED777D">
        <w:rPr>
          <w:rFonts w:ascii="Arial" w:hAnsi="Arial" w:cs="Arial"/>
          <w:i/>
          <w:iCs/>
          <w:sz w:val="22"/>
          <w:szCs w:val="22"/>
        </w:rPr>
        <w:t>Inclusion and diversity in work groups: A review and model for future research</w:t>
      </w:r>
      <w:r w:rsidRPr="00ED777D">
        <w:rPr>
          <w:rFonts w:ascii="Arial" w:hAnsi="Arial" w:cs="Arial"/>
          <w:sz w:val="22"/>
          <w:szCs w:val="22"/>
        </w:rPr>
        <w:t>’, Journal of Management, 37(4), pp. 1262–1289.</w:t>
      </w:r>
    </w:p>
    <w:sectPr w:rsidR="00ED777D" w:rsidRPr="00FB67F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0FB83" w14:textId="77777777" w:rsidR="0040003F" w:rsidRDefault="0040003F" w:rsidP="008F5158">
      <w:pPr>
        <w:spacing w:after="0" w:line="240" w:lineRule="auto"/>
      </w:pPr>
      <w:r>
        <w:separator/>
      </w:r>
    </w:p>
  </w:endnote>
  <w:endnote w:type="continuationSeparator" w:id="0">
    <w:p w14:paraId="13C0B9B7" w14:textId="77777777" w:rsidR="0040003F" w:rsidRDefault="0040003F" w:rsidP="008F5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1369667"/>
      <w:docPartObj>
        <w:docPartGallery w:val="Page Numbers (Bottom of Page)"/>
        <w:docPartUnique/>
      </w:docPartObj>
    </w:sdtPr>
    <w:sdtEndPr>
      <w:rPr>
        <w:noProof/>
      </w:rPr>
    </w:sdtEndPr>
    <w:sdtContent>
      <w:p w14:paraId="1F95F0B8" w14:textId="219B5194" w:rsidR="008F5158" w:rsidRDefault="008F515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3B030A" w14:textId="77777777" w:rsidR="008F5158" w:rsidRDefault="008F51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FA00B" w14:textId="77777777" w:rsidR="0040003F" w:rsidRDefault="0040003F" w:rsidP="008F5158">
      <w:pPr>
        <w:spacing w:after="0" w:line="240" w:lineRule="auto"/>
      </w:pPr>
      <w:r>
        <w:separator/>
      </w:r>
    </w:p>
  </w:footnote>
  <w:footnote w:type="continuationSeparator" w:id="0">
    <w:p w14:paraId="6727F032" w14:textId="77777777" w:rsidR="0040003F" w:rsidRDefault="0040003F" w:rsidP="008F51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50D7C"/>
    <w:multiLevelType w:val="hybridMultilevel"/>
    <w:tmpl w:val="F2822B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716352"/>
    <w:multiLevelType w:val="hybridMultilevel"/>
    <w:tmpl w:val="B16048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2F740A"/>
    <w:multiLevelType w:val="hybridMultilevel"/>
    <w:tmpl w:val="E78098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EE5F33"/>
    <w:multiLevelType w:val="hybridMultilevel"/>
    <w:tmpl w:val="1548DF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1BC1848"/>
    <w:multiLevelType w:val="hybridMultilevel"/>
    <w:tmpl w:val="9468EEE8"/>
    <w:lvl w:ilvl="0" w:tplc="817E2D3A">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78966268"/>
    <w:multiLevelType w:val="hybridMultilevel"/>
    <w:tmpl w:val="10D28D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067795964">
    <w:abstractNumId w:val="2"/>
  </w:num>
  <w:num w:numId="2" w16cid:durableId="831678450">
    <w:abstractNumId w:val="5"/>
  </w:num>
  <w:num w:numId="3" w16cid:durableId="221791217">
    <w:abstractNumId w:val="4"/>
  </w:num>
  <w:num w:numId="4" w16cid:durableId="878788164">
    <w:abstractNumId w:val="0"/>
  </w:num>
  <w:num w:numId="5" w16cid:durableId="775948346">
    <w:abstractNumId w:val="1"/>
  </w:num>
  <w:num w:numId="6" w16cid:durableId="18499089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87D"/>
    <w:rsid w:val="00000326"/>
    <w:rsid w:val="0002446D"/>
    <w:rsid w:val="0003295E"/>
    <w:rsid w:val="000633CE"/>
    <w:rsid w:val="000A74C8"/>
    <w:rsid w:val="000F336B"/>
    <w:rsid w:val="000F41E5"/>
    <w:rsid w:val="00106270"/>
    <w:rsid w:val="00147508"/>
    <w:rsid w:val="0016492D"/>
    <w:rsid w:val="00165C7E"/>
    <w:rsid w:val="001A6A40"/>
    <w:rsid w:val="001B79AD"/>
    <w:rsid w:val="001E733C"/>
    <w:rsid w:val="00201765"/>
    <w:rsid w:val="002327F4"/>
    <w:rsid w:val="00246BB0"/>
    <w:rsid w:val="002A4563"/>
    <w:rsid w:val="002A5B12"/>
    <w:rsid w:val="002D44E2"/>
    <w:rsid w:val="002D5DAA"/>
    <w:rsid w:val="002E2D48"/>
    <w:rsid w:val="00320B79"/>
    <w:rsid w:val="00360B01"/>
    <w:rsid w:val="00360B45"/>
    <w:rsid w:val="00366F42"/>
    <w:rsid w:val="003E3973"/>
    <w:rsid w:val="0040003F"/>
    <w:rsid w:val="00402893"/>
    <w:rsid w:val="00410CD1"/>
    <w:rsid w:val="00433B76"/>
    <w:rsid w:val="00441D4D"/>
    <w:rsid w:val="00467FC7"/>
    <w:rsid w:val="00480338"/>
    <w:rsid w:val="00482C56"/>
    <w:rsid w:val="00486293"/>
    <w:rsid w:val="00487F4E"/>
    <w:rsid w:val="004A03D2"/>
    <w:rsid w:val="004D3797"/>
    <w:rsid w:val="004D76D5"/>
    <w:rsid w:val="004E18A1"/>
    <w:rsid w:val="004F7802"/>
    <w:rsid w:val="005009BF"/>
    <w:rsid w:val="00516B8D"/>
    <w:rsid w:val="00523DCD"/>
    <w:rsid w:val="00535EE0"/>
    <w:rsid w:val="00543B97"/>
    <w:rsid w:val="00565365"/>
    <w:rsid w:val="00573CE6"/>
    <w:rsid w:val="00593E04"/>
    <w:rsid w:val="005C4014"/>
    <w:rsid w:val="00606BCB"/>
    <w:rsid w:val="00630167"/>
    <w:rsid w:val="006548CB"/>
    <w:rsid w:val="00660E84"/>
    <w:rsid w:val="00671D66"/>
    <w:rsid w:val="006955F1"/>
    <w:rsid w:val="007278EC"/>
    <w:rsid w:val="00752655"/>
    <w:rsid w:val="00757EFD"/>
    <w:rsid w:val="0077021D"/>
    <w:rsid w:val="0078522C"/>
    <w:rsid w:val="007F50C2"/>
    <w:rsid w:val="00805EDD"/>
    <w:rsid w:val="0084158B"/>
    <w:rsid w:val="0085587D"/>
    <w:rsid w:val="00861BDF"/>
    <w:rsid w:val="008707FC"/>
    <w:rsid w:val="00877548"/>
    <w:rsid w:val="00880178"/>
    <w:rsid w:val="00886108"/>
    <w:rsid w:val="00895BC2"/>
    <w:rsid w:val="008C27F7"/>
    <w:rsid w:val="008D2143"/>
    <w:rsid w:val="008F4784"/>
    <w:rsid w:val="008F5158"/>
    <w:rsid w:val="00920244"/>
    <w:rsid w:val="00936978"/>
    <w:rsid w:val="009A78DD"/>
    <w:rsid w:val="00AD4D82"/>
    <w:rsid w:val="00AE314C"/>
    <w:rsid w:val="00AF7A4C"/>
    <w:rsid w:val="00B03B04"/>
    <w:rsid w:val="00B24FD7"/>
    <w:rsid w:val="00B377A4"/>
    <w:rsid w:val="00BC7A7C"/>
    <w:rsid w:val="00C13C6B"/>
    <w:rsid w:val="00C24D06"/>
    <w:rsid w:val="00C26D43"/>
    <w:rsid w:val="00C41E7A"/>
    <w:rsid w:val="00C574CC"/>
    <w:rsid w:val="00C84D78"/>
    <w:rsid w:val="00CA0D91"/>
    <w:rsid w:val="00CB23C3"/>
    <w:rsid w:val="00CE0C85"/>
    <w:rsid w:val="00D41C67"/>
    <w:rsid w:val="00D54B33"/>
    <w:rsid w:val="00D67A71"/>
    <w:rsid w:val="00DB0BF8"/>
    <w:rsid w:val="00DB5E51"/>
    <w:rsid w:val="00DC7AFE"/>
    <w:rsid w:val="00DE4637"/>
    <w:rsid w:val="00E01867"/>
    <w:rsid w:val="00E4010F"/>
    <w:rsid w:val="00E56105"/>
    <w:rsid w:val="00E910D3"/>
    <w:rsid w:val="00ED777D"/>
    <w:rsid w:val="00F6140E"/>
    <w:rsid w:val="00FA6BE8"/>
    <w:rsid w:val="00FA7820"/>
    <w:rsid w:val="00FB67F8"/>
    <w:rsid w:val="00FC556B"/>
    <w:rsid w:val="00FC6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206DB"/>
  <w15:chartTrackingRefBased/>
  <w15:docId w15:val="{9E2B41B2-99D3-46FB-AC33-DAC9352CB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03D2"/>
    <w:pPr>
      <w:keepNext/>
      <w:keepLines/>
      <w:spacing w:before="360" w:after="80"/>
      <w:outlineLvl w:val="0"/>
    </w:pPr>
    <w:rPr>
      <w:rFonts w:ascii="Arial" w:eastAsiaTheme="majorEastAsia" w:hAnsi="Arial" w:cstheme="majorBidi"/>
      <w:b/>
      <w:color w:val="0F4761" w:themeColor="accent1" w:themeShade="BF"/>
      <w:sz w:val="22"/>
      <w:szCs w:val="40"/>
    </w:rPr>
  </w:style>
  <w:style w:type="paragraph" w:styleId="Heading2">
    <w:name w:val="heading 2"/>
    <w:basedOn w:val="Normal"/>
    <w:next w:val="Normal"/>
    <w:link w:val="Heading2Char"/>
    <w:uiPriority w:val="9"/>
    <w:semiHidden/>
    <w:unhideWhenUsed/>
    <w:qFormat/>
    <w:rsid w:val="008558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58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58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58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58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58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58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58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03D2"/>
    <w:rPr>
      <w:rFonts w:ascii="Arial" w:eastAsiaTheme="majorEastAsia" w:hAnsi="Arial" w:cstheme="majorBidi"/>
      <w:b/>
      <w:color w:val="0F4761" w:themeColor="accent1" w:themeShade="BF"/>
      <w:sz w:val="22"/>
      <w:szCs w:val="40"/>
    </w:rPr>
  </w:style>
  <w:style w:type="character" w:customStyle="1" w:styleId="Heading2Char">
    <w:name w:val="Heading 2 Char"/>
    <w:basedOn w:val="DefaultParagraphFont"/>
    <w:link w:val="Heading2"/>
    <w:uiPriority w:val="9"/>
    <w:semiHidden/>
    <w:rsid w:val="008558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58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58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58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58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58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58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587D"/>
    <w:rPr>
      <w:rFonts w:eastAsiaTheme="majorEastAsia" w:cstheme="majorBidi"/>
      <w:color w:val="272727" w:themeColor="text1" w:themeTint="D8"/>
    </w:rPr>
  </w:style>
  <w:style w:type="paragraph" w:styleId="Title">
    <w:name w:val="Title"/>
    <w:basedOn w:val="Normal"/>
    <w:next w:val="Normal"/>
    <w:link w:val="TitleChar"/>
    <w:uiPriority w:val="10"/>
    <w:qFormat/>
    <w:rsid w:val="008558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58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58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58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587D"/>
    <w:pPr>
      <w:spacing w:before="160"/>
      <w:jc w:val="center"/>
    </w:pPr>
    <w:rPr>
      <w:i/>
      <w:iCs/>
      <w:color w:val="404040" w:themeColor="text1" w:themeTint="BF"/>
    </w:rPr>
  </w:style>
  <w:style w:type="character" w:customStyle="1" w:styleId="QuoteChar">
    <w:name w:val="Quote Char"/>
    <w:basedOn w:val="DefaultParagraphFont"/>
    <w:link w:val="Quote"/>
    <w:uiPriority w:val="29"/>
    <w:rsid w:val="0085587D"/>
    <w:rPr>
      <w:i/>
      <w:iCs/>
      <w:color w:val="404040" w:themeColor="text1" w:themeTint="BF"/>
    </w:rPr>
  </w:style>
  <w:style w:type="paragraph" w:styleId="ListParagraph">
    <w:name w:val="List Paragraph"/>
    <w:basedOn w:val="Normal"/>
    <w:uiPriority w:val="34"/>
    <w:qFormat/>
    <w:rsid w:val="0085587D"/>
    <w:pPr>
      <w:ind w:left="720"/>
      <w:contextualSpacing/>
    </w:pPr>
  </w:style>
  <w:style w:type="character" w:styleId="IntenseEmphasis">
    <w:name w:val="Intense Emphasis"/>
    <w:basedOn w:val="DefaultParagraphFont"/>
    <w:uiPriority w:val="21"/>
    <w:qFormat/>
    <w:rsid w:val="0085587D"/>
    <w:rPr>
      <w:i/>
      <w:iCs/>
      <w:color w:val="0F4761" w:themeColor="accent1" w:themeShade="BF"/>
    </w:rPr>
  </w:style>
  <w:style w:type="paragraph" w:styleId="IntenseQuote">
    <w:name w:val="Intense Quote"/>
    <w:basedOn w:val="Normal"/>
    <w:next w:val="Normal"/>
    <w:link w:val="IntenseQuoteChar"/>
    <w:uiPriority w:val="30"/>
    <w:qFormat/>
    <w:rsid w:val="008558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587D"/>
    <w:rPr>
      <w:i/>
      <w:iCs/>
      <w:color w:val="0F4761" w:themeColor="accent1" w:themeShade="BF"/>
    </w:rPr>
  </w:style>
  <w:style w:type="character" w:styleId="IntenseReference">
    <w:name w:val="Intense Reference"/>
    <w:basedOn w:val="DefaultParagraphFont"/>
    <w:uiPriority w:val="32"/>
    <w:qFormat/>
    <w:rsid w:val="0085587D"/>
    <w:rPr>
      <w:b/>
      <w:bCs/>
      <w:smallCaps/>
      <w:color w:val="0F4761" w:themeColor="accent1" w:themeShade="BF"/>
      <w:spacing w:val="5"/>
    </w:rPr>
  </w:style>
  <w:style w:type="character" w:styleId="Hyperlink">
    <w:name w:val="Hyperlink"/>
    <w:basedOn w:val="DefaultParagraphFont"/>
    <w:uiPriority w:val="99"/>
    <w:unhideWhenUsed/>
    <w:rsid w:val="00433B76"/>
    <w:rPr>
      <w:color w:val="467886" w:themeColor="hyperlink"/>
      <w:u w:val="single"/>
    </w:rPr>
  </w:style>
  <w:style w:type="character" w:styleId="UnresolvedMention">
    <w:name w:val="Unresolved Mention"/>
    <w:basedOn w:val="DefaultParagraphFont"/>
    <w:uiPriority w:val="99"/>
    <w:semiHidden/>
    <w:unhideWhenUsed/>
    <w:rsid w:val="00433B76"/>
    <w:rPr>
      <w:color w:val="605E5C"/>
      <w:shd w:val="clear" w:color="auto" w:fill="E1DFDD"/>
    </w:rPr>
  </w:style>
  <w:style w:type="paragraph" w:styleId="Header">
    <w:name w:val="header"/>
    <w:basedOn w:val="Normal"/>
    <w:link w:val="HeaderChar"/>
    <w:uiPriority w:val="99"/>
    <w:unhideWhenUsed/>
    <w:rsid w:val="008F51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5158"/>
  </w:style>
  <w:style w:type="paragraph" w:styleId="Footer">
    <w:name w:val="footer"/>
    <w:basedOn w:val="Normal"/>
    <w:link w:val="FooterChar"/>
    <w:uiPriority w:val="99"/>
    <w:unhideWhenUsed/>
    <w:rsid w:val="008F51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5158"/>
  </w:style>
  <w:style w:type="paragraph" w:styleId="TOCHeading">
    <w:name w:val="TOC Heading"/>
    <w:basedOn w:val="Heading1"/>
    <w:next w:val="Normal"/>
    <w:uiPriority w:val="39"/>
    <w:unhideWhenUsed/>
    <w:qFormat/>
    <w:rsid w:val="00BC7A7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C7A7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orporate.marksandspencer.com/investors/our-performance-updates/2026-annual-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56FEB-8A63-48D3-9201-455F1791F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7</Pages>
  <Words>3174</Words>
  <Characters>18094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Moin Sher</dc:creator>
  <cp:keywords/>
  <dc:description/>
  <cp:lastModifiedBy>Moin Sher</cp:lastModifiedBy>
  <cp:revision>99</cp:revision>
  <dcterms:created xsi:type="dcterms:W3CDTF">2026-06-18T09:46:00Z</dcterms:created>
  <dcterms:modified xsi:type="dcterms:W3CDTF">2026-08-16T17:55:00Z</dcterms:modified>
</cp:coreProperties>
</file>