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F9C2E" w14:textId="77777777" w:rsidR="006D6921" w:rsidRP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Name: Roxana-Andreea Tiris</w:t>
      </w:r>
    </w:p>
    <w:p w14:paraId="42476647" w14:textId="77777777" w:rsidR="006D6921" w:rsidRP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Student Number: 1912305</w:t>
      </w:r>
    </w:p>
    <w:p w14:paraId="482B9C44" w14:textId="432E5AA4" w:rsidR="006D6921" w:rsidRP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 xml:space="preserve">Module Title: </w:t>
      </w:r>
      <w:r>
        <w:rPr>
          <w:rFonts w:ascii="Times New Roman" w:hAnsi="Times New Roman" w:cs="Times New Roman"/>
          <w:b/>
          <w:bCs/>
          <w:sz w:val="36"/>
          <w:szCs w:val="36"/>
        </w:rPr>
        <w:t>Introduction to Physiology</w:t>
      </w:r>
    </w:p>
    <w:p w14:paraId="4C16BAD0" w14:textId="7B5B0E32" w:rsidR="006D6921" w:rsidRP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Module Code: BMHP 500</w:t>
      </w:r>
      <w:r>
        <w:rPr>
          <w:rFonts w:ascii="Times New Roman" w:hAnsi="Times New Roman" w:cs="Times New Roman"/>
          <w:b/>
          <w:bCs/>
          <w:sz w:val="36"/>
          <w:szCs w:val="36"/>
        </w:rPr>
        <w:t>3</w:t>
      </w:r>
    </w:p>
    <w:p w14:paraId="1F099CCC" w14:textId="30ABD17C" w:rsidR="006D6921" w:rsidRP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 xml:space="preserve">Lecturer Name: </w:t>
      </w:r>
      <w:r>
        <w:rPr>
          <w:rFonts w:ascii="Times New Roman" w:hAnsi="Times New Roman" w:cs="Times New Roman"/>
          <w:b/>
          <w:bCs/>
          <w:sz w:val="36"/>
          <w:szCs w:val="36"/>
        </w:rPr>
        <w:t>Mumtaz Goolam</w:t>
      </w:r>
    </w:p>
    <w:p w14:paraId="7B013735" w14:textId="563EF668" w:rsidR="006D6921" w:rsidRDefault="006D6921" w:rsidP="006D6921">
      <w:pPr>
        <w:spacing w:line="480" w:lineRule="auto"/>
        <w:jc w:val="center"/>
        <w:rPr>
          <w:rFonts w:ascii="Times New Roman" w:hAnsi="Times New Roman" w:cs="Times New Roman"/>
          <w:b/>
          <w:bCs/>
          <w:sz w:val="36"/>
          <w:szCs w:val="36"/>
        </w:rPr>
      </w:pPr>
      <w:r w:rsidRPr="006D6921">
        <w:rPr>
          <w:rFonts w:ascii="Times New Roman" w:hAnsi="Times New Roman" w:cs="Times New Roman"/>
          <w:b/>
          <w:bCs/>
          <w:sz w:val="36"/>
          <w:szCs w:val="36"/>
        </w:rPr>
        <w:t>Assignment Title: Women Reproductive Health System Health Assessment Report</w:t>
      </w:r>
    </w:p>
    <w:p w14:paraId="103194B4" w14:textId="77777777" w:rsidR="006D6921" w:rsidRDefault="006D6921" w:rsidP="006D6921">
      <w:pPr>
        <w:spacing w:line="480" w:lineRule="auto"/>
        <w:jc w:val="center"/>
        <w:rPr>
          <w:rFonts w:ascii="Times New Roman" w:hAnsi="Times New Roman" w:cs="Times New Roman"/>
          <w:b/>
          <w:bCs/>
          <w:sz w:val="36"/>
          <w:szCs w:val="36"/>
        </w:rPr>
      </w:pPr>
    </w:p>
    <w:p w14:paraId="18A44E15" w14:textId="77777777" w:rsidR="006D6921" w:rsidRDefault="006D6921" w:rsidP="006D6921">
      <w:pPr>
        <w:spacing w:line="480" w:lineRule="auto"/>
        <w:jc w:val="center"/>
        <w:rPr>
          <w:rFonts w:ascii="Times New Roman" w:hAnsi="Times New Roman" w:cs="Times New Roman"/>
          <w:b/>
          <w:bCs/>
          <w:sz w:val="36"/>
          <w:szCs w:val="36"/>
        </w:rPr>
      </w:pPr>
    </w:p>
    <w:p w14:paraId="251E13C6" w14:textId="77777777" w:rsidR="006D6921" w:rsidRDefault="006D6921" w:rsidP="006D6921">
      <w:pPr>
        <w:spacing w:line="480" w:lineRule="auto"/>
        <w:jc w:val="center"/>
        <w:rPr>
          <w:rFonts w:ascii="Times New Roman" w:hAnsi="Times New Roman" w:cs="Times New Roman"/>
          <w:b/>
          <w:bCs/>
          <w:sz w:val="36"/>
          <w:szCs w:val="36"/>
        </w:rPr>
      </w:pPr>
    </w:p>
    <w:p w14:paraId="4A0DCC24" w14:textId="77777777" w:rsidR="006D6921" w:rsidRDefault="006D6921" w:rsidP="006D6921">
      <w:pPr>
        <w:spacing w:line="480" w:lineRule="auto"/>
        <w:jc w:val="center"/>
        <w:rPr>
          <w:rFonts w:ascii="Times New Roman" w:hAnsi="Times New Roman" w:cs="Times New Roman"/>
          <w:b/>
          <w:bCs/>
          <w:sz w:val="36"/>
          <w:szCs w:val="36"/>
        </w:rPr>
      </w:pPr>
    </w:p>
    <w:p w14:paraId="2FEB6A3B" w14:textId="4A9050CC" w:rsidR="006D6921" w:rsidRDefault="006D6921" w:rsidP="006D6921">
      <w:pPr>
        <w:spacing w:line="480" w:lineRule="auto"/>
        <w:jc w:val="center"/>
        <w:rPr>
          <w:rFonts w:ascii="Times New Roman" w:hAnsi="Times New Roman" w:cs="Times New Roman"/>
          <w:b/>
          <w:bCs/>
          <w:sz w:val="36"/>
          <w:szCs w:val="36"/>
        </w:rPr>
      </w:pPr>
    </w:p>
    <w:p w14:paraId="1D787848" w14:textId="77777777" w:rsidR="006D6921" w:rsidRDefault="006D6921" w:rsidP="006D6921">
      <w:pPr>
        <w:spacing w:line="480" w:lineRule="auto"/>
        <w:jc w:val="center"/>
        <w:rPr>
          <w:rFonts w:ascii="Times New Roman" w:hAnsi="Times New Roman" w:cs="Times New Roman"/>
          <w:b/>
          <w:bCs/>
          <w:sz w:val="36"/>
          <w:szCs w:val="36"/>
        </w:rPr>
      </w:pPr>
    </w:p>
    <w:p w14:paraId="3BF2962D" w14:textId="0E5D64A9" w:rsidR="004D01E2" w:rsidRPr="0063153C" w:rsidRDefault="004D01E2" w:rsidP="006D6921">
      <w:pPr>
        <w:spacing w:line="480" w:lineRule="auto"/>
        <w:jc w:val="center"/>
        <w:rPr>
          <w:rFonts w:ascii="Times New Roman" w:hAnsi="Times New Roman" w:cs="Times New Roman"/>
          <w:b/>
          <w:bCs/>
          <w:sz w:val="36"/>
          <w:szCs w:val="36"/>
        </w:rPr>
      </w:pPr>
      <w:bookmarkStart w:id="0" w:name="_Hlk100301964"/>
      <w:r w:rsidRPr="0063153C">
        <w:rPr>
          <w:rFonts w:ascii="Times New Roman" w:hAnsi="Times New Roman" w:cs="Times New Roman"/>
          <w:b/>
          <w:bCs/>
          <w:sz w:val="36"/>
          <w:szCs w:val="36"/>
        </w:rPr>
        <w:lastRenderedPageBreak/>
        <w:t>Women Reproductive Health System Health Assessment Report</w:t>
      </w:r>
    </w:p>
    <w:bookmarkEnd w:id="0"/>
    <w:p w14:paraId="23022290" w14:textId="035701F4" w:rsidR="00DC7E93" w:rsidRPr="004D01E2" w:rsidRDefault="005D1DE4" w:rsidP="004D01E2">
      <w:pPr>
        <w:spacing w:line="480" w:lineRule="auto"/>
        <w:jc w:val="both"/>
        <w:rPr>
          <w:rFonts w:ascii="Times New Roman" w:hAnsi="Times New Roman" w:cs="Times New Roman"/>
          <w:b/>
          <w:bCs/>
          <w:sz w:val="28"/>
          <w:szCs w:val="28"/>
        </w:rPr>
      </w:pPr>
      <w:r w:rsidRPr="004D01E2">
        <w:rPr>
          <w:rFonts w:ascii="Times New Roman" w:hAnsi="Times New Roman" w:cs="Times New Roman"/>
          <w:b/>
          <w:bCs/>
          <w:sz w:val="28"/>
          <w:szCs w:val="28"/>
        </w:rPr>
        <w:t>Introduction</w:t>
      </w:r>
    </w:p>
    <w:p w14:paraId="02F8AABE" w14:textId="0AC30107" w:rsidR="00BD1508" w:rsidRPr="004D01E2" w:rsidRDefault="00BD150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Health and well-being not only </w:t>
      </w:r>
      <w:r w:rsidR="006D6921" w:rsidRPr="004D01E2">
        <w:rPr>
          <w:rFonts w:ascii="Times New Roman" w:hAnsi="Times New Roman" w:cs="Times New Roman"/>
          <w:sz w:val="24"/>
          <w:szCs w:val="24"/>
        </w:rPr>
        <w:t>refer</w:t>
      </w:r>
      <w:r w:rsidRPr="004D01E2">
        <w:rPr>
          <w:rFonts w:ascii="Times New Roman" w:hAnsi="Times New Roman" w:cs="Times New Roman"/>
          <w:sz w:val="24"/>
          <w:szCs w:val="24"/>
        </w:rPr>
        <w:t xml:space="preserve"> to the absence of disease or other ailment, but also to a state of total health and well-being throughout the reproductive system. The ability to reproduce and the freedom to choose how frequently to reproduce are both signs of reproductive health. A fundamental right of both men and women is the availability of legal, safe, and cost-effective means of family planning, regardless of gender</w:t>
      </w:r>
      <w:r w:rsidR="00201BD3" w:rsidRPr="004D01E2">
        <w:rPr>
          <w:rFonts w:ascii="Times New Roman" w:hAnsi="Times New Roman" w:cs="Times New Roman"/>
          <w:sz w:val="24"/>
          <w:szCs w:val="24"/>
        </w:rPr>
        <w:t xml:space="preserve"> (Buke, 2003). </w:t>
      </w:r>
      <w:r w:rsidRPr="004D01E2">
        <w:rPr>
          <w:rFonts w:ascii="Times New Roman" w:hAnsi="Times New Roman" w:cs="Times New Roman"/>
          <w:sz w:val="24"/>
          <w:szCs w:val="24"/>
        </w:rPr>
        <w:t xml:space="preserve">Women and their families have the right to quality prenatal and postpartum care, as well as the resources necessary to ensure a healthy pregnancy and delivery. Sexual health services that aim to improve the quality of one’s life and one’s interpersonal connections are also included in this definition, in addition to reproductive health care. Women’s knowledge of SRH was the primary goal of this </w:t>
      </w:r>
      <w:r w:rsidR="00201BD3" w:rsidRPr="004D01E2">
        <w:rPr>
          <w:rFonts w:ascii="Times New Roman" w:hAnsi="Times New Roman" w:cs="Times New Roman"/>
          <w:sz w:val="24"/>
          <w:szCs w:val="24"/>
        </w:rPr>
        <w:t>study (Azam, 2007).</w:t>
      </w:r>
    </w:p>
    <w:p w14:paraId="149FB174" w14:textId="5746E880" w:rsidR="008A4BF7" w:rsidRPr="004D01E2" w:rsidRDefault="00BD150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Pregnancy-related smoking is a leading cause of infant death and morbidity. Prior to becoming pregnant, women who smoke cigarettes have a lower fertility rate and a longer time to conceive than those who don’t. Cigarette smoking during pregnancy raises the risk of pregnancy complications (e.g., placental previa, placental abruption), premature delivery, reduced foetal growth, and SIDS. All kinds of tobacco use are ubiquitous and pose a serious threat to public health. Since smoking is so easy to purchase these days, it has become more popular than ever before. It is the goal of this document to provide information about the detrimental effects of smoking on women’s reproductive health and the harm it inflicts on their unborn children</w:t>
      </w:r>
      <w:r w:rsidR="006F6B7E" w:rsidRPr="004D01E2">
        <w:rPr>
          <w:rFonts w:ascii="Times New Roman" w:hAnsi="Times New Roman" w:cs="Times New Roman"/>
          <w:sz w:val="24"/>
          <w:szCs w:val="24"/>
        </w:rPr>
        <w:t xml:space="preserve"> (Kinney, 2008).</w:t>
      </w:r>
      <w:r w:rsidRPr="004D01E2">
        <w:rPr>
          <w:rFonts w:ascii="Times New Roman" w:hAnsi="Times New Roman" w:cs="Times New Roman"/>
          <w:sz w:val="24"/>
          <w:szCs w:val="24"/>
        </w:rPr>
        <w:t xml:space="preserve"> Foetal health concerns have been related to smoking, including a decrease in oocyte quality, </w:t>
      </w:r>
      <w:r w:rsidRPr="004D01E2">
        <w:rPr>
          <w:rFonts w:ascii="Times New Roman" w:hAnsi="Times New Roman" w:cs="Times New Roman"/>
          <w:sz w:val="24"/>
          <w:szCs w:val="24"/>
        </w:rPr>
        <w:lastRenderedPageBreak/>
        <w:t xml:space="preserve">hormonal abnormalities, foetal development and long-term health effects. A stronger public health awareness can result from these issues, which can help people better understand the dangers of </w:t>
      </w:r>
      <w:r w:rsidR="00201BD3" w:rsidRPr="004D01E2">
        <w:rPr>
          <w:rFonts w:ascii="Times New Roman" w:hAnsi="Times New Roman" w:cs="Times New Roman"/>
          <w:sz w:val="24"/>
          <w:szCs w:val="24"/>
        </w:rPr>
        <w:t xml:space="preserve">smoking </w:t>
      </w:r>
      <w:r w:rsidR="006F6B7E" w:rsidRPr="004D01E2">
        <w:rPr>
          <w:rFonts w:ascii="Times New Roman" w:hAnsi="Times New Roman" w:cs="Times New Roman"/>
          <w:sz w:val="24"/>
          <w:szCs w:val="24"/>
        </w:rPr>
        <w:t>(Cornelius, 2005).</w:t>
      </w:r>
    </w:p>
    <w:p w14:paraId="23F4A995" w14:textId="43D90B7F" w:rsidR="00DC7E93" w:rsidRPr="00294D09" w:rsidRDefault="00DC7E93" w:rsidP="004D01E2">
      <w:pPr>
        <w:spacing w:line="480" w:lineRule="auto"/>
        <w:jc w:val="both"/>
        <w:rPr>
          <w:rFonts w:ascii="Times New Roman" w:hAnsi="Times New Roman" w:cs="Times New Roman"/>
          <w:b/>
          <w:bCs/>
          <w:sz w:val="28"/>
          <w:szCs w:val="28"/>
        </w:rPr>
      </w:pPr>
      <w:r w:rsidRPr="00294D09">
        <w:rPr>
          <w:rFonts w:ascii="Times New Roman" w:hAnsi="Times New Roman" w:cs="Times New Roman"/>
          <w:b/>
          <w:bCs/>
          <w:sz w:val="28"/>
          <w:szCs w:val="28"/>
        </w:rPr>
        <w:t>Case study</w:t>
      </w:r>
    </w:p>
    <w:p w14:paraId="303FA144" w14:textId="4077C45E" w:rsidR="00BD1508" w:rsidRPr="004D01E2" w:rsidRDefault="00BD150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Numerous studies suggest that smoking may have an impact on fertility in both men and women. Natural conception research shows that smokers have a longer gestation time and lower live birth rate. These findings appear to be consistent across age groups and dosing regimens. Smoking one pack a day and starting to smoke before the ages of 18 and 21 were also linked to an increased chance of infertility. Gametes may now be studied in more detail because to advances in reproductive medicine. Smokers’ sperm counts are reduced, making them less fertile than non-smokers in conception. Smokers’ sperm concentration is, on average, 13% lower than that of non-smokers. For heavy smokers, smoking has been shown to have a deleterious impact on the sperm’s capacity to fertilise</w:t>
      </w:r>
      <w:r w:rsidR="006F6B7E" w:rsidRPr="004D01E2">
        <w:rPr>
          <w:rFonts w:ascii="Times New Roman" w:hAnsi="Times New Roman" w:cs="Times New Roman"/>
          <w:sz w:val="24"/>
          <w:szCs w:val="24"/>
        </w:rPr>
        <w:t xml:space="preserve"> (Kinney, 2008).</w:t>
      </w:r>
      <w:r w:rsidRPr="004D01E2">
        <w:rPr>
          <w:rFonts w:ascii="Times New Roman" w:hAnsi="Times New Roman" w:cs="Times New Roman"/>
          <w:sz w:val="24"/>
          <w:szCs w:val="24"/>
        </w:rPr>
        <w:t xml:space="preserve"> Both chromosomal and DNA damage to sperm and oocytes can be caused by tobacco smoke, and both of these can have an affect on fertility. Embryos are at risk because ejaculated sperm does not have the ability to repair broken DNA. Abnormalities were discovered in embryos smoked by 3.7-fold more than non-smokers. There is evidence that parental smoking may have influenced the DNA of the embryos in this study. The growth of an embryo in gestation may be compromised by the transmission of changed DNA from one parent to the other, resulting in a botched implantation, an early miscarriage, or postnatal developmental </w:t>
      </w:r>
      <w:r w:rsidR="006F6B7E" w:rsidRPr="004D01E2">
        <w:rPr>
          <w:rFonts w:ascii="Times New Roman" w:hAnsi="Times New Roman" w:cs="Times New Roman"/>
          <w:sz w:val="24"/>
          <w:szCs w:val="24"/>
        </w:rPr>
        <w:t>problems (Azam, 2007).</w:t>
      </w:r>
    </w:p>
    <w:p w14:paraId="0E27EE82" w14:textId="46D0D240" w:rsidR="00BD1508" w:rsidRPr="004D01E2" w:rsidRDefault="00BD150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For this study, a time period and rural women’s thoughts and opinions on reproductive health defined the scope. Women in this category are more likely to be married, have had many </w:t>
      </w:r>
      <w:r w:rsidRPr="004D01E2">
        <w:rPr>
          <w:rFonts w:ascii="Times New Roman" w:hAnsi="Times New Roman" w:cs="Times New Roman"/>
          <w:sz w:val="24"/>
          <w:szCs w:val="24"/>
        </w:rPr>
        <w:lastRenderedPageBreak/>
        <w:t>miscarriages, or are pregnant. A second motivation for employing a case study approach in this study was the topic’s importance to government officials and policymakers</w:t>
      </w:r>
      <w:r w:rsidR="006F6B7E" w:rsidRPr="004D01E2">
        <w:rPr>
          <w:rFonts w:ascii="Times New Roman" w:hAnsi="Times New Roman" w:cs="Times New Roman"/>
          <w:sz w:val="24"/>
          <w:szCs w:val="24"/>
        </w:rPr>
        <w:t xml:space="preserve"> (Buke, 2003). Reproductive</w:t>
      </w:r>
      <w:r w:rsidRPr="004D01E2">
        <w:rPr>
          <w:rFonts w:ascii="Times New Roman" w:hAnsi="Times New Roman" w:cs="Times New Roman"/>
          <w:sz w:val="24"/>
          <w:szCs w:val="24"/>
        </w:rPr>
        <w:t xml:space="preserve"> health services for women are a current phenomenon. For a case-control study conducted between March and May this year, 350 women participated (177 infertile and 173 fertile). There were two stages to the sampling procedure. Population and reproductive data were gathered through the use of the Fagerstrom Nicotine Dependence (FTND) test. In all, 10 out of 10 questions were given a score of 10. The same group of persons was divided into three subgroups: “Low Nicotine,” “Moderate Nicotine,” and “High Nicotine.”. For the purpose of investigating the potential link between smoking and infertility, researchers used chi-square and logistic regression tests. Women’s reproductive health disorders are the leading cause of poor health and death for women around the world. Sexual and reproductive health care needs to be examined in a variety of social and cultural </w:t>
      </w:r>
      <w:r w:rsidR="006F6B7E" w:rsidRPr="004D01E2">
        <w:rPr>
          <w:rFonts w:ascii="Times New Roman" w:hAnsi="Times New Roman" w:cs="Times New Roman"/>
          <w:sz w:val="24"/>
          <w:szCs w:val="24"/>
        </w:rPr>
        <w:t xml:space="preserve">contexts </w:t>
      </w:r>
      <w:r w:rsidR="00B41EB7" w:rsidRPr="004D01E2">
        <w:rPr>
          <w:rFonts w:ascii="Times New Roman" w:hAnsi="Times New Roman" w:cs="Times New Roman"/>
          <w:sz w:val="24"/>
          <w:szCs w:val="24"/>
        </w:rPr>
        <w:t>(Baan, 2007).</w:t>
      </w:r>
    </w:p>
    <w:p w14:paraId="56228FF2" w14:textId="1FA79B7F" w:rsidR="00BD1508" w:rsidRPr="004D01E2" w:rsidRDefault="00BD150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Research into the sexual and reproductive health of women is, however, lacking. This study focused on the sexual and reproductive health needs of these women. . Practitioners discovered that 73% of individuals polled reported a need for treatment for their sexual history and behaviour. A woman’s age and where she sought treatment and care for sexually transmitted infections also predicted her sexual activity needs. A growing number of women are seeking treatment for sexually transmitted diseases at health care institutions, creating a need for sexual counselling centres and programmes that promote women’s reproductive health.</w:t>
      </w:r>
    </w:p>
    <w:p w14:paraId="27BF08DC" w14:textId="3F891AEB" w:rsidR="00DC7E93" w:rsidRPr="00294D09" w:rsidRDefault="00DC7E93" w:rsidP="004D01E2">
      <w:pPr>
        <w:spacing w:line="480" w:lineRule="auto"/>
        <w:jc w:val="both"/>
        <w:rPr>
          <w:rFonts w:ascii="Times New Roman" w:hAnsi="Times New Roman" w:cs="Times New Roman"/>
          <w:b/>
          <w:bCs/>
          <w:sz w:val="28"/>
          <w:szCs w:val="28"/>
        </w:rPr>
      </w:pPr>
      <w:r w:rsidRPr="00294D09">
        <w:rPr>
          <w:rFonts w:ascii="Times New Roman" w:hAnsi="Times New Roman" w:cs="Times New Roman"/>
          <w:b/>
          <w:bCs/>
          <w:sz w:val="28"/>
          <w:szCs w:val="28"/>
        </w:rPr>
        <w:t>Assessment report</w:t>
      </w:r>
    </w:p>
    <w:p w14:paraId="559DC3E2" w14:textId="1C1BC2D5" w:rsidR="000B6311" w:rsidRPr="004D01E2" w:rsidRDefault="006428C6"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The ability to engage in healthy sex and reproductive behaviours is critical to overall health. Reproductive health is defined as “a state of total physical, mental, and social well-being.” As long </w:t>
      </w:r>
      <w:r w:rsidRPr="004D01E2">
        <w:rPr>
          <w:rFonts w:ascii="Times New Roman" w:hAnsi="Times New Roman" w:cs="Times New Roman"/>
          <w:sz w:val="24"/>
          <w:szCs w:val="24"/>
        </w:rPr>
        <w:lastRenderedPageBreak/>
        <w:t>as they follow WHO recommendations, people can have as many or as few sexual partners as they like while still maintaining their safety and well-being. During this cross-sectional survey (STIs), women between the ages of 17 and 55 who reside in the United Kingdom were asked to rank their awareness of sexually transmitted infections (Fleming, 2007). For the sake of convenience sampling, the participants were chosen at random. For convenience sampling, a preselected group of people are asked to participate in an experiment. Participants in the study were eligible if they met the inclusion criteria (Gilman, 2008).</w:t>
      </w:r>
    </w:p>
    <w:p w14:paraId="2070AA4B" w14:textId="431159EC" w:rsidR="000B6311" w:rsidRPr="004D01E2" w:rsidRDefault="000B6311"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514 persons were counted in the final figure, taking into account any possible dropouts. There were several stages of sampling in this example. Health care facilities in Sari, a northern city, were included on the list. The study’s participants were randomly selected from four centres in each district using a random numbers table. Each of the health centres had its own set of data collected. The random numbers table was used to choose 514 women. Following written agreement, participants who met the criteria for inclusion were interviewed by the center’s midwife staff, who were considered trustworthy by the participants. Data was gathered using sexual and reproductive health questionnaires. The UN Population Fund (UNFPA) created this particular instrument to address a wide range of reproductive health challenges. It contained information on the prevalence of maternal morbidity, family planning practises, sexual history, sexual activity, STIs (including HIV/AIDS and sexually transmitted infections), and sexual and gender-based </w:t>
      </w:r>
      <w:r w:rsidR="00A872DC" w:rsidRPr="004D01E2">
        <w:rPr>
          <w:rFonts w:ascii="Times New Roman" w:hAnsi="Times New Roman" w:cs="Times New Roman"/>
          <w:sz w:val="24"/>
          <w:szCs w:val="24"/>
        </w:rPr>
        <w:t>violence (Edner, 2007).</w:t>
      </w:r>
    </w:p>
    <w:p w14:paraId="1D41B605" w14:textId="6CAF918F" w:rsidR="000B6311" w:rsidRPr="004D01E2" w:rsidRDefault="000B6311"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Each category and the overall needs of women were assigned a score of 1 or 2 by researchers, a health education expert, and a reproductive health specialist. Poor health care was given a score of 2 in the study while great health care was given a score of 1 for the women participating. If the lady chose more than two options, she received a score of 2, whereas if she chose less than two </w:t>
      </w:r>
      <w:r w:rsidRPr="004D01E2">
        <w:rPr>
          <w:rFonts w:ascii="Times New Roman" w:hAnsi="Times New Roman" w:cs="Times New Roman"/>
          <w:sz w:val="24"/>
          <w:szCs w:val="24"/>
        </w:rPr>
        <w:lastRenderedPageBreak/>
        <w:t>possibilities, she received a score of 1. Based on the results, a two-option dichotomy was created: “having the need” and “no need.” An overall score for each domain was calculated. It was decided that ladies who scored higher than the 50</w:t>
      </w:r>
      <w:r w:rsidRPr="004D01E2">
        <w:rPr>
          <w:rFonts w:ascii="Times New Roman" w:hAnsi="Times New Roman" w:cs="Times New Roman"/>
          <w:sz w:val="24"/>
          <w:szCs w:val="24"/>
          <w:vertAlign w:val="superscript"/>
        </w:rPr>
        <w:t>th</w:t>
      </w:r>
      <w:r w:rsidRPr="004D01E2">
        <w:rPr>
          <w:rFonts w:ascii="Times New Roman" w:hAnsi="Times New Roman" w:cs="Times New Roman"/>
          <w:sz w:val="24"/>
          <w:szCs w:val="24"/>
        </w:rPr>
        <w:t xml:space="preserve"> percentiles had a need for the programme. The frequency with which the women referenced each domain was then </w:t>
      </w:r>
      <w:r w:rsidR="00A872DC" w:rsidRPr="004D01E2">
        <w:rPr>
          <w:rFonts w:ascii="Times New Roman" w:hAnsi="Times New Roman" w:cs="Times New Roman"/>
          <w:sz w:val="24"/>
          <w:szCs w:val="24"/>
        </w:rPr>
        <w:t>tallied (Fleming, 2007).</w:t>
      </w:r>
    </w:p>
    <w:p w14:paraId="47AF0A36" w14:textId="489640A4" w:rsidR="000B6311" w:rsidRPr="00294D09" w:rsidRDefault="009C520C" w:rsidP="004D01E2">
      <w:pPr>
        <w:spacing w:line="480" w:lineRule="auto"/>
        <w:jc w:val="both"/>
        <w:rPr>
          <w:rFonts w:ascii="Times New Roman" w:hAnsi="Times New Roman" w:cs="Times New Roman"/>
          <w:b/>
          <w:bCs/>
          <w:sz w:val="24"/>
          <w:szCs w:val="24"/>
        </w:rPr>
      </w:pPr>
      <w:r w:rsidRPr="00294D09">
        <w:rPr>
          <w:rFonts w:ascii="Times New Roman" w:hAnsi="Times New Roman" w:cs="Times New Roman"/>
          <w:b/>
          <w:bCs/>
          <w:sz w:val="24"/>
          <w:szCs w:val="24"/>
        </w:rPr>
        <w:t>Strength</w:t>
      </w:r>
    </w:p>
    <w:p w14:paraId="0506300D" w14:textId="1B644C53" w:rsidR="000B6311" w:rsidRPr="004D01E2" w:rsidRDefault="000B6311"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HIV and HPV, unexpected pregnancies, and unsafe abortions are all highlighted in this report because of a lack of awareness</w:t>
      </w:r>
      <w:r w:rsidR="00201BD3" w:rsidRPr="004D01E2">
        <w:rPr>
          <w:rFonts w:ascii="Times New Roman" w:hAnsi="Times New Roman" w:cs="Times New Roman"/>
          <w:sz w:val="24"/>
          <w:szCs w:val="24"/>
        </w:rPr>
        <w:t xml:space="preserve"> (Baan, 2007).</w:t>
      </w:r>
      <w:r w:rsidRPr="004D01E2">
        <w:rPr>
          <w:rFonts w:ascii="Times New Roman" w:hAnsi="Times New Roman" w:cs="Times New Roman"/>
          <w:sz w:val="24"/>
          <w:szCs w:val="24"/>
        </w:rPr>
        <w:t xml:space="preserve"> Aside from giving attention to the concept of contraception, this research may also help guide family planning strategies by boosting public awareness of the various methods of birth control and normalising their use. As a result, this is the first study to examine numerous SRH-related challenges in Lebanon’s community of single, unmarried women simultaneously. On top of that, it provides a foundation for effective teaching campaigns and long-term programmes in sexual and reproductive health </w:t>
      </w:r>
      <w:r w:rsidR="00B41EB7" w:rsidRPr="004D01E2">
        <w:rPr>
          <w:rFonts w:ascii="Times New Roman" w:hAnsi="Times New Roman" w:cs="Times New Roman"/>
          <w:sz w:val="24"/>
          <w:szCs w:val="24"/>
        </w:rPr>
        <w:t>knowledge (Fleming, 2007).</w:t>
      </w:r>
    </w:p>
    <w:p w14:paraId="714D7D91" w14:textId="0BBA0257" w:rsidR="000B6311" w:rsidRPr="00294D09" w:rsidRDefault="000B6311" w:rsidP="004D01E2">
      <w:pPr>
        <w:spacing w:line="480" w:lineRule="auto"/>
        <w:jc w:val="both"/>
        <w:rPr>
          <w:rFonts w:ascii="Times New Roman" w:hAnsi="Times New Roman" w:cs="Times New Roman"/>
          <w:b/>
          <w:bCs/>
          <w:sz w:val="24"/>
          <w:szCs w:val="24"/>
        </w:rPr>
      </w:pPr>
      <w:r w:rsidRPr="00294D09">
        <w:rPr>
          <w:rFonts w:ascii="Times New Roman" w:hAnsi="Times New Roman" w:cs="Times New Roman"/>
          <w:b/>
          <w:bCs/>
          <w:sz w:val="24"/>
          <w:szCs w:val="24"/>
        </w:rPr>
        <w:t>Limitations</w:t>
      </w:r>
    </w:p>
    <w:p w14:paraId="39C1CDD7" w14:textId="7C051D6B" w:rsidR="006428C6" w:rsidRPr="004D01E2" w:rsidRDefault="000B6311"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This study offers certain advantages, but it also has some disadvantages. To avoid drawing conclusions based purely on correlations, researchers doing cross-sectional studies must exercise extreme caution. Because the majority of those who took part were in their twenties, it was difficult to get a good idea of how different age groups differed in their degree of knowledge. It’s possible that younger individuals know less about SRH than their elders do. Despite these limitations, the study’s objectives remained the </w:t>
      </w:r>
      <w:r w:rsidR="00201BD3" w:rsidRPr="004D01E2">
        <w:rPr>
          <w:rFonts w:ascii="Times New Roman" w:hAnsi="Times New Roman" w:cs="Times New Roman"/>
          <w:sz w:val="24"/>
          <w:szCs w:val="24"/>
        </w:rPr>
        <w:t>same (Baan, 2007).</w:t>
      </w:r>
    </w:p>
    <w:p w14:paraId="7BD7553C" w14:textId="6B467A3E" w:rsidR="00DC7E93" w:rsidRPr="004D01E2" w:rsidRDefault="00DC7E93" w:rsidP="004D01E2">
      <w:pPr>
        <w:spacing w:line="480" w:lineRule="auto"/>
        <w:jc w:val="both"/>
        <w:rPr>
          <w:rFonts w:ascii="Times New Roman" w:hAnsi="Times New Roman" w:cs="Times New Roman"/>
          <w:sz w:val="24"/>
          <w:szCs w:val="24"/>
        </w:rPr>
      </w:pPr>
      <w:r w:rsidRPr="00294D09">
        <w:rPr>
          <w:rFonts w:ascii="Times New Roman" w:hAnsi="Times New Roman" w:cs="Times New Roman"/>
          <w:b/>
          <w:bCs/>
          <w:sz w:val="28"/>
          <w:szCs w:val="28"/>
        </w:rPr>
        <w:t>Recommendation</w:t>
      </w:r>
    </w:p>
    <w:p w14:paraId="36A6AB51" w14:textId="50D0BE09" w:rsidR="004B73A8" w:rsidRPr="00294D09" w:rsidRDefault="004B73A8" w:rsidP="00294D09">
      <w:pPr>
        <w:pStyle w:val="ListParagraph"/>
        <w:numPr>
          <w:ilvl w:val="0"/>
          <w:numId w:val="10"/>
        </w:numPr>
        <w:spacing w:line="480" w:lineRule="auto"/>
        <w:jc w:val="both"/>
        <w:rPr>
          <w:rFonts w:ascii="Times New Roman" w:hAnsi="Times New Roman" w:cs="Times New Roman"/>
          <w:sz w:val="24"/>
          <w:szCs w:val="24"/>
        </w:rPr>
      </w:pPr>
      <w:r w:rsidRPr="00294D09">
        <w:rPr>
          <w:rFonts w:ascii="Times New Roman" w:hAnsi="Times New Roman" w:cs="Times New Roman"/>
          <w:sz w:val="24"/>
          <w:szCs w:val="24"/>
        </w:rPr>
        <w:lastRenderedPageBreak/>
        <w:t>Women who have just become pregnant should be questioned if they’ve ever smoked or been exposed to SHS during prenatal care. Summarize the most crucial points you’ve learnt.</w:t>
      </w:r>
    </w:p>
    <w:p w14:paraId="33071D64" w14:textId="3851B273" w:rsidR="004B73A8" w:rsidRPr="00294D09" w:rsidRDefault="004B73A8" w:rsidP="00294D09">
      <w:pPr>
        <w:pStyle w:val="ListParagraph"/>
        <w:numPr>
          <w:ilvl w:val="0"/>
          <w:numId w:val="10"/>
        </w:numPr>
        <w:spacing w:line="480" w:lineRule="auto"/>
        <w:jc w:val="both"/>
        <w:rPr>
          <w:rFonts w:ascii="Times New Roman" w:hAnsi="Times New Roman" w:cs="Times New Roman"/>
          <w:sz w:val="24"/>
          <w:szCs w:val="24"/>
        </w:rPr>
      </w:pPr>
      <w:r w:rsidRPr="00294D09">
        <w:rPr>
          <w:rFonts w:ascii="Times New Roman" w:hAnsi="Times New Roman" w:cs="Times New Roman"/>
          <w:sz w:val="24"/>
          <w:szCs w:val="24"/>
        </w:rPr>
        <w:t xml:space="preserve">Healthcare practitioners should refer or interact with pregnant women who’ve been exposed to SHS, as well as those who’ve been cigarette users (past or present) without </w:t>
      </w:r>
      <w:r w:rsidR="00292B4E" w:rsidRPr="00294D09">
        <w:rPr>
          <w:rFonts w:ascii="Times New Roman" w:hAnsi="Times New Roman" w:cs="Times New Roman"/>
          <w:sz w:val="24"/>
          <w:szCs w:val="24"/>
        </w:rPr>
        <w:t>judgement (Buke, 2003).</w:t>
      </w:r>
    </w:p>
    <w:p w14:paraId="5DAEB091" w14:textId="77777777" w:rsidR="00747697" w:rsidRPr="00294D09" w:rsidRDefault="004B73A8" w:rsidP="00294D09">
      <w:pPr>
        <w:pStyle w:val="ListParagraph"/>
        <w:numPr>
          <w:ilvl w:val="0"/>
          <w:numId w:val="10"/>
        </w:numPr>
        <w:spacing w:line="480" w:lineRule="auto"/>
        <w:jc w:val="both"/>
        <w:rPr>
          <w:rFonts w:ascii="Times New Roman" w:hAnsi="Times New Roman" w:cs="Times New Roman"/>
          <w:sz w:val="24"/>
          <w:szCs w:val="24"/>
        </w:rPr>
      </w:pPr>
      <w:r w:rsidRPr="00294D09">
        <w:rPr>
          <w:rFonts w:ascii="Times New Roman" w:hAnsi="Times New Roman" w:cs="Times New Roman"/>
          <w:sz w:val="24"/>
          <w:szCs w:val="24"/>
        </w:rPr>
        <w:t xml:space="preserve">The first step in treating tobacco usage and dependence is to identify those who are using the drug. </w:t>
      </w:r>
    </w:p>
    <w:p w14:paraId="0BE8FB8F" w14:textId="2AF90B46" w:rsidR="004B73A8" w:rsidRPr="00294D09" w:rsidRDefault="004B73A8" w:rsidP="004D01E2">
      <w:pPr>
        <w:pStyle w:val="ListParagraph"/>
        <w:numPr>
          <w:ilvl w:val="0"/>
          <w:numId w:val="10"/>
        </w:numPr>
        <w:spacing w:line="480" w:lineRule="auto"/>
        <w:jc w:val="both"/>
        <w:rPr>
          <w:rFonts w:ascii="Times New Roman" w:hAnsi="Times New Roman" w:cs="Times New Roman"/>
          <w:sz w:val="24"/>
          <w:szCs w:val="24"/>
        </w:rPr>
      </w:pPr>
      <w:r w:rsidRPr="00294D09">
        <w:rPr>
          <w:rFonts w:ascii="Times New Roman" w:hAnsi="Times New Roman" w:cs="Times New Roman"/>
          <w:sz w:val="24"/>
          <w:szCs w:val="24"/>
        </w:rPr>
        <w:t>When a patient has been identified as a smoker, doctors are more inclined to intervene. More effective interventions can be made when a person’s history of tobacco use can be determined.</w:t>
      </w:r>
    </w:p>
    <w:p w14:paraId="27299CD5" w14:textId="2F3258E4" w:rsidR="004B73A8" w:rsidRPr="00294D09" w:rsidRDefault="00747697" w:rsidP="004D01E2">
      <w:pPr>
        <w:spacing w:line="480" w:lineRule="auto"/>
        <w:jc w:val="both"/>
        <w:rPr>
          <w:rFonts w:ascii="Times New Roman" w:hAnsi="Times New Roman" w:cs="Times New Roman"/>
          <w:b/>
          <w:bCs/>
          <w:sz w:val="28"/>
          <w:szCs w:val="28"/>
        </w:rPr>
      </w:pPr>
      <w:r w:rsidRPr="00294D09">
        <w:rPr>
          <w:rFonts w:ascii="Times New Roman" w:hAnsi="Times New Roman" w:cs="Times New Roman"/>
          <w:b/>
          <w:bCs/>
          <w:sz w:val="28"/>
          <w:szCs w:val="28"/>
        </w:rPr>
        <w:t>Conclusion</w:t>
      </w:r>
    </w:p>
    <w:p w14:paraId="792C7D02" w14:textId="38085649" w:rsidR="004B73A8" w:rsidRPr="004D01E2" w:rsidRDefault="004B73A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Unmarried ladies in Lebanon were studied for their knowledge of SRH in this study. According to the study’s findings, participants and sections were at varied degrees of understanding. The participants’ weakest area of expertise and knowledge was contraception, while their strongest area of expertise and knowledge was pregnancies.. Premarital testing, vaccination, and menstruation were also poorly addressed in the </w:t>
      </w:r>
      <w:r w:rsidR="00E50793" w:rsidRPr="004D01E2">
        <w:rPr>
          <w:rFonts w:ascii="Times New Roman" w:hAnsi="Times New Roman" w:cs="Times New Roman"/>
          <w:sz w:val="24"/>
          <w:szCs w:val="24"/>
        </w:rPr>
        <w:t>survey (Azam, 2007).</w:t>
      </w:r>
    </w:p>
    <w:p w14:paraId="2CF0C3FB" w14:textId="51B6AD02" w:rsidR="004B73A8" w:rsidRPr="004D01E2" w:rsidRDefault="004B73A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Only 8.8% of people who participated in the study were able to comprehend the material. Schools, colleges, and the media should all be involved in attempts to educate the public about SRH. Preventive medicine and early detection facilities for symptoms of disease must be prioritised by health care providers in Lebanon, especially gynaecologists and primary care doctors, as well as lawmakers, if information is to be of genuine benefit. It is vital that the media play a role in </w:t>
      </w:r>
      <w:r w:rsidRPr="004D01E2">
        <w:rPr>
          <w:rFonts w:ascii="Times New Roman" w:hAnsi="Times New Roman" w:cs="Times New Roman"/>
          <w:sz w:val="24"/>
          <w:szCs w:val="24"/>
        </w:rPr>
        <w:lastRenderedPageBreak/>
        <w:t>disseminating correct information and fostering positive behaviour and attitudes in light of the increasing significance of mass media in recent years.</w:t>
      </w:r>
      <w:r w:rsidR="00747697" w:rsidRPr="004D01E2">
        <w:rPr>
          <w:rFonts w:ascii="Times New Roman" w:hAnsi="Times New Roman" w:cs="Times New Roman"/>
          <w:sz w:val="24"/>
          <w:szCs w:val="24"/>
        </w:rPr>
        <w:t xml:space="preserve"> </w:t>
      </w:r>
      <w:r w:rsidRPr="004D01E2">
        <w:rPr>
          <w:rFonts w:ascii="Times New Roman" w:hAnsi="Times New Roman" w:cs="Times New Roman"/>
          <w:sz w:val="24"/>
          <w:szCs w:val="24"/>
        </w:rPr>
        <w:t>To eliminate myths, taboos, and misconceptions concerning sexual and reproductive health and to promote health principles, the following recommendations are provided. Men in Lebanon and men in other nations should be compared in terms of their level of sexual and reproductive awareness, and that research should be carried out</w:t>
      </w:r>
      <w:r w:rsidR="003C64A3" w:rsidRPr="004D01E2">
        <w:rPr>
          <w:rFonts w:ascii="Times New Roman" w:hAnsi="Times New Roman" w:cs="Times New Roman"/>
          <w:sz w:val="24"/>
          <w:szCs w:val="24"/>
        </w:rPr>
        <w:t xml:space="preserve"> (Ekblad, 2010).</w:t>
      </w:r>
      <w:r w:rsidRPr="004D01E2">
        <w:rPr>
          <w:rFonts w:ascii="Times New Roman" w:hAnsi="Times New Roman" w:cs="Times New Roman"/>
          <w:sz w:val="24"/>
          <w:szCs w:val="24"/>
        </w:rPr>
        <w:t xml:space="preserve"> We can conclude that</w:t>
      </w:r>
    </w:p>
    <w:p w14:paraId="7C7AF6F9" w14:textId="75231572"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Nicotine and carbon monoxide, two known carcinogens in high concentrations in cigarette smoke, can cause birth defects and other malformations in developing babies.</w:t>
      </w:r>
    </w:p>
    <w:p w14:paraId="0350D151" w14:textId="31D8A105"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There is an increased risk of miscarriage, low birth weight and placenta praevia with smoking during pregnancy.</w:t>
      </w:r>
    </w:p>
    <w:p w14:paraId="56C2E634" w14:textId="4C10CF1E"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Women who smoke are more likely than </w:t>
      </w:r>
      <w:r w:rsidR="00747697" w:rsidRPr="004D01E2">
        <w:rPr>
          <w:rFonts w:ascii="Times New Roman" w:hAnsi="Times New Roman" w:cs="Times New Roman"/>
          <w:sz w:val="24"/>
          <w:szCs w:val="24"/>
        </w:rPr>
        <w:t>non-smokers</w:t>
      </w:r>
      <w:r w:rsidRPr="004D01E2">
        <w:rPr>
          <w:rFonts w:ascii="Times New Roman" w:hAnsi="Times New Roman" w:cs="Times New Roman"/>
          <w:sz w:val="24"/>
          <w:szCs w:val="24"/>
        </w:rPr>
        <w:t xml:space="preserve"> to experience an early onset of menopause.</w:t>
      </w:r>
    </w:p>
    <w:p w14:paraId="0E063CEC" w14:textId="3CB4CD8C"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When it comes to sperm and ovarian function, both men and women are harmed when they </w:t>
      </w:r>
      <w:r w:rsidR="00E259CC" w:rsidRPr="004D01E2">
        <w:rPr>
          <w:rFonts w:ascii="Times New Roman" w:hAnsi="Times New Roman" w:cs="Times New Roman"/>
          <w:sz w:val="24"/>
          <w:szCs w:val="24"/>
        </w:rPr>
        <w:t>smoke (Cornelius, 2005).</w:t>
      </w:r>
    </w:p>
    <w:p w14:paraId="4899ECD4" w14:textId="3F253F21"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Tobacco use has been linked to an increased risk of cervical cancer.</w:t>
      </w:r>
    </w:p>
    <w:p w14:paraId="52C7E267" w14:textId="6BA21014"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There is a link between smoking while pregnant and children with attention deficit hyperactivity disorder (ADHD)</w:t>
      </w:r>
      <w:r w:rsidR="00747697" w:rsidRPr="004D01E2">
        <w:rPr>
          <w:rFonts w:ascii="Times New Roman" w:hAnsi="Times New Roman" w:cs="Times New Roman"/>
          <w:sz w:val="24"/>
          <w:szCs w:val="24"/>
        </w:rPr>
        <w:t>.</w:t>
      </w:r>
    </w:p>
    <w:p w14:paraId="595EE5B8" w14:textId="2E5F580C"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Among the childhood cancers associated with prenatal smoking include leukaemia and lymphoma.</w:t>
      </w:r>
    </w:p>
    <w:p w14:paraId="289FB6C9" w14:textId="5EAA7935" w:rsidR="004B73A8" w:rsidRPr="004D01E2" w:rsidRDefault="004B73A8" w:rsidP="004D01E2">
      <w:pPr>
        <w:pStyle w:val="ListParagraph"/>
        <w:numPr>
          <w:ilvl w:val="0"/>
          <w:numId w:val="7"/>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 xml:space="preserve">Health and well-being of women throughout pregnancy, childbirth, and the period following childbirth. In </w:t>
      </w:r>
      <w:r w:rsidR="00747697" w:rsidRPr="004D01E2">
        <w:rPr>
          <w:rFonts w:ascii="Times New Roman" w:hAnsi="Times New Roman" w:cs="Times New Roman"/>
          <w:sz w:val="24"/>
          <w:szCs w:val="24"/>
        </w:rPr>
        <w:t>areas</w:t>
      </w:r>
      <w:r w:rsidRPr="004D01E2">
        <w:rPr>
          <w:rFonts w:ascii="Times New Roman" w:hAnsi="Times New Roman" w:cs="Times New Roman"/>
          <w:sz w:val="24"/>
          <w:szCs w:val="24"/>
        </w:rPr>
        <w:t xml:space="preserve">, where the rate of female smoking is higher than in the United States, health specialists and educators must educate women about the harms of smoking and support smoking cessation </w:t>
      </w:r>
      <w:r w:rsidR="00E259CC" w:rsidRPr="004D01E2">
        <w:rPr>
          <w:rFonts w:ascii="Times New Roman" w:hAnsi="Times New Roman" w:cs="Times New Roman"/>
          <w:sz w:val="24"/>
          <w:szCs w:val="24"/>
        </w:rPr>
        <w:t>programs (Kinney, 2008)</w:t>
      </w:r>
      <w:r w:rsidRPr="004D01E2">
        <w:rPr>
          <w:rFonts w:ascii="Times New Roman" w:hAnsi="Times New Roman" w:cs="Times New Roman"/>
          <w:sz w:val="24"/>
          <w:szCs w:val="24"/>
        </w:rPr>
        <w:t>.</w:t>
      </w:r>
    </w:p>
    <w:p w14:paraId="7C2C6DB9" w14:textId="285EAA63" w:rsidR="00363DBB" w:rsidRPr="004D01E2" w:rsidRDefault="005C55E8" w:rsidP="004D01E2">
      <w:p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lastRenderedPageBreak/>
        <w:t xml:space="preserve">Smoking decreases a woman's chances of becoming pregnant. Infertility is more than twice as common among smokers as it is in nonsmokers. The more cigarettes a woman smokes daily, the greater her risk of experiencing infertility troubles. Even IVF may not be able to overcome the negative consequences of smoking on fertility. If you are a smoker, your chances of having a baby through IVF are 30 percent lower since you need more ovary-stimulating medicines and have a smaller egg supply.Smoking damages the genetic material in eggs and sperm, resulting in greater incidence of miscarriage and birth defects in patients who smoke. Pregnant women who use smokeless tobacco had a greater likelihood of miscarriage. There is an increased risk of having a kid with Down syndrome in a mother who smokes. An ectopic or premature birth is more prevalent in women who </w:t>
      </w:r>
      <w:r w:rsidR="004D01E2" w:rsidRPr="004D01E2">
        <w:rPr>
          <w:rFonts w:ascii="Times New Roman" w:hAnsi="Times New Roman" w:cs="Times New Roman"/>
          <w:sz w:val="24"/>
          <w:szCs w:val="24"/>
        </w:rPr>
        <w:t>smoke.</w:t>
      </w:r>
    </w:p>
    <w:p w14:paraId="24A70C01" w14:textId="77777777" w:rsidR="006D6921" w:rsidRDefault="006D6921" w:rsidP="004D01E2">
      <w:pPr>
        <w:spacing w:line="480" w:lineRule="auto"/>
        <w:jc w:val="both"/>
        <w:rPr>
          <w:rFonts w:ascii="Times New Roman" w:hAnsi="Times New Roman" w:cs="Times New Roman"/>
          <w:b/>
          <w:bCs/>
          <w:sz w:val="28"/>
          <w:szCs w:val="28"/>
        </w:rPr>
      </w:pPr>
    </w:p>
    <w:p w14:paraId="6B988B26" w14:textId="77777777" w:rsidR="006D6921" w:rsidRDefault="006D6921" w:rsidP="004D01E2">
      <w:pPr>
        <w:spacing w:line="480" w:lineRule="auto"/>
        <w:jc w:val="both"/>
        <w:rPr>
          <w:rFonts w:ascii="Times New Roman" w:hAnsi="Times New Roman" w:cs="Times New Roman"/>
          <w:b/>
          <w:bCs/>
          <w:sz w:val="28"/>
          <w:szCs w:val="28"/>
        </w:rPr>
      </w:pPr>
    </w:p>
    <w:p w14:paraId="00B164A4" w14:textId="77777777" w:rsidR="006D6921" w:rsidRDefault="006D6921" w:rsidP="004D01E2">
      <w:pPr>
        <w:spacing w:line="480" w:lineRule="auto"/>
        <w:jc w:val="both"/>
        <w:rPr>
          <w:rFonts w:ascii="Times New Roman" w:hAnsi="Times New Roman" w:cs="Times New Roman"/>
          <w:b/>
          <w:bCs/>
          <w:sz w:val="28"/>
          <w:szCs w:val="28"/>
        </w:rPr>
      </w:pPr>
    </w:p>
    <w:p w14:paraId="1C3CB0E9" w14:textId="77777777" w:rsidR="006D6921" w:rsidRDefault="006D6921" w:rsidP="004D01E2">
      <w:pPr>
        <w:spacing w:line="480" w:lineRule="auto"/>
        <w:jc w:val="both"/>
        <w:rPr>
          <w:rFonts w:ascii="Times New Roman" w:hAnsi="Times New Roman" w:cs="Times New Roman"/>
          <w:b/>
          <w:bCs/>
          <w:sz w:val="28"/>
          <w:szCs w:val="28"/>
        </w:rPr>
      </w:pPr>
    </w:p>
    <w:p w14:paraId="59605ABA" w14:textId="77777777" w:rsidR="006D6921" w:rsidRDefault="006D6921" w:rsidP="004D01E2">
      <w:pPr>
        <w:spacing w:line="480" w:lineRule="auto"/>
        <w:jc w:val="both"/>
        <w:rPr>
          <w:rFonts w:ascii="Times New Roman" w:hAnsi="Times New Roman" w:cs="Times New Roman"/>
          <w:b/>
          <w:bCs/>
          <w:sz w:val="28"/>
          <w:szCs w:val="28"/>
        </w:rPr>
      </w:pPr>
    </w:p>
    <w:p w14:paraId="79E687C5" w14:textId="77777777" w:rsidR="006D6921" w:rsidRDefault="006D6921" w:rsidP="004D01E2">
      <w:pPr>
        <w:spacing w:line="480" w:lineRule="auto"/>
        <w:jc w:val="both"/>
        <w:rPr>
          <w:rFonts w:ascii="Times New Roman" w:hAnsi="Times New Roman" w:cs="Times New Roman"/>
          <w:b/>
          <w:bCs/>
          <w:sz w:val="28"/>
          <w:szCs w:val="28"/>
        </w:rPr>
      </w:pPr>
    </w:p>
    <w:p w14:paraId="68DD948F" w14:textId="77777777" w:rsidR="006D6921" w:rsidRDefault="006D6921" w:rsidP="004D01E2">
      <w:pPr>
        <w:spacing w:line="480" w:lineRule="auto"/>
        <w:jc w:val="both"/>
        <w:rPr>
          <w:rFonts w:ascii="Times New Roman" w:hAnsi="Times New Roman" w:cs="Times New Roman"/>
          <w:b/>
          <w:bCs/>
          <w:sz w:val="28"/>
          <w:szCs w:val="28"/>
        </w:rPr>
      </w:pPr>
    </w:p>
    <w:p w14:paraId="65B3B290" w14:textId="77777777" w:rsidR="006D6921" w:rsidRDefault="006D6921" w:rsidP="004D01E2">
      <w:pPr>
        <w:spacing w:line="480" w:lineRule="auto"/>
        <w:jc w:val="both"/>
        <w:rPr>
          <w:rFonts w:ascii="Times New Roman" w:hAnsi="Times New Roman" w:cs="Times New Roman"/>
          <w:b/>
          <w:bCs/>
          <w:sz w:val="28"/>
          <w:szCs w:val="28"/>
        </w:rPr>
      </w:pPr>
    </w:p>
    <w:p w14:paraId="65EABC05" w14:textId="77777777" w:rsidR="006D6921" w:rsidRDefault="006D6921" w:rsidP="004D01E2">
      <w:pPr>
        <w:spacing w:line="480" w:lineRule="auto"/>
        <w:jc w:val="both"/>
        <w:rPr>
          <w:rFonts w:ascii="Times New Roman" w:hAnsi="Times New Roman" w:cs="Times New Roman"/>
          <w:b/>
          <w:bCs/>
          <w:sz w:val="28"/>
          <w:szCs w:val="28"/>
        </w:rPr>
      </w:pPr>
    </w:p>
    <w:p w14:paraId="52BB5B79" w14:textId="39D61B86" w:rsidR="004D01E2" w:rsidRPr="0063153C" w:rsidRDefault="004D01E2" w:rsidP="004D01E2">
      <w:pPr>
        <w:spacing w:line="480" w:lineRule="auto"/>
        <w:jc w:val="both"/>
        <w:rPr>
          <w:rFonts w:ascii="Times New Roman" w:hAnsi="Times New Roman" w:cs="Times New Roman"/>
          <w:b/>
          <w:bCs/>
          <w:sz w:val="28"/>
          <w:szCs w:val="28"/>
        </w:rPr>
      </w:pPr>
      <w:r w:rsidRPr="0063153C">
        <w:rPr>
          <w:rFonts w:ascii="Times New Roman" w:hAnsi="Times New Roman" w:cs="Times New Roman"/>
          <w:b/>
          <w:bCs/>
          <w:sz w:val="28"/>
          <w:szCs w:val="28"/>
        </w:rPr>
        <w:lastRenderedPageBreak/>
        <w:t>References</w:t>
      </w:r>
    </w:p>
    <w:p w14:paraId="21B8837A" w14:textId="7B78B973"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Azam, L., Chen, Y., &amp; Leslie, F. M. (2007). Developmental regulation of nicotinic acetylcholine receptors within midbrain dopamine neurons. Neuroscience, 144, 1347-1360.</w:t>
      </w:r>
    </w:p>
    <w:p w14:paraId="019DB92D" w14:textId="6FF5BA13"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Baan, R., Straif, K., Grosse, Y., Secretan, B., El Ghissassi, F., Bouvard, V., Altieri, A., &amp; Cogliano, V. (2007). Carcinogenicity of alcoholic bever- ages. Lancet Oncology, 8, 292-293.</w:t>
      </w:r>
    </w:p>
    <w:p w14:paraId="672912C5" w14:textId="2F8E32C5" w:rsidR="00363DBB" w:rsidRPr="004D01E2" w:rsidRDefault="00444B29"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Buke</w:t>
      </w:r>
      <w:r w:rsidR="00363DBB" w:rsidRPr="004D01E2">
        <w:rPr>
          <w:rFonts w:ascii="Times New Roman" w:hAnsi="Times New Roman" w:cs="Times New Roman"/>
          <w:sz w:val="24"/>
          <w:szCs w:val="24"/>
        </w:rPr>
        <w:t>, S. L., Shenassa, E., &amp; Niaura, R. (2003). Elevated risk of tobacco dependence among offspring of mothers who smoked during pregnancy: A 30-year prospective study. American Journal of Psychiatry, 160, 1978-1984.</w:t>
      </w:r>
    </w:p>
    <w:p w14:paraId="16C9747C" w14:textId="79592AFE"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Cornelius, M. D., Leech, S. L., Goldschmidt, L., &amp; Day, N. L. (2005). Is prenatal tobacco exposure a risk factor for early adolescent smoking? A follow-up study. Neurotoxicology and Teratology, 27, 667-676.</w:t>
      </w:r>
    </w:p>
    <w:p w14:paraId="09699194" w14:textId="3FE6C5EA"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Kinney, H. (2008). The effect of maternal smoking and drinking during pregnancy upon 3H-nicotine receptor brainstem binding in infants dying of the sudden infant death syndrome: Initial observations in a high risk population. Brain Pathology, 18, 21-31.</w:t>
      </w:r>
    </w:p>
    <w:p w14:paraId="24A50E64" w14:textId="25C3BA67"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Ekblad, M., Gissler, M., &amp; Korkeila, J. (2010). Prenatal smoking exposure and the risk of psychiatric morbidity into young adulthood. Archives of General Psychiatry, 67, 841-849.</w:t>
      </w:r>
    </w:p>
    <w:p w14:paraId="664A59A9" w14:textId="3B17E68D"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Edner, A., Wennborg, M., Alm, B., &amp; Lagercrantz, H. (2007). Why do ALTE infants not die in SIDS? Acta Paediatrica, 96, 191-194.</w:t>
      </w:r>
    </w:p>
    <w:p w14:paraId="04A0DF51" w14:textId="01E16768"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Fleming, P., &amp; Blair, P. S. (2007). Sudden infant death syndrome and paren- tal smoking. Early Human Development, 83, 721-725.</w:t>
      </w:r>
    </w:p>
    <w:p w14:paraId="012A5471" w14:textId="0E84CE90"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lastRenderedPageBreak/>
        <w:t>Gilman, S. E., Gardener, H., &amp; Buka, S. L. (2008). Maternal smoking during pregnancy and children’s cognitive and physical development: A causal risk factor? American Journal of Epidemiology, 168, 522-531.</w:t>
      </w:r>
    </w:p>
    <w:p w14:paraId="4FF63703" w14:textId="77777777"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Heron, M. (2007). Death: Leading causes for 2004. National Vital Statistic Reports, 56, 1-96.</w:t>
      </w:r>
    </w:p>
    <w:p w14:paraId="0A78E5E2" w14:textId="34E6EAFA"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Thomsen, P. H., Agerbo, E., &amp; Henriksen, T. B. (2005). Smoking during pregnancy and the risk for hyperkinetic disorder in offspring. Pediatrics, 116, 462-467.</w:t>
      </w:r>
    </w:p>
    <w:p w14:paraId="0D045388" w14:textId="6A0EF74F"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Linver, M. R., Brooks-Gunn, J., &amp; Kohen, D. E. (2002). Family processes as pathways from income to young children’s development. Developmental Psychology, 38, 719-734.</w:t>
      </w:r>
    </w:p>
    <w:p w14:paraId="3CD28DC3" w14:textId="5D09ECBF"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MacCallum, R. C., &amp; Austin, J. T. (2000). Applications of structural equa- tion modeling in psychological research. Annual Review of Psychology, 51, 201-226.</w:t>
      </w:r>
    </w:p>
    <w:p w14:paraId="77687AF8" w14:textId="2AD733EB" w:rsidR="00363DBB" w:rsidRPr="004D01E2" w:rsidRDefault="00363DBB" w:rsidP="004D01E2">
      <w:pPr>
        <w:pStyle w:val="ListParagraph"/>
        <w:numPr>
          <w:ilvl w:val="0"/>
          <w:numId w:val="9"/>
        </w:numPr>
        <w:spacing w:line="480" w:lineRule="auto"/>
        <w:jc w:val="both"/>
        <w:rPr>
          <w:rFonts w:ascii="Times New Roman" w:hAnsi="Times New Roman" w:cs="Times New Roman"/>
          <w:sz w:val="24"/>
          <w:szCs w:val="24"/>
        </w:rPr>
      </w:pPr>
      <w:r w:rsidRPr="004D01E2">
        <w:rPr>
          <w:rFonts w:ascii="Times New Roman" w:hAnsi="Times New Roman" w:cs="Times New Roman"/>
          <w:sz w:val="24"/>
          <w:szCs w:val="24"/>
        </w:rPr>
        <w:t>Markowitz, S. (2007). The effectiveness of cigarette regulations in reducing cases of Sudden Infant Death Syndrome. Journal of Health Economics, 27, 106-133.</w:t>
      </w:r>
    </w:p>
    <w:p w14:paraId="4083BCEE" w14:textId="2CA01653" w:rsidR="00363DBB" w:rsidRPr="004D01E2" w:rsidRDefault="00363DBB" w:rsidP="004D01E2">
      <w:pPr>
        <w:spacing w:line="480" w:lineRule="auto"/>
        <w:jc w:val="both"/>
        <w:rPr>
          <w:rFonts w:ascii="Times New Roman" w:hAnsi="Times New Roman" w:cs="Times New Roman"/>
          <w:sz w:val="24"/>
          <w:szCs w:val="24"/>
        </w:rPr>
      </w:pPr>
    </w:p>
    <w:p w14:paraId="0590C7FF" w14:textId="77777777" w:rsidR="004C5431" w:rsidRPr="004D01E2" w:rsidRDefault="004C5431" w:rsidP="004D01E2">
      <w:pPr>
        <w:spacing w:line="480" w:lineRule="auto"/>
        <w:jc w:val="both"/>
        <w:rPr>
          <w:rFonts w:ascii="Times New Roman" w:hAnsi="Times New Roman" w:cs="Times New Roman"/>
          <w:sz w:val="24"/>
          <w:szCs w:val="24"/>
        </w:rPr>
      </w:pPr>
    </w:p>
    <w:p w14:paraId="4DB59C60" w14:textId="08ECBEA6" w:rsidR="008C05C3" w:rsidRPr="004D01E2" w:rsidRDefault="008C05C3" w:rsidP="004D01E2">
      <w:pPr>
        <w:spacing w:line="480" w:lineRule="auto"/>
        <w:jc w:val="both"/>
        <w:rPr>
          <w:rFonts w:ascii="Times New Roman" w:hAnsi="Times New Roman" w:cs="Times New Roman"/>
          <w:sz w:val="24"/>
          <w:szCs w:val="24"/>
        </w:rPr>
      </w:pPr>
    </w:p>
    <w:p w14:paraId="7D5AAC36" w14:textId="77777777" w:rsidR="00F8356C" w:rsidRPr="004D01E2" w:rsidRDefault="00F8356C" w:rsidP="004D01E2">
      <w:pPr>
        <w:spacing w:line="480" w:lineRule="auto"/>
        <w:jc w:val="both"/>
        <w:rPr>
          <w:rFonts w:ascii="Times New Roman" w:hAnsi="Times New Roman" w:cs="Times New Roman"/>
          <w:sz w:val="24"/>
          <w:szCs w:val="24"/>
        </w:rPr>
      </w:pPr>
    </w:p>
    <w:p w14:paraId="7C5393A8" w14:textId="77777777" w:rsidR="008C05C3" w:rsidRPr="004D01E2" w:rsidRDefault="008C05C3" w:rsidP="004D01E2">
      <w:pPr>
        <w:spacing w:line="480" w:lineRule="auto"/>
        <w:jc w:val="both"/>
        <w:rPr>
          <w:rFonts w:ascii="Times New Roman" w:hAnsi="Times New Roman" w:cs="Times New Roman"/>
          <w:sz w:val="24"/>
          <w:szCs w:val="24"/>
        </w:rPr>
      </w:pPr>
    </w:p>
    <w:p w14:paraId="1EA28C2C" w14:textId="77777777" w:rsidR="008C05C3" w:rsidRPr="004D01E2" w:rsidRDefault="008C05C3" w:rsidP="004D01E2">
      <w:pPr>
        <w:spacing w:line="480" w:lineRule="auto"/>
        <w:jc w:val="both"/>
        <w:rPr>
          <w:rFonts w:ascii="Times New Roman" w:hAnsi="Times New Roman" w:cs="Times New Roman"/>
          <w:sz w:val="24"/>
          <w:szCs w:val="24"/>
        </w:rPr>
      </w:pPr>
    </w:p>
    <w:p w14:paraId="54272A0B" w14:textId="77777777" w:rsidR="008C05C3" w:rsidRPr="004D01E2" w:rsidRDefault="008C05C3" w:rsidP="004D01E2">
      <w:pPr>
        <w:spacing w:line="480" w:lineRule="auto"/>
        <w:jc w:val="both"/>
        <w:rPr>
          <w:rFonts w:ascii="Times New Roman" w:hAnsi="Times New Roman" w:cs="Times New Roman"/>
          <w:sz w:val="24"/>
          <w:szCs w:val="24"/>
        </w:rPr>
      </w:pPr>
    </w:p>
    <w:p w14:paraId="6A01556B" w14:textId="77777777" w:rsidR="008C05C3" w:rsidRPr="004D01E2" w:rsidRDefault="008C05C3" w:rsidP="004D01E2">
      <w:pPr>
        <w:spacing w:line="480" w:lineRule="auto"/>
        <w:jc w:val="both"/>
        <w:rPr>
          <w:rFonts w:ascii="Times New Roman" w:hAnsi="Times New Roman" w:cs="Times New Roman"/>
          <w:sz w:val="24"/>
          <w:szCs w:val="24"/>
        </w:rPr>
      </w:pPr>
    </w:p>
    <w:p w14:paraId="64EFB5E2" w14:textId="77777777" w:rsidR="008C05C3" w:rsidRPr="004D01E2" w:rsidRDefault="008C05C3" w:rsidP="004D01E2">
      <w:pPr>
        <w:spacing w:line="480" w:lineRule="auto"/>
        <w:jc w:val="both"/>
        <w:rPr>
          <w:rFonts w:ascii="Times New Roman" w:hAnsi="Times New Roman" w:cs="Times New Roman"/>
          <w:sz w:val="24"/>
          <w:szCs w:val="24"/>
        </w:rPr>
      </w:pPr>
    </w:p>
    <w:p w14:paraId="32511760" w14:textId="77777777" w:rsidR="008C05C3" w:rsidRPr="004D01E2" w:rsidRDefault="008C05C3" w:rsidP="004D01E2">
      <w:pPr>
        <w:spacing w:line="480" w:lineRule="auto"/>
        <w:jc w:val="both"/>
        <w:rPr>
          <w:rFonts w:ascii="Times New Roman" w:hAnsi="Times New Roman" w:cs="Times New Roman"/>
          <w:sz w:val="24"/>
          <w:szCs w:val="24"/>
        </w:rPr>
      </w:pPr>
    </w:p>
    <w:p w14:paraId="033FCB56" w14:textId="77777777" w:rsidR="008C05C3" w:rsidRPr="004D01E2" w:rsidRDefault="008C05C3" w:rsidP="004D01E2">
      <w:pPr>
        <w:spacing w:line="480" w:lineRule="auto"/>
        <w:jc w:val="both"/>
        <w:rPr>
          <w:rFonts w:ascii="Times New Roman" w:hAnsi="Times New Roman" w:cs="Times New Roman"/>
          <w:sz w:val="24"/>
          <w:szCs w:val="24"/>
        </w:rPr>
      </w:pPr>
    </w:p>
    <w:p w14:paraId="58CA5B3E" w14:textId="77777777" w:rsidR="008C05C3" w:rsidRPr="004D01E2" w:rsidRDefault="008C05C3" w:rsidP="004D01E2">
      <w:pPr>
        <w:spacing w:line="480" w:lineRule="auto"/>
        <w:jc w:val="both"/>
        <w:rPr>
          <w:rFonts w:ascii="Times New Roman" w:hAnsi="Times New Roman" w:cs="Times New Roman"/>
          <w:sz w:val="24"/>
          <w:szCs w:val="24"/>
        </w:rPr>
      </w:pPr>
    </w:p>
    <w:p w14:paraId="40347E6D" w14:textId="77777777" w:rsidR="008C05C3" w:rsidRPr="004D01E2" w:rsidRDefault="008C05C3" w:rsidP="004D01E2">
      <w:pPr>
        <w:spacing w:line="480" w:lineRule="auto"/>
        <w:jc w:val="both"/>
        <w:rPr>
          <w:rFonts w:ascii="Times New Roman" w:hAnsi="Times New Roman" w:cs="Times New Roman"/>
          <w:sz w:val="24"/>
          <w:szCs w:val="24"/>
        </w:rPr>
      </w:pPr>
    </w:p>
    <w:p w14:paraId="1179D4AC" w14:textId="77777777" w:rsidR="008113D9" w:rsidRPr="004D01E2" w:rsidRDefault="008113D9" w:rsidP="004D01E2">
      <w:pPr>
        <w:spacing w:line="480" w:lineRule="auto"/>
        <w:jc w:val="both"/>
        <w:rPr>
          <w:rFonts w:ascii="Times New Roman" w:hAnsi="Times New Roman" w:cs="Times New Roman"/>
          <w:sz w:val="24"/>
          <w:szCs w:val="24"/>
        </w:rPr>
      </w:pPr>
    </w:p>
    <w:p w14:paraId="6B2A57F3" w14:textId="4B1E5404" w:rsidR="008113D9" w:rsidRPr="004D01E2" w:rsidRDefault="008113D9" w:rsidP="004D01E2">
      <w:pPr>
        <w:spacing w:line="480" w:lineRule="auto"/>
        <w:jc w:val="both"/>
        <w:rPr>
          <w:rFonts w:ascii="Times New Roman" w:hAnsi="Times New Roman" w:cs="Times New Roman"/>
          <w:sz w:val="24"/>
          <w:szCs w:val="24"/>
        </w:rPr>
      </w:pPr>
    </w:p>
    <w:p w14:paraId="217D7DB0" w14:textId="64C1FAE2" w:rsidR="005E79DF" w:rsidRPr="004D01E2" w:rsidRDefault="005E79DF" w:rsidP="004D01E2">
      <w:pPr>
        <w:spacing w:line="480" w:lineRule="auto"/>
        <w:jc w:val="both"/>
        <w:rPr>
          <w:rFonts w:ascii="Times New Roman" w:hAnsi="Times New Roman" w:cs="Times New Roman"/>
          <w:sz w:val="24"/>
          <w:szCs w:val="24"/>
        </w:rPr>
      </w:pPr>
    </w:p>
    <w:p w14:paraId="7DBC28F4" w14:textId="77777777" w:rsidR="005E79DF" w:rsidRPr="004D01E2" w:rsidRDefault="005E79DF" w:rsidP="004D01E2">
      <w:pPr>
        <w:spacing w:line="480" w:lineRule="auto"/>
        <w:jc w:val="both"/>
        <w:rPr>
          <w:rFonts w:ascii="Times New Roman" w:hAnsi="Times New Roman" w:cs="Times New Roman"/>
          <w:sz w:val="24"/>
          <w:szCs w:val="24"/>
        </w:rPr>
      </w:pPr>
    </w:p>
    <w:p w14:paraId="2525563D" w14:textId="77777777" w:rsidR="00DC7E93" w:rsidRPr="004D01E2" w:rsidRDefault="00DC7E93" w:rsidP="004D01E2">
      <w:pPr>
        <w:spacing w:line="480" w:lineRule="auto"/>
        <w:jc w:val="both"/>
        <w:rPr>
          <w:rFonts w:ascii="Times New Roman" w:hAnsi="Times New Roman" w:cs="Times New Roman"/>
          <w:sz w:val="24"/>
          <w:szCs w:val="24"/>
        </w:rPr>
      </w:pPr>
    </w:p>
    <w:sectPr w:rsidR="00DC7E93" w:rsidRPr="004D01E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F163A" w14:textId="77777777" w:rsidR="00AD4B43" w:rsidRDefault="00AD4B43" w:rsidP="00F8356C">
      <w:pPr>
        <w:spacing w:after="0" w:line="240" w:lineRule="auto"/>
      </w:pPr>
      <w:r>
        <w:separator/>
      </w:r>
    </w:p>
  </w:endnote>
  <w:endnote w:type="continuationSeparator" w:id="0">
    <w:p w14:paraId="1C00C929" w14:textId="77777777" w:rsidR="00AD4B43" w:rsidRDefault="00AD4B43" w:rsidP="00F83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DD64" w14:textId="77777777" w:rsidR="006D6921" w:rsidRDefault="006D6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8024" w14:textId="77777777" w:rsidR="006D6921" w:rsidRDefault="006D69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CD6A" w14:textId="77777777" w:rsidR="006D6921" w:rsidRDefault="006D6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A9373" w14:textId="77777777" w:rsidR="00AD4B43" w:rsidRDefault="00AD4B43" w:rsidP="00F8356C">
      <w:pPr>
        <w:spacing w:after="0" w:line="240" w:lineRule="auto"/>
      </w:pPr>
      <w:r>
        <w:separator/>
      </w:r>
    </w:p>
  </w:footnote>
  <w:footnote w:type="continuationSeparator" w:id="0">
    <w:p w14:paraId="320B07A8" w14:textId="77777777" w:rsidR="00AD4B43" w:rsidRDefault="00AD4B43" w:rsidP="00F83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6CFF" w14:textId="77777777" w:rsidR="006D6921" w:rsidRDefault="006D6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604273"/>
      <w:docPartObj>
        <w:docPartGallery w:val="Page Numbers (Top of Page)"/>
        <w:docPartUnique/>
      </w:docPartObj>
    </w:sdtPr>
    <w:sdtEndPr>
      <w:rPr>
        <w:noProof/>
      </w:rPr>
    </w:sdtEndPr>
    <w:sdtContent>
      <w:p w14:paraId="69034860" w14:textId="722034E6" w:rsidR="006D6921" w:rsidRDefault="006D692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4D6839" w14:textId="77777777" w:rsidR="006D6921" w:rsidRDefault="006D6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0BB21" w14:textId="77777777" w:rsidR="006D6921" w:rsidRDefault="006D6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3407"/>
    <w:multiLevelType w:val="hybridMultilevel"/>
    <w:tmpl w:val="75EEB5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D6F29"/>
    <w:multiLevelType w:val="hybridMultilevel"/>
    <w:tmpl w:val="F7D2CC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E0715F"/>
    <w:multiLevelType w:val="hybridMultilevel"/>
    <w:tmpl w:val="4CF49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32A8C"/>
    <w:multiLevelType w:val="hybridMultilevel"/>
    <w:tmpl w:val="35822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D3635D"/>
    <w:multiLevelType w:val="hybridMultilevel"/>
    <w:tmpl w:val="6F8CD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F26406"/>
    <w:multiLevelType w:val="hybridMultilevel"/>
    <w:tmpl w:val="F7D2CC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F338E"/>
    <w:multiLevelType w:val="hybridMultilevel"/>
    <w:tmpl w:val="2A1CB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C718B0"/>
    <w:multiLevelType w:val="hybridMultilevel"/>
    <w:tmpl w:val="B2E0AFAE"/>
    <w:lvl w:ilvl="0" w:tplc="FFFFFFFF">
      <w:start w:val="3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0332AC"/>
    <w:multiLevelType w:val="hybridMultilevel"/>
    <w:tmpl w:val="448AACDA"/>
    <w:lvl w:ilvl="0" w:tplc="FFFFFFFF">
      <w:start w:val="3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254BA"/>
    <w:multiLevelType w:val="hybridMultilevel"/>
    <w:tmpl w:val="4FD06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1256048">
    <w:abstractNumId w:val="5"/>
  </w:num>
  <w:num w:numId="2" w16cid:durableId="576207518">
    <w:abstractNumId w:val="0"/>
  </w:num>
  <w:num w:numId="3" w16cid:durableId="1754157489">
    <w:abstractNumId w:val="8"/>
  </w:num>
  <w:num w:numId="4" w16cid:durableId="883254314">
    <w:abstractNumId w:val="7"/>
  </w:num>
  <w:num w:numId="5" w16cid:durableId="1656183749">
    <w:abstractNumId w:val="9"/>
  </w:num>
  <w:num w:numId="6" w16cid:durableId="693845462">
    <w:abstractNumId w:val="6"/>
  </w:num>
  <w:num w:numId="7" w16cid:durableId="602764098">
    <w:abstractNumId w:val="3"/>
  </w:num>
  <w:num w:numId="8" w16cid:durableId="1860044318">
    <w:abstractNumId w:val="1"/>
  </w:num>
  <w:num w:numId="9" w16cid:durableId="1917738243">
    <w:abstractNumId w:val="2"/>
  </w:num>
  <w:num w:numId="10" w16cid:durableId="1619217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E93"/>
    <w:rsid w:val="00001D86"/>
    <w:rsid w:val="00002DB8"/>
    <w:rsid w:val="00055627"/>
    <w:rsid w:val="00076B0A"/>
    <w:rsid w:val="000B6311"/>
    <w:rsid w:val="000D5ABB"/>
    <w:rsid w:val="00102F85"/>
    <w:rsid w:val="00134A6E"/>
    <w:rsid w:val="001774E6"/>
    <w:rsid w:val="001C2A47"/>
    <w:rsid w:val="001C31FD"/>
    <w:rsid w:val="00201BD3"/>
    <w:rsid w:val="002541D9"/>
    <w:rsid w:val="00292B4E"/>
    <w:rsid w:val="00294D09"/>
    <w:rsid w:val="00310706"/>
    <w:rsid w:val="00340CEE"/>
    <w:rsid w:val="0034438B"/>
    <w:rsid w:val="00363DBB"/>
    <w:rsid w:val="003A0171"/>
    <w:rsid w:val="003C64A3"/>
    <w:rsid w:val="003F4B1A"/>
    <w:rsid w:val="00402E0D"/>
    <w:rsid w:val="00444B29"/>
    <w:rsid w:val="00453F8F"/>
    <w:rsid w:val="00485F66"/>
    <w:rsid w:val="004B73A8"/>
    <w:rsid w:val="004C5431"/>
    <w:rsid w:val="004D01E2"/>
    <w:rsid w:val="005619AC"/>
    <w:rsid w:val="00576D17"/>
    <w:rsid w:val="00591596"/>
    <w:rsid w:val="005A7781"/>
    <w:rsid w:val="005C55E8"/>
    <w:rsid w:val="005D1DE4"/>
    <w:rsid w:val="005E79DF"/>
    <w:rsid w:val="00622E20"/>
    <w:rsid w:val="0063153C"/>
    <w:rsid w:val="006428C6"/>
    <w:rsid w:val="006D6921"/>
    <w:rsid w:val="006F6B7E"/>
    <w:rsid w:val="00747697"/>
    <w:rsid w:val="00772882"/>
    <w:rsid w:val="008113D9"/>
    <w:rsid w:val="00851362"/>
    <w:rsid w:val="008A4BF7"/>
    <w:rsid w:val="008C05C3"/>
    <w:rsid w:val="008E4856"/>
    <w:rsid w:val="008F1BB3"/>
    <w:rsid w:val="00907D86"/>
    <w:rsid w:val="00990F13"/>
    <w:rsid w:val="009C520C"/>
    <w:rsid w:val="00A43051"/>
    <w:rsid w:val="00A74323"/>
    <w:rsid w:val="00A872DC"/>
    <w:rsid w:val="00AA3DE4"/>
    <w:rsid w:val="00AD4B43"/>
    <w:rsid w:val="00B41EB7"/>
    <w:rsid w:val="00B53445"/>
    <w:rsid w:val="00B730C6"/>
    <w:rsid w:val="00B806F0"/>
    <w:rsid w:val="00BD1508"/>
    <w:rsid w:val="00BD3FFD"/>
    <w:rsid w:val="00CA2989"/>
    <w:rsid w:val="00D352F4"/>
    <w:rsid w:val="00DC7E93"/>
    <w:rsid w:val="00E02667"/>
    <w:rsid w:val="00E11385"/>
    <w:rsid w:val="00E1471D"/>
    <w:rsid w:val="00E259CC"/>
    <w:rsid w:val="00E50793"/>
    <w:rsid w:val="00E72B7B"/>
    <w:rsid w:val="00EB5DEA"/>
    <w:rsid w:val="00F27B3C"/>
    <w:rsid w:val="00F8356C"/>
    <w:rsid w:val="00F95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C710C8"/>
  <w15:chartTrackingRefBased/>
  <w15:docId w15:val="{321F1F6B-C2F3-664C-AB2C-1F48EDED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E93"/>
    <w:pPr>
      <w:ind w:left="720"/>
      <w:contextualSpacing/>
    </w:pPr>
  </w:style>
  <w:style w:type="character" w:styleId="Hyperlink">
    <w:name w:val="Hyperlink"/>
    <w:basedOn w:val="DefaultParagraphFont"/>
    <w:uiPriority w:val="99"/>
    <w:unhideWhenUsed/>
    <w:rsid w:val="008113D9"/>
    <w:rPr>
      <w:color w:val="0563C1" w:themeColor="hyperlink"/>
      <w:u w:val="single"/>
    </w:rPr>
  </w:style>
  <w:style w:type="character" w:styleId="UnresolvedMention">
    <w:name w:val="Unresolved Mention"/>
    <w:basedOn w:val="DefaultParagraphFont"/>
    <w:uiPriority w:val="99"/>
    <w:semiHidden/>
    <w:unhideWhenUsed/>
    <w:rsid w:val="008113D9"/>
    <w:rPr>
      <w:color w:val="605E5C"/>
      <w:shd w:val="clear" w:color="auto" w:fill="E1DFDD"/>
    </w:rPr>
  </w:style>
  <w:style w:type="paragraph" w:styleId="Header">
    <w:name w:val="header"/>
    <w:basedOn w:val="Normal"/>
    <w:link w:val="HeaderChar"/>
    <w:uiPriority w:val="99"/>
    <w:unhideWhenUsed/>
    <w:rsid w:val="00F83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356C"/>
  </w:style>
  <w:style w:type="paragraph" w:styleId="Footer">
    <w:name w:val="footer"/>
    <w:basedOn w:val="Normal"/>
    <w:link w:val="FooterChar"/>
    <w:uiPriority w:val="99"/>
    <w:unhideWhenUsed/>
    <w:rsid w:val="00F83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3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2382</Words>
  <Characters>13582</Characters>
  <Application>Microsoft Office Word</Application>
  <DocSecurity>0</DocSecurity>
  <Lines>113</Lines>
  <Paragraphs>31</Paragraphs>
  <ScaleCrop>false</ScaleCrop>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mahnoorch878@gmail.com</dc:creator>
  <cp:keywords/>
  <dc:description/>
  <cp:lastModifiedBy>roxana tiris</cp:lastModifiedBy>
  <cp:revision>3</cp:revision>
  <dcterms:created xsi:type="dcterms:W3CDTF">2022-04-03T15:24:00Z</dcterms:created>
  <dcterms:modified xsi:type="dcterms:W3CDTF">2022-04-08T08:21:00Z</dcterms:modified>
</cp:coreProperties>
</file>