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C2FA9C" wp14:paraId="2C078E63" wp14:textId="6509605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1C2FA9C" w:rsidR="5CACF39B">
        <w:rPr>
          <w:rFonts w:ascii="Aptos" w:hAnsi="Aptos" w:eastAsia="Aptos" w:cs="Aptos"/>
          <w:b w:val="1"/>
          <w:bCs w:val="1"/>
          <w:i w:val="0"/>
          <w:iCs w:val="0"/>
          <w:caps w:val="0"/>
          <w:smallCaps w:val="0"/>
          <w:noProof w:val="0"/>
          <w:color w:val="000000" w:themeColor="text1" w:themeTint="FF" w:themeShade="FF"/>
          <w:sz w:val="24"/>
          <w:szCs w:val="24"/>
          <w:lang w:val="en-US"/>
        </w:rPr>
        <w:t>Cover Sheet</w:t>
      </w:r>
      <w:r>
        <w:br/>
      </w:r>
      <w:r>
        <w:br/>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 xml:space="preserve">For this assessment, I have </w:t>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submitted</w:t>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 xml:space="preserve"> the following:</w:t>
      </w:r>
      <w:r>
        <w:br/>
      </w:r>
      <w:r>
        <w:br/>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Component 1: Professional Development Plan</w:t>
      </w:r>
      <w:r>
        <w:br/>
      </w:r>
      <w:r>
        <w:br/>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 xml:space="preserve">Component 2: Briefing Paper </w:t>
      </w:r>
      <w:r>
        <w:br/>
      </w:r>
      <w:r>
        <w:br/>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 xml:space="preserve">Component 3: </w:t>
      </w:r>
      <w:r w:rsidRPr="61C2FA9C" w:rsidR="085C0416">
        <w:rPr>
          <w:rFonts w:ascii="Aptos" w:hAnsi="Aptos" w:eastAsia="Aptos" w:cs="Aptos"/>
          <w:b w:val="0"/>
          <w:bCs w:val="0"/>
          <w:i w:val="0"/>
          <w:iCs w:val="0"/>
          <w:caps w:val="0"/>
          <w:smallCaps w:val="0"/>
          <w:noProof w:val="0"/>
          <w:color w:val="000000" w:themeColor="text1" w:themeTint="FF" w:themeShade="FF"/>
          <w:sz w:val="24"/>
          <w:szCs w:val="24"/>
          <w:lang w:val="en-US"/>
        </w:rPr>
        <w:t>Writte</w:t>
      </w:r>
      <w:r w:rsidRPr="61C2FA9C" w:rsidR="5CACF39B">
        <w:rPr>
          <w:rFonts w:ascii="Aptos" w:hAnsi="Aptos" w:eastAsia="Aptos" w:cs="Aptos"/>
          <w:b w:val="0"/>
          <w:bCs w:val="0"/>
          <w:i w:val="0"/>
          <w:iCs w:val="0"/>
          <w:caps w:val="0"/>
          <w:smallCaps w:val="0"/>
          <w:noProof w:val="0"/>
          <w:color w:val="000000" w:themeColor="text1" w:themeTint="FF" w:themeShade="FF"/>
          <w:sz w:val="24"/>
          <w:szCs w:val="24"/>
          <w:lang w:val="en-US"/>
        </w:rPr>
        <w:t>n</w:t>
      </w:r>
      <w:r w:rsidRPr="61C2FA9C" w:rsidR="66626A63">
        <w:rPr>
          <w:rFonts w:ascii="Aptos" w:hAnsi="Aptos" w:eastAsia="Aptos" w:cs="Aptos"/>
          <w:b w:val="0"/>
          <w:bCs w:val="0"/>
          <w:i w:val="0"/>
          <w:iCs w:val="0"/>
          <w:caps w:val="0"/>
          <w:smallCaps w:val="0"/>
          <w:noProof w:val="0"/>
          <w:color w:val="000000" w:themeColor="text1" w:themeTint="FF" w:themeShade="FF"/>
          <w:sz w:val="24"/>
          <w:szCs w:val="24"/>
          <w:lang w:val="en-US"/>
        </w:rPr>
        <w:t xml:space="preserve"> Essay</w:t>
      </w:r>
      <w:r>
        <w:br/>
      </w:r>
    </w:p>
    <w:p w:rsidR="61C2FA9C" w:rsidRDefault="61C2FA9C" w14:paraId="2656A856" w14:textId="0ED5FF87">
      <w:r>
        <w:br w:type="page"/>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881"/>
        <w:gridCol w:w="2490"/>
        <w:gridCol w:w="1680"/>
        <w:gridCol w:w="2360"/>
        <w:gridCol w:w="4677"/>
      </w:tblGrid>
      <w:tr w:rsidR="6B9D36D0" w:rsidTr="1D8C6EB2" w14:paraId="0C0963A1">
        <w:trPr>
          <w:trHeight w:val="300"/>
        </w:trPr>
        <w:tc>
          <w:tcPr>
            <w:tcW w:w="1881" w:type="dxa"/>
            <w:shd w:val="clear" w:color="auto" w:fill="FFF5E3"/>
            <w:tcMar>
              <w:left w:w="105" w:type="dxa"/>
              <w:right w:w="105" w:type="dxa"/>
            </w:tcMar>
            <w:vAlign w:val="top"/>
          </w:tcPr>
          <w:p w:rsidR="6B9D36D0" w:rsidP="6B9D36D0" w:rsidRDefault="6B9D36D0" w14:paraId="6423CACB" w14:textId="747B7659">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Improvement/ Development Goal</w:t>
            </w:r>
          </w:p>
        </w:tc>
        <w:tc>
          <w:tcPr>
            <w:tcW w:w="2490" w:type="dxa"/>
            <w:shd w:val="clear" w:color="auto" w:fill="FFF5E3"/>
            <w:tcMar>
              <w:left w:w="105" w:type="dxa"/>
              <w:right w:w="105" w:type="dxa"/>
            </w:tcMar>
            <w:vAlign w:val="top"/>
          </w:tcPr>
          <w:p w:rsidR="6B9D36D0" w:rsidP="6B9D36D0" w:rsidRDefault="6B9D36D0" w14:paraId="6F2A5FDF" w14:textId="23882B87">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Steps to Achieve</w:t>
            </w:r>
          </w:p>
        </w:tc>
        <w:tc>
          <w:tcPr>
            <w:tcW w:w="1680" w:type="dxa"/>
            <w:shd w:val="clear" w:color="auto" w:fill="FFF5E3"/>
            <w:tcMar>
              <w:left w:w="105" w:type="dxa"/>
              <w:right w:w="105" w:type="dxa"/>
            </w:tcMar>
            <w:vAlign w:val="top"/>
          </w:tcPr>
          <w:p w:rsidR="6B9D36D0" w:rsidP="6B9D36D0" w:rsidRDefault="6B9D36D0" w14:paraId="32333167" w14:textId="063F0638">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Timelines</w:t>
            </w:r>
          </w:p>
        </w:tc>
        <w:tc>
          <w:tcPr>
            <w:tcW w:w="2360" w:type="dxa"/>
            <w:shd w:val="clear" w:color="auto" w:fill="FFF5E3"/>
            <w:tcMar>
              <w:left w:w="105" w:type="dxa"/>
              <w:right w:w="105" w:type="dxa"/>
            </w:tcMar>
            <w:vAlign w:val="top"/>
          </w:tcPr>
          <w:p w:rsidR="6B9D36D0" w:rsidP="6B9D36D0" w:rsidRDefault="6B9D36D0" w14:paraId="1E4285B0" w14:textId="77F4B2F0">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Success Criteria</w:t>
            </w:r>
          </w:p>
        </w:tc>
        <w:tc>
          <w:tcPr>
            <w:tcW w:w="4677" w:type="dxa"/>
            <w:shd w:val="clear" w:color="auto" w:fill="FFF5E3"/>
            <w:tcMar>
              <w:left w:w="105" w:type="dxa"/>
              <w:right w:w="105" w:type="dxa"/>
            </w:tcMar>
            <w:vAlign w:val="top"/>
          </w:tcPr>
          <w:p w:rsidR="6B9D36D0" w:rsidP="6B9D36D0" w:rsidRDefault="6B9D36D0" w14:paraId="11FB3CF5" w14:textId="4E145BD1">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What will help me achieve this?</w:t>
            </w:r>
          </w:p>
        </w:tc>
      </w:tr>
      <w:tr w:rsidR="6B9D36D0" w:rsidTr="1D8C6EB2" w14:paraId="4D6ABE3A">
        <w:trPr>
          <w:trHeight w:val="300"/>
        </w:trPr>
        <w:tc>
          <w:tcPr>
            <w:tcW w:w="1881" w:type="dxa"/>
            <w:tcMar>
              <w:left w:w="105" w:type="dxa"/>
              <w:right w:w="105" w:type="dxa"/>
            </w:tcMar>
            <w:vAlign w:val="top"/>
          </w:tcPr>
          <w:p w:rsidR="6B9D36D0" w:rsidP="6B9D36D0" w:rsidRDefault="6B9D36D0" w14:paraId="27378028" w14:textId="628F4010">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Receive feedback from SLT regarding a role I was observed and interviewed for before the summer holidays to progress in my career.</w:t>
            </w:r>
          </w:p>
        </w:tc>
        <w:tc>
          <w:tcPr>
            <w:tcW w:w="2490" w:type="dxa"/>
            <w:tcMar>
              <w:left w:w="105" w:type="dxa"/>
              <w:right w:w="105" w:type="dxa"/>
            </w:tcMar>
            <w:vAlign w:val="top"/>
          </w:tcPr>
          <w:p w:rsidR="6B9D36D0" w:rsidP="6B9D36D0" w:rsidRDefault="6B9D36D0" w14:paraId="41A23600" w14:textId="75FBFF12">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1. Discuss initial feedback with headteacher (completed 20/10/25).</w:t>
            </w:r>
            <w:r>
              <w:br/>
            </w:r>
            <w:r w:rsidRPr="6B9D36D0" w:rsidR="6B9D36D0">
              <w:rPr>
                <w:rFonts w:ascii="Arial" w:hAnsi="Arial" w:eastAsia="Arial" w:cs="Arial"/>
                <w:b w:val="0"/>
                <w:bCs w:val="0"/>
                <w:i w:val="0"/>
                <w:iCs w:val="0"/>
                <w:sz w:val="24"/>
                <w:szCs w:val="24"/>
                <w:lang w:val="en-US"/>
              </w:rPr>
              <w:t>2. Email headteacher after half term to arrange a review of lesson plan with deputy headteacher (3/11/25).</w:t>
            </w:r>
          </w:p>
          <w:p w:rsidR="6B9D36D0" w:rsidP="6B9D36D0" w:rsidRDefault="6B9D36D0" w14:paraId="2AA168C3" w14:textId="22127AD6">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3. Arrange observations of colleagues who demonstrate effective practice. </w:t>
            </w:r>
          </w:p>
          <w:p w:rsidR="6B9D36D0" w:rsidP="6B9D36D0" w:rsidRDefault="6B9D36D0" w14:paraId="551BB4F5" w14:textId="4A618CAB">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4. Implement suggestions in my own practice.</w:t>
            </w:r>
          </w:p>
        </w:tc>
        <w:tc>
          <w:tcPr>
            <w:tcW w:w="1680" w:type="dxa"/>
            <w:tcMar>
              <w:left w:w="105" w:type="dxa"/>
              <w:right w:w="105" w:type="dxa"/>
            </w:tcMar>
            <w:vAlign w:val="top"/>
          </w:tcPr>
          <w:p w:rsidR="6B9D36D0" w:rsidP="6B9D36D0" w:rsidRDefault="6B9D36D0" w14:paraId="711AA457" w14:textId="1E24EC72">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Approached and emailed headteacher to arrange feedback meeting (September 2025)</w:t>
            </w:r>
            <w:r>
              <w:br/>
            </w:r>
            <w:r w:rsidRPr="6B9D36D0" w:rsidR="6B9D36D0">
              <w:rPr>
                <w:rFonts w:ascii="Arial" w:hAnsi="Arial" w:eastAsia="Arial" w:cs="Arial"/>
                <w:b w:val="0"/>
                <w:bCs w:val="0"/>
                <w:i w:val="0"/>
                <w:iCs w:val="0"/>
                <w:sz w:val="24"/>
                <w:szCs w:val="24"/>
                <w:lang w:val="en-US"/>
              </w:rPr>
              <w:t>Initial feedback (20/10/25)</w:t>
            </w:r>
            <w:r>
              <w:br/>
            </w:r>
            <w:r w:rsidRPr="6B9D36D0" w:rsidR="6B9D36D0">
              <w:rPr>
                <w:rFonts w:ascii="Arial" w:hAnsi="Arial" w:eastAsia="Arial" w:cs="Arial"/>
                <w:b w:val="0"/>
                <w:bCs w:val="0"/>
                <w:i w:val="0"/>
                <w:iCs w:val="0"/>
                <w:sz w:val="24"/>
                <w:szCs w:val="24"/>
                <w:lang w:val="en-US"/>
              </w:rPr>
              <w:t>Next step: email headteacher after half term. Lesson plan review and observations scheduled shortly after (20/12/25)</w:t>
            </w:r>
          </w:p>
        </w:tc>
        <w:tc>
          <w:tcPr>
            <w:tcW w:w="2360" w:type="dxa"/>
            <w:tcMar>
              <w:left w:w="105" w:type="dxa"/>
              <w:right w:w="105" w:type="dxa"/>
            </w:tcMar>
            <w:vAlign w:val="top"/>
          </w:tcPr>
          <w:p w:rsidR="6B9D36D0" w:rsidP="6B9D36D0" w:rsidRDefault="6B9D36D0" w14:paraId="3F04D035" w14:textId="2D2554E7">
            <w:pPr>
              <w:spacing w:line="360" w:lineRule="auto"/>
              <w:ind w:left="0"/>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Opportunity to meet with deputy headteacher to review lesson plan.</w:t>
            </w:r>
          </w:p>
          <w:p w:rsidR="6B9D36D0" w:rsidP="6B9D36D0" w:rsidRDefault="6B9D36D0" w14:paraId="79C4FDFE" w14:textId="4C730324">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Complete observations of colleagues.</w:t>
            </w:r>
          </w:p>
          <w:p w:rsidR="6C3C542D" w:rsidP="6B9D36D0" w:rsidRDefault="6C3C542D" w14:paraId="428A8A5A" w14:textId="24ABD8C7">
            <w:pPr>
              <w:pStyle w:val="Normal"/>
              <w:spacing w:line="360" w:lineRule="auto"/>
              <w:rPr>
                <w:rFonts w:ascii="Arial" w:hAnsi="Arial" w:eastAsia="Arial" w:cs="Arial"/>
                <w:b w:val="0"/>
                <w:bCs w:val="0"/>
                <w:i w:val="0"/>
                <w:iCs w:val="0"/>
                <w:sz w:val="24"/>
                <w:szCs w:val="24"/>
                <w:lang w:val="en-US"/>
              </w:rPr>
            </w:pPr>
            <w:r w:rsidRPr="6B9D36D0" w:rsidR="6C3C542D">
              <w:rPr>
                <w:rFonts w:ascii="Arial" w:hAnsi="Arial" w:eastAsia="Arial" w:cs="Arial"/>
                <w:b w:val="0"/>
                <w:bCs w:val="0"/>
                <w:i w:val="0"/>
                <w:iCs w:val="0"/>
                <w:sz w:val="24"/>
                <w:szCs w:val="24"/>
                <w:lang w:val="en-US"/>
              </w:rPr>
              <w:t>- Successfully applying feedback in my practice.</w:t>
            </w:r>
          </w:p>
          <w:p w:rsidR="6B9D36D0" w:rsidP="6B9D36D0" w:rsidRDefault="6B9D36D0" w14:paraId="4FC6F14B" w14:textId="301A5663">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Supports quality teaching in Early Years as it shows reflection, determination and improvement.</w:t>
            </w:r>
          </w:p>
        </w:tc>
        <w:tc>
          <w:tcPr>
            <w:tcW w:w="4677" w:type="dxa"/>
            <w:tcMar>
              <w:left w:w="105" w:type="dxa"/>
              <w:right w:w="105" w:type="dxa"/>
            </w:tcMar>
            <w:vAlign w:val="top"/>
          </w:tcPr>
          <w:p w:rsidR="6B9D36D0" w:rsidP="6B9D36D0" w:rsidRDefault="6B9D36D0" w14:paraId="55FD21BD" w14:textId="3598EBAA">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Constructive feedback and guidance from SLT.</w:t>
            </w:r>
          </w:p>
          <w:p w:rsidR="6B9D36D0" w:rsidP="6B9D36D0" w:rsidRDefault="6B9D36D0" w14:paraId="0CA74759" w14:textId="21B4C687">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Opportunities to observe effective practice.</w:t>
            </w:r>
          </w:p>
          <w:p w:rsidR="6B9D36D0" w:rsidP="6B9D36D0" w:rsidRDefault="6B9D36D0" w14:paraId="276CC7A0" w14:textId="09F78A85">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Time for reflection and applying suggestions.</w:t>
            </w:r>
            <w:r>
              <w:br/>
            </w:r>
            <w:r w:rsidRPr="6B9D36D0" w:rsidR="6B9D36D0">
              <w:rPr>
                <w:rFonts w:ascii="Arial" w:hAnsi="Arial" w:eastAsia="Arial" w:cs="Arial"/>
                <w:b w:val="0"/>
                <w:bCs w:val="0"/>
                <w:i w:val="0"/>
                <w:iCs w:val="0"/>
                <w:sz w:val="24"/>
                <w:szCs w:val="24"/>
                <w:lang w:val="en-US"/>
              </w:rPr>
              <w:t xml:space="preserve">- This will help develop professional skills, and confidence to apply in Early Years practice.  </w:t>
            </w:r>
          </w:p>
        </w:tc>
      </w:tr>
      <w:tr w:rsidR="6B9D36D0" w:rsidTr="1D8C6EB2" w14:paraId="58706432">
        <w:trPr>
          <w:trHeight w:val="300"/>
        </w:trPr>
        <w:tc>
          <w:tcPr>
            <w:tcW w:w="1881" w:type="dxa"/>
            <w:tcMar>
              <w:left w:w="105" w:type="dxa"/>
              <w:right w:w="105" w:type="dxa"/>
            </w:tcMar>
            <w:vAlign w:val="top"/>
          </w:tcPr>
          <w:p w:rsidR="6B9D36D0" w:rsidP="6B9D36D0" w:rsidRDefault="6B9D36D0" w14:paraId="35098E6A" w14:textId="53839EF9">
            <w:pPr>
              <w:spacing w:before="0" w:beforeAutospacing="off" w:after="0" w:afterAutospacing="off" w:line="360" w:lineRule="auto"/>
              <w:ind w:left="0" w:right="0"/>
              <w:jc w:val="left"/>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caps w:val="0"/>
                <w:smallCaps w:val="0"/>
                <w:color w:val="000000" w:themeColor="text1" w:themeTint="FF" w:themeShade="FF"/>
                <w:sz w:val="24"/>
                <w:szCs w:val="24"/>
                <w:lang w:val="en-US"/>
              </w:rPr>
              <w:t xml:space="preserve">Finalise and present a structured plan for ‘The Hive’ to our ALNCo – a life skills and social development programme for students with additional learning needs. </w:t>
            </w:r>
            <w:r w:rsidRPr="6B9D36D0" w:rsidR="6B9D36D0">
              <w:rPr>
                <w:rFonts w:ascii="Arial" w:hAnsi="Arial" w:eastAsia="Arial" w:cs="Arial"/>
                <w:b w:val="0"/>
                <w:bCs w:val="0"/>
                <w:i w:val="0"/>
                <w:iCs w:val="0"/>
                <w:sz w:val="24"/>
                <w:szCs w:val="24"/>
                <w:lang w:val="en-US"/>
              </w:rPr>
              <w:t xml:space="preserve"> </w:t>
            </w:r>
          </w:p>
          <w:p w:rsidR="6B9D36D0" w:rsidP="6B9D36D0" w:rsidRDefault="6B9D36D0" w14:paraId="12FF7095" w14:textId="6F4633B7">
            <w:pPr>
              <w:spacing w:line="360" w:lineRule="auto"/>
              <w:rPr>
                <w:rFonts w:ascii="Arial" w:hAnsi="Arial" w:eastAsia="Arial" w:cs="Arial"/>
                <w:b w:val="0"/>
                <w:bCs w:val="0"/>
                <w:i w:val="0"/>
                <w:iCs w:val="0"/>
                <w:sz w:val="24"/>
                <w:szCs w:val="24"/>
                <w:lang w:val="en-US"/>
              </w:rPr>
            </w:pPr>
          </w:p>
        </w:tc>
        <w:tc>
          <w:tcPr>
            <w:tcW w:w="2490" w:type="dxa"/>
            <w:tcMar>
              <w:left w:w="105" w:type="dxa"/>
              <w:right w:w="105" w:type="dxa"/>
            </w:tcMar>
            <w:vAlign w:val="top"/>
          </w:tcPr>
          <w:p w:rsidR="6B9D36D0" w:rsidP="6B9D36D0" w:rsidRDefault="6B9D36D0" w14:paraId="6A7543B6" w14:textId="422BF3B5">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1. Develop and share proposal with headteacher and ALNCo (completed).</w:t>
            </w:r>
          </w:p>
          <w:p w:rsidR="6B9D36D0" w:rsidP="6B9D36D0" w:rsidRDefault="6B9D36D0" w14:paraId="05E72476" w14:textId="0ED61211">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2. Await feedback from ALNCo regarding the meeting they had about programme with Local Authority.</w:t>
            </w:r>
            <w:r>
              <w:br/>
            </w:r>
            <w:r w:rsidRPr="6B9D36D0" w:rsidR="6B9D36D0">
              <w:rPr>
                <w:rFonts w:ascii="Arial" w:hAnsi="Arial" w:eastAsia="Arial" w:cs="Arial"/>
                <w:b w:val="0"/>
                <w:bCs w:val="0"/>
                <w:i w:val="0"/>
                <w:iCs w:val="0"/>
                <w:sz w:val="24"/>
                <w:szCs w:val="24"/>
                <w:lang w:val="en-US"/>
              </w:rPr>
              <w:t>3. Discuss next steps and professional development during meeting with ALNCo after half term (4/11/25).</w:t>
            </w:r>
          </w:p>
          <w:p w:rsidR="6B9D36D0" w:rsidP="6B9D36D0" w:rsidRDefault="6B9D36D0" w14:paraId="76FF3A4F" w14:textId="0A241ADE">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4. Adapt plan based on feedback and professional development meeting. </w:t>
            </w:r>
          </w:p>
        </w:tc>
        <w:tc>
          <w:tcPr>
            <w:tcW w:w="1680" w:type="dxa"/>
            <w:tcMar>
              <w:left w:w="105" w:type="dxa"/>
              <w:right w:w="105" w:type="dxa"/>
            </w:tcMar>
            <w:vAlign w:val="top"/>
          </w:tcPr>
          <w:p w:rsidR="6B9D36D0" w:rsidP="6B9D36D0" w:rsidRDefault="6B9D36D0" w14:paraId="12464BA2" w14:textId="65C243C9">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‘The Hive’ proposal shared and feedback received (October 2025). Follow up meeting with ALNCo after half term to review next steps (November 2025).  </w:t>
            </w:r>
          </w:p>
        </w:tc>
        <w:tc>
          <w:tcPr>
            <w:tcW w:w="2360" w:type="dxa"/>
            <w:tcMar>
              <w:left w:w="105" w:type="dxa"/>
              <w:right w:w="105" w:type="dxa"/>
            </w:tcMar>
            <w:vAlign w:val="top"/>
          </w:tcPr>
          <w:p w:rsidR="6B9D36D0" w:rsidP="1D8C6EB2" w:rsidRDefault="6B9D36D0" w14:paraId="4D50CE75" w14:noSpellErr="1" w14:textId="4313D6B8">
            <w:pPr>
              <w:spacing w:line="360" w:lineRule="auto"/>
              <w:ind w:left="0"/>
              <w:rPr>
                <w:rFonts w:ascii="Arial" w:hAnsi="Arial" w:eastAsia="Arial" w:cs="Arial"/>
                <w:b w:val="0"/>
                <w:bCs w:val="0"/>
                <w:i w:val="0"/>
                <w:iCs w:val="0"/>
                <w:sz w:val="24"/>
                <w:szCs w:val="24"/>
                <w:lang w:val="en-US"/>
              </w:rPr>
            </w:pPr>
            <w:r w:rsidRPr="1D8C6EB2" w:rsidR="6B9D36D0">
              <w:rPr>
                <w:rFonts w:ascii="Arial" w:hAnsi="Arial" w:eastAsia="Arial" w:cs="Arial"/>
                <w:b w:val="0"/>
                <w:bCs w:val="0"/>
                <w:i w:val="0"/>
                <w:iCs w:val="0"/>
                <w:sz w:val="24"/>
                <w:szCs w:val="24"/>
                <w:lang w:val="en-US"/>
              </w:rPr>
              <w:t>- ‘The Hive’ Proposal has been positively received by headteacher and ALNCo. (9/10/25)</w:t>
            </w:r>
            <w:r>
              <w:br/>
            </w:r>
            <w:r w:rsidRPr="1D8C6EB2" w:rsidR="6B9D36D0">
              <w:rPr>
                <w:rFonts w:ascii="Arial" w:hAnsi="Arial" w:eastAsia="Arial" w:cs="Arial"/>
                <w:b w:val="0"/>
                <w:bCs w:val="0"/>
                <w:i w:val="0"/>
                <w:iCs w:val="0"/>
                <w:sz w:val="24"/>
                <w:szCs w:val="24"/>
                <w:lang w:val="en-US"/>
              </w:rPr>
              <w:t xml:space="preserve">- Further input from the Local Authority and a professional discussion with ALNCo will inform </w:t>
            </w:r>
            <w:r w:rsidRPr="1D8C6EB2" w:rsidR="6B9D36D0">
              <w:rPr>
                <w:rFonts w:ascii="Arial" w:hAnsi="Arial" w:eastAsia="Arial" w:cs="Arial"/>
                <w:b w:val="0"/>
                <w:bCs w:val="0"/>
                <w:i w:val="0"/>
                <w:iCs w:val="0"/>
                <w:sz w:val="24"/>
                <w:szCs w:val="24"/>
                <w:lang w:val="en-US"/>
              </w:rPr>
              <w:t>next</w:t>
            </w:r>
            <w:r w:rsidRPr="1D8C6EB2" w:rsidR="6B9D36D0">
              <w:rPr>
                <w:rFonts w:ascii="Arial" w:hAnsi="Arial" w:eastAsia="Arial" w:cs="Arial"/>
                <w:b w:val="0"/>
                <w:bCs w:val="0"/>
                <w:i w:val="0"/>
                <w:iCs w:val="0"/>
                <w:sz w:val="24"/>
                <w:szCs w:val="24"/>
                <w:lang w:val="en-US"/>
              </w:rPr>
              <w:t xml:space="preserve"> steps for </w:t>
            </w:r>
            <w:r w:rsidRPr="1D8C6EB2" w:rsidR="6B9D36D0">
              <w:rPr>
                <w:rFonts w:ascii="Arial" w:hAnsi="Arial" w:eastAsia="Arial" w:cs="Arial"/>
                <w:b w:val="0"/>
                <w:bCs w:val="0"/>
                <w:i w:val="0"/>
                <w:iCs w:val="0"/>
                <w:sz w:val="24"/>
                <w:szCs w:val="24"/>
                <w:lang w:val="en-US"/>
              </w:rPr>
              <w:t>programme</w:t>
            </w:r>
            <w:r w:rsidRPr="1D8C6EB2" w:rsidR="6B9D36D0">
              <w:rPr>
                <w:rFonts w:ascii="Arial" w:hAnsi="Arial" w:eastAsia="Arial" w:cs="Arial"/>
                <w:b w:val="0"/>
                <w:bCs w:val="0"/>
                <w:i w:val="0"/>
                <w:iCs w:val="0"/>
                <w:sz w:val="24"/>
                <w:szCs w:val="24"/>
                <w:lang w:val="en-US"/>
              </w:rPr>
              <w:t xml:space="preserve">. </w:t>
            </w:r>
            <w:r>
              <w:br/>
            </w:r>
            <w:r w:rsidRPr="1D8C6EB2" w:rsidR="6B9D36D0">
              <w:rPr>
                <w:rFonts w:ascii="Arial" w:hAnsi="Arial" w:eastAsia="Arial" w:cs="Arial"/>
                <w:b w:val="0"/>
                <w:bCs w:val="0"/>
                <w:i w:val="0"/>
                <w:iCs w:val="0"/>
                <w:sz w:val="24"/>
                <w:szCs w:val="24"/>
                <w:lang w:val="en-US"/>
              </w:rPr>
              <w:t>- Supports inclusion and social development, in line with Early Years Framework</w:t>
            </w:r>
            <w:r w:rsidRPr="1D8C6EB2" w:rsidR="38982CCD">
              <w:rPr>
                <w:rFonts w:ascii="Arial" w:hAnsi="Arial" w:eastAsia="Arial" w:cs="Arial"/>
                <w:b w:val="0"/>
                <w:bCs w:val="0"/>
                <w:i w:val="0"/>
                <w:iCs w:val="0"/>
                <w:sz w:val="24"/>
                <w:szCs w:val="24"/>
                <w:lang w:val="en-US"/>
              </w:rPr>
              <w:t xml:space="preserve"> (Welsh Government, 2015).</w:t>
            </w:r>
          </w:p>
        </w:tc>
        <w:tc>
          <w:tcPr>
            <w:tcW w:w="4677" w:type="dxa"/>
            <w:tcMar>
              <w:left w:w="105" w:type="dxa"/>
              <w:right w:w="105" w:type="dxa"/>
            </w:tcMar>
            <w:vAlign w:val="top"/>
          </w:tcPr>
          <w:p w:rsidR="6B9D36D0" w:rsidP="6B9D36D0" w:rsidRDefault="6B9D36D0" w14:paraId="31A6464B" w14:textId="0413219D">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Support and guidance from ALNCo and SLT.</w:t>
            </w:r>
          </w:p>
          <w:p w:rsidR="6B9D36D0" w:rsidP="6B9D36D0" w:rsidRDefault="6B9D36D0" w14:paraId="76556554" w14:textId="244C5F39">
            <w:pPr>
              <w:spacing w:line="360" w:lineRule="auto"/>
              <w:ind w:left="0"/>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Feedback from Local Authority.</w:t>
            </w:r>
          </w:p>
          <w:p w:rsidR="6B9D36D0" w:rsidP="6B9D36D0" w:rsidRDefault="6B9D36D0" w14:paraId="0AC3F271" w14:textId="25AEF3FB">
            <w:pPr>
              <w:spacing w:line="360" w:lineRule="auto"/>
              <w:ind w:left="0"/>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 Time to refine and develop ‘The Hive’ based on new information. </w:t>
            </w:r>
          </w:p>
          <w:p w:rsidR="6B9D36D0" w:rsidP="6B9D36D0" w:rsidRDefault="6B9D36D0" w14:paraId="0C357B67" w14:textId="62C185DA">
            <w:pPr>
              <w:spacing w:line="360" w:lineRule="auto"/>
              <w:ind w:left="0"/>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Chances to visit different settings supporting learners with additional needs to observe their practice and support collaboration.</w:t>
            </w:r>
          </w:p>
        </w:tc>
      </w:tr>
      <w:tr w:rsidR="6B9D36D0" w:rsidTr="1D8C6EB2" w14:paraId="0DC75732">
        <w:trPr>
          <w:trHeight w:val="300"/>
        </w:trPr>
        <w:tc>
          <w:tcPr>
            <w:tcW w:w="1881" w:type="dxa"/>
            <w:tcMar>
              <w:left w:w="105" w:type="dxa"/>
              <w:right w:w="105" w:type="dxa"/>
            </w:tcMar>
            <w:vAlign w:val="top"/>
          </w:tcPr>
          <w:p w:rsidR="6B9D36D0" w:rsidP="6B9D36D0" w:rsidRDefault="6B9D36D0" w14:paraId="1DE95182" w14:textId="7FC8340C">
            <w:pPr>
              <w:spacing w:before="0" w:beforeAutospacing="off" w:after="0" w:afterAutospacing="off" w:line="360" w:lineRule="auto"/>
              <w:ind w:left="0" w:right="0"/>
              <w:jc w:val="left"/>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caps w:val="0"/>
                <w:smallCaps w:val="0"/>
                <w:sz w:val="24"/>
                <w:szCs w:val="24"/>
                <w:lang w:val="en-US"/>
              </w:rPr>
              <w:t xml:space="preserve">Complete my ‘Early Years Education and Care: Early Years Practitioner Status’ with First-Class Honours degree. </w:t>
            </w:r>
          </w:p>
          <w:p w:rsidR="6B9D36D0" w:rsidP="6B9D36D0" w:rsidRDefault="6B9D36D0" w14:paraId="688239DB" w14:textId="00A5A200">
            <w:pPr>
              <w:spacing w:line="360" w:lineRule="auto"/>
              <w:rPr>
                <w:rFonts w:ascii="Arial" w:hAnsi="Arial" w:eastAsia="Arial" w:cs="Arial"/>
                <w:b w:val="0"/>
                <w:bCs w:val="0"/>
                <w:i w:val="0"/>
                <w:iCs w:val="0"/>
                <w:sz w:val="24"/>
                <w:szCs w:val="24"/>
                <w:lang w:val="en-US"/>
              </w:rPr>
            </w:pPr>
          </w:p>
        </w:tc>
        <w:tc>
          <w:tcPr>
            <w:tcW w:w="2490" w:type="dxa"/>
            <w:tcMar>
              <w:left w:w="105" w:type="dxa"/>
              <w:right w:w="105" w:type="dxa"/>
            </w:tcMar>
            <w:vAlign w:val="top"/>
          </w:tcPr>
          <w:p w:rsidR="6B9D36D0" w:rsidP="6B9D36D0" w:rsidRDefault="6B9D36D0" w14:paraId="6DE1E949" w14:textId="48A0BBC8">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1. Develop and maintain positive and consistent study habits to meet assignment deadlines. </w:t>
            </w:r>
          </w:p>
          <w:p w:rsidR="6B9D36D0" w:rsidP="6B9D36D0" w:rsidRDefault="6B9D36D0" w14:paraId="29C67252" w14:textId="0F1259AB">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2. Apply feedback given from tutors when completing future assignments. </w:t>
            </w:r>
          </w:p>
          <w:p w:rsidR="6B9D36D0" w:rsidP="6B9D36D0" w:rsidRDefault="6B9D36D0" w14:paraId="65407B3E" w14:textId="6ED5C3F1">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3. Access any academic support when needed such as Study Skills, Wellbeing Support, Statement of Compensatory Measures and DSA.</w:t>
            </w:r>
          </w:p>
          <w:p w:rsidR="6B9D36D0" w:rsidP="6B9D36D0" w:rsidRDefault="6B9D36D0" w14:paraId="7D099322" w14:textId="2373F68A">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4. Apply theoretical knowledge from my degree to real life experiences to cement understanding. </w:t>
            </w:r>
          </w:p>
        </w:tc>
        <w:tc>
          <w:tcPr>
            <w:tcW w:w="1680" w:type="dxa"/>
            <w:tcMar>
              <w:left w:w="105" w:type="dxa"/>
              <w:right w:w="105" w:type="dxa"/>
            </w:tcMar>
            <w:vAlign w:val="top"/>
          </w:tcPr>
          <w:p w:rsidR="6B9D36D0" w:rsidP="6B9D36D0" w:rsidRDefault="6B9D36D0" w14:paraId="62470ABA" w14:textId="39417497">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Course completion: July 2027.</w:t>
            </w:r>
          </w:p>
          <w:p w:rsidR="6B9D36D0" w:rsidP="6B9D36D0" w:rsidRDefault="6B9D36D0" w14:paraId="32D5C4E9" w14:textId="06FB946C">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First assignment feedback (23/10/25) achieved 74/100, showing determination and clear progress.</w:t>
            </w:r>
          </w:p>
          <w:p w:rsidR="6B9D36D0" w:rsidP="6B9D36D0" w:rsidRDefault="6B9D36D0" w14:paraId="56ECDA9D" w14:textId="6DFD93BE">
            <w:pPr>
              <w:spacing w:line="360" w:lineRule="auto"/>
              <w:rPr>
                <w:rFonts w:ascii="Arial" w:hAnsi="Arial" w:eastAsia="Arial" w:cs="Arial"/>
                <w:b w:val="0"/>
                <w:bCs w:val="0"/>
                <w:i w:val="0"/>
                <w:iCs w:val="0"/>
                <w:sz w:val="24"/>
                <w:szCs w:val="24"/>
                <w:lang w:val="en-US"/>
              </w:rPr>
            </w:pPr>
            <w:r w:rsidRPr="6B9D36D0" w:rsidR="6B9D36D0">
              <w:rPr>
                <w:rFonts w:ascii="Arial" w:hAnsi="Arial" w:eastAsia="Arial" w:cs="Arial"/>
                <w:b w:val="0"/>
                <w:bCs w:val="0"/>
                <w:i w:val="0"/>
                <w:iCs w:val="0"/>
                <w:sz w:val="24"/>
                <w:szCs w:val="24"/>
                <w:lang w:val="en-US"/>
              </w:rPr>
              <w:t xml:space="preserve">Continue tracking grades and feedback throughout the course. </w:t>
            </w:r>
          </w:p>
        </w:tc>
        <w:tc>
          <w:tcPr>
            <w:tcW w:w="2360" w:type="dxa"/>
            <w:tcMar>
              <w:left w:w="105" w:type="dxa"/>
              <w:right w:w="105" w:type="dxa"/>
            </w:tcMar>
            <w:vAlign w:val="top"/>
          </w:tcPr>
          <w:p w:rsidR="6B9D36D0" w:rsidP="25EE56CC" w:rsidRDefault="6B9D36D0" w14:paraId="51C0F190" w14:noSpellErr="1" w14:textId="4B1372DA">
            <w:pPr>
              <w:pStyle w:val="Normal"/>
              <w:spacing w:line="360" w:lineRule="auto"/>
              <w:rPr>
                <w:rFonts w:ascii="Arial" w:hAnsi="Arial" w:eastAsia="Arial" w:cs="Arial"/>
                <w:b w:val="0"/>
                <w:bCs w:val="0"/>
                <w:i w:val="0"/>
                <w:iCs w:val="0"/>
                <w:sz w:val="24"/>
                <w:szCs w:val="24"/>
                <w:lang w:val="en-US"/>
              </w:rPr>
            </w:pPr>
            <w:r w:rsidRPr="25EE56CC" w:rsidR="70F9D437">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 xml:space="preserve">Achieve high grades consistently across assignments. </w:t>
            </w:r>
          </w:p>
          <w:p w:rsidR="6B9D36D0" w:rsidP="25EE56CC" w:rsidRDefault="6B9D36D0" w14:paraId="61794C02" w14:noSpellErr="1" w14:textId="24C3A9F8">
            <w:pPr>
              <w:pStyle w:val="Normal"/>
              <w:spacing w:line="360" w:lineRule="auto"/>
              <w:rPr>
                <w:rFonts w:ascii="Arial" w:hAnsi="Arial" w:eastAsia="Arial" w:cs="Arial"/>
                <w:b w:val="0"/>
                <w:bCs w:val="0"/>
                <w:i w:val="0"/>
                <w:iCs w:val="0"/>
                <w:sz w:val="24"/>
                <w:szCs w:val="24"/>
                <w:lang w:val="en-US"/>
              </w:rPr>
            </w:pPr>
            <w:r w:rsidRPr="25EE56CC" w:rsidR="17BEF882">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 xml:space="preserve">First assignment feedback (74/100) is a positive </w:t>
            </w:r>
            <w:r w:rsidRPr="25EE56CC" w:rsidR="6B9D36D0">
              <w:rPr>
                <w:rFonts w:ascii="Arial" w:hAnsi="Arial" w:eastAsia="Arial" w:cs="Arial"/>
                <w:b w:val="0"/>
                <w:bCs w:val="0"/>
                <w:i w:val="0"/>
                <w:iCs w:val="0"/>
                <w:sz w:val="24"/>
                <w:szCs w:val="24"/>
                <w:lang w:val="en-US"/>
              </w:rPr>
              <w:t>indication</w:t>
            </w:r>
            <w:r w:rsidRPr="25EE56CC" w:rsidR="6B9D36D0">
              <w:rPr>
                <w:rFonts w:ascii="Arial" w:hAnsi="Arial" w:eastAsia="Arial" w:cs="Arial"/>
                <w:b w:val="0"/>
                <w:bCs w:val="0"/>
                <w:i w:val="0"/>
                <w:iCs w:val="0"/>
                <w:sz w:val="24"/>
                <w:szCs w:val="24"/>
                <w:lang w:val="en-US"/>
              </w:rPr>
              <w:t xml:space="preserve"> of academic progress.</w:t>
            </w:r>
            <w:r>
              <w:br/>
            </w:r>
            <w:r w:rsidRPr="25EE56CC" w:rsidR="2D06D8EF">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 xml:space="preserve">At times </w:t>
            </w:r>
            <w:r w:rsidRPr="25EE56CC" w:rsidR="6B9D36D0">
              <w:rPr>
                <w:rFonts w:ascii="Arial" w:hAnsi="Arial" w:eastAsia="Arial" w:cs="Arial"/>
                <w:b w:val="0"/>
                <w:bCs w:val="0"/>
                <w:i w:val="0"/>
                <w:iCs w:val="0"/>
                <w:sz w:val="24"/>
                <w:szCs w:val="24"/>
                <w:lang w:val="en-US"/>
              </w:rPr>
              <w:t>additional</w:t>
            </w:r>
            <w:r w:rsidRPr="25EE56CC" w:rsidR="6B9D36D0">
              <w:rPr>
                <w:rFonts w:ascii="Arial" w:hAnsi="Arial" w:eastAsia="Arial" w:cs="Arial"/>
                <w:b w:val="0"/>
                <w:bCs w:val="0"/>
                <w:i w:val="0"/>
                <w:iCs w:val="0"/>
                <w:sz w:val="24"/>
                <w:szCs w:val="24"/>
                <w:lang w:val="en-US"/>
              </w:rPr>
              <w:t xml:space="preserve"> support and task breakdowns are needed to ensure full understanding of assignments, </w:t>
            </w:r>
            <w:r w:rsidRPr="25EE56CC" w:rsidR="6B9D36D0">
              <w:rPr>
                <w:rFonts w:ascii="Arial" w:hAnsi="Arial" w:eastAsia="Arial" w:cs="Arial"/>
                <w:b w:val="0"/>
                <w:bCs w:val="0"/>
                <w:i w:val="0"/>
                <w:iCs w:val="0"/>
                <w:sz w:val="24"/>
                <w:szCs w:val="24"/>
                <w:lang w:val="en-US"/>
              </w:rPr>
              <w:t>good time</w:t>
            </w:r>
            <w:r w:rsidRPr="25EE56CC" w:rsidR="6B9D36D0">
              <w:rPr>
                <w:rFonts w:ascii="Arial" w:hAnsi="Arial" w:eastAsia="Arial" w:cs="Arial"/>
                <w:b w:val="0"/>
                <w:bCs w:val="0"/>
                <w:i w:val="0"/>
                <w:iCs w:val="0"/>
                <w:sz w:val="24"/>
                <w:szCs w:val="24"/>
                <w:lang w:val="en-US"/>
              </w:rPr>
              <w:t xml:space="preserve"> management, and use of strategies like chunking. </w:t>
            </w:r>
          </w:p>
        </w:tc>
        <w:tc>
          <w:tcPr>
            <w:tcW w:w="4677" w:type="dxa"/>
            <w:tcMar>
              <w:left w:w="105" w:type="dxa"/>
              <w:right w:w="105" w:type="dxa"/>
            </w:tcMar>
            <w:vAlign w:val="top"/>
          </w:tcPr>
          <w:p w:rsidR="6B9D36D0" w:rsidP="25EE56CC" w:rsidRDefault="6B9D36D0" w14:paraId="3F0F7C9E" w14:noSpellErr="1" w14:textId="46501B46">
            <w:pPr>
              <w:pStyle w:val="Normal"/>
              <w:spacing w:line="360" w:lineRule="auto"/>
              <w:rPr>
                <w:rFonts w:ascii="Arial" w:hAnsi="Arial" w:eastAsia="Arial" w:cs="Arial"/>
                <w:b w:val="0"/>
                <w:bCs w:val="0"/>
                <w:i w:val="0"/>
                <w:iCs w:val="0"/>
                <w:sz w:val="24"/>
                <w:szCs w:val="24"/>
                <w:lang w:val="en-US"/>
              </w:rPr>
            </w:pPr>
            <w:r w:rsidRPr="25EE56CC" w:rsidR="5EAECCF1">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Constructive feedback and guidance from tutors.</w:t>
            </w:r>
          </w:p>
          <w:p w:rsidR="6B9D36D0" w:rsidP="25EE56CC" w:rsidRDefault="6B9D36D0" w14:paraId="5C4F923B" w14:noSpellErr="1" w14:textId="711DFF53">
            <w:pPr>
              <w:pStyle w:val="Normal"/>
              <w:spacing w:line="360" w:lineRule="auto"/>
              <w:rPr>
                <w:rFonts w:ascii="Arial" w:hAnsi="Arial" w:eastAsia="Arial" w:cs="Arial"/>
                <w:b w:val="0"/>
                <w:bCs w:val="0"/>
                <w:i w:val="0"/>
                <w:iCs w:val="0"/>
                <w:sz w:val="24"/>
                <w:szCs w:val="24"/>
                <w:lang w:val="en-US"/>
              </w:rPr>
            </w:pPr>
            <w:r w:rsidRPr="25EE56CC" w:rsidR="6E2CCD73">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Access to academic and wellbeing support.</w:t>
            </w:r>
          </w:p>
          <w:p w:rsidR="6B9D36D0" w:rsidP="25EE56CC" w:rsidRDefault="6B9D36D0" w14:paraId="4EC54ED8" w14:noSpellErr="1" w14:textId="57FF8D0E">
            <w:pPr>
              <w:pStyle w:val="Normal"/>
              <w:spacing w:line="360" w:lineRule="auto"/>
              <w:rPr>
                <w:rFonts w:ascii="Arial" w:hAnsi="Arial" w:eastAsia="Arial" w:cs="Arial"/>
                <w:b w:val="0"/>
                <w:bCs w:val="0"/>
                <w:i w:val="0"/>
                <w:iCs w:val="0"/>
                <w:sz w:val="24"/>
                <w:szCs w:val="24"/>
                <w:lang w:val="en-US"/>
              </w:rPr>
            </w:pPr>
            <w:r w:rsidRPr="25EE56CC" w:rsidR="532E4EE8">
              <w:rPr>
                <w:rFonts w:ascii="Arial" w:hAnsi="Arial" w:eastAsia="Arial" w:cs="Arial"/>
                <w:b w:val="0"/>
                <w:bCs w:val="0"/>
                <w:i w:val="0"/>
                <w:iCs w:val="0"/>
                <w:sz w:val="24"/>
                <w:szCs w:val="24"/>
                <w:lang w:val="en-US"/>
              </w:rPr>
              <w:t xml:space="preserve">- </w:t>
            </w:r>
            <w:r w:rsidRPr="25EE56CC" w:rsidR="6B9D36D0">
              <w:rPr>
                <w:rFonts w:ascii="Arial" w:hAnsi="Arial" w:eastAsia="Arial" w:cs="Arial"/>
                <w:b w:val="0"/>
                <w:bCs w:val="0"/>
                <w:i w:val="0"/>
                <w:iCs w:val="0"/>
                <w:sz w:val="24"/>
                <w:szCs w:val="24"/>
                <w:lang w:val="en-US"/>
              </w:rPr>
              <w:t xml:space="preserve">Effective time management and motivation. </w:t>
            </w:r>
          </w:p>
        </w:tc>
      </w:tr>
    </w:tbl>
    <w:p w:rsidR="61C2FA9C" w:rsidP="6B9D36D0" w:rsidRDefault="61C2FA9C" w14:paraId="4378A0A3" w14:textId="6BBDCD97">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61C2FA9C" w:rsidP="6B9D36D0" w:rsidRDefault="61C2FA9C" w14:paraId="7A82B9D7" w14:textId="6F418F8C">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61C2FA9C" w:rsidP="1D8C6EB2" w:rsidRDefault="61C2FA9C" w14:paraId="359CE92A" w14:noSpellErr="1" w14:textId="1A6FD16C">
      <w:pPr>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1D8C6EB2" w:rsidR="101BD2D7">
        <w:rPr>
          <w:rFonts w:ascii="Arial" w:hAnsi="Arial" w:eastAsia="Arial" w:cs="Arial"/>
          <w:b w:val="0"/>
          <w:bCs w:val="0"/>
          <w:i w:val="0"/>
          <w:iCs w:val="0"/>
          <w:caps w:val="0"/>
          <w:smallCaps w:val="0"/>
          <w:noProof w:val="0"/>
          <w:color w:val="000000" w:themeColor="text1" w:themeTint="FF" w:themeShade="FF"/>
          <w:sz w:val="24"/>
          <w:szCs w:val="24"/>
          <w:lang w:val="en-US"/>
        </w:rPr>
        <w:t>50</w:t>
      </w:r>
      <w:r w:rsidRPr="1D8C6EB2" w:rsidR="499FE708">
        <w:rPr>
          <w:rFonts w:ascii="Arial" w:hAnsi="Arial" w:eastAsia="Arial" w:cs="Arial"/>
          <w:b w:val="0"/>
          <w:bCs w:val="0"/>
          <w:i w:val="0"/>
          <w:iCs w:val="0"/>
          <w:caps w:val="0"/>
          <w:smallCaps w:val="0"/>
          <w:noProof w:val="0"/>
          <w:color w:val="000000" w:themeColor="text1" w:themeTint="FF" w:themeShade="FF"/>
          <w:sz w:val="24"/>
          <w:szCs w:val="24"/>
          <w:lang w:val="en-US"/>
        </w:rPr>
        <w:t>5</w:t>
      </w:r>
      <w:r w:rsidRPr="1D8C6EB2" w:rsidR="3AE4413A">
        <w:rPr>
          <w:rFonts w:ascii="Arial" w:hAnsi="Arial" w:eastAsia="Arial" w:cs="Arial"/>
          <w:b w:val="0"/>
          <w:bCs w:val="0"/>
          <w:i w:val="0"/>
          <w:iCs w:val="0"/>
          <w:caps w:val="0"/>
          <w:smallCaps w:val="0"/>
          <w:noProof w:val="0"/>
          <w:color w:val="000000" w:themeColor="text1" w:themeTint="FF" w:themeShade="FF"/>
          <w:sz w:val="24"/>
          <w:szCs w:val="24"/>
          <w:lang w:val="en-US"/>
        </w:rPr>
        <w:t xml:space="preserve"> words</w:t>
      </w:r>
    </w:p>
    <w:p w:rsidR="61C2FA9C" w:rsidP="1D8C6EB2" w:rsidRDefault="61C2FA9C" w14:paraId="6C67C29D" w14:textId="1294C123" w14:noSpellErr="1">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1D8C6EB2" w:rsidRDefault="1D8C6EB2" w14:paraId="4A387FD4" w14:textId="68AE4C42">
      <w:r>
        <w:br w:type="page"/>
      </w:r>
    </w:p>
    <w:p w:rsidR="74FB6856" w:rsidP="1D8C6EB2" w:rsidRDefault="74FB6856" w14:paraId="08D35084" w14:textId="3BD7500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1D8C6EB2" w:rsidR="74FB6856">
        <w:rPr>
          <w:rFonts w:ascii="Arial" w:hAnsi="Arial" w:eastAsia="Arial" w:cs="Arial"/>
          <w:b w:val="0"/>
          <w:bCs w:val="0"/>
          <w:i w:val="0"/>
          <w:iCs w:val="0"/>
          <w:caps w:val="0"/>
          <w:smallCaps w:val="0"/>
          <w:noProof w:val="0"/>
          <w:color w:val="000000" w:themeColor="text1" w:themeTint="FF" w:themeShade="FF"/>
          <w:sz w:val="24"/>
          <w:szCs w:val="24"/>
          <w:lang w:val="en-US"/>
        </w:rPr>
        <w:t>References:</w:t>
      </w:r>
    </w:p>
    <w:p w:rsidR="1D8C6EB2" w:rsidP="1D8C6EB2" w:rsidRDefault="1D8C6EB2" w14:paraId="54D8CDC7" w14:textId="350C7857">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4FB6856" w:rsidP="1D8C6EB2" w:rsidRDefault="74FB6856" w14:noSpellErr="1" w14:paraId="265D145A" w14:textId="6A42F08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1D8C6EB2" w:rsidR="74FB6856">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w:t>
      </w:r>
      <w:r w:rsidRPr="1D8C6EB2" w:rsidR="74FB6856">
        <w:rPr>
          <w:rFonts w:ascii="Arial" w:hAnsi="Arial" w:eastAsia="Arial" w:cs="Arial"/>
          <w:b w:val="0"/>
          <w:bCs w:val="0"/>
          <w:i w:val="1"/>
          <w:iCs w:val="1"/>
          <w:caps w:val="0"/>
          <w:smallCaps w:val="0"/>
          <w:noProof w:val="0"/>
          <w:color w:val="000000" w:themeColor="text1" w:themeTint="FF" w:themeShade="FF"/>
          <w:sz w:val="24"/>
          <w:szCs w:val="24"/>
          <w:lang w:val="en-US"/>
        </w:rPr>
        <w:t>Curriculum for Wales: Foundation Phase Framework</w:t>
      </w:r>
      <w:r w:rsidRPr="1D8C6EB2" w:rsidR="74FB685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ff2f3dca41d4ea4">
        <w:r w:rsidRPr="1D8C6EB2" w:rsidR="74FB6856">
          <w:rPr>
            <w:rStyle w:val="Hyperlink"/>
            <w:rFonts w:ascii="Arial" w:hAnsi="Arial" w:eastAsia="Arial" w:cs="Arial"/>
            <w:b w:val="0"/>
            <w:bCs w:val="0"/>
            <w:i w:val="0"/>
            <w:iCs w:val="0"/>
            <w:caps w:val="0"/>
            <w:smallCaps w:val="0"/>
            <w:strike w:val="0"/>
            <w:dstrike w:val="0"/>
            <w:noProof w:val="0"/>
            <w:sz w:val="24"/>
            <w:szCs w:val="24"/>
            <w:lang w:val="en-US"/>
          </w:rPr>
          <w:t>foundation-phase-framework-revised-2015.pdf</w:t>
        </w:r>
      </w:hyperlink>
      <w:r w:rsidRPr="1D8C6EB2" w:rsidR="74FB685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19 October 2025)</w:t>
      </w:r>
    </w:p>
    <w:p w:rsidR="1D8C6EB2" w:rsidP="1D8C6EB2" w:rsidRDefault="1D8C6EB2" w14:paraId="195CA7E3" w14:textId="6F2577D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61C2FA9C" w:rsidP="6B9D36D0" w:rsidRDefault="61C2FA9C" w14:paraId="42738189" w14:textId="7E7FDA89">
      <w:pPr>
        <w:bidi w:val="0"/>
      </w:pPr>
      <w:r>
        <w:br w:type="page"/>
      </w:r>
    </w:p>
    <w:tbl>
      <w:tblPr>
        <w:tblStyle w:val="TableGrid"/>
        <w:bidiVisual w:val="0"/>
        <w:tblW w:w="13002" w:type="dxa"/>
        <w:tblInd w:w="60" w:type="dxa"/>
        <w:tblBorders>
          <w:top w:val="single" w:sz="6"/>
          <w:left w:val="single" w:sz="6"/>
          <w:bottom w:val="single" w:sz="6"/>
          <w:right w:val="single" w:sz="6"/>
        </w:tblBorders>
        <w:tblLayout w:type="fixed"/>
        <w:tblLook w:val="04A0" w:firstRow="1" w:lastRow="0" w:firstColumn="1" w:lastColumn="0" w:noHBand="0" w:noVBand="1"/>
      </w:tblPr>
      <w:tblGrid>
        <w:gridCol w:w="6075"/>
        <w:gridCol w:w="6927"/>
      </w:tblGrid>
      <w:tr w:rsidR="6B9D36D0" w:rsidTr="56A9425C" w14:paraId="2C9C44D8">
        <w:trPr>
          <w:trHeight w:val="300"/>
        </w:trPr>
        <w:tc>
          <w:tcPr>
            <w:tcW w:w="6075" w:type="dxa"/>
            <w:tcBorders>
              <w:top w:val="single" w:sz="6"/>
              <w:left w:val="single" w:sz="6"/>
              <w:bottom w:val="single" w:sz="6"/>
              <w:right w:val="single" w:sz="6"/>
            </w:tcBorders>
            <w:tcMar>
              <w:left w:w="105" w:type="dxa"/>
              <w:right w:w="105" w:type="dxa"/>
            </w:tcMar>
            <w:vAlign w:val="top"/>
          </w:tcPr>
          <w:p w:rsidR="6B9D36D0" w:rsidP="25EE56CC" w:rsidRDefault="6B9D36D0" w14:paraId="52433C46" w14:noSpellErr="1" w14:textId="2B7C5CB5">
            <w:pPr>
              <w:bidi w:val="0"/>
              <w:spacing w:before="0" w:beforeAutospacing="off" w:after="0" w:afterAutospacing="off"/>
              <w:jc w:val="center"/>
              <w:rPr>
                <w:rFonts w:ascii="Arial" w:hAnsi="Arial" w:eastAsia="Arial" w:cs="Arial"/>
                <w:b w:val="0"/>
                <w:bCs w:val="0"/>
                <w:i w:val="0"/>
                <w:iCs w:val="0"/>
                <w:caps w:val="0"/>
                <w:smallCaps w:val="0"/>
                <w:color w:val="0070C0" w:themeColor="text1" w:themeTint="FF" w:themeShade="FF"/>
                <w:sz w:val="12"/>
                <w:szCs w:val="12"/>
              </w:rPr>
            </w:pPr>
            <w:r w:rsidRPr="25EE56CC" w:rsidR="6B9D36D0">
              <w:rPr>
                <w:rFonts w:ascii="Arial" w:hAnsi="Arial" w:eastAsia="Arial" w:cs="Arial"/>
                <w:b w:val="0"/>
                <w:bCs w:val="0"/>
                <w:i w:val="0"/>
                <w:iCs w:val="0"/>
                <w:caps w:val="0"/>
                <w:smallCaps w:val="0"/>
                <w:color w:val="0070C0"/>
                <w:sz w:val="12"/>
                <w:szCs w:val="12"/>
                <w:lang w:val="en-US"/>
              </w:rPr>
              <w:t xml:space="preserve">What is reflection and reflective </w:t>
            </w:r>
            <w:r w:rsidRPr="25EE56CC" w:rsidR="6B9D36D0">
              <w:rPr>
                <w:rFonts w:ascii="Arial" w:hAnsi="Arial" w:eastAsia="Arial" w:cs="Arial"/>
                <w:b w:val="0"/>
                <w:bCs w:val="0"/>
                <w:i w:val="0"/>
                <w:iCs w:val="0"/>
                <w:caps w:val="0"/>
                <w:smallCaps w:val="0"/>
                <w:color w:val="0070C0"/>
                <w:sz w:val="12"/>
                <w:szCs w:val="12"/>
                <w:lang w:val="en-US"/>
              </w:rPr>
              <w:t>practise</w:t>
            </w:r>
            <w:r w:rsidRPr="25EE56CC" w:rsidR="6B9D36D0">
              <w:rPr>
                <w:rFonts w:ascii="Arial" w:hAnsi="Arial" w:eastAsia="Arial" w:cs="Arial"/>
                <w:b w:val="0"/>
                <w:bCs w:val="0"/>
                <w:i w:val="0"/>
                <w:iCs w:val="0"/>
                <w:caps w:val="0"/>
                <w:smallCaps w:val="0"/>
                <w:color w:val="0070C0"/>
                <w:sz w:val="12"/>
                <w:szCs w:val="12"/>
                <w:lang w:val="en-US"/>
              </w:rPr>
              <w:t>?</w:t>
            </w:r>
          </w:p>
          <w:p w:rsidR="6B9D36D0" w:rsidP="6B9D36D0" w:rsidRDefault="6B9D36D0" w14:paraId="064E5508" w14:textId="550E890F">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Reflection and reflective practice are valuable aspects for personal and professional development. Reflection is the act of thinking deeply about one's experiences to gain clarity and a better understanding. As a result, this will provide guidance for future actions. There are multiple definitions available for reflection and reflective practice. Cottrell (2023, p. 203) refers to reflection as enabling individuals who may be unknowingly distracted by external pressure or routine demands to redirect their attention to themselves and their experiences. Applying this ‘mental discipline’ will lead to improved future actions, outcomes, and approaches. To fulfill this, it is necessary to remain logical and be influenced by plausible evidence, which some may find challenging, as it is personal and it can be uncomfortable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6B9D36D0" w:rsidRDefault="6B9D36D0" w14:paraId="7F22F840" w14:textId="7825D0C0">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According to Hanson (2012, p. 144), reflective practice is the process of thoughtful analysis, such as rethinking assumptions, values, and actions by considering different perspectives, including social, political, and cultural contexts, to achieve positive change.</w:t>
            </w:r>
          </w:p>
          <w:p w:rsidR="6B9D36D0" w:rsidP="6B9D36D0" w:rsidRDefault="6B9D36D0" w14:paraId="046D853D" w14:textId="6BA46C9B">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6B9D36D0" w:rsidRDefault="6B9D36D0" w14:paraId="303127B9" w14:textId="6C4CA1DE">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6B9D36D0" w:rsidRDefault="6B9D36D0" w14:paraId="23032130" w14:textId="07970D1C">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6B9D36D0" w:rsidRDefault="6B9D36D0" w14:paraId="68CD970B" w14:textId="110E6C23">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tc>
        <w:tc>
          <w:tcPr>
            <w:tcW w:w="6927" w:type="dxa"/>
            <w:tcBorders>
              <w:top w:val="single" w:sz="6"/>
              <w:left w:val="single" w:sz="6"/>
              <w:bottom w:val="single" w:sz="6"/>
              <w:right w:val="single" w:sz="6"/>
            </w:tcBorders>
            <w:tcMar>
              <w:left w:w="105" w:type="dxa"/>
              <w:right w:w="105" w:type="dxa"/>
            </w:tcMar>
            <w:vAlign w:val="top"/>
          </w:tcPr>
          <w:p w:rsidR="6B9D36D0" w:rsidP="25EE56CC" w:rsidRDefault="6B9D36D0" w14:paraId="698A02D7" w14:noSpellErr="1" w14:textId="38D44DA7">
            <w:pPr>
              <w:bidi w:val="0"/>
              <w:spacing w:before="0" w:beforeAutospacing="off" w:after="0" w:afterAutospacing="off"/>
              <w:jc w:val="center"/>
              <w:rPr>
                <w:rFonts w:ascii="Arial" w:hAnsi="Arial" w:eastAsia="Arial" w:cs="Arial"/>
                <w:b w:val="0"/>
                <w:bCs w:val="0"/>
                <w:i w:val="0"/>
                <w:iCs w:val="0"/>
                <w:caps w:val="0"/>
                <w:smallCaps w:val="0"/>
                <w:color w:val="0070C0" w:themeColor="text1" w:themeTint="FF" w:themeShade="FF"/>
                <w:sz w:val="12"/>
                <w:szCs w:val="12"/>
              </w:rPr>
            </w:pPr>
            <w:r w:rsidRPr="25EE56CC" w:rsidR="6B9D36D0">
              <w:rPr>
                <w:rFonts w:ascii="Arial" w:hAnsi="Arial" w:eastAsia="Arial" w:cs="Arial"/>
                <w:b w:val="0"/>
                <w:bCs w:val="0"/>
                <w:i w:val="0"/>
                <w:iCs w:val="0"/>
                <w:caps w:val="0"/>
                <w:smallCaps w:val="0"/>
                <w:color w:val="0070C0"/>
                <w:sz w:val="12"/>
                <w:szCs w:val="12"/>
                <w:lang w:val="en-US"/>
              </w:rPr>
              <w:t xml:space="preserve">Why is reflective </w:t>
            </w:r>
            <w:r w:rsidRPr="25EE56CC" w:rsidR="6B9D36D0">
              <w:rPr>
                <w:rFonts w:ascii="Arial" w:hAnsi="Arial" w:eastAsia="Arial" w:cs="Arial"/>
                <w:b w:val="0"/>
                <w:bCs w:val="0"/>
                <w:i w:val="0"/>
                <w:iCs w:val="0"/>
                <w:caps w:val="0"/>
                <w:smallCaps w:val="0"/>
                <w:color w:val="0070C0"/>
                <w:sz w:val="12"/>
                <w:szCs w:val="12"/>
                <w:lang w:val="en-US"/>
              </w:rPr>
              <w:t>practise</w:t>
            </w:r>
            <w:r w:rsidRPr="25EE56CC" w:rsidR="6B9D36D0">
              <w:rPr>
                <w:rFonts w:ascii="Arial" w:hAnsi="Arial" w:eastAsia="Arial" w:cs="Arial"/>
                <w:b w:val="0"/>
                <w:bCs w:val="0"/>
                <w:i w:val="0"/>
                <w:iCs w:val="0"/>
                <w:caps w:val="0"/>
                <w:smallCaps w:val="0"/>
                <w:color w:val="0070C0"/>
                <w:sz w:val="12"/>
                <w:szCs w:val="12"/>
                <w:lang w:val="en-US"/>
              </w:rPr>
              <w:t xml:space="preserve"> important to EY </w:t>
            </w:r>
            <w:r w:rsidRPr="25EE56CC" w:rsidR="6B9D36D0">
              <w:rPr>
                <w:rFonts w:ascii="Arial" w:hAnsi="Arial" w:eastAsia="Arial" w:cs="Arial"/>
                <w:b w:val="0"/>
                <w:bCs w:val="0"/>
                <w:i w:val="0"/>
                <w:iCs w:val="0"/>
                <w:caps w:val="0"/>
                <w:smallCaps w:val="0"/>
                <w:color w:val="0070C0"/>
                <w:sz w:val="12"/>
                <w:szCs w:val="12"/>
                <w:lang w:val="en-US"/>
              </w:rPr>
              <w:t>practise</w:t>
            </w:r>
            <w:r w:rsidRPr="25EE56CC" w:rsidR="6B9D36D0">
              <w:rPr>
                <w:rFonts w:ascii="Arial" w:hAnsi="Arial" w:eastAsia="Arial" w:cs="Arial"/>
                <w:b w:val="0"/>
                <w:bCs w:val="0"/>
                <w:i w:val="0"/>
                <w:iCs w:val="0"/>
                <w:caps w:val="0"/>
                <w:smallCaps w:val="0"/>
                <w:color w:val="0070C0"/>
                <w:sz w:val="12"/>
                <w:szCs w:val="12"/>
                <w:lang w:val="en-US"/>
              </w:rPr>
              <w:t>?</w:t>
            </w:r>
          </w:p>
          <w:p w:rsidR="6B9D36D0" w:rsidP="6B9D36D0" w:rsidRDefault="6B9D36D0" w14:paraId="3DA2C6AF" w14:textId="08974287">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Reflective practice is significant in early years because it helps practitioners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frequently</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analyse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what they do, learn from it, and improve. Historically, education accepted harsh methods like physical punishment, but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reflecting on</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practice has helped move to more thoughtful approaches that focus on children’s wellbeing and needs. For instance, the Foundation Phase framework consists of principles that are statutory and guide early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years</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practice. Its principles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emphasise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holistic development, building on children’s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previous</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learning, and promoting equality, diversity, and inclusion (Welsh Government, 2015). Reflective practice brings many benefits. It helps practitioners build confidence by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identifying</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what is effective and what could be developed further, helping them make more informed decisions. It also allows them to make sense of their own experiences and continue growing in a professional role. Additionally, Lindon and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Trodd</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(2016, p. 7) explain that practitioners who regularly engage with reflective practice are more likely to take the best possible course of action as a default response to most situations that might unfold. Reflective practice can promote clarity, especially when done collaboratively as others may be able to help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identify</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any mistakes an individual might be unaware of or overlook (Lindon and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Trodd</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2016, p. 9). Consequently, practitioners will become more familiar with theories, understand how to apply them, and adhere to professional standards. Furthermore, this is likely to enhance the quality of provision, encourage self-confidence for practitioners, and mean better outcomes for children and families. In fact, fostering these positive relationships can create a sense of community, resulting in wider benefits for society as these transitional skills prepare children and families for later life. Reflective practice draws on practitioners’ knowledge and capabilities, empowering them to develop their professional voice.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In Early Years practice, this professional voice is most effective when led by those actually doing the work, rather than being imposed by theorists or policy makers.</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(Brookfield, 2017, p. 12)</w:t>
            </w:r>
          </w:p>
        </w:tc>
      </w:tr>
      <w:tr w:rsidR="6B9D36D0" w:rsidTr="56A9425C" w14:paraId="20A4FCB5">
        <w:trPr>
          <w:trHeight w:val="300"/>
        </w:trPr>
        <w:tc>
          <w:tcPr>
            <w:tcW w:w="13002" w:type="dxa"/>
            <w:gridSpan w:val="2"/>
            <w:tcBorders>
              <w:top w:val="single" w:sz="6"/>
              <w:left w:val="single" w:sz="6"/>
              <w:bottom w:val="single" w:sz="6"/>
              <w:right w:val="single" w:sz="6"/>
            </w:tcBorders>
            <w:tcMar>
              <w:left w:w="105" w:type="dxa"/>
              <w:right w:w="105" w:type="dxa"/>
            </w:tcMar>
            <w:vAlign w:val="top"/>
          </w:tcPr>
          <w:p w:rsidR="6B9D36D0" w:rsidP="25EE56CC" w:rsidRDefault="6B9D36D0" w14:paraId="20B6EEC7" w14:noSpellErr="1" w14:textId="447710ED">
            <w:pPr>
              <w:bidi w:val="0"/>
              <w:spacing w:before="0" w:beforeAutospacing="off" w:after="0" w:afterAutospacing="off"/>
              <w:jc w:val="center"/>
              <w:rPr>
                <w:rFonts w:ascii="Arial" w:hAnsi="Arial" w:eastAsia="Arial" w:cs="Arial"/>
                <w:b w:val="0"/>
                <w:bCs w:val="0"/>
                <w:i w:val="0"/>
                <w:iCs w:val="0"/>
                <w:caps w:val="0"/>
                <w:smallCaps w:val="0"/>
                <w:color w:val="0070C0" w:themeColor="text1" w:themeTint="FF" w:themeShade="FF"/>
                <w:sz w:val="12"/>
                <w:szCs w:val="12"/>
              </w:rPr>
            </w:pPr>
            <w:r w:rsidRPr="25EE56CC" w:rsidR="6B9D36D0">
              <w:rPr>
                <w:rFonts w:ascii="Arial" w:hAnsi="Arial" w:eastAsia="Arial" w:cs="Arial"/>
                <w:b w:val="0"/>
                <w:bCs w:val="0"/>
                <w:i w:val="0"/>
                <w:iCs w:val="0"/>
                <w:caps w:val="0"/>
                <w:smallCaps w:val="0"/>
                <w:color w:val="0070C0"/>
                <w:sz w:val="12"/>
                <w:szCs w:val="12"/>
                <w:lang w:val="en-US"/>
              </w:rPr>
              <w:t xml:space="preserve">The theory of reflective </w:t>
            </w:r>
            <w:r w:rsidRPr="25EE56CC" w:rsidR="6B9D36D0">
              <w:rPr>
                <w:rFonts w:ascii="Arial" w:hAnsi="Arial" w:eastAsia="Arial" w:cs="Arial"/>
                <w:b w:val="0"/>
                <w:bCs w:val="0"/>
                <w:i w:val="0"/>
                <w:iCs w:val="0"/>
                <w:caps w:val="0"/>
                <w:smallCaps w:val="0"/>
                <w:color w:val="0070C0"/>
                <w:sz w:val="12"/>
                <w:szCs w:val="12"/>
                <w:lang w:val="en-US"/>
              </w:rPr>
              <w:t>practise</w:t>
            </w:r>
            <w:r w:rsidRPr="25EE56CC" w:rsidR="6B9D36D0">
              <w:rPr>
                <w:rFonts w:ascii="Arial" w:hAnsi="Arial" w:eastAsia="Arial" w:cs="Arial"/>
                <w:b w:val="0"/>
                <w:bCs w:val="0"/>
                <w:i w:val="0"/>
                <w:iCs w:val="0"/>
                <w:caps w:val="0"/>
                <w:smallCaps w:val="0"/>
                <w:color w:val="0070C0"/>
                <w:sz w:val="12"/>
                <w:szCs w:val="12"/>
                <w:lang w:val="en-US"/>
              </w:rPr>
              <w:t>:</w:t>
            </w:r>
          </w:p>
          <w:p w:rsidR="6B9D36D0" w:rsidP="6B9D36D0" w:rsidRDefault="6B9D36D0" w14:paraId="7781D618" w14:textId="79812CD0">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There are multiple theories on reflective practice; however, for the purpose of this briefing paper, the focus will be on the contributions of Schön and Kolb.</w:t>
            </w:r>
          </w:p>
          <w:p w:rsidR="6B9D36D0" w:rsidP="6B9D36D0" w:rsidRDefault="6B9D36D0" w14:paraId="7EC86C62" w14:textId="65116F02">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Schön’s (2016, np) theory of reflective practice is based on prior knowledge and experience and consists of two types of reflection.</w:t>
            </w:r>
          </w:p>
          <w:p w:rsidR="6B9D36D0" w:rsidP="6B9D36D0" w:rsidRDefault="6B9D36D0" w14:paraId="697C92E0" w14:textId="7D1D3E10">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Reflection-in-action: This occurs when an individual is responding to something that is happening in real-time.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As Schön (2016, np) puts it, “our knowing is in our action”, meaning our responses to a situation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demonstrate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how we apply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previous</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knowledge and experience without having to pause or reflect. </w:t>
            </w:r>
          </w:p>
          <w:p w:rsidR="6B9D36D0" w:rsidP="6B9D36D0" w:rsidRDefault="6B9D36D0" w14:paraId="70D44BAA" w14:textId="50EE713F">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Reflection-on-action: Schön does not directly use the term ‘reflection-on-action' (Dicks, 2025), but it is commonly used to refer to reflection after an event. This enables practitioners to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analyse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what happened, reflect on their actions, and implement improvements for next time. </w:t>
            </w:r>
          </w:p>
          <w:p w:rsidR="6B9D36D0" w:rsidP="6B9D36D0" w:rsidRDefault="6B9D36D0" w14:paraId="1FB3CB04" w14:textId="2EBE0A36">
            <w:pPr>
              <w:bidi w:val="0"/>
              <w:spacing w:before="0" w:beforeAutospacing="off" w:after="0" w:afterAutospacing="off"/>
              <w:ind w:left="0"/>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Kolb’s (2015) experiential learning cycle consists of several modes that support reflective practice.</w:t>
            </w:r>
          </w:p>
          <w:p w:rsidR="6B9D36D0" w:rsidP="6B9D36D0" w:rsidRDefault="6B9D36D0" w14:paraId="37DA7774" w14:textId="5B6EBC89">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Concrete experience focuses on learning through direct, personal involvement, such as in the “here and now” (Kolb, 2015, p. 36). It acts like a scaffold for learning, providing a foundation which can be reflected on and developed further.</w:t>
            </w:r>
          </w:p>
          <w:p w:rsidR="6B9D36D0" w:rsidP="6B9D36D0" w:rsidRDefault="6B9D36D0" w14:paraId="50BC3562" w14:textId="04C40B8C">
            <w:pPr>
              <w:pStyle w:val="ListParagraph"/>
              <w:numPr>
                <w:ilvl w:val="0"/>
                <w:numId w:val="2"/>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Reflective observation involves looking back on experiences and taking into consideration different perspectives (Kolb, 2015, p. 42).</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This stage allows individuals to make sense of what has happened</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6B9D36D0" w:rsidRDefault="6B9D36D0" w14:paraId="2A0BE276" w14:textId="1B746B78">
            <w:pPr>
              <w:pStyle w:val="ListParagraph"/>
              <w:numPr>
                <w:ilvl w:val="0"/>
                <w:numId w:val="2"/>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Abstract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conceptualisation</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means using what has been learned from experience to create or apply ideas or theories to deepen understanding (Kolb, 2015, p.42)</w:t>
            </w:r>
          </w:p>
          <w:p w:rsidR="6B9D36D0" w:rsidP="6B9D36D0" w:rsidRDefault="6B9D36D0" w14:paraId="577E0EE6" w14:textId="28255A56">
            <w:pPr>
              <w:pStyle w:val="ListParagraph"/>
              <w:numPr>
                <w:ilvl w:val="0"/>
                <w:numId w:val="2"/>
              </w:num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Active experimentation is when individuals use the knowledge and theories, they have developed to make decisions and solve future problems (Kolb, 2015, p.42) </w:t>
            </w:r>
          </w:p>
        </w:tc>
      </w:tr>
      <w:tr w:rsidR="6B9D36D0" w:rsidTr="56A9425C" w14:paraId="41F6419C">
        <w:trPr>
          <w:trHeight w:val="1035"/>
        </w:trPr>
        <w:tc>
          <w:tcPr>
            <w:tcW w:w="6075" w:type="dxa"/>
            <w:tcBorders>
              <w:top w:val="single" w:sz="6"/>
              <w:left w:val="single" w:sz="6"/>
              <w:bottom w:val="single" w:sz="6"/>
              <w:right w:val="single" w:sz="6"/>
            </w:tcBorders>
            <w:tcMar>
              <w:left w:w="105" w:type="dxa"/>
              <w:right w:w="105" w:type="dxa"/>
            </w:tcMar>
            <w:vAlign w:val="top"/>
          </w:tcPr>
          <w:p w:rsidR="6B9D36D0" w:rsidP="6B9D36D0" w:rsidRDefault="6B9D36D0" w14:paraId="7F31325C" w14:textId="3C410548">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Gibbs’ model</w:t>
            </w:r>
          </w:p>
          <w:p w:rsidR="6B9D36D0" w:rsidP="25EE56CC" w:rsidRDefault="6B9D36D0" w14:paraId="040F4E0E" w14:textId="2ACADBAF" w14:noSpellErr="1">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6B9D36D0">
              <w:drawing>
                <wp:anchor distT="0" distB="0" distL="114300" distR="114300" simplePos="0" relativeHeight="251658240" behindDoc="0" locked="0" layoutInCell="1" allowOverlap="1" wp14:anchorId="23C44AFB" wp14:editId="73142EFD">
                  <wp:simplePos x="0" y="0"/>
                  <wp:positionH relativeFrom="column">
                    <wp:posOffset>1571625</wp:posOffset>
                  </wp:positionH>
                  <wp:positionV relativeFrom="paragraph">
                    <wp:posOffset>57150</wp:posOffset>
                  </wp:positionV>
                  <wp:extent cx="288128" cy="232240"/>
                  <wp:effectExtent l="0" t="0" r="0" b="0"/>
                  <wp:wrapNone/>
                  <wp:docPr id="506497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497390" name=""/>
                          <pic:cNvPicPr/>
                        </pic:nvPicPr>
                        <pic:blipFill>
                          <a:blip xmlns:r="http://schemas.openxmlformats.org/officeDocument/2006/relationships" r:embed="rId454252078">
                            <a:extLst>
                              <a:ext uri="{28A0092B-C50C-407E-A947-70E740481C1C}">
                                <a14:useLocalDpi xmlns:a14="http://schemas.microsoft.com/office/drawing/2010/main"/>
                              </a:ext>
                            </a:extLst>
                          </a:blip>
                          <a:stretch>
                            <a:fillRect/>
                          </a:stretch>
                        </pic:blipFill>
                        <pic:spPr>
                          <a:xfrm rot="0">
                            <a:off x="0" y="0"/>
                            <a:ext cx="288128" cy="232240"/>
                          </a:xfrm>
                          <a:prstGeom prst="rect">
                            <a:avLst/>
                          </a:prstGeom>
                        </pic:spPr>
                      </pic:pic>
                    </a:graphicData>
                  </a:graphic>
                  <wp14:sizeRelH relativeFrom="page">
                    <wp14:pctWidth>0</wp14:pctWidth>
                  </wp14:sizeRelH>
                  <wp14:sizeRelV relativeFrom="page">
                    <wp14:pctHeight>0</wp14:pctHeight>
                  </wp14:sizeRelV>
                </wp:anchor>
              </w:drawing>
            </w:r>
            <w:r w:rsidRPr="56A9425C"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tc>
        <w:tc>
          <w:tcPr>
            <w:tcW w:w="6927" w:type="dxa"/>
            <w:tcBorders>
              <w:top w:val="single" w:color="000000" w:themeColor="text1" w:sz="12"/>
              <w:left w:val="single" w:sz="6"/>
              <w:bottom w:val="single" w:sz="6"/>
              <w:right w:val="single" w:sz="6"/>
            </w:tcBorders>
            <w:tcMar>
              <w:left w:w="105" w:type="dxa"/>
              <w:right w:w="105" w:type="dxa"/>
            </w:tcMar>
            <w:vAlign w:val="top"/>
          </w:tcPr>
          <w:p w:rsidR="6B9D36D0" w:rsidP="6B9D36D0" w:rsidRDefault="6B9D36D0" w14:paraId="1161FF13" w14:textId="649B9961">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Kolb’s model</w:t>
            </w:r>
          </w:p>
          <w:p w:rsidR="6B9D36D0" w:rsidP="56A9425C" w:rsidRDefault="6B9D36D0" w14:paraId="34C44749" w14:textId="4CE53401" w14:noSpellErr="1">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6B9D36D0">
              <w:drawing>
                <wp:anchor distT="0" distB="0" distL="114300" distR="114300" simplePos="0" relativeHeight="251658240" behindDoc="0" locked="0" layoutInCell="1" allowOverlap="1" wp14:anchorId="30956AD1" wp14:editId="66F90201">
                  <wp:simplePos x="0" y="0"/>
                  <wp:positionH relativeFrom="column">
                    <wp:posOffset>1924050</wp:posOffset>
                  </wp:positionH>
                  <wp:positionV relativeFrom="paragraph">
                    <wp:posOffset>19050</wp:posOffset>
                  </wp:positionV>
                  <wp:extent cx="270065" cy="263446"/>
                  <wp:effectExtent l="0" t="0" r="0" b="0"/>
                  <wp:wrapNone/>
                  <wp:docPr id="156524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288632" name=""/>
                          <pic:cNvPicPr/>
                        </pic:nvPicPr>
                        <pic:blipFill>
                          <a:blip xmlns:r="http://schemas.openxmlformats.org/officeDocument/2006/relationships" r:embed="rId362843877">
                            <a:extLst>
                              <a:ext uri="{28A0092B-C50C-407E-A947-70E740481C1C}">
                                <a14:useLocalDpi xmlns:a14="http://schemas.microsoft.com/office/drawing/2010/main"/>
                              </a:ext>
                            </a:extLst>
                          </a:blip>
                          <a:stretch>
                            <a:fillRect/>
                          </a:stretch>
                        </pic:blipFill>
                        <pic:spPr>
                          <a:xfrm rot="0">
                            <a:off x="0" y="0"/>
                            <a:ext cx="270065" cy="263446"/>
                          </a:xfrm>
                          <a:prstGeom prst="rect">
                            <a:avLst/>
                          </a:prstGeom>
                        </pic:spPr>
                      </pic:pic>
                    </a:graphicData>
                  </a:graphic>
                  <wp14:sizeRelH relativeFrom="page">
                    <wp14:pctWidth>0</wp14:pctWidth>
                  </wp14:sizeRelH>
                  <wp14:sizeRelV relativeFrom="page">
                    <wp14:pctHeight>0</wp14:pctHeight>
                  </wp14:sizeRelV>
                </wp:anchor>
              </w:drawing>
            </w:r>
          </w:p>
          <w:p w:rsidR="6B9D36D0" w:rsidP="25EE56CC" w:rsidRDefault="6B9D36D0" w14:paraId="5108AC98" w14:textId="669A717F" w14:noSpellErr="1">
            <w:pPr>
              <w:pStyle w:val="Normal"/>
              <w:bidi w:val="0"/>
              <w:spacing w:before="0" w:beforeAutospacing="off" w:after="0" w:afterAutospacing="off"/>
              <w:jc w:val="center"/>
              <w:rPr>
                <w:sz w:val="12"/>
                <w:szCs w:val="12"/>
              </w:rPr>
            </w:pPr>
          </w:p>
          <w:p w:rsidR="6B9D36D0" w:rsidP="25EE56CC" w:rsidRDefault="6B9D36D0" w14:paraId="386F6F90" w14:textId="6C53A97E" w14:noSpellErr="1">
            <w:pPr>
              <w:bidi w:val="0"/>
              <w:spacing w:before="0" w:beforeAutospacing="off" w:after="0" w:afterAutospacing="off"/>
              <w:jc w:val="center"/>
              <w:rPr>
                <w:sz w:val="12"/>
                <w:szCs w:val="12"/>
              </w:rPr>
            </w:pPr>
          </w:p>
        </w:tc>
      </w:tr>
      <w:tr w:rsidR="6B9D36D0" w:rsidTr="56A9425C" w14:paraId="7711702C">
        <w:trPr>
          <w:trHeight w:val="300"/>
        </w:trPr>
        <w:tc>
          <w:tcPr>
            <w:tcW w:w="13002" w:type="dxa"/>
            <w:gridSpan w:val="2"/>
            <w:tcBorders>
              <w:top w:val="single" w:sz="6"/>
              <w:left w:val="single" w:sz="6"/>
              <w:bottom w:val="single" w:sz="6"/>
              <w:right w:val="single" w:sz="6"/>
            </w:tcBorders>
            <w:tcMar>
              <w:left w:w="105" w:type="dxa"/>
              <w:right w:w="105" w:type="dxa"/>
            </w:tcMar>
            <w:vAlign w:val="top"/>
          </w:tcPr>
          <w:p w:rsidR="6B9D36D0" w:rsidP="25EE56CC" w:rsidRDefault="6B9D36D0" w14:paraId="421C9C19" w14:noSpellErr="1" w14:textId="05326B95">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25EE56CC" w:rsidR="6B9D36D0">
              <w:rPr>
                <w:rFonts w:ascii="Arial" w:hAnsi="Arial" w:eastAsia="Arial" w:cs="Arial"/>
                <w:b w:val="0"/>
                <w:bCs w:val="0"/>
                <w:i w:val="0"/>
                <w:iCs w:val="0"/>
                <w:caps w:val="0"/>
                <w:smallCaps w:val="0"/>
                <w:color w:val="0070C0"/>
                <w:sz w:val="12"/>
                <w:szCs w:val="12"/>
                <w:lang w:val="en-US"/>
              </w:rPr>
              <w:t>Analysis of models – compare/contrast/pros/cons:</w:t>
            </w:r>
            <w:r w:rsidRPr="25EE56CC" w:rsidR="6B9D36D0">
              <w:rPr>
                <w:rFonts w:ascii="Arial" w:hAnsi="Arial" w:eastAsia="Arial" w:cs="Arial"/>
                <w:b w:val="0"/>
                <w:bCs w:val="0"/>
                <w:i w:val="0"/>
                <w:iCs w:val="0"/>
                <w:caps w:val="0"/>
                <w:smallCaps w:val="0"/>
                <w:color w:val="000000" w:themeColor="text1" w:themeTint="FF" w:themeShade="FF"/>
                <w:sz w:val="12"/>
                <w:szCs w:val="12"/>
                <w:lang w:val="en-US"/>
              </w:rPr>
              <w:t xml:space="preserve">  </w:t>
            </w:r>
          </w:p>
          <w:p w:rsidR="6B9D36D0" w:rsidP="1D8C6EB2" w:rsidRDefault="6B9D36D0" w14:paraId="67C595F4" w14:noSpellErr="1" w14:textId="1C45BA16">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Kolb’s Experiential Learning Cycle (2015, p. 190) uses four key stages to learn from direct experiences. These are concrete experiences, reflective observation, abstract </w:t>
            </w:r>
            <w:r w:rsidRPr="1D8C6EB2" w:rsidR="6B9D36D0">
              <w:rPr>
                <w:rFonts w:ascii="Arial" w:hAnsi="Arial" w:eastAsia="Arial" w:cs="Arial"/>
                <w:b w:val="0"/>
                <w:bCs w:val="0"/>
                <w:i w:val="0"/>
                <w:iCs w:val="0"/>
                <w:caps w:val="0"/>
                <w:smallCaps w:val="0"/>
                <w:color w:val="000000" w:themeColor="text1" w:themeTint="FF" w:themeShade="FF"/>
                <w:sz w:val="12"/>
                <w:szCs w:val="12"/>
                <w:lang w:val="en-US"/>
              </w:rPr>
              <w:t>conceptualisation</w:t>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 and active experimentation.</w:t>
            </w:r>
            <w:r>
              <w:br/>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Gibbs Reflective Cycle (1988) is discussed in Thompson’s book (2021) as a popular model that has six key stages. Its purpose is to support practitioners to learn from experiences by </w:t>
            </w:r>
            <w:r w:rsidRPr="1D8C6EB2" w:rsidR="6B9D36D0">
              <w:rPr>
                <w:rFonts w:ascii="Arial" w:hAnsi="Arial" w:eastAsia="Arial" w:cs="Arial"/>
                <w:b w:val="0"/>
                <w:bCs w:val="0"/>
                <w:i w:val="0"/>
                <w:iCs w:val="0"/>
                <w:caps w:val="0"/>
                <w:smallCaps w:val="0"/>
                <w:color w:val="000000" w:themeColor="text1" w:themeTint="FF" w:themeShade="FF"/>
                <w:sz w:val="12"/>
                <w:szCs w:val="12"/>
                <w:lang w:val="en-US"/>
              </w:rPr>
              <w:t>analysing</w:t>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 them and </w:t>
            </w:r>
            <w:r w:rsidRPr="1D8C6EB2" w:rsidR="6B9D36D0">
              <w:rPr>
                <w:rFonts w:ascii="Arial" w:hAnsi="Arial" w:eastAsia="Arial" w:cs="Arial"/>
                <w:b w:val="0"/>
                <w:bCs w:val="0"/>
                <w:i w:val="0"/>
                <w:iCs w:val="0"/>
                <w:caps w:val="0"/>
                <w:smallCaps w:val="0"/>
                <w:color w:val="000000" w:themeColor="text1" w:themeTint="FF" w:themeShade="FF"/>
                <w:sz w:val="12"/>
                <w:szCs w:val="12"/>
                <w:lang w:val="en-US"/>
              </w:rPr>
              <w:t>identifying</w:t>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 how to improve practice (Thompson, 2021, np). It encourages reflection on actions and emotions.</w:t>
            </w:r>
            <w:r>
              <w:br/>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While both models' intention is to develop learning through reflection by providing a framework, they differ in approach. Kolb is flexible, as it can be used in different </w:t>
            </w:r>
            <w:r w:rsidRPr="1D8C6EB2" w:rsidR="6B9D36D0">
              <w:rPr>
                <w:rFonts w:ascii="Arial" w:hAnsi="Arial" w:eastAsia="Arial" w:cs="Arial"/>
                <w:b w:val="0"/>
                <w:bCs w:val="0"/>
                <w:i w:val="0"/>
                <w:iCs w:val="0"/>
                <w:caps w:val="0"/>
                <w:smallCaps w:val="0"/>
                <w:color w:val="000000" w:themeColor="text1" w:themeTint="FF" w:themeShade="FF"/>
                <w:sz w:val="12"/>
                <w:szCs w:val="12"/>
                <w:lang w:val="en-US"/>
              </w:rPr>
              <w:t>situations</w:t>
            </w:r>
            <w:r w:rsidRPr="1D8C6EB2" w:rsidR="3CB5E897">
              <w:rPr>
                <w:rFonts w:ascii="Arial" w:hAnsi="Arial" w:eastAsia="Arial" w:cs="Arial"/>
                <w:b w:val="0"/>
                <w:bCs w:val="0"/>
                <w:i w:val="0"/>
                <w:iCs w:val="0"/>
                <w:caps w:val="0"/>
                <w:smallCaps w:val="0"/>
                <w:color w:val="000000" w:themeColor="text1" w:themeTint="FF" w:themeShade="FF"/>
                <w:sz w:val="12"/>
                <w:szCs w:val="12"/>
                <w:lang w:val="en-US"/>
              </w:rPr>
              <w:t>,</w:t>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 and the stages do not need to be linear. Plus, what is learnt can be connected to existing theories or concepts and inspire practitioners to develop their own understanding. However, the language used in Kolb is not easy to understand due to academic terminology.</w:t>
            </w:r>
            <w:r>
              <w:br/>
            </w:r>
            <w:r w:rsidRPr="1D8C6EB2" w:rsidR="6B9D36D0">
              <w:rPr>
                <w:rFonts w:ascii="Arial" w:hAnsi="Arial" w:eastAsia="Arial" w:cs="Arial"/>
                <w:b w:val="0"/>
                <w:bCs w:val="0"/>
                <w:i w:val="0"/>
                <w:iCs w:val="0"/>
                <w:caps w:val="0"/>
                <w:smallCaps w:val="0"/>
                <w:color w:val="000000" w:themeColor="text1" w:themeTint="FF" w:themeShade="FF"/>
                <w:sz w:val="12"/>
                <w:szCs w:val="12"/>
                <w:lang w:val="en-US"/>
              </w:rPr>
              <w:t xml:space="preserve">In contrast, Gibb’s provides a clearer step-by-step model with more stages that practitioners might find easier to follow. It also considers practitioners' emotions during the reflective process, which would provide a more thoughtful and insightful evaluation of practice. The addition of emotional reflection can improve self-awareness and encourage deeper consideration for actions. However, Gibb’s model might be considered lengthy and rigid, limiting spontaneity and creativity (University of Cambridge, ND). </w:t>
            </w:r>
          </w:p>
        </w:tc>
      </w:tr>
      <w:tr w:rsidR="6B9D36D0" w:rsidTr="56A9425C" w14:paraId="5D1C50D8">
        <w:trPr>
          <w:trHeight w:val="300"/>
        </w:trPr>
        <w:tc>
          <w:tcPr>
            <w:tcW w:w="13002" w:type="dxa"/>
            <w:gridSpan w:val="2"/>
            <w:tcBorders>
              <w:top w:val="single" w:sz="6"/>
              <w:left w:val="single" w:sz="6"/>
              <w:bottom w:val="single" w:sz="6"/>
              <w:right w:val="single" w:sz="6"/>
            </w:tcBorders>
            <w:tcMar>
              <w:left w:w="105" w:type="dxa"/>
              <w:right w:w="105" w:type="dxa"/>
            </w:tcMar>
            <w:vAlign w:val="top"/>
          </w:tcPr>
          <w:p w:rsidR="6B9D36D0" w:rsidP="25EE56CC" w:rsidRDefault="6B9D36D0" w14:paraId="34C63DA0" w14:noSpellErr="1" w14:textId="602AC2BD">
            <w:pPr>
              <w:bidi w:val="0"/>
              <w:spacing w:before="0" w:beforeAutospacing="off" w:after="0" w:afterAutospacing="off"/>
              <w:jc w:val="center"/>
              <w:rPr>
                <w:rFonts w:ascii="Arial" w:hAnsi="Arial" w:eastAsia="Arial" w:cs="Arial"/>
                <w:b w:val="0"/>
                <w:bCs w:val="0"/>
                <w:i w:val="0"/>
                <w:iCs w:val="0"/>
                <w:caps w:val="0"/>
                <w:smallCaps w:val="0"/>
                <w:color w:val="0070C0" w:themeColor="text1" w:themeTint="FF" w:themeShade="FF"/>
                <w:sz w:val="12"/>
                <w:szCs w:val="12"/>
              </w:rPr>
            </w:pPr>
            <w:r w:rsidRPr="25EE56CC" w:rsidR="6B9D36D0">
              <w:rPr>
                <w:rFonts w:ascii="Arial" w:hAnsi="Arial" w:eastAsia="Arial" w:cs="Arial"/>
                <w:b w:val="0"/>
                <w:bCs w:val="0"/>
                <w:i w:val="0"/>
                <w:iCs w:val="0"/>
                <w:caps w:val="0"/>
                <w:smallCaps w:val="0"/>
                <w:color w:val="0070C0"/>
                <w:sz w:val="12"/>
                <w:szCs w:val="12"/>
                <w:lang w:val="en-US"/>
              </w:rPr>
              <w:t xml:space="preserve">Conclusion </w:t>
            </w:r>
          </w:p>
          <w:p w:rsidR="6B9D36D0" w:rsidP="6B9D36D0" w:rsidRDefault="6B9D36D0" w14:paraId="7C6ADABA" w14:textId="30F314B2">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In conclusion, reflective practice is essential to Early Years as it improves outcomes for children and families, enhances practice such as quality of provision, supports professional development, and allows practitioners to learn from experiences. The theories of Schön and Kolb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emphasise</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how reflection can happen at any time, whether during or after an experience.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Analysing</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Kolb and Gibbs highlighted how Kolb is flexible and conceptual, </w:t>
            </w:r>
            <w:r w:rsidRPr="6B9D36D0" w:rsidR="6B9D36D0">
              <w:rPr>
                <w:rFonts w:ascii="Arial" w:hAnsi="Arial" w:eastAsia="Arial" w:cs="Arial"/>
                <w:b w:val="0"/>
                <w:bCs w:val="0"/>
                <w:i w:val="0"/>
                <w:iCs w:val="0"/>
                <w:caps w:val="0"/>
                <w:smallCaps w:val="0"/>
                <w:color w:val="000000" w:themeColor="text1" w:themeTint="FF" w:themeShade="FF"/>
                <w:sz w:val="12"/>
                <w:szCs w:val="12"/>
                <w:lang w:val="en-US"/>
              </w:rPr>
              <w:t>whereas</w:t>
            </w:r>
            <w:r w:rsidRPr="6B9D36D0" w:rsidR="6B9D36D0">
              <w:rPr>
                <w:rFonts w:ascii="Arial" w:hAnsi="Arial" w:eastAsia="Arial" w:cs="Arial"/>
                <w:b w:val="0"/>
                <w:bCs w:val="0"/>
                <w:i w:val="0"/>
                <w:iCs w:val="0"/>
                <w:caps w:val="0"/>
                <w:smallCaps w:val="0"/>
                <w:color w:val="000000" w:themeColor="text1" w:themeTint="FF" w:themeShade="FF"/>
                <w:sz w:val="12"/>
                <w:szCs w:val="12"/>
                <w:lang w:val="en-US"/>
              </w:rPr>
              <w:t xml:space="preserve"> Gibbs provides clear instructions and encourages emotional awareness. Both models support practitioners to reflect effectively and enhance their professional growth and improve practice.</w:t>
            </w:r>
          </w:p>
        </w:tc>
      </w:tr>
    </w:tbl>
    <w:p w:rsidR="61C2FA9C" w:rsidP="25EE56CC" w:rsidRDefault="61C2FA9C" w14:paraId="1B847BC8" w14:noSpellErr="1" w14:textId="086E11F4">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6A9425C" w:rsidR="6DCCABFC">
        <w:rPr>
          <w:rFonts w:ascii="Arial" w:hAnsi="Arial" w:eastAsia="Arial" w:cs="Arial"/>
          <w:b w:val="0"/>
          <w:bCs w:val="0"/>
          <w:i w:val="0"/>
          <w:iCs w:val="0"/>
          <w:caps w:val="0"/>
          <w:smallCaps w:val="0"/>
          <w:noProof w:val="0"/>
          <w:color w:val="000000" w:themeColor="text1" w:themeTint="FF" w:themeShade="FF"/>
          <w:sz w:val="24"/>
          <w:szCs w:val="24"/>
          <w:lang w:val="en-US"/>
        </w:rPr>
        <w:t>1034 words</w:t>
      </w:r>
    </w:p>
    <w:p w:rsidR="6DCCABFC" w:rsidP="56A9425C" w:rsidRDefault="6DCCABFC" w14:paraId="70EAD6AD" w14:textId="2F229539">
      <w:pPr>
        <w:bidi w:val="0"/>
        <w:spacing w:before="0" w:beforeAutospacing="off" w:after="0" w:afterAutospacing="off"/>
      </w:pPr>
      <w:r>
        <w:br w:type="page"/>
      </w:r>
    </w:p>
    <w:p w:rsidR="6DCCABFC" w:rsidP="56A9425C" w:rsidRDefault="6DCCABFC" w14:paraId="176E106E" w14:textId="0B98053C">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6A9425C" w:rsidR="6DCCABFC">
        <w:rPr>
          <w:rFonts w:ascii="Arial" w:hAnsi="Arial" w:eastAsia="Arial" w:cs="Arial"/>
          <w:b w:val="0"/>
          <w:bCs w:val="0"/>
          <w:i w:val="0"/>
          <w:iCs w:val="0"/>
          <w:caps w:val="0"/>
          <w:smallCaps w:val="0"/>
          <w:noProof w:val="0"/>
          <w:color w:val="000000" w:themeColor="text1" w:themeTint="FF" w:themeShade="FF"/>
          <w:sz w:val="24"/>
          <w:szCs w:val="24"/>
          <w:lang w:val="en-US"/>
        </w:rPr>
        <w:t xml:space="preserve">References: </w:t>
      </w:r>
      <w:r>
        <w:br/>
      </w:r>
      <w:r>
        <w:br/>
      </w:r>
      <w:r w:rsidRPr="56A9425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Brookfield, S. (2017) </w:t>
      </w:r>
      <w:r w:rsidRPr="56A9425C" w:rsidR="3B93E34F">
        <w:rPr>
          <w:rFonts w:ascii="Arial" w:hAnsi="Arial" w:eastAsia="Arial" w:cs="Arial"/>
          <w:b w:val="0"/>
          <w:bCs w:val="0"/>
          <w:i w:val="1"/>
          <w:iCs w:val="1"/>
          <w:caps w:val="0"/>
          <w:smallCaps w:val="0"/>
          <w:noProof w:val="0"/>
          <w:color w:val="000000" w:themeColor="text1" w:themeTint="FF" w:themeShade="FF"/>
          <w:sz w:val="24"/>
          <w:szCs w:val="24"/>
          <w:lang w:val="en-US"/>
        </w:rPr>
        <w:t>Becoming a critically reflective teacher</w:t>
      </w:r>
      <w:r w:rsidRPr="56A9425C" w:rsidR="3B93E34F">
        <w:rPr>
          <w:rFonts w:ascii="Arial" w:hAnsi="Arial" w:eastAsia="Arial" w:cs="Arial"/>
          <w:b w:val="0"/>
          <w:bCs w:val="0"/>
          <w:i w:val="0"/>
          <w:iCs w:val="0"/>
          <w:caps w:val="0"/>
          <w:smallCaps w:val="0"/>
          <w:noProof w:val="0"/>
          <w:color w:val="000000" w:themeColor="text1" w:themeTint="FF" w:themeShade="FF"/>
          <w:sz w:val="24"/>
          <w:szCs w:val="24"/>
          <w:lang w:val="en-US"/>
        </w:rPr>
        <w:t>. Second edition. San Francisco, [California: Jossey-Bass.</w:t>
      </w:r>
    </w:p>
    <w:p w:rsidR="25EE56CC" w:rsidP="25EE56CC" w:rsidRDefault="25EE56CC" w14:paraId="4F0EEC0B" w14:textId="39539073">
      <w:pPr>
        <w:bidi w:val="0"/>
        <w:spacing w:before="0" w:beforeAutospacing="off" w:after="0" w:afterAutospacing="off"/>
        <w:rPr>
          <w:rFonts w:ascii="Arial" w:hAnsi="Arial" w:eastAsia="Arial" w:cs="Arial"/>
          <w:b w:val="0"/>
          <w:bCs w:val="0"/>
          <w:i w:val="0"/>
          <w:iCs w:val="0"/>
          <w:caps w:val="0"/>
          <w:smallCaps w:val="0"/>
          <w:noProof w:val="0"/>
          <w:color w:val="3A3A3A" w:themeColor="background2" w:themeTint="FF" w:themeShade="40"/>
          <w:sz w:val="24"/>
          <w:szCs w:val="24"/>
          <w:lang w:val="en-US"/>
        </w:rPr>
      </w:pPr>
    </w:p>
    <w:p w:rsidR="3B93E34F" w:rsidP="25EE56CC" w:rsidRDefault="3B93E34F" w14:paraId="48FE7C79" w14:textId="6554B95D">
      <w:pPr>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Cottrell, S. (2023)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Critical Thinking Skills</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4</w:t>
      </w:r>
      <w:r w:rsidRPr="25EE56CC" w:rsidR="3B93E34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edn. Bloomsbury Academic.</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Dicks, K. (2025) ‘Reflective Practice’ [Lecture].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ECEY4009C: The Professional Practitioner</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University of Wales Trinity Saint David. October.</w:t>
      </w:r>
    </w:p>
    <w:p w:rsidR="25EE56CC" w:rsidP="25EE56CC" w:rsidRDefault="25EE56CC" w14:paraId="18E07CF6" w14:textId="18C53BAF">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3B93E34F" w:rsidP="25EE56CC" w:rsidRDefault="3B93E34F" w14:paraId="47E0042B" w14:textId="37BD8990">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Hanson, K. J. (2012) ‘How Can I Support Early Childhood Studies Undergraduate Students To Develop Reflective Dispositions?’. University of Exeter. Available at: </w:t>
      </w:r>
      <w:hyperlink r:id="Ra3d852076e9a49de">
        <w:r w:rsidRPr="25EE56CC" w:rsidR="3B93E34F">
          <w:rPr>
            <w:rStyle w:val="Hyperlink"/>
            <w:rFonts w:ascii="Arial" w:hAnsi="Arial" w:eastAsia="Arial" w:cs="Arial"/>
            <w:b w:val="0"/>
            <w:bCs w:val="0"/>
            <w:i w:val="0"/>
            <w:iCs w:val="0"/>
            <w:caps w:val="0"/>
            <w:smallCaps w:val="0"/>
            <w:noProof w:val="0"/>
            <w:sz w:val="24"/>
            <w:szCs w:val="24"/>
            <w:lang w:val="en-US"/>
          </w:rPr>
          <w:t>https://hdl.handle.net/10036/3866</w:t>
        </w:r>
      </w:hyperlink>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19 October 2025).</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Kolb, D.A. (2015)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Experiential Learning : Experience As the Source of Learning and Development</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Second edition. Upper Saddle River, New Jersey: Pearson Education.</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Lindon, J. and Trodd, L. (2016)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Reflective Practice and Early Years Professionalism</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Third edition. London, England: Hodder Education.</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Schön, D.A. (2016)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The reflective practitioner : how professionals think in action</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Abingdon, England ; Routledge. Available at: </w:t>
      </w:r>
      <w:hyperlink r:id="R46569edb794f4b05">
        <w:r w:rsidRPr="25EE56CC" w:rsidR="3B93E34F">
          <w:rPr>
            <w:rStyle w:val="Hyperlink"/>
            <w:rFonts w:ascii="Arial" w:hAnsi="Arial" w:eastAsia="Arial" w:cs="Arial"/>
            <w:b w:val="0"/>
            <w:bCs w:val="0"/>
            <w:i w:val="0"/>
            <w:iCs w:val="0"/>
            <w:caps w:val="0"/>
            <w:smallCaps w:val="0"/>
            <w:strike w:val="0"/>
            <w:dstrike w:val="0"/>
            <w:noProof w:val="0"/>
            <w:sz w:val="24"/>
            <w:szCs w:val="24"/>
            <w:lang w:val="en-US"/>
          </w:rPr>
          <w:t>https://doi.org/10.4324/9781315237473</w:t>
        </w:r>
      </w:hyperlink>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Thompson, C. (2021)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Reflective practice for professional development : a guide for teachers</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1st ed. Abingdon, Oxon ; Routledge. Available at: </w:t>
      </w:r>
      <w:hyperlink r:id="Re3a4d29666e84859">
        <w:r w:rsidRPr="25EE56CC" w:rsidR="3B93E34F">
          <w:rPr>
            <w:rStyle w:val="Hyperlink"/>
            <w:rFonts w:ascii="Arial" w:hAnsi="Arial" w:eastAsia="Arial" w:cs="Arial"/>
            <w:b w:val="0"/>
            <w:bCs w:val="0"/>
            <w:i w:val="0"/>
            <w:iCs w:val="0"/>
            <w:caps w:val="0"/>
            <w:smallCaps w:val="0"/>
            <w:strike w:val="0"/>
            <w:dstrike w:val="0"/>
            <w:noProof w:val="0"/>
            <w:sz w:val="24"/>
            <w:szCs w:val="24"/>
            <w:lang w:val="en-US"/>
          </w:rPr>
          <w:t>https://doi.org/10.4324/9781003056812</w:t>
        </w:r>
      </w:hyperlink>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w:t>
      </w:r>
      <w:r>
        <w:br/>
      </w:r>
      <w:r>
        <w:br/>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University of Cambridge (no date) </w:t>
      </w:r>
      <w:r w:rsidRPr="25EE56CC" w:rsidR="3B93E34F">
        <w:rPr>
          <w:rFonts w:ascii="Arial" w:hAnsi="Arial" w:eastAsia="Arial" w:cs="Arial"/>
          <w:b w:val="0"/>
          <w:bCs w:val="0"/>
          <w:i w:val="1"/>
          <w:iCs w:val="1"/>
          <w:caps w:val="0"/>
          <w:smallCaps w:val="0"/>
          <w:noProof w:val="0"/>
          <w:color w:val="000000" w:themeColor="text1" w:themeTint="FF" w:themeShade="FF"/>
          <w:sz w:val="24"/>
          <w:szCs w:val="24"/>
          <w:lang w:val="en-US"/>
        </w:rPr>
        <w:t>Reflective Practice Toolkit: Models</w:t>
      </w:r>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e9a9c12b45334e97">
        <w:r w:rsidRPr="25EE56CC" w:rsidR="3B93E34F">
          <w:rPr>
            <w:rStyle w:val="Hyperlink"/>
            <w:rFonts w:ascii="Arial" w:hAnsi="Arial" w:eastAsia="Arial" w:cs="Arial"/>
            <w:b w:val="0"/>
            <w:bCs w:val="0"/>
            <w:i w:val="0"/>
            <w:iCs w:val="0"/>
            <w:caps w:val="0"/>
            <w:smallCaps w:val="0"/>
            <w:strike w:val="0"/>
            <w:dstrike w:val="0"/>
            <w:noProof w:val="0"/>
            <w:sz w:val="24"/>
            <w:szCs w:val="24"/>
            <w:lang w:val="en-US"/>
          </w:rPr>
          <w:t>https://libguides.cam.ac.uk/reflectivepracticetoolkit/models</w:t>
        </w:r>
      </w:hyperlink>
      <w:r w:rsidRPr="25EE56C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3E34F" w:rsidP="25EE56CC" w:rsidRDefault="3B93E34F" w14:paraId="6BB22B2A" w14:textId="31D44912">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br/>
      </w:r>
      <w:r w:rsidRPr="56A9425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w:t>
      </w:r>
      <w:r w:rsidRPr="56A9425C" w:rsidR="3B93E34F">
        <w:rPr>
          <w:rFonts w:ascii="Arial" w:hAnsi="Arial" w:eastAsia="Arial" w:cs="Arial"/>
          <w:b w:val="0"/>
          <w:bCs w:val="0"/>
          <w:i w:val="1"/>
          <w:iCs w:val="1"/>
          <w:caps w:val="0"/>
          <w:smallCaps w:val="0"/>
          <w:noProof w:val="0"/>
          <w:color w:val="000000" w:themeColor="text1" w:themeTint="FF" w:themeShade="FF"/>
          <w:sz w:val="24"/>
          <w:szCs w:val="24"/>
          <w:lang w:val="en-US"/>
        </w:rPr>
        <w:t>Curriculum for Wales: Foundation Phase Framework</w:t>
      </w:r>
      <w:r w:rsidRPr="56A9425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09c1e14816d458a">
        <w:r w:rsidRPr="56A9425C" w:rsidR="3B93E34F">
          <w:rPr>
            <w:rStyle w:val="Hyperlink"/>
            <w:rFonts w:ascii="Arial" w:hAnsi="Arial" w:eastAsia="Arial" w:cs="Arial"/>
            <w:b w:val="0"/>
            <w:bCs w:val="0"/>
            <w:i w:val="0"/>
            <w:iCs w:val="0"/>
            <w:caps w:val="0"/>
            <w:smallCaps w:val="0"/>
            <w:strike w:val="0"/>
            <w:dstrike w:val="0"/>
            <w:noProof w:val="0"/>
            <w:sz w:val="24"/>
            <w:szCs w:val="24"/>
            <w:lang w:val="en-US"/>
          </w:rPr>
          <w:t>foundation-phase-framework-revised-2015.pdf</w:t>
        </w:r>
      </w:hyperlink>
      <w:r w:rsidRPr="56A9425C" w:rsidR="3B93E34F">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19 October 2025)</w:t>
      </w:r>
    </w:p>
    <w:p w:rsidR="56A9425C" w:rsidRDefault="56A9425C" w14:paraId="757EDA20" w14:textId="485ED128">
      <w:r>
        <w:br w:type="page"/>
      </w:r>
    </w:p>
    <w:p w:rsidR="48A03F93" w:rsidP="56A9425C" w:rsidRDefault="48A03F93" w14:paraId="0C306126" w14:textId="0343A259">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Written piece: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Recognise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analyse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the significance of different aspects of professional practice and why these are important in meeting the individual and inclusive needs of children - including professional values, communication, multiagency work, observations, planning and the UNCRC. (1500 words) </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Being a professional is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generally viewed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as someone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possessing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the skills, expert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knowledge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formal qualifications to carry out one's practice consistently to a high standard (Solvason and Webb, 2023,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Professionalism in the Early Years is set out by the Foundation Phase Framework (Welsh Government, 2015, p. 4) which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how practitioners should support children’s holistic development by creating supportive and stimulating environments. Its intention is to make sure practitioners strike a balance between child-led and adult-led activities, develop differentiated learning opportunities to meet individual needs, and regularly reflect on their practice (Welsh Government, 2015, p. 4).</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Professional values are essentially a shared set of beliefs amongst practitioners within a setting. In addition, practitioners may possess personal attributes such as empathy, compassion, and patience to help with putting these values into practice. As Laming (2003, p. 3) reports, it takes a practitioner with certain skills and personal qualities to do their role successfully. These values are modelled for children and influence how practitioners behave and respond to situations. Also, Cunningham (2020, p. 149) citing Bryk et al. (1999) and Newmann et al. (2001), suggests that personal and professional values can determine whether change is actioned or not within a school. This concept extends beyond schools, as shared values affect how people work together and respond to change across a range of professional settings, including Early Years. Professional values are also central to practitioners’ pedagogy and the curriculum, supported by frameworks and policies such as the UNCRC (UNICEF UK, 2019) and Foundation Phase Framework (Welsh Government, 2015), which put children’s rights and wellbeing first. Brock (2013,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identifies values as one of seven dimensions of professionalism in Early Years. These include a dedication to play-based learning, a commitment to act ethically for the benefit of children, families, and society, being accountable for the quality of education and care provided, and creating environments where mutual trust and respect are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prioritised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(Brock, 2013,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Watzlawick and Jackson (2010, p. 2) rightly describe communication as “indispensable”. It is particularly significant in Early Years, as babies and toddlers are not yet able to articulate their needs clearly, meaning practitioners depend on observations and non-verbal cues to understand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respond appropriately. In addition, establishing strong relationships with those close to a child, such as parents and carers, is likely to have a positive impact on their development and wellbeing, for instance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recognising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solving any problems that may arise. Every child is unique, meaning that what works for one child might not work for another. Due to the diversity of children’s needs, it is often not possible for one individual to meet them all. This highlights the importance of an inclusive approach and collaboration between carers and professionals to support each child’s development and wellbeing. Throughout a child’s life, they will encounter numerous practitioners for various reasons to support and fulfill the child’s rights (NSPCC, 2023). Cunningham (2020, p. 150) highlights how professional settings seek to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maximise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the benefits of human and social capital by making use of the knowledge, skills, relationships, and social networks within a team. Unfortunately, there have been many instances where a lack of effective communication has led to tragic outcomes for children, like the case of Victoria Climbie (Laming, 2003, p. 3). </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As mentioned previously, children will encounter multiple practitioners throughout their lives to meet different needs. Society has progressed significantly, and it is no longer possible to depend solely on a single caregiver, parent unit, or even familial support to meet every need a child might have. We have developed beyond traditional kinship networks, and with a better understanding of children’s medical, psychological, and developmental needs, collaboration between professionals with different expertise has become essential. This raises the question of whether children have always had these complex needs, or whether our growing knowledge and changing society have simply made us more aware of them. Mason (2021</w:t>
      </w:r>
      <w:r w:rsidRPr="56A9425C" w:rsidR="0B26D9A4">
        <w:rPr>
          <w:rFonts w:ascii="Arial" w:hAnsi="Arial" w:eastAsia="Arial" w:cs="Arial"/>
          <w:b w:val="0"/>
          <w:bCs w:val="0"/>
          <w:i w:val="0"/>
          <w:iCs w:val="0"/>
          <w:caps w:val="0"/>
          <w:smallCaps w:val="0"/>
          <w:noProof w:val="0"/>
          <w:color w:val="000000" w:themeColor="text1" w:themeTint="FF" w:themeShade="FF"/>
          <w:sz w:val="24"/>
          <w:szCs w:val="24"/>
          <w:lang w:val="en-US"/>
        </w:rPr>
        <w:t>, 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explains that it can be beneficial for practitioners to work with external agencies, as these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relationships can provide valuable insights into children's lives outside of school. Working alongside these agencies helps build a stronger sense of community for children and families, while also creating opportunities to access additional funding that may not otherwise be available (Mason, 2021</w:t>
      </w:r>
      <w:r w:rsidRPr="56A9425C" w:rsidR="5C6CE8FF">
        <w:rPr>
          <w:rFonts w:ascii="Arial" w:hAnsi="Arial" w:eastAsia="Arial" w:cs="Arial"/>
          <w:b w:val="0"/>
          <w:bCs w:val="0"/>
          <w:i w:val="0"/>
          <w:iCs w:val="0"/>
          <w:caps w:val="0"/>
          <w:smallCaps w:val="0"/>
          <w:noProof w:val="0"/>
          <w:color w:val="000000" w:themeColor="text1" w:themeTint="FF" w:themeShade="FF"/>
          <w:sz w:val="24"/>
          <w:szCs w:val="24"/>
          <w:lang w:val="en-US"/>
        </w:rPr>
        <w:t>, 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Overall, Mason (2021</w:t>
      </w:r>
      <w:r w:rsidRPr="56A9425C" w:rsidR="0CC9C052">
        <w:rPr>
          <w:rFonts w:ascii="Arial" w:hAnsi="Arial" w:eastAsia="Arial" w:cs="Arial"/>
          <w:b w:val="0"/>
          <w:bCs w:val="0"/>
          <w:i w:val="0"/>
          <w:iCs w:val="0"/>
          <w:caps w:val="0"/>
          <w:smallCaps w:val="0"/>
          <w:noProof w:val="0"/>
          <w:color w:val="000000" w:themeColor="text1" w:themeTint="FF" w:themeShade="FF"/>
          <w:sz w:val="24"/>
          <w:szCs w:val="24"/>
          <w:lang w:val="en-US"/>
        </w:rPr>
        <w:t>, 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highlights the benefits of multi-agency work for supporting inclusive education and developing relationships. </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Observations are valuable for practitioners because they provide an opportunity to gauge where a child is on their learning journey and make appropriate adjustments to support their development. A lot can be learned from taking the time to observe a child, as it offers insight into their interests, abilities, and interactions. As Bruce (2020</w:t>
      </w:r>
      <w:r w:rsidRPr="56A9425C" w:rsidR="525DBB63">
        <w:rPr>
          <w:rFonts w:ascii="Arial" w:hAnsi="Arial" w:eastAsia="Arial" w:cs="Arial"/>
          <w:b w:val="0"/>
          <w:bCs w:val="0"/>
          <w:i w:val="0"/>
          <w:iCs w:val="0"/>
          <w:caps w:val="0"/>
          <w:smallCaps w:val="0"/>
          <w:noProof w:val="0"/>
          <w:color w:val="000000" w:themeColor="text1" w:themeTint="FF" w:themeShade="FF"/>
          <w:sz w:val="24"/>
          <w:szCs w:val="24"/>
          <w:lang w:val="en-US"/>
        </w:rPr>
        <w:t>, np</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“observe, then support and extend”. Observation can highlight any differences in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or whether a child might be experiencing developmental delays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Tallent</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Thompson, 2022, np). It is important to be mindful of when or where an observation takes place, as individuals in new settings might display untypical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as they adjust to unfamiliar routines, relationships, and environments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Tallent</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Thompson, 2022, np). Observing a child across environments is also likely to reveal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might not usually exhibit (Sharman, Cross and Vennis, 2015, p.10). Furthermore, observation is not limited to the child alone; practitioners must be aware of the actions or inactions of parents and carers, as well as how they interact with the child (Wales Safeguarding Procedures, 2021). Sharman, Cross and Vennis (2015, p. 9) highlight how observations help practitioners make connections to theory. In addition, it is important that those observing do not influence the child’s actions in any way, so that their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remains authentic (Sharman, Cross and Vennis, 2015, p. 10). However, when observing, practitioners must be careful to avoid making assumptions such as about a child’s social class. Practitioners can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utilise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 to inform both planning and assessment (Sharman, Cross and Vennis, 2015, p. 106).</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The Welsh Government (2022, p. 3) clearly outlines the aims for settings to guide practitioners in developing their practice, with an emphasis on making planning purposeful.</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Planning provides a clear framework and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for children to achieve. It ensures that activities are purposeful,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build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on prior learning, and support each child’s development effectively. Assessment is helpful when tracking a child’s progress and ensuring any planning meets their needs individually or collectively (Welsh Government, 2022, p. 5). Thomas and Lewis (2016, p. 140) note how practitioners use different forms of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planning,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these are short-term,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medium-term</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long-term. Long-term planning includes continuous provision, referring to resources and activities (like literacy and math materials) that are always accessible (Thomas and Lewis, 2016, p. 140). Medium-term planning usually explores a theme or topic over several weeks or a term (Thomas and Lewis, 2016, p. 140). Short-term planning is flexible and responsive, focusing on day-to-day or weekly activities based on the children’s interests, progress, and needs (Thomas and Lewis, 2016, p. 140).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Ultimately, each</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planning term forms a cyclical process, informing and shaping both the setting and the practitioner’s actions.</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The UNCRC provides the foundation for anyone involved in a child’s life, including practitioners, parents, carers, and other professionals. It is a convention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across the world and signed by 196 countries (UNICEF UK,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n.d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Each right is to be considered equally; however, there are four known as general principles which underpin them as a whole: “non-discrimination</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“best interest of the child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“right to life survival and development” and “right to be heard” (UNICEF UK,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n.d</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Historically, children were viewed as having no rights, with phrases like "children should be seen and not heard" reinforcing this perspective. The UNCRC gives children autonomy and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establishes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responsibility to uphold every child’s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rights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guiding professional practice. Article 23 supports inclusive practice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with a disability, outlining how they should still access a life that is "full and decent," be treated with respect, be an active part of their community, and receive any necessary support to enable this (UNICEF UK, 2010). </w:t>
      </w:r>
      <w:r>
        <w:br/>
      </w:r>
      <w:r>
        <w:br/>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Finally, all aspects explored in this assignment play a significant role in meeting the inclusive and individual needs of children. It is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apparent</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that there has been exceptional progress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policies and practices to promote positive outcomes for all children (UNICEF UK, 2010). However, implementing these theories in everyday practice is something practitioners continue to find challenging to uphold, particularly as some theoretical frameworks have been developed by individuals who do not work directly with children. Possessing specific professional values and skills underpins everything, and a lack of these has proven to be detrimental to the outcomes of children (Laming, 2003). Communication and relationships are at the heart of everything individuals do, as humans are social beings, and any connections made between practitioners, children, families, and others can influence how everyone develops,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socialises</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6A9425C" w:rsidR="36A61DE8">
        <w:rPr>
          <w:rFonts w:ascii="Arial" w:hAnsi="Arial" w:eastAsia="Arial" w:cs="Arial"/>
          <w:b w:val="0"/>
          <w:bCs w:val="0"/>
          <w:i w:val="0"/>
          <w:iCs w:val="0"/>
          <w:caps w:val="0"/>
          <w:smallCaps w:val="0"/>
          <w:noProof w:val="0"/>
          <w:color w:val="000000" w:themeColor="text1" w:themeTint="FF" w:themeShade="FF"/>
          <w:sz w:val="24"/>
          <w:szCs w:val="24"/>
          <w:lang w:val="en-US"/>
        </w:rPr>
        <w:t>ultimately</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where they end up in life. Observations highlight where a child might be on their developmental journey; however, practitioners must be mindful that they may not always be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accurate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without other information. Although planning is important for providing purposeful and structured learning experiences, it does not always go as intended, meaning practitioners must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adaptability and reflective practice. The UNCRC is vital to providing a legal framework for countries to protect children’s rights. Although the articles of the UNCRC are non-negotiable and valuable, </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establishing</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a balance in practice can present challenges, as not all children may be developmentally ready to exercise certain rights fully.</w:t>
      </w:r>
    </w:p>
    <w:p w:rsidR="61C2FA9C" w:rsidP="56A9425C" w:rsidRDefault="61C2FA9C" w14:paraId="04713D73" w14:noSpellErr="1" w14:textId="3230FB0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160</w:t>
      </w:r>
      <w:r w:rsidRPr="56A9425C" w:rsidR="340B528E">
        <w:rPr>
          <w:rFonts w:ascii="Arial" w:hAnsi="Arial" w:eastAsia="Arial" w:cs="Arial"/>
          <w:b w:val="0"/>
          <w:bCs w:val="0"/>
          <w:i w:val="0"/>
          <w:iCs w:val="0"/>
          <w:caps w:val="0"/>
          <w:smallCaps w:val="0"/>
          <w:noProof w:val="0"/>
          <w:color w:val="000000" w:themeColor="text1" w:themeTint="FF" w:themeShade="FF"/>
          <w:sz w:val="24"/>
          <w:szCs w:val="24"/>
          <w:lang w:val="en-US"/>
        </w:rPr>
        <w:t>6</w:t>
      </w:r>
      <w:r w:rsidRPr="56A9425C" w:rsidR="48A03F93">
        <w:rPr>
          <w:rFonts w:ascii="Arial" w:hAnsi="Arial" w:eastAsia="Arial" w:cs="Arial"/>
          <w:b w:val="0"/>
          <w:bCs w:val="0"/>
          <w:i w:val="0"/>
          <w:iCs w:val="0"/>
          <w:caps w:val="0"/>
          <w:smallCaps w:val="0"/>
          <w:noProof w:val="0"/>
          <w:color w:val="000000" w:themeColor="text1" w:themeTint="FF" w:themeShade="FF"/>
          <w:sz w:val="24"/>
          <w:szCs w:val="24"/>
          <w:lang w:val="en-US"/>
        </w:rPr>
        <w:t xml:space="preserve"> words</w:t>
      </w:r>
    </w:p>
    <w:p w:rsidR="56A9425C" w:rsidRDefault="56A9425C" w14:paraId="77446693" w14:textId="35F62B63">
      <w:r>
        <w:br w:type="page"/>
      </w:r>
    </w:p>
    <w:p w:rsidR="404435DC" w:rsidP="56A9425C" w:rsidRDefault="404435DC" w14:paraId="6D00CB4B" w14:textId="49D5BF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References:</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Brock, A. (2013) ‘Building a model of early years professionalism from practitioners’ perspectives’,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Journal of early childhood research : ECR</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11(1), pp. 27–44. Available at: </w:t>
      </w:r>
      <w:hyperlink r:id="R6886e9e0511640bc">
        <w:r w:rsidRPr="56A9425C" w:rsidR="404435DC">
          <w:rPr>
            <w:rStyle w:val="Hyperlink"/>
            <w:rFonts w:ascii="Arial" w:hAnsi="Arial" w:eastAsia="Arial" w:cs="Arial"/>
            <w:b w:val="0"/>
            <w:bCs w:val="0"/>
            <w:i w:val="0"/>
            <w:iCs w:val="0"/>
            <w:caps w:val="0"/>
            <w:smallCaps w:val="0"/>
            <w:strike w:val="0"/>
            <w:dstrike w:val="0"/>
            <w:noProof w:val="0"/>
            <w:sz w:val="24"/>
            <w:szCs w:val="24"/>
            <w:lang w:val="en-US"/>
          </w:rPr>
          <w:t>https://doi.org/10.1177/1476718X12456003</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Bruce, T. (2020)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Educating young children : a lifetime journey into a Froebelian approach : the selected works of Tina Bruce</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1st ed. Abingdon, Oxon ; Routledge.</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Burnham, L. (2016)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How to be an outstanding early years practitioner</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London, England: Bloomsbury.</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Cunningham, D.D. (ed.) (2020)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Professional and ethical consideration for early childhood leaders</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Hershey, PA: Information Science Reference, an imprint of IGI Global. Available at: </w:t>
      </w:r>
      <w:hyperlink r:id="Rc758b07c05c0498e">
        <w:r w:rsidRPr="56A9425C" w:rsidR="404435DC">
          <w:rPr>
            <w:rStyle w:val="Hyperlink"/>
            <w:rFonts w:ascii="Arial" w:hAnsi="Arial" w:eastAsia="Arial" w:cs="Arial"/>
            <w:b w:val="0"/>
            <w:bCs w:val="0"/>
            <w:i w:val="0"/>
            <w:iCs w:val="0"/>
            <w:caps w:val="0"/>
            <w:smallCaps w:val="0"/>
            <w:strike w:val="0"/>
            <w:dstrike w:val="0"/>
            <w:noProof w:val="0"/>
            <w:sz w:val="24"/>
            <w:szCs w:val="24"/>
            <w:lang w:val="en-US"/>
          </w:rPr>
          <w:t>https://doi.org/10.4018/978-1-7998-5089-2</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Laming, L. (2003)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The Victoria Climbié Inquiry: Report of an Inquiry by Lord Laming</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Cm 5730. London: The Stationery Office.</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Mason, C.Y.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et al.</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Compassionate school practices : fostering children’s mental health and well-being</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Thousand Oaks, California: Corwin.</w:t>
      </w:r>
    </w:p>
    <w:p w:rsidR="404435DC" w:rsidP="56A9425C" w:rsidRDefault="404435DC" w14:paraId="155C3B40" w14:textId="7E2A23C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NSPCC (2023)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Multi-agency</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working</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skip-to-content" r:id="R7db784be6ed34c85">
        <w:r w:rsidRPr="56A9425C" w:rsidR="404435DC">
          <w:rPr>
            <w:rStyle w:val="Hyperlink"/>
            <w:rFonts w:ascii="Arial" w:hAnsi="Arial" w:eastAsia="Arial" w:cs="Arial"/>
            <w:b w:val="0"/>
            <w:bCs w:val="0"/>
            <w:i w:val="0"/>
            <w:iCs w:val="0"/>
            <w:caps w:val="0"/>
            <w:smallCaps w:val="0"/>
            <w:strike w:val="0"/>
            <w:dstrike w:val="0"/>
            <w:noProof w:val="0"/>
            <w:sz w:val="24"/>
            <w:szCs w:val="24"/>
            <w:lang w:val="en-US"/>
          </w:rPr>
          <w:t>Multi-agency and interdisciplinary working | NSPCC Learning</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Sharman, C., Cross,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W.</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and Vennis, D. (2015)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Summative assessment in the early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years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a guide to observational techniques for anyone working with young children</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London,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England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Bloomsbury Education.</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Solvason, C. and Webb, R. (eds) (2023)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Exploring and celebrating the early childhood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practitioner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an interrogation of pedagogy,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professionalism</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and practice</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London,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England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Tallent, L. and Thompson, J. (2022)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The early years intervention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toolkit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inclusive activities to support child development</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Milton: Taylor &amp; Francis Group.</w:t>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UNICEF UK. (2019)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Summary of the UN Convention on the Rights of the Child</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119491628eb4d42">
        <w:r w:rsidRPr="56A9425C" w:rsidR="404435DC">
          <w:rPr>
            <w:rStyle w:val="Hyperlink"/>
            <w:rFonts w:ascii="Arial" w:hAnsi="Arial" w:eastAsia="Arial" w:cs="Arial"/>
            <w:b w:val="0"/>
            <w:bCs w:val="0"/>
            <w:i w:val="0"/>
            <w:iCs w:val="0"/>
            <w:caps w:val="0"/>
            <w:smallCaps w:val="0"/>
            <w:strike w:val="0"/>
            <w:dstrike w:val="0"/>
            <w:noProof w:val="0"/>
            <w:sz w:val="24"/>
            <w:szCs w:val="24"/>
            <w:lang w:val="en-US"/>
          </w:rPr>
          <w:t>https://www.unicef.org.uk/wp-content/uploads/2019/10/UNCRC_summary-1_1.pdf</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Thomas, </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A.</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and Lewis, A. (2016) ‘Planning for Purposeful Play in the Foundation Phase’, in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An Introduction to the Foundation Phase</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United Kingdom: Bloomsbury Publishing Plc.</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UNICEF UK (no date)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What is the UNCRC?</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Available at: </w:t>
      </w:r>
      <w:hyperlink r:id="R5427c395f7c740ad">
        <w:r w:rsidRPr="56A9425C" w:rsidR="404435DC">
          <w:rPr>
            <w:rStyle w:val="Hyperlink"/>
            <w:rFonts w:ascii="Arial" w:hAnsi="Arial" w:eastAsia="Arial" w:cs="Arial"/>
            <w:b w:val="0"/>
            <w:bCs w:val="0"/>
            <w:i w:val="0"/>
            <w:iCs w:val="0"/>
            <w:caps w:val="0"/>
            <w:smallCaps w:val="0"/>
            <w:strike w:val="0"/>
            <w:dstrike w:val="0"/>
            <w:noProof w:val="0"/>
            <w:sz w:val="24"/>
            <w:szCs w:val="24"/>
            <w:lang w:val="en-US"/>
          </w:rPr>
          <w:t>https://www.unicef.org.uk/what-we-do/un-convention-child-rights/</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UNICEF UK (2010)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UNCRC summary</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c20fc13c2bd40bd">
        <w:r w:rsidRPr="56A9425C" w:rsidR="404435DC">
          <w:rPr>
            <w:rStyle w:val="Hyperlink"/>
            <w:rFonts w:ascii="Arial" w:hAnsi="Arial" w:eastAsia="Arial" w:cs="Arial"/>
            <w:b w:val="0"/>
            <w:bCs w:val="0"/>
            <w:i w:val="0"/>
            <w:iCs w:val="0"/>
            <w:caps w:val="0"/>
            <w:smallCaps w:val="0"/>
            <w:strike w:val="0"/>
            <w:dstrike w:val="0"/>
            <w:noProof w:val="0"/>
            <w:sz w:val="24"/>
            <w:szCs w:val="24"/>
            <w:lang w:val="en-US"/>
          </w:rPr>
          <w:t>UNCRC_summary-1.pdf</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Wales Safeguarding Procedures (2021)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Safeguarding children affected by domestic abuse</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ba1d5cd83dd4ca5">
        <w:r w:rsidRPr="56A9425C" w:rsidR="404435DC">
          <w:rPr>
            <w:rStyle w:val="Hyperlink"/>
            <w:rFonts w:ascii="Arial" w:hAnsi="Arial" w:eastAsia="Arial" w:cs="Arial"/>
            <w:b w:val="0"/>
            <w:bCs w:val="0"/>
            <w:i w:val="0"/>
            <w:iCs w:val="0"/>
            <w:caps w:val="0"/>
            <w:smallCaps w:val="0"/>
            <w:strike w:val="0"/>
            <w:dstrike w:val="0"/>
            <w:noProof w:val="0"/>
            <w:sz w:val="24"/>
            <w:szCs w:val="24"/>
            <w:lang w:val="en-US"/>
          </w:rPr>
          <w:t>https://www.safeguarding.wales/en/chi-i/chi-i-c6/</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Watzlawick, P. &amp; Jackson, D.D. 2010, ‘On Human Communication (1964)1’,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Journal of Systemic Therapies</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vol. 29, no. 2, pp. 53–68</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Welsh Government (2015)</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Curriculum</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 xml:space="preserve"> for Wales: Foundation Phase Framework (Revised 2015)</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Cardiff: Welsh Government. Available at </w:t>
      </w:r>
      <w:r w:rsidRPr="56A9425C" w:rsidR="404435DC">
        <w:rPr>
          <w:rStyle w:val="Hyperlink"/>
          <w:rFonts w:ascii="Arial" w:hAnsi="Arial" w:eastAsia="Arial" w:cs="Arial"/>
          <w:b w:val="0"/>
          <w:bCs w:val="0"/>
          <w:i w:val="0"/>
          <w:iCs w:val="0"/>
          <w:caps w:val="0"/>
          <w:smallCaps w:val="0"/>
          <w:strike w:val="0"/>
          <w:dstrike w:val="0"/>
          <w:noProof w:val="0"/>
          <w:sz w:val="24"/>
          <w:szCs w:val="24"/>
          <w:lang w:val="en-US"/>
        </w:rPr>
        <w:t>foundation-phase-framework-revised-2015.pdf</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27 October 2025)</w:t>
      </w:r>
      <w:r>
        <w:br/>
      </w:r>
      <w:r>
        <w:br/>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w:t>
      </w:r>
      <w:r w:rsidRPr="56A9425C" w:rsidR="404435DC">
        <w:rPr>
          <w:rFonts w:ascii="Arial" w:hAnsi="Arial" w:eastAsia="Arial" w:cs="Arial"/>
          <w:b w:val="0"/>
          <w:bCs w:val="0"/>
          <w:i w:val="1"/>
          <w:iCs w:val="1"/>
          <w:caps w:val="0"/>
          <w:smallCaps w:val="0"/>
          <w:noProof w:val="0"/>
          <w:color w:val="000000" w:themeColor="text1" w:themeTint="FF" w:themeShade="FF"/>
          <w:sz w:val="24"/>
          <w:szCs w:val="24"/>
          <w:lang w:val="en-US"/>
        </w:rPr>
        <w:t>Curriculum planning and priorities guide</w:t>
      </w:r>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Cardiff: Welsh Government. Available at: </w:t>
      </w:r>
      <w:hyperlink r:id="R614977a8ea1d43e2">
        <w:r w:rsidRPr="56A9425C" w:rsidR="404435DC">
          <w:rPr>
            <w:rStyle w:val="Hyperlink"/>
            <w:rFonts w:ascii="Arial" w:hAnsi="Arial" w:eastAsia="Arial" w:cs="Arial"/>
            <w:b w:val="0"/>
            <w:bCs w:val="0"/>
            <w:i w:val="0"/>
            <w:iCs w:val="0"/>
            <w:caps w:val="0"/>
            <w:smallCaps w:val="0"/>
            <w:strike w:val="0"/>
            <w:dstrike w:val="0"/>
            <w:noProof w:val="0"/>
            <w:sz w:val="24"/>
            <w:szCs w:val="24"/>
            <w:lang w:val="en-US"/>
          </w:rPr>
          <w:t>220217-curriculum-planning-and-priorities-guide.pdf</w:t>
        </w:r>
      </w:hyperlink>
      <w:r w:rsidRPr="56A9425C" w:rsidR="404435D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October 2025).</w:t>
      </w:r>
      <w:r>
        <w:br/>
      </w:r>
    </w:p>
    <w:sectPr>
      <w:pgSz w:w="15840" w:h="12240" w:orient="landscape"/>
      <w:pgMar w:top="1440" w:right="1440" w:bottom="1440" w:left="1440" w:header="720" w:footer="720" w:gutter="0"/>
      <w:cols w:space="720"/>
      <w:docGrid w:linePitch="360"/>
      <w:headerReference w:type="default" r:id="R5db7dbf9fae04f28"/>
      <w:footerReference w:type="default" r:id="R57bc66e88d034b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13070" w:type="dxa"/>
      <w:tblLayout w:type="fixed"/>
      <w:tblLook w:val="06A0" w:firstRow="1" w:lastRow="0" w:firstColumn="1" w:lastColumn="0" w:noHBand="1" w:noVBand="1"/>
    </w:tblPr>
    <w:tblGrid>
      <w:gridCol w:w="4635"/>
      <w:gridCol w:w="4215"/>
      <w:gridCol w:w="4220"/>
    </w:tblGrid>
    <w:tr w:rsidR="61C2FA9C" w:rsidTr="25EE56CC" w14:paraId="647B8E52">
      <w:trPr>
        <w:trHeight w:val="300"/>
      </w:trPr>
      <w:tc>
        <w:tcPr>
          <w:tcW w:w="4635" w:type="dxa"/>
          <w:tcMar/>
        </w:tcPr>
        <w:p w:rsidR="61C2FA9C" w:rsidP="61C2FA9C" w:rsidRDefault="61C2FA9C" w14:paraId="2DE778CD" w14:textId="1031F5B4">
          <w:pPr>
            <w:pStyle w:val="Header"/>
            <w:bidi w:val="0"/>
            <w:ind w:left="-115"/>
            <w:jc w:val="left"/>
          </w:pPr>
        </w:p>
      </w:tc>
      <w:tc>
        <w:tcPr>
          <w:tcW w:w="4215" w:type="dxa"/>
          <w:tcMar/>
        </w:tcPr>
        <w:p w:rsidR="61C2FA9C" w:rsidP="61C2FA9C" w:rsidRDefault="61C2FA9C" w14:paraId="7AD5AE9B" w14:textId="59212FEE">
          <w:pPr>
            <w:pStyle w:val="Header"/>
            <w:bidi w:val="0"/>
            <w:jc w:val="center"/>
          </w:pPr>
          <w:r>
            <w:fldChar w:fldCharType="begin"/>
          </w:r>
          <w:r>
            <w:instrText xml:space="preserve">PAGE</w:instrText>
          </w:r>
          <w:r>
            <w:fldChar w:fldCharType="separate"/>
          </w:r>
          <w:r>
            <w:fldChar w:fldCharType="end"/>
          </w:r>
        </w:p>
      </w:tc>
      <w:tc>
        <w:tcPr>
          <w:tcW w:w="4220" w:type="dxa"/>
          <w:tcMar/>
        </w:tcPr>
        <w:p w:rsidR="61C2FA9C" w:rsidP="61C2FA9C" w:rsidRDefault="61C2FA9C" w14:paraId="6628BCB3" w14:textId="6352CA9F">
          <w:pPr>
            <w:pStyle w:val="Header"/>
            <w:bidi w:val="0"/>
            <w:ind w:right="-115"/>
            <w:jc w:val="right"/>
          </w:pPr>
        </w:p>
      </w:tc>
    </w:tr>
  </w:tbl>
  <w:p w:rsidR="61C2FA9C" w:rsidP="61C2FA9C" w:rsidRDefault="61C2FA9C" w14:paraId="553013C0" w14:textId="05B87C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12675" w:type="dxa"/>
      <w:tblLayout w:type="fixed"/>
      <w:tblLook w:val="06A0" w:firstRow="1" w:lastRow="0" w:firstColumn="1" w:lastColumn="0" w:noHBand="1" w:noVBand="1"/>
    </w:tblPr>
    <w:tblGrid>
      <w:gridCol w:w="3735"/>
      <w:gridCol w:w="5160"/>
      <w:gridCol w:w="3780"/>
    </w:tblGrid>
    <w:tr w:rsidR="61C2FA9C" w:rsidTr="25EE56CC" w14:paraId="149B3EFA">
      <w:trPr>
        <w:trHeight w:val="300"/>
      </w:trPr>
      <w:tc>
        <w:tcPr>
          <w:tcW w:w="3735" w:type="dxa"/>
          <w:tcMar/>
        </w:tcPr>
        <w:p w:rsidR="61C2FA9C" w:rsidP="61C2FA9C" w:rsidRDefault="61C2FA9C" w14:paraId="7FFEA0E6" w14:textId="787C23ED">
          <w:pPr>
            <w:pStyle w:val="Header"/>
            <w:bidi w:val="0"/>
            <w:ind w:left="-115"/>
            <w:jc w:val="left"/>
            <w:rPr>
              <w:rFonts w:ascii="Arial" w:hAnsi="Arial" w:eastAsia="Arial" w:cs="Arial"/>
            </w:rPr>
          </w:pPr>
          <w:r w:rsidRPr="61C2FA9C" w:rsidR="61C2FA9C">
            <w:rPr>
              <w:rFonts w:ascii="Arial" w:hAnsi="Arial" w:eastAsia="Arial" w:cs="Arial"/>
            </w:rPr>
            <w:t>2506461</w:t>
          </w:r>
        </w:p>
      </w:tc>
      <w:tc>
        <w:tcPr>
          <w:tcW w:w="5160" w:type="dxa"/>
          <w:tcMar/>
        </w:tcPr>
        <w:p w:rsidR="61C2FA9C" w:rsidP="61C2FA9C" w:rsidRDefault="61C2FA9C" w14:paraId="4697A038" w14:textId="2E2F23FB">
          <w:pPr>
            <w:pStyle w:val="Header"/>
            <w:bidi w:val="0"/>
            <w:jc w:val="center"/>
            <w:rPr>
              <w:rFonts w:ascii="Arial" w:hAnsi="Arial" w:eastAsia="Arial" w:cs="Arial"/>
            </w:rPr>
          </w:pPr>
          <w:r w:rsidRPr="61C2FA9C" w:rsidR="61C2FA9C">
            <w:rPr>
              <w:rFonts w:ascii="Arial" w:hAnsi="Arial" w:eastAsia="Arial" w:cs="Arial"/>
            </w:rPr>
            <w:t>ECEY4009C</w:t>
          </w:r>
        </w:p>
      </w:tc>
      <w:tc>
        <w:tcPr>
          <w:tcW w:w="3780" w:type="dxa"/>
          <w:tcMar/>
        </w:tcPr>
        <w:p w:rsidR="61C2FA9C" w:rsidP="61C2FA9C" w:rsidRDefault="61C2FA9C" w14:paraId="62376931" w14:textId="7040079E">
          <w:pPr>
            <w:pStyle w:val="Header"/>
            <w:bidi w:val="0"/>
            <w:ind w:right="-115"/>
            <w:jc w:val="right"/>
          </w:pPr>
        </w:p>
      </w:tc>
    </w:tr>
  </w:tbl>
  <w:p w:rsidR="61C2FA9C" w:rsidP="61C2FA9C" w:rsidRDefault="61C2FA9C" w14:paraId="0943CD81" w14:textId="629B05A5">
    <w:pPr>
      <w:pStyle w:val="Header"/>
      <w:bidi w:val="0"/>
    </w:pPr>
  </w:p>
</w:hdr>
</file>

<file path=word/numbering.xml><?xml version="1.0" encoding="utf-8"?>
<w:numbering xmlns:w="http://schemas.openxmlformats.org/wordprocessingml/2006/main">
  <w:abstractNum xmlns:w="http://schemas.openxmlformats.org/wordprocessingml/2006/main" w:abstractNumId="2">
    <w:nsid w:val="6cc5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09d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9E2B95"/>
    <w:rsid w:val="020FD6A9"/>
    <w:rsid w:val="04379B28"/>
    <w:rsid w:val="047427B8"/>
    <w:rsid w:val="0821A713"/>
    <w:rsid w:val="085C0416"/>
    <w:rsid w:val="0B26D9A4"/>
    <w:rsid w:val="0CC9C052"/>
    <w:rsid w:val="0FEA332F"/>
    <w:rsid w:val="101BD2D7"/>
    <w:rsid w:val="1170ECD8"/>
    <w:rsid w:val="154E63C9"/>
    <w:rsid w:val="177B4C7A"/>
    <w:rsid w:val="17BEF882"/>
    <w:rsid w:val="17C9E71B"/>
    <w:rsid w:val="1D8C6EB2"/>
    <w:rsid w:val="1EAD2A20"/>
    <w:rsid w:val="1EAD2A20"/>
    <w:rsid w:val="1FF9045C"/>
    <w:rsid w:val="25DAB9F2"/>
    <w:rsid w:val="25DAB9F2"/>
    <w:rsid w:val="25EE56CC"/>
    <w:rsid w:val="27A38557"/>
    <w:rsid w:val="2994ED64"/>
    <w:rsid w:val="29C5FE6E"/>
    <w:rsid w:val="2B1A2F06"/>
    <w:rsid w:val="2D06D8EF"/>
    <w:rsid w:val="31EE4259"/>
    <w:rsid w:val="340B528E"/>
    <w:rsid w:val="340FCCB0"/>
    <w:rsid w:val="340FCCB0"/>
    <w:rsid w:val="36A61DE8"/>
    <w:rsid w:val="38982CCD"/>
    <w:rsid w:val="398FCF85"/>
    <w:rsid w:val="3AE4413A"/>
    <w:rsid w:val="3B93E34F"/>
    <w:rsid w:val="3CB5E897"/>
    <w:rsid w:val="404435DC"/>
    <w:rsid w:val="42116F24"/>
    <w:rsid w:val="42ED648D"/>
    <w:rsid w:val="48A03F93"/>
    <w:rsid w:val="48B18453"/>
    <w:rsid w:val="495461AE"/>
    <w:rsid w:val="499FE708"/>
    <w:rsid w:val="525DBB63"/>
    <w:rsid w:val="532E4EE8"/>
    <w:rsid w:val="54F8E9D2"/>
    <w:rsid w:val="56A9425C"/>
    <w:rsid w:val="5BC088EC"/>
    <w:rsid w:val="5C6CE8FF"/>
    <w:rsid w:val="5CACF39B"/>
    <w:rsid w:val="5E73F34A"/>
    <w:rsid w:val="5E73F34A"/>
    <w:rsid w:val="5EAECCF1"/>
    <w:rsid w:val="61C2FA9C"/>
    <w:rsid w:val="66296927"/>
    <w:rsid w:val="66626A63"/>
    <w:rsid w:val="669E2B95"/>
    <w:rsid w:val="6871705D"/>
    <w:rsid w:val="6B9D36D0"/>
    <w:rsid w:val="6C3C542D"/>
    <w:rsid w:val="6DCCABFC"/>
    <w:rsid w:val="6E2CCD73"/>
    <w:rsid w:val="6E919868"/>
    <w:rsid w:val="70F9D437"/>
    <w:rsid w:val="71223650"/>
    <w:rsid w:val="7289D67B"/>
    <w:rsid w:val="74FB6856"/>
    <w:rsid w:val="766F4859"/>
    <w:rsid w:val="79F2033F"/>
    <w:rsid w:val="7BFFE91A"/>
    <w:rsid w:val="7D60F3CD"/>
    <w:rsid w:val="7DA156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E2B95"/>
  <w15:chartTrackingRefBased/>
  <w15:docId w15:val="{E6228A43-4E6A-492A-B1CE-442E50715B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1C2FA9C"/>
    <w:pPr>
      <w:tabs>
        <w:tab w:val="center" w:leader="none" w:pos="4680"/>
        <w:tab w:val="right" w:leader="none" w:pos="9360"/>
      </w:tabs>
      <w:spacing w:after="0" w:line="240" w:lineRule="auto"/>
    </w:pPr>
  </w:style>
  <w:style w:type="paragraph" w:styleId="Footer">
    <w:uiPriority w:val="99"/>
    <w:name w:val="footer"/>
    <w:basedOn w:val="Normal"/>
    <w:unhideWhenUsed/>
    <w:rsid w:val="61C2FA9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B9D36D0"/>
    <w:pPr>
      <w:spacing/>
      <w:ind w:left="720"/>
      <w:contextualSpacing/>
    </w:pPr>
  </w:style>
  <w:style w:type="character" w:styleId="Hyperlink">
    <w:uiPriority w:val="99"/>
    <w:name w:val="Hyperlink"/>
    <w:basedOn w:val="DefaultParagraphFont"/>
    <w:unhideWhenUsed/>
    <w:rsid w:val="25EE56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db7dbf9fae04f28" /><Relationship Type="http://schemas.openxmlformats.org/officeDocument/2006/relationships/footer" Target="footer.xml" Id="R57bc66e88d034b4b" /><Relationship Type="http://schemas.openxmlformats.org/officeDocument/2006/relationships/image" Target="/media/image.png" Id="rId454252078" /><Relationship Type="http://schemas.openxmlformats.org/officeDocument/2006/relationships/image" Target="/media/image2.png" Id="rId362843877" /><Relationship Type="http://schemas.openxmlformats.org/officeDocument/2006/relationships/numbering" Target="numbering.xml" Id="Rde8562be383b4e78" /><Relationship Type="http://schemas.openxmlformats.org/officeDocument/2006/relationships/hyperlink" Target="https://hdl.handle.net/10036/3866" TargetMode="External" Id="Ra3d852076e9a49de" /><Relationship Type="http://schemas.openxmlformats.org/officeDocument/2006/relationships/hyperlink" Target="https://doi.org/10.4324/9781315237473" TargetMode="External" Id="R46569edb794f4b05" /><Relationship Type="http://schemas.openxmlformats.org/officeDocument/2006/relationships/hyperlink" Target="https://doi.org/10.4324/9781003056812" TargetMode="External" Id="Re3a4d29666e84859" /><Relationship Type="http://schemas.openxmlformats.org/officeDocument/2006/relationships/hyperlink" Target="https://libguides.cam.ac.uk/reflectivepracticetoolkit/models?utm_source=chatgpt.com" TargetMode="External" Id="Re9a9c12b45334e97" /><Relationship Type="http://schemas.openxmlformats.org/officeDocument/2006/relationships/hyperlink" Target="https://www.gov.wales/sites/default/files/publications/2018-02/foundation-phase-framework-revised-2015.pdf" TargetMode="External" Id="R3ff2f3dca41d4ea4" /><Relationship Type="http://schemas.openxmlformats.org/officeDocument/2006/relationships/hyperlink" Target="https://www.gov.wales/sites/default/files/publications/2018-02/foundation-phase-framework-revised-2015.pdf" TargetMode="External" Id="R509c1e14816d458a" /><Relationship Type="http://schemas.openxmlformats.org/officeDocument/2006/relationships/hyperlink" Target="https://doi.org/10.1177/1476718X12456003" TargetMode="External" Id="R6886e9e0511640bc" /><Relationship Type="http://schemas.openxmlformats.org/officeDocument/2006/relationships/hyperlink" Target="https://doi.org/10.4018/978-1-7998-5089-2" TargetMode="External" Id="Rc758b07c05c0498e" /><Relationship Type="http://schemas.openxmlformats.org/officeDocument/2006/relationships/hyperlink" Target="https://learning.nspcc.org.uk/child-protection-system/multi-agency-working-child-protection" TargetMode="External" Id="R7db784be6ed34c85" /><Relationship Type="http://schemas.openxmlformats.org/officeDocument/2006/relationships/hyperlink" Target="https://www.unicef.org.uk/wp-content/uploads/2019/10/UNCRC_summary-1_1.pdf" TargetMode="External" Id="R7119491628eb4d42" /><Relationship Type="http://schemas.openxmlformats.org/officeDocument/2006/relationships/hyperlink" Target="https://www.unicef.org.uk/what-we-do/un-convention-child-rights/" TargetMode="External" Id="R5427c395f7c740ad" /><Relationship Type="http://schemas.openxmlformats.org/officeDocument/2006/relationships/hyperlink" Target="https://www.unicef.org.uk/wp-content/uploads/2010/05/UNCRC_summary-1.pdf" TargetMode="External" Id="R1c20fc13c2bd40bd" /><Relationship Type="http://schemas.openxmlformats.org/officeDocument/2006/relationships/hyperlink" Target="https://www.safeguarding.wales/en/chi-i/chi-i-c6/" TargetMode="External" Id="Raba1d5cd83dd4ca5" /><Relationship Type="http://schemas.openxmlformats.org/officeDocument/2006/relationships/hyperlink" Target="https://hwb.gov.wales/api/storage/68657fda-7b73-4086-8148-70949556c727/220217-curriculum-planning-and-priorities-guide.pdf" TargetMode="External" Id="R614977a8ea1d43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2025-10-26T21:11:59.4195615Z</dcterms:created>
  <dcterms:modified xsi:type="dcterms:W3CDTF">2025-11-01T14:42:39.5182793Z</dcterms:modified>
  <dc:creator>Lauren Christopher (2506461)</dc:creator>
  <lastModifiedBy>Lauren Christopher (2506461)</lastModifiedBy>
</coreProperties>
</file>