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B2520" w:rsidRDefault="000B2520"/>
    <w:p w:rsidR="000B2520" w:rsidRDefault="000B2520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Supporting Learning – BMHR7017</w:t>
      </w:r>
    </w:p>
    <w:p w:rsidR="000B2520" w:rsidRDefault="000B2520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Jodie Barnett – student number: 1905258</w:t>
      </w:r>
    </w:p>
    <w:p w:rsidR="00526B36" w:rsidRDefault="000B2520">
      <w:pPr>
        <w:rPr>
          <w:rFonts w:ascii="Arial" w:hAnsi="Arial" w:cs="Arial"/>
          <w:b/>
          <w:sz w:val="24"/>
          <w:szCs w:val="24"/>
          <w:u w:val="single"/>
        </w:rPr>
      </w:pPr>
      <w:r w:rsidRPr="000B2520">
        <w:rPr>
          <w:rFonts w:ascii="Arial" w:hAnsi="Arial" w:cs="Arial"/>
          <w:b/>
          <w:sz w:val="24"/>
          <w:szCs w:val="24"/>
          <w:u w:val="single"/>
        </w:rPr>
        <w:t>Task 2</w:t>
      </w:r>
    </w:p>
    <w:p w:rsidR="00D27FB1" w:rsidRPr="00D27FB1" w:rsidRDefault="00D27FB1" w:rsidP="00D27F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‘How to’</w:t>
      </w:r>
      <w:r w:rsidRPr="00D27FB1">
        <w:rPr>
          <w:rFonts w:ascii="Arial" w:hAnsi="Arial" w:cs="Arial"/>
          <w:sz w:val="24"/>
          <w:szCs w:val="24"/>
        </w:rPr>
        <w:t xml:space="preserve"> video tutorials will be provided at the end of each workshop aiming to harness “learning in-the-flow of work” by encouraging learners to adapt reflective practice during their working days (Lancaster, 2020). Managers that integrate training into everyday tasks boosts both employee engagement an</w:t>
      </w:r>
      <w:r>
        <w:rPr>
          <w:rFonts w:ascii="Arial" w:hAnsi="Arial" w:cs="Arial"/>
          <w:sz w:val="24"/>
          <w:szCs w:val="24"/>
        </w:rPr>
        <w:t>d productivity (Chopra-McGowan, 2022</w:t>
      </w:r>
      <w:r w:rsidRPr="00D27FB1">
        <w:rPr>
          <w:rFonts w:ascii="Arial" w:hAnsi="Arial" w:cs="Arial"/>
          <w:sz w:val="24"/>
          <w:szCs w:val="24"/>
        </w:rPr>
        <w:t>).</w:t>
      </w:r>
    </w:p>
    <w:p w:rsidR="00D27FB1" w:rsidRPr="00D27FB1" w:rsidRDefault="00D27FB1" w:rsidP="00D27FB1">
      <w:pPr>
        <w:rPr>
          <w:rFonts w:ascii="Arial" w:hAnsi="Arial" w:cs="Arial"/>
          <w:sz w:val="24"/>
          <w:szCs w:val="24"/>
        </w:rPr>
      </w:pPr>
      <w:r w:rsidRPr="00D27FB1">
        <w:rPr>
          <w:rFonts w:ascii="Arial" w:hAnsi="Arial" w:cs="Arial"/>
          <w:sz w:val="24"/>
          <w:szCs w:val="24"/>
        </w:rPr>
        <w:t xml:space="preserve">This ‘how to’ video offers guidance to managers in finding and completing a return to work interview form. This tutorial that will be provided to attendees at the end of workshop five – promoting retention. Bartram (2025) emphasises that managing wellness and wellbeing are arguably one of the most impactful ways to supporting employee retention. </w:t>
      </w:r>
    </w:p>
    <w:p w:rsidR="000B2520" w:rsidRDefault="000B2520">
      <w:pPr>
        <w:rPr>
          <w:rFonts w:ascii="Arial" w:hAnsi="Arial" w:cs="Arial"/>
          <w:b/>
          <w:sz w:val="24"/>
          <w:szCs w:val="24"/>
          <w:u w:val="single"/>
        </w:rPr>
      </w:pPr>
      <w:r w:rsidRPr="000B2520">
        <w:rPr>
          <w:rFonts w:ascii="Arial" w:hAnsi="Arial" w:cs="Arial"/>
          <w:b/>
          <w:sz w:val="24"/>
          <w:szCs w:val="24"/>
          <w:u w:val="single"/>
        </w:rPr>
        <w:object w:dxaOrig="6461" w:dyaOrig="83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23pt;height:41.5pt" o:ole="">
            <v:imagedata r:id="rId5" o:title=""/>
          </v:shape>
          <o:OLEObject Type="Embed" ProgID="Package" ShapeID="_x0000_i1025" DrawAspect="Content" ObjectID="_1801231160" r:id="rId6"/>
        </w:object>
      </w:r>
    </w:p>
    <w:p w:rsidR="000B2520" w:rsidRDefault="000B2520">
      <w:pPr>
        <w:rPr>
          <w:rFonts w:ascii="Arial" w:hAnsi="Arial" w:cs="Arial"/>
          <w:sz w:val="24"/>
          <w:szCs w:val="24"/>
        </w:rPr>
      </w:pPr>
    </w:p>
    <w:p w:rsidR="00D27FB1" w:rsidRPr="00D27FB1" w:rsidRDefault="00D27FB1">
      <w:pPr>
        <w:rPr>
          <w:rFonts w:ascii="Arial" w:hAnsi="Arial" w:cs="Arial"/>
          <w:b/>
          <w:sz w:val="24"/>
          <w:szCs w:val="24"/>
        </w:rPr>
      </w:pPr>
      <w:r w:rsidRPr="00D27FB1">
        <w:rPr>
          <w:rFonts w:ascii="Arial" w:hAnsi="Arial" w:cs="Arial"/>
          <w:b/>
          <w:sz w:val="24"/>
          <w:szCs w:val="24"/>
        </w:rPr>
        <w:t>References:</w:t>
      </w:r>
    </w:p>
    <w:p w:rsidR="00000000" w:rsidRDefault="00D27FB1" w:rsidP="00D27FB1">
      <w:pPr>
        <w:rPr>
          <w:rFonts w:ascii="Arial" w:hAnsi="Arial" w:cs="Arial"/>
          <w:sz w:val="24"/>
          <w:szCs w:val="24"/>
        </w:rPr>
      </w:pPr>
      <w:r w:rsidRPr="00D27FB1">
        <w:rPr>
          <w:rFonts w:ascii="Arial" w:hAnsi="Arial" w:cs="Arial"/>
          <w:sz w:val="24"/>
          <w:szCs w:val="24"/>
        </w:rPr>
        <w:t xml:space="preserve">Bartram, F. (2025) </w:t>
      </w:r>
      <w:r w:rsidRPr="00D27FB1">
        <w:rPr>
          <w:rFonts w:ascii="Arial" w:hAnsi="Arial" w:cs="Arial"/>
          <w:i/>
          <w:iCs/>
          <w:sz w:val="24"/>
          <w:szCs w:val="24"/>
        </w:rPr>
        <w:t xml:space="preserve">The 14 most impactful ways to improve employee retention in 2025. </w:t>
      </w:r>
      <w:r w:rsidRPr="00D27FB1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D27FB1">
          <w:rPr>
            <w:rStyle w:val="Hyperlink"/>
            <w:rFonts w:ascii="Arial" w:hAnsi="Arial" w:cs="Arial"/>
            <w:sz w:val="24"/>
            <w:szCs w:val="24"/>
          </w:rPr>
          <w:t>https:/</w:t>
        </w:r>
        <w:bookmarkStart w:id="0" w:name="_GoBack"/>
        <w:bookmarkEnd w:id="0"/>
        <w:r w:rsidRPr="00D27FB1">
          <w:rPr>
            <w:rStyle w:val="Hyperlink"/>
            <w:rFonts w:ascii="Arial" w:hAnsi="Arial" w:cs="Arial"/>
            <w:sz w:val="24"/>
            <w:szCs w:val="24"/>
          </w:rPr>
          <w:t>/peoplemanagingpeople.com/employee-lifecycle/ways-to-improve-employee-retention</w:t>
        </w:r>
      </w:hyperlink>
      <w:hyperlink r:id="rId8" w:history="1">
        <w:r w:rsidRPr="00D27FB1">
          <w:rPr>
            <w:rStyle w:val="Hyperlink"/>
            <w:rFonts w:ascii="Arial" w:hAnsi="Arial" w:cs="Arial"/>
            <w:sz w:val="24"/>
            <w:szCs w:val="24"/>
          </w:rPr>
          <w:t>/</w:t>
        </w:r>
      </w:hyperlink>
      <w:r w:rsidRPr="00D27FB1">
        <w:rPr>
          <w:rFonts w:ascii="Arial" w:hAnsi="Arial" w:cs="Arial"/>
          <w:sz w:val="24"/>
          <w:szCs w:val="24"/>
        </w:rPr>
        <w:t xml:space="preserve"> (Accessed: 10 February 2025).</w:t>
      </w:r>
    </w:p>
    <w:p w:rsidR="00000000" w:rsidRPr="00D27FB1" w:rsidRDefault="00D27FB1" w:rsidP="00D27FB1">
      <w:pPr>
        <w:rPr>
          <w:rFonts w:ascii="Arial" w:hAnsi="Arial" w:cs="Arial"/>
          <w:sz w:val="24"/>
          <w:szCs w:val="24"/>
        </w:rPr>
      </w:pPr>
      <w:r w:rsidRPr="00D27FB1">
        <w:rPr>
          <w:rFonts w:ascii="Arial" w:hAnsi="Arial" w:cs="Arial"/>
          <w:sz w:val="24"/>
          <w:szCs w:val="24"/>
        </w:rPr>
        <w:t xml:space="preserve">Chopra-McGowan, A. (2022) </w:t>
      </w:r>
      <w:r w:rsidRPr="00D27FB1">
        <w:rPr>
          <w:rFonts w:ascii="Arial" w:hAnsi="Arial" w:cs="Arial"/>
          <w:i/>
          <w:iCs/>
          <w:sz w:val="24"/>
          <w:szCs w:val="24"/>
        </w:rPr>
        <w:t>Effective employee development starts with managers</w:t>
      </w:r>
      <w:r w:rsidRPr="00D27FB1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D27FB1">
          <w:rPr>
            <w:rStyle w:val="Hyperlink"/>
            <w:rFonts w:ascii="Arial" w:hAnsi="Arial" w:cs="Arial"/>
            <w:sz w:val="24"/>
            <w:szCs w:val="24"/>
          </w:rPr>
          <w:t>https://</w:t>
        </w:r>
      </w:hyperlink>
      <w:hyperlink r:id="rId10" w:history="1">
        <w:r w:rsidRPr="00D27FB1">
          <w:rPr>
            <w:rStyle w:val="Hyperlink"/>
            <w:rFonts w:ascii="Arial" w:hAnsi="Arial" w:cs="Arial"/>
            <w:sz w:val="24"/>
            <w:szCs w:val="24"/>
          </w:rPr>
          <w:t>hbr.org/2022/03/effective</w:t>
        </w:r>
        <w:r w:rsidRPr="00D27FB1">
          <w:rPr>
            <w:rStyle w:val="Hyperlink"/>
            <w:rFonts w:ascii="Arial" w:hAnsi="Arial" w:cs="Arial"/>
            <w:sz w:val="24"/>
            <w:szCs w:val="24"/>
          </w:rPr>
          <w:t>-employee-development-starts-with-managers</w:t>
        </w:r>
      </w:hyperlink>
      <w:r w:rsidRPr="00D27FB1">
        <w:rPr>
          <w:rFonts w:ascii="Arial" w:hAnsi="Arial" w:cs="Arial"/>
          <w:sz w:val="24"/>
          <w:szCs w:val="24"/>
        </w:rPr>
        <w:t xml:space="preserve"> (Accessed: 05 February 2025).</w:t>
      </w:r>
    </w:p>
    <w:p w:rsidR="00000000" w:rsidRPr="00D27FB1" w:rsidRDefault="00D27FB1" w:rsidP="00D27FB1">
      <w:pPr>
        <w:rPr>
          <w:rFonts w:ascii="Arial" w:hAnsi="Arial" w:cs="Arial"/>
          <w:sz w:val="24"/>
          <w:szCs w:val="24"/>
        </w:rPr>
      </w:pPr>
      <w:r w:rsidRPr="00D27FB1">
        <w:rPr>
          <w:rFonts w:ascii="Arial" w:hAnsi="Arial" w:cs="Arial"/>
          <w:sz w:val="24"/>
          <w:szCs w:val="24"/>
        </w:rPr>
        <w:t xml:space="preserve">Lancaster, A. (2020) </w:t>
      </w:r>
      <w:proofErr w:type="gramStart"/>
      <w:r w:rsidRPr="00D27FB1">
        <w:rPr>
          <w:rFonts w:ascii="Arial" w:hAnsi="Arial" w:cs="Arial"/>
          <w:i/>
          <w:iCs/>
          <w:sz w:val="24"/>
          <w:szCs w:val="24"/>
        </w:rPr>
        <w:t>What</w:t>
      </w:r>
      <w:proofErr w:type="gramEnd"/>
      <w:r w:rsidRPr="00D27FB1">
        <w:rPr>
          <w:rFonts w:ascii="Arial" w:hAnsi="Arial" w:cs="Arial"/>
          <w:i/>
          <w:iCs/>
          <w:sz w:val="24"/>
          <w:szCs w:val="24"/>
        </w:rPr>
        <w:t xml:space="preserve"> is learning in the flow of work? </w:t>
      </w:r>
      <w:r w:rsidRPr="00D27FB1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D27FB1">
          <w:rPr>
            <w:rStyle w:val="Hyperlink"/>
            <w:rFonts w:ascii="Arial" w:hAnsi="Arial" w:cs="Arial"/>
            <w:sz w:val="24"/>
            <w:szCs w:val="24"/>
          </w:rPr>
          <w:t>https</w:t>
        </w:r>
      </w:hyperlink>
      <w:hyperlink r:id="rId12" w:history="1">
        <w:proofErr w:type="gramStart"/>
        <w:r w:rsidRPr="00D27FB1">
          <w:rPr>
            <w:rStyle w:val="Hyperlink"/>
            <w:rFonts w:ascii="Arial" w:hAnsi="Arial" w:cs="Arial"/>
            <w:sz w:val="24"/>
            <w:szCs w:val="24"/>
          </w:rPr>
          <w:t>:/</w:t>
        </w:r>
        <w:proofErr w:type="gramEnd"/>
        <w:r w:rsidRPr="00D27FB1">
          <w:rPr>
            <w:rStyle w:val="Hyperlink"/>
            <w:rFonts w:ascii="Arial" w:hAnsi="Arial" w:cs="Arial"/>
            <w:sz w:val="24"/>
            <w:szCs w:val="24"/>
          </w:rPr>
          <w:t>/</w:t>
        </w:r>
      </w:hyperlink>
      <w:hyperlink r:id="rId13" w:history="1">
        <w:r w:rsidRPr="00D27FB1">
          <w:rPr>
            <w:rStyle w:val="Hyperlink"/>
            <w:rFonts w:ascii="Arial" w:hAnsi="Arial" w:cs="Arial"/>
            <w:sz w:val="24"/>
            <w:szCs w:val="24"/>
          </w:rPr>
          <w:t>www</w:t>
        </w:r>
        <w:r w:rsidRPr="00D27FB1">
          <w:rPr>
            <w:rStyle w:val="Hyperlink"/>
            <w:rFonts w:ascii="Arial" w:hAnsi="Arial" w:cs="Arial"/>
            <w:sz w:val="24"/>
            <w:szCs w:val="24"/>
          </w:rPr>
          <w:t>.koganpage.com/hr-learning-development/what-is-learning-in-the-flow-of-work</w:t>
        </w:r>
      </w:hyperlink>
      <w:r w:rsidRPr="00D27FB1">
        <w:rPr>
          <w:rFonts w:ascii="Arial" w:hAnsi="Arial" w:cs="Arial"/>
          <w:sz w:val="24"/>
          <w:szCs w:val="24"/>
        </w:rPr>
        <w:t xml:space="preserve"> </w:t>
      </w:r>
    </w:p>
    <w:p w:rsidR="00D27FB1" w:rsidRPr="00D27FB1" w:rsidRDefault="00D27FB1" w:rsidP="00D27FB1">
      <w:pPr>
        <w:rPr>
          <w:rFonts w:ascii="Arial" w:hAnsi="Arial" w:cs="Arial"/>
          <w:sz w:val="24"/>
          <w:szCs w:val="24"/>
        </w:rPr>
      </w:pPr>
    </w:p>
    <w:p w:rsidR="00D27FB1" w:rsidRPr="000B2520" w:rsidRDefault="00D27FB1">
      <w:pPr>
        <w:rPr>
          <w:rFonts w:ascii="Arial" w:hAnsi="Arial" w:cs="Arial"/>
          <w:sz w:val="24"/>
          <w:szCs w:val="24"/>
        </w:rPr>
      </w:pPr>
    </w:p>
    <w:sectPr w:rsidR="00D27FB1" w:rsidRPr="000B25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771F50"/>
    <w:multiLevelType w:val="hybridMultilevel"/>
    <w:tmpl w:val="ECD06A8C"/>
    <w:lvl w:ilvl="0" w:tplc="1AD6D7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0843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CA7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E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B630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8E3C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EAB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AA9A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31C31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ECE15C9"/>
    <w:multiLevelType w:val="hybridMultilevel"/>
    <w:tmpl w:val="E9A04A36"/>
    <w:lvl w:ilvl="0" w:tplc="46825C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1248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CE5A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EA21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48E3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5AE7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9A3A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DE52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2425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A061434"/>
    <w:multiLevelType w:val="hybridMultilevel"/>
    <w:tmpl w:val="9F2622FA"/>
    <w:lvl w:ilvl="0" w:tplc="3A8C56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14F8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3C3C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62F0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049C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FCD6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362D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30BA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2A74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2520"/>
    <w:rsid w:val="000B2520"/>
    <w:rsid w:val="00526B36"/>
    <w:rsid w:val="00D27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E0A6E"/>
  <w15:chartTrackingRefBased/>
  <w15:docId w15:val="{742AE6AF-039D-43AF-83A0-73D2495A8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7FB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956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1128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24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786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01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36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330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oplemanagingpeople.com/employee-lifecycle/ways-to-improve-employee-retention/" TargetMode="External"/><Relationship Id="rId13" Type="http://schemas.openxmlformats.org/officeDocument/2006/relationships/hyperlink" Target="https://www.koganpage.com/hr-learning-development/what-is-learning-in-the-flow-of-wor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eoplemanagingpeople.com/employee-lifecycle/ways-to-improve-employee-retention/" TargetMode="External"/><Relationship Id="rId12" Type="http://schemas.openxmlformats.org/officeDocument/2006/relationships/hyperlink" Target="https://www.koganpage.com/hr-learning-development/what-is-learning-in-the-flow-of-wor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hyperlink" Target="https://www.koganpage.com/hr-learning-development/what-is-learning-in-the-flow-of-work" TargetMode="External"/><Relationship Id="rId5" Type="http://schemas.openxmlformats.org/officeDocument/2006/relationships/image" Target="media/image1.emf"/><Relationship Id="rId15" Type="http://schemas.openxmlformats.org/officeDocument/2006/relationships/theme" Target="theme/theme1.xml"/><Relationship Id="rId10" Type="http://schemas.openxmlformats.org/officeDocument/2006/relationships/hyperlink" Target="https://hbr.org/2022/03/effective-employee-development-starts-with-manag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br.org/2022/03/effective-employee-development-starts-with-manager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311</Words>
  <Characters>1774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NPTCBC</Company>
  <LinksUpToDate>false</LinksUpToDate>
  <CharactersWithSpaces>2081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Barnett</dc:creator>
  <cp:keywords/>
  <dc:description/>
  <cp:lastModifiedBy>Jodie Barnett</cp:lastModifiedBy>
  <cp:revision>2</cp:revision>
  <dcterms:created xsi:type="dcterms:W3CDTF">2025-02-16T17:05:00Z</dcterms:created>
  <dcterms:modified xsi:type="dcterms:W3CDTF">2025-02-16T17:13:00Z</dcterms:modified>
</cp:coreProperties>
</file>