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2762213F" w14:textId="6C37BBAD" w:rsidR="00B34F31" w:rsidRPr="00E27DAB" w:rsidRDefault="00B34F31" w:rsidP="00E27DAB">
      <w:pPr>
        <w:spacing w:line="480" w:lineRule="auto"/>
        <w:rPr>
          <w:rFonts w:cstheme="minorHAnsi"/>
          <w:b/>
          <w:u w:val="single"/>
        </w:rPr>
      </w:pPr>
      <w:r w:rsidRPr="009B6EBB">
        <w:rPr>
          <w:rFonts w:cstheme="minorHAnsi"/>
          <w:b/>
          <w:u w:val="single"/>
        </w:rPr>
        <w:t>ECAD 5003 – The Rights of the Child: Inclusion and Diversity</w:t>
      </w:r>
      <w:r w:rsidR="006E2F9D" w:rsidRPr="00E27DAB">
        <w:rPr>
          <w:rFonts w:cstheme="minorHAnsi"/>
          <w:b/>
          <w:u w:val="single"/>
        </w:rPr>
        <w:t xml:space="preserve"> </w:t>
      </w:r>
      <w:bookmarkStart w:id="0" w:name="_GoBack"/>
      <w:bookmarkEnd w:id="0"/>
    </w:p>
    <w:p w14:paraId="2307EAE0" w14:textId="50624C42" w:rsidR="003325BF" w:rsidRPr="005E3B83" w:rsidRDefault="0094304F" w:rsidP="005E3B83">
      <w:pPr>
        <w:spacing w:line="480" w:lineRule="auto"/>
        <w:rPr>
          <w:rFonts w:cstheme="minorHAnsi"/>
          <w:lang w:val="en-GB"/>
        </w:rPr>
      </w:pPr>
      <w:r w:rsidRPr="00E27DAB">
        <w:rPr>
          <w:rFonts w:cstheme="minorHAnsi"/>
        </w:rPr>
        <w:t xml:space="preserve">This essay examines the effects of learning difficulties and differences on children’s attainment levels, conducting research </w:t>
      </w:r>
      <w:r w:rsidR="00190939" w:rsidRPr="00E27DAB">
        <w:rPr>
          <w:rFonts w:cstheme="minorHAnsi"/>
        </w:rPr>
        <w:t>to create a sound understanding and base of knowledge on a specific learning difficulty, in this case, poverty.</w:t>
      </w:r>
      <w:r w:rsidR="00B34F31" w:rsidRPr="00E27DAB">
        <w:rPr>
          <w:rFonts w:cstheme="minorHAnsi"/>
        </w:rPr>
        <w:t xml:space="preserve"> </w:t>
      </w:r>
      <w:r w:rsidR="00A21B3F" w:rsidRPr="00E27DAB">
        <w:rPr>
          <w:rFonts w:cstheme="minorHAnsi"/>
        </w:rPr>
        <w:t xml:space="preserve">As a group, we decided on poverty as we felt we had gained experience on placement that was relevant to this topic, </w:t>
      </w:r>
      <w:r w:rsidR="00EB6C08">
        <w:rPr>
          <w:rFonts w:cstheme="minorHAnsi"/>
        </w:rPr>
        <w:t>seeing</w:t>
      </w:r>
      <w:r w:rsidR="00A21B3F" w:rsidRPr="00E27DAB">
        <w:rPr>
          <w:rFonts w:cstheme="minorHAnsi"/>
        </w:rPr>
        <w:t xml:space="preserve"> first-hand the effects poverty can have on education. Because of this, we felt we </w:t>
      </w:r>
      <w:r w:rsidR="00EB6C08">
        <w:rPr>
          <w:rFonts w:cstheme="minorHAnsi"/>
        </w:rPr>
        <w:t>could</w:t>
      </w:r>
      <w:r w:rsidR="00A21B3F" w:rsidRPr="00E27DAB">
        <w:rPr>
          <w:rFonts w:cstheme="minorHAnsi"/>
        </w:rPr>
        <w:t xml:space="preserve"> carry-out worthwhile research on this subject that could</w:t>
      </w:r>
      <w:r w:rsidR="00EB6C08">
        <w:rPr>
          <w:rFonts w:cstheme="minorHAnsi"/>
        </w:rPr>
        <w:t xml:space="preserve"> potentially</w:t>
      </w:r>
      <w:r w:rsidR="00A21B3F" w:rsidRPr="00E27DAB">
        <w:rPr>
          <w:rFonts w:cstheme="minorHAnsi"/>
        </w:rPr>
        <w:t xml:space="preserve"> follow many pathways. </w:t>
      </w:r>
      <w:r w:rsidR="00EB6C08">
        <w:rPr>
          <w:rFonts w:cstheme="minorHAnsi"/>
        </w:rPr>
        <w:t>P</w:t>
      </w:r>
      <w:r w:rsidR="00A21B3F" w:rsidRPr="00E27DAB">
        <w:rPr>
          <w:rFonts w:cstheme="minorHAnsi"/>
        </w:rPr>
        <w:t xml:space="preserve">overty is a wide-spread issue that affects many people, and so we all felt we could relate it to our own lives and experiences in some way. </w:t>
      </w:r>
      <w:r w:rsidR="007020DD" w:rsidRPr="00E27DAB">
        <w:rPr>
          <w:rFonts w:cstheme="minorHAnsi"/>
          <w:shd w:val="clear" w:color="auto" w:fill="FFFFFF"/>
        </w:rPr>
        <w:t>Mindroom.org</w:t>
      </w:r>
      <w:r w:rsidR="00162C3D" w:rsidRPr="00E27DAB">
        <w:rPr>
          <w:rFonts w:cstheme="minorHAnsi"/>
          <w:shd w:val="clear" w:color="auto" w:fill="FFFFFF"/>
        </w:rPr>
        <w:t xml:space="preserve"> (</w:t>
      </w:r>
      <w:r w:rsidR="007020DD" w:rsidRPr="00E27DAB">
        <w:rPr>
          <w:rFonts w:cstheme="minorHAnsi"/>
          <w:shd w:val="clear" w:color="auto" w:fill="FFFFFF"/>
        </w:rPr>
        <w:t>2019) suggest there is no consensus on the definition</w:t>
      </w:r>
      <w:r w:rsidR="005D2CC8" w:rsidRPr="00E27DAB">
        <w:rPr>
          <w:rFonts w:cstheme="minorHAnsi"/>
          <w:shd w:val="clear" w:color="auto" w:fill="FFFFFF"/>
        </w:rPr>
        <w:t>s</w:t>
      </w:r>
      <w:r w:rsidR="007020DD" w:rsidRPr="00E27DAB">
        <w:rPr>
          <w:rFonts w:cstheme="minorHAnsi"/>
          <w:shd w:val="clear" w:color="auto" w:fill="FFFFFF"/>
        </w:rPr>
        <w:t xml:space="preserve"> of ‘Learning difficulty’</w:t>
      </w:r>
      <w:r w:rsidR="005D2CC8" w:rsidRPr="00E27DAB">
        <w:rPr>
          <w:rFonts w:cstheme="minorHAnsi"/>
          <w:shd w:val="clear" w:color="auto" w:fill="FFFFFF"/>
        </w:rPr>
        <w:t xml:space="preserve"> </w:t>
      </w:r>
      <w:r w:rsidR="00F1423C" w:rsidRPr="00E27DAB">
        <w:rPr>
          <w:rFonts w:cstheme="minorHAnsi"/>
          <w:shd w:val="clear" w:color="auto" w:fill="FFFFFF"/>
        </w:rPr>
        <w:t xml:space="preserve">or </w:t>
      </w:r>
      <w:r w:rsidR="005D2CC8" w:rsidRPr="00E27DAB">
        <w:rPr>
          <w:rFonts w:cstheme="minorHAnsi"/>
          <w:shd w:val="clear" w:color="auto" w:fill="FFFFFF"/>
        </w:rPr>
        <w:t>‘</w:t>
      </w:r>
      <w:r w:rsidR="00190939" w:rsidRPr="00E27DAB">
        <w:rPr>
          <w:rFonts w:cstheme="minorHAnsi"/>
          <w:shd w:val="clear" w:color="auto" w:fill="FFFFFF"/>
        </w:rPr>
        <w:t>d</w:t>
      </w:r>
      <w:r w:rsidR="00F1423C" w:rsidRPr="00E27DAB">
        <w:rPr>
          <w:rFonts w:cstheme="minorHAnsi"/>
          <w:shd w:val="clear" w:color="auto" w:fill="FFFFFF"/>
        </w:rPr>
        <w:t>isabil</w:t>
      </w:r>
      <w:r w:rsidR="00190939" w:rsidRPr="00E27DAB">
        <w:rPr>
          <w:rFonts w:cstheme="minorHAnsi"/>
          <w:shd w:val="clear" w:color="auto" w:fill="FFFFFF"/>
        </w:rPr>
        <w:t>i</w:t>
      </w:r>
      <w:r w:rsidR="00F1423C" w:rsidRPr="00E27DAB">
        <w:rPr>
          <w:rFonts w:cstheme="minorHAnsi"/>
          <w:shd w:val="clear" w:color="auto" w:fill="FFFFFF"/>
        </w:rPr>
        <w:t>ty</w:t>
      </w:r>
      <w:r w:rsidR="005D2CC8" w:rsidRPr="00E27DAB">
        <w:rPr>
          <w:rFonts w:cstheme="minorHAnsi"/>
          <w:shd w:val="clear" w:color="auto" w:fill="FFFFFF"/>
        </w:rPr>
        <w:t>’</w:t>
      </w:r>
      <w:r w:rsidR="007020DD" w:rsidRPr="00E27DAB">
        <w:rPr>
          <w:rFonts w:cstheme="minorHAnsi"/>
          <w:shd w:val="clear" w:color="auto" w:fill="FFFFFF"/>
        </w:rPr>
        <w:t xml:space="preserve"> </w:t>
      </w:r>
      <w:r w:rsidR="005D2CC8" w:rsidRPr="00E27DAB">
        <w:rPr>
          <w:rFonts w:cstheme="minorHAnsi"/>
          <w:shd w:val="clear" w:color="auto" w:fill="FFFFFF"/>
        </w:rPr>
        <w:t xml:space="preserve">because of the vast nature of these topics. Learning.gov.wales (2019) describe children with special educational needs as having a “learning difficulty which calls for special educational provision”. </w:t>
      </w:r>
      <w:r w:rsidR="007020DD" w:rsidRPr="00E27DAB">
        <w:rPr>
          <w:rFonts w:cstheme="minorHAnsi"/>
          <w:shd w:val="clear" w:color="auto" w:fill="FFFFFF"/>
        </w:rPr>
        <w:t>Anon</w:t>
      </w:r>
      <w:r w:rsidR="005D2CC8" w:rsidRPr="00E27DAB">
        <w:rPr>
          <w:rFonts w:cstheme="minorHAnsi"/>
          <w:shd w:val="clear" w:color="auto" w:fill="FFFFFF"/>
        </w:rPr>
        <w:t xml:space="preserve"> (</w:t>
      </w:r>
      <w:r w:rsidR="007020DD" w:rsidRPr="00E27DAB">
        <w:rPr>
          <w:rFonts w:cstheme="minorHAnsi"/>
          <w:shd w:val="clear" w:color="auto" w:fill="FFFFFF"/>
        </w:rPr>
        <w:t>2019) believes Sp</w:t>
      </w:r>
      <w:r w:rsidR="00AE51EA">
        <w:rPr>
          <w:rFonts w:cstheme="minorHAnsi"/>
          <w:shd w:val="clear" w:color="auto" w:fill="FFFFFF"/>
        </w:rPr>
        <w:t xml:space="preserve">ecific </w:t>
      </w:r>
      <w:r w:rsidR="007020DD" w:rsidRPr="00E27DAB">
        <w:rPr>
          <w:rFonts w:cstheme="minorHAnsi"/>
          <w:shd w:val="clear" w:color="auto" w:fill="FFFFFF"/>
        </w:rPr>
        <w:t>L</w:t>
      </w:r>
      <w:r w:rsidR="00AE51EA">
        <w:rPr>
          <w:rFonts w:cstheme="minorHAnsi"/>
          <w:shd w:val="clear" w:color="auto" w:fill="FFFFFF"/>
        </w:rPr>
        <w:t xml:space="preserve">earning </w:t>
      </w:r>
      <w:r w:rsidR="007020DD" w:rsidRPr="00E27DAB">
        <w:rPr>
          <w:rFonts w:cstheme="minorHAnsi"/>
          <w:shd w:val="clear" w:color="auto" w:fill="FFFFFF"/>
        </w:rPr>
        <w:t>D</w:t>
      </w:r>
      <w:r w:rsidR="00AE51EA">
        <w:rPr>
          <w:rFonts w:cstheme="minorHAnsi"/>
          <w:shd w:val="clear" w:color="auto" w:fill="FFFFFF"/>
        </w:rPr>
        <w:t>ifferences</w:t>
      </w:r>
      <w:r w:rsidR="005D2CC8" w:rsidRPr="00E27DAB">
        <w:rPr>
          <w:rFonts w:cstheme="minorHAnsi"/>
          <w:shd w:val="clear" w:color="auto" w:fill="FFFFFF"/>
        </w:rPr>
        <w:t xml:space="preserve"> </w:t>
      </w:r>
      <w:r w:rsidR="007020DD" w:rsidRPr="00E27DAB">
        <w:rPr>
          <w:rFonts w:cstheme="minorHAnsi"/>
          <w:shd w:val="clear" w:color="auto" w:fill="FFFFFF"/>
        </w:rPr>
        <w:t>are neurological</w:t>
      </w:r>
      <w:r w:rsidR="005D2CC8" w:rsidRPr="00E27DAB">
        <w:rPr>
          <w:rFonts w:cstheme="minorHAnsi"/>
          <w:shd w:val="clear" w:color="auto" w:fill="FFFFFF"/>
        </w:rPr>
        <w:t xml:space="preserve"> and can have </w:t>
      </w:r>
      <w:r w:rsidR="00F1423C" w:rsidRPr="00E27DAB">
        <w:rPr>
          <w:rFonts w:cstheme="minorHAnsi"/>
          <w:shd w:val="clear" w:color="auto" w:fill="FFFFFF"/>
        </w:rPr>
        <w:t xml:space="preserve">a significant </w:t>
      </w:r>
      <w:r w:rsidR="003E401E" w:rsidRPr="00E27DAB">
        <w:rPr>
          <w:rFonts w:cstheme="minorHAnsi"/>
          <w:shd w:val="clear" w:color="auto" w:fill="FFFFFF"/>
        </w:rPr>
        <w:t>effect</w:t>
      </w:r>
      <w:r w:rsidR="00F1423C" w:rsidRPr="00E27DAB">
        <w:rPr>
          <w:rFonts w:cstheme="minorHAnsi"/>
          <w:shd w:val="clear" w:color="auto" w:fill="FFFFFF"/>
        </w:rPr>
        <w:t xml:space="preserve"> on learning.</w:t>
      </w:r>
      <w:r w:rsidR="00BC16F1" w:rsidRPr="00E27DAB">
        <w:rPr>
          <w:rFonts w:cstheme="minorHAnsi"/>
        </w:rPr>
        <w:t xml:space="preserve"> </w:t>
      </w:r>
      <w:r w:rsidR="00A21B3F" w:rsidRPr="007A6521">
        <w:rPr>
          <w:rFonts w:cstheme="minorHAnsi"/>
        </w:rPr>
        <w:t>Poverty can be seen as a learning difference or difficulty in that it requir</w:t>
      </w:r>
      <w:r w:rsidR="00AE51EA">
        <w:rPr>
          <w:rFonts w:cstheme="minorHAnsi"/>
        </w:rPr>
        <w:t>es</w:t>
      </w:r>
      <w:r w:rsidR="00A21B3F" w:rsidRPr="007A6521">
        <w:rPr>
          <w:rFonts w:cstheme="minorHAnsi"/>
        </w:rPr>
        <w:t xml:space="preserve"> extra provisions, and research shows that it can have a significant effect on learning.</w:t>
      </w:r>
      <w:r w:rsidR="00A21B3F" w:rsidRPr="00E27DAB">
        <w:rPr>
          <w:rFonts w:cstheme="minorHAnsi"/>
        </w:rPr>
        <w:t xml:space="preserve"> </w:t>
      </w:r>
      <w:r w:rsidR="00A21B3F" w:rsidRPr="00E27DAB">
        <w:rPr>
          <w:rFonts w:cstheme="minorHAnsi"/>
          <w:lang w:val="en-GB"/>
        </w:rPr>
        <w:t xml:space="preserve">The Welsh Assembly Government define poverty as </w:t>
      </w:r>
      <w:r w:rsidR="006065C0">
        <w:rPr>
          <w:rFonts w:cstheme="minorHAnsi"/>
          <w:lang w:val="en-GB"/>
        </w:rPr>
        <w:t>“</w:t>
      </w:r>
      <w:r w:rsidR="00A21B3F" w:rsidRPr="00E27DAB">
        <w:rPr>
          <w:rFonts w:cstheme="minorHAnsi"/>
          <w:lang w:val="en-GB"/>
        </w:rPr>
        <w:t>a long term state of not having sufficient resources</w:t>
      </w:r>
      <w:r w:rsidR="005E3E32">
        <w:rPr>
          <w:rFonts w:cstheme="minorHAnsi"/>
          <w:lang w:val="en-GB"/>
        </w:rPr>
        <w:t>” to afford things that society often take for granted (Ch</w:t>
      </w:r>
      <w:r w:rsidR="00A21B3F" w:rsidRPr="00E27DAB">
        <w:rPr>
          <w:rFonts w:cstheme="minorHAnsi"/>
          <w:lang w:val="en-GB"/>
        </w:rPr>
        <w:t>ild poverty strategy for wales, 2015)</w:t>
      </w:r>
      <w:r w:rsidR="00AE51EA">
        <w:rPr>
          <w:rFonts w:cstheme="minorHAnsi"/>
          <w:lang w:val="en-GB"/>
        </w:rPr>
        <w:t xml:space="preserve">, </w:t>
      </w:r>
      <w:r w:rsidR="006065C0">
        <w:rPr>
          <w:rFonts w:cstheme="minorHAnsi"/>
          <w:lang w:val="en-GB"/>
        </w:rPr>
        <w:t>which affects a</w:t>
      </w:r>
      <w:r w:rsidR="00AE51EA">
        <w:rPr>
          <w:rFonts w:cstheme="minorHAnsi"/>
          <w:lang w:val="en-GB"/>
        </w:rPr>
        <w:t xml:space="preserve"> child’s development </w:t>
      </w:r>
      <w:r w:rsidR="00A21B3F" w:rsidRPr="00E27DAB">
        <w:rPr>
          <w:rFonts w:cstheme="minorHAnsi"/>
          <w:lang w:val="en-GB"/>
        </w:rPr>
        <w:t xml:space="preserve">(UNICEF, </w:t>
      </w:r>
      <w:r w:rsidR="00A30DB2" w:rsidRPr="00E27DAB">
        <w:rPr>
          <w:rFonts w:cstheme="minorHAnsi"/>
          <w:lang w:val="en-GB"/>
        </w:rPr>
        <w:t>2005</w:t>
      </w:r>
      <w:r w:rsidR="00A21B3F" w:rsidRPr="00E27DAB">
        <w:rPr>
          <w:rFonts w:cstheme="minorHAnsi"/>
          <w:lang w:val="en-GB"/>
        </w:rPr>
        <w:t xml:space="preserve">). </w:t>
      </w:r>
      <w:r w:rsidR="00BC16F1" w:rsidRPr="00E27DAB">
        <w:rPr>
          <w:rFonts w:cstheme="minorHAnsi"/>
        </w:rPr>
        <w:t>Thesciencenetwork.org. (2019</w:t>
      </w:r>
      <w:r w:rsidR="00194997">
        <w:rPr>
          <w:rFonts w:cstheme="minorHAnsi"/>
        </w:rPr>
        <w:t>,p.1</w:t>
      </w:r>
      <w:r w:rsidR="00BC16F1" w:rsidRPr="00E27DAB">
        <w:rPr>
          <w:rFonts w:cstheme="minorHAnsi"/>
        </w:rPr>
        <w:t>)</w:t>
      </w:r>
      <w:r w:rsidR="005D2CC8" w:rsidRPr="00E27DAB">
        <w:rPr>
          <w:rFonts w:cstheme="minorHAnsi"/>
        </w:rPr>
        <w:t xml:space="preserve"> s</w:t>
      </w:r>
      <w:r w:rsidR="00BC16F1" w:rsidRPr="00E27DAB">
        <w:rPr>
          <w:rFonts w:cstheme="minorHAnsi"/>
        </w:rPr>
        <w:t xml:space="preserve">uggests </w:t>
      </w:r>
      <w:r w:rsidR="006F27F8" w:rsidRPr="00E27DAB">
        <w:rPr>
          <w:rFonts w:cstheme="minorHAnsi"/>
          <w:lang w:val="en-GB"/>
        </w:rPr>
        <w:t>“</w:t>
      </w:r>
      <w:r w:rsidR="00CD655F" w:rsidRPr="00E27DAB">
        <w:rPr>
          <w:rFonts w:cstheme="minorHAnsi"/>
          <w:lang w:val="en-GB"/>
        </w:rPr>
        <w:t>Poverty is a chronic, mind/body condition</w:t>
      </w:r>
      <w:r w:rsidR="00190939" w:rsidRPr="00E27DAB">
        <w:rPr>
          <w:rFonts w:cstheme="minorHAnsi"/>
          <w:lang w:val="en-GB"/>
        </w:rPr>
        <w:t>” that exposes children in poverty to “suboptimal conditions”, restricting their growth</w:t>
      </w:r>
      <w:r w:rsidR="00706928">
        <w:rPr>
          <w:rFonts w:cstheme="minorHAnsi"/>
          <w:lang w:val="en-GB"/>
        </w:rPr>
        <w:t xml:space="preserve">, </w:t>
      </w:r>
      <w:r w:rsidR="005957FB" w:rsidRPr="00E27DAB">
        <w:rPr>
          <w:rFonts w:eastAsia="MS PGothic" w:cstheme="minorHAnsi"/>
          <w:kern w:val="24"/>
        </w:rPr>
        <w:t>while</w:t>
      </w:r>
      <w:r w:rsidR="006F27F8" w:rsidRPr="00E27DAB">
        <w:rPr>
          <w:rFonts w:eastAsia="MS PGothic" w:cstheme="minorHAnsi"/>
          <w:kern w:val="24"/>
        </w:rPr>
        <w:t xml:space="preserve"> </w:t>
      </w:r>
      <w:r w:rsidR="006F27F8" w:rsidRPr="00E27DAB">
        <w:rPr>
          <w:rFonts w:cstheme="minorHAnsi"/>
        </w:rPr>
        <w:t xml:space="preserve">behavioral geneticists </w:t>
      </w:r>
      <w:r w:rsidR="005957FB" w:rsidRPr="00E27DAB">
        <w:rPr>
          <w:rFonts w:cstheme="minorHAnsi"/>
        </w:rPr>
        <w:t xml:space="preserve">believe that DNA also affects development, accounting for </w:t>
      </w:r>
      <w:r w:rsidR="006F27F8" w:rsidRPr="00E27DAB">
        <w:rPr>
          <w:rFonts w:cstheme="minorHAnsi"/>
        </w:rPr>
        <w:t>30–50</w:t>
      </w:r>
      <w:r w:rsidR="00B96820">
        <w:rPr>
          <w:rFonts w:cstheme="minorHAnsi"/>
        </w:rPr>
        <w:t xml:space="preserve">% </w:t>
      </w:r>
      <w:r w:rsidR="006F27F8" w:rsidRPr="00E27DAB">
        <w:rPr>
          <w:rFonts w:cstheme="minorHAnsi"/>
        </w:rPr>
        <w:t>of behavior (Saudino, 2005)</w:t>
      </w:r>
      <w:r w:rsidR="005957FB" w:rsidRPr="00E27DAB">
        <w:rPr>
          <w:rFonts w:cstheme="minorHAnsi"/>
        </w:rPr>
        <w:t>. While there is a clear argument that poverty can affect attainment, Ortiz and Payne (2017) suggest that schools are not solely responsible for this. The Coleman Report (1966, as cited by Ortiz and Payne, 2017)</w:t>
      </w:r>
      <w:r w:rsidR="006E2F9D" w:rsidRPr="00E27DAB">
        <w:rPr>
          <w:rFonts w:cstheme="minorHAnsi"/>
        </w:rPr>
        <w:t xml:space="preserve"> </w:t>
      </w:r>
      <w:r w:rsidR="005957FB" w:rsidRPr="00E27DAB">
        <w:rPr>
          <w:rFonts w:cstheme="minorHAnsi"/>
        </w:rPr>
        <w:t>reveals that children only spend 10</w:t>
      </w:r>
      <w:r w:rsidR="00B96820">
        <w:rPr>
          <w:rFonts w:cstheme="minorHAnsi"/>
        </w:rPr>
        <w:t>%</w:t>
      </w:r>
      <w:r w:rsidR="005957FB" w:rsidRPr="00E27DAB">
        <w:rPr>
          <w:rFonts w:cstheme="minorHAnsi"/>
        </w:rPr>
        <w:t xml:space="preserve"> of their time in schools, therefore, </w:t>
      </w:r>
      <w:r w:rsidR="00225A9D">
        <w:rPr>
          <w:rFonts w:cstheme="minorHAnsi"/>
        </w:rPr>
        <w:t>other</w:t>
      </w:r>
      <w:r w:rsidR="005957FB" w:rsidRPr="00E27DAB">
        <w:rPr>
          <w:rFonts w:cstheme="minorHAnsi"/>
        </w:rPr>
        <w:t xml:space="preserve"> environment</w:t>
      </w:r>
      <w:r w:rsidR="00225A9D">
        <w:rPr>
          <w:rFonts w:cstheme="minorHAnsi"/>
        </w:rPr>
        <w:t>s</w:t>
      </w:r>
      <w:r w:rsidR="005957FB" w:rsidRPr="00E27DAB">
        <w:rPr>
          <w:rFonts w:cstheme="minorHAnsi"/>
        </w:rPr>
        <w:t xml:space="preserve"> should be addressed when considering low attainment levels. </w:t>
      </w:r>
      <w:r w:rsidR="003325BF" w:rsidRPr="00E27DAB">
        <w:rPr>
          <w:rFonts w:cstheme="minorHAnsi"/>
        </w:rPr>
        <w:t>This assignment comprises of current academic research in the field as well as a questionnaire created by my group on the presence of poverty in schools and its effects.</w:t>
      </w:r>
      <w:r w:rsidR="00225A9D">
        <w:rPr>
          <w:rFonts w:cstheme="minorHAnsi"/>
        </w:rPr>
        <w:t xml:space="preserve"> </w:t>
      </w:r>
    </w:p>
    <w:p w14:paraId="70645B3C" w14:textId="657EFDB3" w:rsidR="00D40D35" w:rsidRPr="00E27DAB" w:rsidRDefault="00E664BC" w:rsidP="00E27DAB">
      <w:pPr>
        <w:spacing w:line="480" w:lineRule="auto"/>
        <w:rPr>
          <w:rFonts w:cstheme="minorHAnsi"/>
        </w:rPr>
      </w:pPr>
      <w:r w:rsidRPr="00E27DAB">
        <w:rPr>
          <w:rFonts w:cstheme="minorHAnsi"/>
        </w:rPr>
        <w:lastRenderedPageBreak/>
        <w:t>As seen in Fi</w:t>
      </w:r>
      <w:r w:rsidR="00982E10">
        <w:rPr>
          <w:rFonts w:cstheme="minorHAnsi"/>
        </w:rPr>
        <w:t>g 1., 5</w:t>
      </w:r>
      <w:r w:rsidRPr="00E27DAB">
        <w:rPr>
          <w:rFonts w:cstheme="minorHAnsi"/>
        </w:rPr>
        <w:t xml:space="preserve"> out of 8 respondents suggested that the definition of</w:t>
      </w:r>
      <w:r w:rsidR="00982E10">
        <w:rPr>
          <w:rFonts w:cstheme="minorHAnsi"/>
        </w:rPr>
        <w:t xml:space="preserve"> poverty links heavily to material deprivation. </w:t>
      </w:r>
      <w:r w:rsidRPr="00E27DAB">
        <w:rPr>
          <w:rFonts w:cstheme="minorHAnsi"/>
        </w:rPr>
        <w:t xml:space="preserve"> </w:t>
      </w:r>
    </w:p>
    <w:p w14:paraId="1E177EE0" w14:textId="3AFF333D" w:rsidR="007020DD" w:rsidRPr="00E27DAB" w:rsidRDefault="00BB65A9" w:rsidP="00E27DAB">
      <w:pPr>
        <w:spacing w:line="480" w:lineRule="auto"/>
        <w:rPr>
          <w:rFonts w:cstheme="minorHAnsi"/>
        </w:rPr>
      </w:pPr>
      <w:r w:rsidRPr="00E27DAB">
        <w:rPr>
          <w:rFonts w:cstheme="minorHAnsi"/>
          <w:noProof/>
          <w:lang w:val="en-GB" w:eastAsia="en-GB"/>
        </w:rPr>
        <w:drawing>
          <wp:anchor distT="0" distB="0" distL="114300" distR="114300" simplePos="0" relativeHeight="251659776" behindDoc="1" locked="0" layoutInCell="1" allowOverlap="1" wp14:anchorId="6B5D8273" wp14:editId="6C8106D0">
            <wp:simplePos x="0" y="0"/>
            <wp:positionH relativeFrom="margin">
              <wp:align>left</wp:align>
            </wp:positionH>
            <wp:positionV relativeFrom="paragraph">
              <wp:posOffset>3175</wp:posOffset>
            </wp:positionV>
            <wp:extent cx="3832860" cy="2103120"/>
            <wp:effectExtent l="0" t="0" r="15240" b="11430"/>
            <wp:wrapTight wrapText="bothSides">
              <wp:wrapPolygon edited="0">
                <wp:start x="0" y="0"/>
                <wp:lineTo x="0" y="21522"/>
                <wp:lineTo x="21579" y="21522"/>
                <wp:lineTo x="21579" y="0"/>
                <wp:lineTo x="0" y="0"/>
              </wp:wrapPolygon>
            </wp:wrapTight>
            <wp:docPr id="5" name="Chart 5">
              <a:extLst xmlns:a="http://schemas.openxmlformats.org/drawingml/2006/main">
                <a:ext uri="{FF2B5EF4-FFF2-40B4-BE49-F238E27FC236}">
                  <a16:creationId xmlns:a16="http://schemas.microsoft.com/office/drawing/2014/main" id="{8E6F6C49-77B1-44C7-908B-F09711D66A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53A8DD93" w14:textId="39407D0C" w:rsidR="007020DD" w:rsidRPr="00E27DAB" w:rsidRDefault="007020DD" w:rsidP="00E27DAB">
      <w:pPr>
        <w:spacing w:line="480" w:lineRule="auto"/>
        <w:rPr>
          <w:rFonts w:cstheme="minorHAnsi"/>
        </w:rPr>
      </w:pPr>
    </w:p>
    <w:p w14:paraId="104926F3" w14:textId="77777777" w:rsidR="007020DD" w:rsidRPr="00E27DAB" w:rsidRDefault="007020DD" w:rsidP="00E27DAB">
      <w:pPr>
        <w:spacing w:line="480" w:lineRule="auto"/>
        <w:rPr>
          <w:rFonts w:cstheme="minorHAnsi"/>
        </w:rPr>
      </w:pPr>
    </w:p>
    <w:p w14:paraId="6167E3E2" w14:textId="77777777" w:rsidR="007020DD" w:rsidRPr="00E27DAB" w:rsidRDefault="007020DD" w:rsidP="00E27DAB">
      <w:pPr>
        <w:spacing w:line="480" w:lineRule="auto"/>
        <w:rPr>
          <w:rFonts w:cstheme="minorHAnsi"/>
        </w:rPr>
      </w:pPr>
    </w:p>
    <w:p w14:paraId="699E4A5D" w14:textId="77777777" w:rsidR="007020DD" w:rsidRPr="00E27DAB" w:rsidRDefault="007020DD" w:rsidP="00E27DAB">
      <w:pPr>
        <w:spacing w:line="480" w:lineRule="auto"/>
        <w:rPr>
          <w:rFonts w:cstheme="minorHAnsi"/>
        </w:rPr>
      </w:pPr>
    </w:p>
    <w:p w14:paraId="7897B5E3" w14:textId="77777777" w:rsidR="007020DD" w:rsidRPr="00E27DAB" w:rsidRDefault="007020DD" w:rsidP="00E27DAB">
      <w:pPr>
        <w:spacing w:line="480" w:lineRule="auto"/>
        <w:rPr>
          <w:rFonts w:cstheme="minorHAnsi"/>
        </w:rPr>
      </w:pPr>
    </w:p>
    <w:p w14:paraId="132F7302" w14:textId="53D7A41A" w:rsidR="00BB65A9" w:rsidRPr="00982E10" w:rsidRDefault="00E664BC" w:rsidP="00E27DAB">
      <w:pPr>
        <w:spacing w:line="480" w:lineRule="auto"/>
        <w:rPr>
          <w:rFonts w:cstheme="minorHAnsi"/>
        </w:rPr>
      </w:pPr>
      <w:r w:rsidRPr="00E27DAB">
        <w:rPr>
          <w:rFonts w:cstheme="minorHAnsi"/>
        </w:rPr>
        <w:t>Fig 1.</w:t>
      </w:r>
    </w:p>
    <w:p w14:paraId="2EAE1899" w14:textId="265B9853" w:rsidR="003A09B6" w:rsidRPr="00E27DAB" w:rsidRDefault="00D0218E" w:rsidP="00E27DAB">
      <w:pPr>
        <w:spacing w:line="480" w:lineRule="auto"/>
        <w:rPr>
          <w:rFonts w:cstheme="minorHAnsi"/>
          <w:highlight w:val="yellow"/>
        </w:rPr>
      </w:pPr>
      <w:r w:rsidRPr="00E27DAB">
        <w:rPr>
          <w:rFonts w:cstheme="minorHAnsi"/>
        </w:rPr>
        <w:t>Poverty is a contentious issue with regards to definition</w:t>
      </w:r>
      <w:r w:rsidR="00105873" w:rsidRPr="00E27DAB">
        <w:rPr>
          <w:rFonts w:cstheme="minorHAnsi"/>
        </w:rPr>
        <w:t>;</w:t>
      </w:r>
      <w:r w:rsidRPr="00E27DAB">
        <w:rPr>
          <w:rFonts w:cstheme="minorHAnsi"/>
        </w:rPr>
        <w:t xml:space="preserve"> Wagle (2002) suggests </w:t>
      </w:r>
      <w:r w:rsidR="00105873" w:rsidRPr="00E27DAB">
        <w:rPr>
          <w:rFonts w:cstheme="minorHAnsi"/>
        </w:rPr>
        <w:t>e</w:t>
      </w:r>
      <w:r w:rsidRPr="00E27DAB">
        <w:rPr>
          <w:rFonts w:cstheme="minorHAnsi"/>
        </w:rPr>
        <w:t>conomic wellbeing is the most common form of measurement</w:t>
      </w:r>
      <w:r w:rsidR="00577F21">
        <w:rPr>
          <w:rFonts w:cstheme="minorHAnsi"/>
        </w:rPr>
        <w:t xml:space="preserve">, as does </w:t>
      </w:r>
      <w:r w:rsidRPr="00E27DAB">
        <w:rPr>
          <w:rFonts w:cstheme="minorHAnsi"/>
        </w:rPr>
        <w:t>Hagenaars (1991)</w:t>
      </w:r>
      <w:r w:rsidR="005D3612">
        <w:rPr>
          <w:rFonts w:cstheme="minorHAnsi"/>
        </w:rPr>
        <w:t>,</w:t>
      </w:r>
      <w:r w:rsidR="008959B3" w:rsidRPr="00E27DAB">
        <w:rPr>
          <w:rFonts w:cstheme="minorHAnsi"/>
        </w:rPr>
        <w:t xml:space="preserve"> who</w:t>
      </w:r>
      <w:r w:rsidRPr="00E27DAB">
        <w:rPr>
          <w:rFonts w:cstheme="minorHAnsi"/>
        </w:rPr>
        <w:t xml:space="preserve"> look</w:t>
      </w:r>
      <w:r w:rsidR="00453519" w:rsidRPr="00E27DAB">
        <w:rPr>
          <w:rFonts w:cstheme="minorHAnsi"/>
        </w:rPr>
        <w:t>s</w:t>
      </w:r>
      <w:r w:rsidRPr="00E27DAB">
        <w:rPr>
          <w:rFonts w:cstheme="minorHAnsi"/>
        </w:rPr>
        <w:t xml:space="preserve"> at survival criteria such as calorie intake</w:t>
      </w:r>
      <w:r w:rsidR="008959B3" w:rsidRPr="00E27DAB">
        <w:rPr>
          <w:rFonts w:cstheme="minorHAnsi"/>
        </w:rPr>
        <w:t xml:space="preserve"> to measure poverty.</w:t>
      </w:r>
      <w:r w:rsidRPr="00E27DAB">
        <w:rPr>
          <w:rFonts w:cstheme="minorHAnsi"/>
        </w:rPr>
        <w:t xml:space="preserve"> </w:t>
      </w:r>
      <w:r w:rsidR="00922077" w:rsidRPr="00E27DAB">
        <w:rPr>
          <w:rFonts w:cstheme="minorHAnsi"/>
        </w:rPr>
        <w:t>Often poverty has been defined by income and status</w:t>
      </w:r>
      <w:r w:rsidR="00105873" w:rsidRPr="00E27DAB">
        <w:rPr>
          <w:rFonts w:cstheme="minorHAnsi"/>
        </w:rPr>
        <w:t xml:space="preserve">; </w:t>
      </w:r>
      <w:r w:rsidR="00E16DCA" w:rsidRPr="00E27DAB">
        <w:rPr>
          <w:rFonts w:cstheme="minorHAnsi"/>
        </w:rPr>
        <w:t>Smith and Townsend</w:t>
      </w:r>
      <w:r w:rsidR="00922077" w:rsidRPr="00E27DAB">
        <w:rPr>
          <w:rFonts w:cstheme="minorHAnsi"/>
        </w:rPr>
        <w:t xml:space="preserve"> (1965) claim </w:t>
      </w:r>
      <w:r w:rsidR="008959B3" w:rsidRPr="00E27DAB">
        <w:rPr>
          <w:rFonts w:cstheme="minorHAnsi"/>
        </w:rPr>
        <w:t xml:space="preserve">that poverty could be ascertained based on </w:t>
      </w:r>
      <w:r w:rsidR="00922077" w:rsidRPr="00E27DAB">
        <w:rPr>
          <w:rFonts w:cstheme="minorHAnsi"/>
        </w:rPr>
        <w:t xml:space="preserve">an income below 140% of a household’s entitlement to National assistance. </w:t>
      </w:r>
      <w:r w:rsidR="00105873" w:rsidRPr="00E27DAB">
        <w:rPr>
          <w:rFonts w:cstheme="minorHAnsi"/>
        </w:rPr>
        <w:t xml:space="preserve">According to </w:t>
      </w:r>
      <w:r w:rsidR="00922077" w:rsidRPr="00E27DAB">
        <w:rPr>
          <w:rFonts w:cstheme="minorHAnsi"/>
        </w:rPr>
        <w:t>Ashton (1984)</w:t>
      </w:r>
      <w:r w:rsidR="00105873" w:rsidRPr="00E27DAB">
        <w:rPr>
          <w:rFonts w:cstheme="minorHAnsi"/>
        </w:rPr>
        <w:t>, this would mean that</w:t>
      </w:r>
      <w:r w:rsidR="00922077" w:rsidRPr="00E27DAB">
        <w:rPr>
          <w:rFonts w:cstheme="minorHAnsi"/>
        </w:rPr>
        <w:t xml:space="preserve"> 14 million people would be living in poverty in Britain in 1984</w:t>
      </w:r>
      <w:r w:rsidR="00105873" w:rsidRPr="00E27DAB">
        <w:rPr>
          <w:rFonts w:cstheme="minorHAnsi"/>
        </w:rPr>
        <w:t xml:space="preserve">, </w:t>
      </w:r>
      <w:r w:rsidR="00922077" w:rsidRPr="00E27DAB">
        <w:rPr>
          <w:rFonts w:cstheme="minorHAnsi"/>
        </w:rPr>
        <w:t>however there is no</w:t>
      </w:r>
      <w:r w:rsidR="00105873" w:rsidRPr="00E27DAB">
        <w:rPr>
          <w:rFonts w:cstheme="minorHAnsi"/>
        </w:rPr>
        <w:t xml:space="preserve"> conclusive</w:t>
      </w:r>
      <w:r w:rsidR="00922077" w:rsidRPr="00E27DAB">
        <w:rPr>
          <w:rFonts w:cstheme="minorHAnsi"/>
        </w:rPr>
        <w:t xml:space="preserve"> evidence t</w:t>
      </w:r>
      <w:r w:rsidR="00105873" w:rsidRPr="00E27DAB">
        <w:rPr>
          <w:rFonts w:cstheme="minorHAnsi"/>
        </w:rPr>
        <w:t xml:space="preserve">o support either of these views. </w:t>
      </w:r>
      <w:r w:rsidR="00FD018E" w:rsidRPr="00E27DAB">
        <w:rPr>
          <w:rFonts w:cstheme="minorHAnsi"/>
        </w:rPr>
        <w:t>T</w:t>
      </w:r>
      <w:r w:rsidR="00105873" w:rsidRPr="00E27DAB">
        <w:rPr>
          <w:rFonts w:cstheme="minorHAnsi"/>
        </w:rPr>
        <w:t>his lack of evidence is acknowledged by T</w:t>
      </w:r>
      <w:r w:rsidR="00FD018E" w:rsidRPr="00E27DAB">
        <w:rPr>
          <w:rFonts w:cstheme="minorHAnsi"/>
        </w:rPr>
        <w:t>ownsend</w:t>
      </w:r>
      <w:r w:rsidR="00105873" w:rsidRPr="00E27DAB">
        <w:rPr>
          <w:rFonts w:cstheme="minorHAnsi"/>
        </w:rPr>
        <w:t>, who says</w:t>
      </w:r>
      <w:r w:rsidR="00FD018E" w:rsidRPr="00E27DAB">
        <w:rPr>
          <w:rFonts w:cstheme="minorHAnsi"/>
        </w:rPr>
        <w:t xml:space="preserve"> poverty is linked to a deprived lifestyle (S-cool.co.uk, 2019).</w:t>
      </w:r>
      <w:r w:rsidR="00E53099" w:rsidRPr="00E27DAB">
        <w:rPr>
          <w:rFonts w:cstheme="minorHAnsi"/>
        </w:rPr>
        <w:t xml:space="preserve"> </w:t>
      </w:r>
      <w:r w:rsidR="00105873" w:rsidRPr="00E27DAB">
        <w:rPr>
          <w:rFonts w:cstheme="minorHAnsi"/>
        </w:rPr>
        <w:t>Townsend</w:t>
      </w:r>
      <w:r w:rsidR="00E53099" w:rsidRPr="00E27DAB">
        <w:rPr>
          <w:rFonts w:cstheme="minorHAnsi"/>
        </w:rPr>
        <w:t xml:space="preserve"> (1979) </w:t>
      </w:r>
      <w:r w:rsidR="0072295D" w:rsidRPr="00E27DAB">
        <w:rPr>
          <w:rFonts w:cstheme="minorHAnsi"/>
        </w:rPr>
        <w:t>assert</w:t>
      </w:r>
      <w:r w:rsidR="005D3612">
        <w:rPr>
          <w:rFonts w:cstheme="minorHAnsi"/>
        </w:rPr>
        <w:t>s</w:t>
      </w:r>
      <w:r w:rsidR="0072295D" w:rsidRPr="00E27DAB">
        <w:rPr>
          <w:rFonts w:cstheme="minorHAnsi"/>
        </w:rPr>
        <w:t xml:space="preserve"> poverty cannot be defined solely by income</w:t>
      </w:r>
      <w:r w:rsidR="00105873" w:rsidRPr="00E27DAB">
        <w:rPr>
          <w:rFonts w:cstheme="minorHAnsi"/>
        </w:rPr>
        <w:t xml:space="preserve"> as </w:t>
      </w:r>
      <w:r w:rsidR="0072295D" w:rsidRPr="00E27DAB">
        <w:rPr>
          <w:rFonts w:cstheme="minorHAnsi"/>
        </w:rPr>
        <w:t>he believed housing and lifestyle should be accounted for.</w:t>
      </w:r>
      <w:r w:rsidR="00AA2ECE" w:rsidRPr="00E27DAB">
        <w:rPr>
          <w:rFonts w:cstheme="minorHAnsi"/>
        </w:rPr>
        <w:t xml:space="preserve"> This is </w:t>
      </w:r>
      <w:r w:rsidR="00194997" w:rsidRPr="00E27DAB">
        <w:rPr>
          <w:rFonts w:cstheme="minorHAnsi"/>
        </w:rPr>
        <w:t>critici</w:t>
      </w:r>
      <w:r w:rsidR="00194997">
        <w:rPr>
          <w:rFonts w:cstheme="minorHAnsi"/>
        </w:rPr>
        <w:t>s</w:t>
      </w:r>
      <w:r w:rsidR="00194997" w:rsidRPr="00E27DAB">
        <w:rPr>
          <w:rFonts w:cstheme="minorHAnsi"/>
        </w:rPr>
        <w:t>ed</w:t>
      </w:r>
      <w:r w:rsidR="00AA2ECE" w:rsidRPr="00E27DAB">
        <w:rPr>
          <w:rFonts w:cstheme="minorHAnsi"/>
        </w:rPr>
        <w:t xml:space="preserve"> by Piachaud (1981) </w:t>
      </w:r>
      <w:r w:rsidR="008959B3" w:rsidRPr="00E27DAB">
        <w:rPr>
          <w:rFonts w:cstheme="minorHAnsi"/>
        </w:rPr>
        <w:t>who s</w:t>
      </w:r>
      <w:r w:rsidR="00682E23" w:rsidRPr="00E27DAB">
        <w:rPr>
          <w:rFonts w:cstheme="minorHAnsi"/>
        </w:rPr>
        <w:t>uggest</w:t>
      </w:r>
      <w:r w:rsidR="008959B3" w:rsidRPr="00E27DAB">
        <w:rPr>
          <w:rFonts w:cstheme="minorHAnsi"/>
        </w:rPr>
        <w:t>s</w:t>
      </w:r>
      <w:r w:rsidR="00682E23" w:rsidRPr="00E27DAB">
        <w:rPr>
          <w:rFonts w:cstheme="minorHAnsi"/>
        </w:rPr>
        <w:t xml:space="preserve"> </w:t>
      </w:r>
      <w:r w:rsidR="008959B3" w:rsidRPr="00E27DAB">
        <w:rPr>
          <w:rFonts w:cstheme="minorHAnsi"/>
        </w:rPr>
        <w:t xml:space="preserve">Townsend’s indicators could be more </w:t>
      </w:r>
      <w:r w:rsidR="00194997">
        <w:rPr>
          <w:rFonts w:cstheme="minorHAnsi"/>
        </w:rPr>
        <w:t xml:space="preserve">of </w:t>
      </w:r>
      <w:r w:rsidR="008959B3" w:rsidRPr="00E27DAB">
        <w:rPr>
          <w:rFonts w:cstheme="minorHAnsi"/>
        </w:rPr>
        <w:t>a lifestyle choice</w:t>
      </w:r>
      <w:r w:rsidR="00682E23" w:rsidRPr="00E27DAB">
        <w:rPr>
          <w:rFonts w:cstheme="minorHAnsi"/>
        </w:rPr>
        <w:t xml:space="preserve">. </w:t>
      </w:r>
      <w:r w:rsidR="00532932">
        <w:rPr>
          <w:rFonts w:cstheme="minorHAnsi"/>
        </w:rPr>
        <w:t xml:space="preserve"> </w:t>
      </w:r>
      <w:r w:rsidR="00682E23" w:rsidRPr="00E27DAB">
        <w:rPr>
          <w:rFonts w:cstheme="minorHAnsi"/>
        </w:rPr>
        <w:t>Mack and Lansley</w:t>
      </w:r>
      <w:r w:rsidR="005F1F9F" w:rsidRPr="00E27DAB">
        <w:rPr>
          <w:rFonts w:cstheme="minorHAnsi"/>
        </w:rPr>
        <w:t>’s survey ‘Breadline Britain’ (1985) looked to overcome the criticism</w:t>
      </w:r>
      <w:r w:rsidR="0087307C" w:rsidRPr="00E27DAB">
        <w:rPr>
          <w:rFonts w:cstheme="minorHAnsi"/>
        </w:rPr>
        <w:t xml:space="preserve">s of </w:t>
      </w:r>
      <w:r w:rsidR="005F1F9F" w:rsidRPr="00E27DAB">
        <w:rPr>
          <w:rFonts w:cstheme="minorHAnsi"/>
        </w:rPr>
        <w:t>Townsend</w:t>
      </w:r>
      <w:r w:rsidR="0087307C" w:rsidRPr="00E27DAB">
        <w:rPr>
          <w:rFonts w:cstheme="minorHAnsi"/>
        </w:rPr>
        <w:t xml:space="preserve"> through </w:t>
      </w:r>
      <w:r w:rsidR="005F1F9F" w:rsidRPr="00E27DAB">
        <w:rPr>
          <w:rFonts w:cstheme="minorHAnsi"/>
        </w:rPr>
        <w:t>creating a deprivation index based on public opinion</w:t>
      </w:r>
      <w:r w:rsidR="0087307C" w:rsidRPr="00E27DAB">
        <w:rPr>
          <w:rFonts w:cstheme="minorHAnsi"/>
        </w:rPr>
        <w:t xml:space="preserve">, however, this was criticized for not giving a clear </w:t>
      </w:r>
      <w:r w:rsidR="0087307C" w:rsidRPr="00E27DAB">
        <w:rPr>
          <w:rFonts w:cstheme="minorHAnsi"/>
        </w:rPr>
        <w:lastRenderedPageBreak/>
        <w:t>definition of poverty.</w:t>
      </w:r>
      <w:r w:rsidR="005F1F9F" w:rsidRPr="00E27DAB">
        <w:rPr>
          <w:rFonts w:cstheme="minorHAnsi"/>
        </w:rPr>
        <w:t xml:space="preserve"> </w:t>
      </w:r>
      <w:r w:rsidR="00E5787E" w:rsidRPr="00E27DAB">
        <w:rPr>
          <w:rFonts w:cstheme="minorHAnsi"/>
          <w:lang w:val="en-GB"/>
        </w:rPr>
        <w:t xml:space="preserve">Currently, the UK Government uses ‘relative poverty’ </w:t>
      </w:r>
      <w:r w:rsidR="004E51E8">
        <w:rPr>
          <w:rFonts w:cstheme="minorHAnsi"/>
          <w:lang w:val="en-GB"/>
        </w:rPr>
        <w:t>to</w:t>
      </w:r>
      <w:r w:rsidR="00E5787E" w:rsidRPr="00E27DAB">
        <w:rPr>
          <w:rFonts w:cstheme="minorHAnsi"/>
          <w:lang w:val="en-GB"/>
        </w:rPr>
        <w:t xml:space="preserve"> measure deprivation (WISERD, 2019). </w:t>
      </w:r>
    </w:p>
    <w:p w14:paraId="0EB777D2" w14:textId="743A197C" w:rsidR="00E664BC" w:rsidRPr="00E27DAB" w:rsidRDefault="00E664BC" w:rsidP="00E27DAB">
      <w:pPr>
        <w:spacing w:line="480" w:lineRule="auto"/>
        <w:rPr>
          <w:rFonts w:cstheme="minorHAnsi"/>
        </w:rPr>
      </w:pPr>
      <w:r w:rsidRPr="00E27DAB">
        <w:rPr>
          <w:rFonts w:cstheme="minorHAnsi"/>
        </w:rPr>
        <w:t>As seen</w:t>
      </w:r>
      <w:r w:rsidR="00F13E39" w:rsidRPr="00E27DAB">
        <w:rPr>
          <w:rFonts w:cstheme="minorHAnsi"/>
        </w:rPr>
        <w:t xml:space="preserve"> in</w:t>
      </w:r>
      <w:r w:rsidRPr="00E27DAB">
        <w:rPr>
          <w:rFonts w:cstheme="minorHAnsi"/>
        </w:rPr>
        <w:t xml:space="preserve"> Fig 2.</w:t>
      </w:r>
      <w:r w:rsidR="00CB43A6">
        <w:rPr>
          <w:rFonts w:cstheme="minorHAnsi"/>
        </w:rPr>
        <w:t>,</w:t>
      </w:r>
      <w:r w:rsidRPr="00E27DAB">
        <w:rPr>
          <w:rFonts w:cstheme="minorHAnsi"/>
        </w:rPr>
        <w:t xml:space="preserve"> our questionnaire show</w:t>
      </w:r>
      <w:r w:rsidR="00E206F6">
        <w:rPr>
          <w:rFonts w:cstheme="minorHAnsi"/>
        </w:rPr>
        <w:t>ed</w:t>
      </w:r>
      <w:r w:rsidRPr="00E27DAB">
        <w:rPr>
          <w:rFonts w:cstheme="minorHAnsi"/>
        </w:rPr>
        <w:t xml:space="preserve"> 50% of respondents agree or strongly agree that attainment is caused by poverty, 37.5% disagree or strongly disagree and 12.5% neither agree </w:t>
      </w:r>
      <w:r w:rsidR="004B7A0F">
        <w:rPr>
          <w:rFonts w:cstheme="minorHAnsi"/>
        </w:rPr>
        <w:t>n</w:t>
      </w:r>
      <w:r w:rsidRPr="00E27DAB">
        <w:rPr>
          <w:rFonts w:cstheme="minorHAnsi"/>
        </w:rPr>
        <w:t>or disagree</w:t>
      </w:r>
      <w:r w:rsidR="00F13E39" w:rsidRPr="00E27DAB">
        <w:rPr>
          <w:rFonts w:cstheme="minorHAnsi"/>
        </w:rPr>
        <w:t xml:space="preserve">. </w:t>
      </w:r>
    </w:p>
    <w:p w14:paraId="098E9BFA" w14:textId="66742042" w:rsidR="00E759A5" w:rsidRPr="00E27DAB" w:rsidRDefault="00377969" w:rsidP="00E27DAB">
      <w:pPr>
        <w:spacing w:line="480" w:lineRule="auto"/>
        <w:rPr>
          <w:rFonts w:cstheme="minorHAnsi"/>
          <w:highlight w:val="magenta"/>
          <w:lang w:val="en-GB"/>
        </w:rPr>
      </w:pPr>
      <w:r w:rsidRPr="00E27DAB">
        <w:rPr>
          <w:rFonts w:cstheme="minorHAnsi"/>
          <w:noProof/>
          <w:lang w:val="en-GB" w:eastAsia="en-GB"/>
        </w:rPr>
        <w:drawing>
          <wp:inline distT="0" distB="0" distL="0" distR="0" wp14:anchorId="3668FC02" wp14:editId="749898CA">
            <wp:extent cx="4572000" cy="2743200"/>
            <wp:effectExtent l="0" t="0" r="0" b="0"/>
            <wp:docPr id="12" name="Chart 12">
              <a:extLst xmlns:a="http://schemas.openxmlformats.org/drawingml/2006/main">
                <a:ext uri="{FF2B5EF4-FFF2-40B4-BE49-F238E27FC236}">
                  <a16:creationId xmlns:a16="http://schemas.microsoft.com/office/drawing/2014/main" id="{0297E85F-D2C7-42AF-A88D-C7E013678C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E664BC" w:rsidRPr="00E27DAB">
        <w:rPr>
          <w:rFonts w:cstheme="minorHAnsi"/>
          <w:lang w:val="en-GB"/>
        </w:rPr>
        <w:t>Fig 2.</w:t>
      </w:r>
      <w:r w:rsidR="00A85E09" w:rsidRPr="00E27DAB">
        <w:rPr>
          <w:rFonts w:cstheme="minorHAnsi"/>
          <w:highlight w:val="magenta"/>
          <w:lang w:val="en-GB"/>
        </w:rPr>
        <w:t xml:space="preserve"> </w:t>
      </w:r>
    </w:p>
    <w:p w14:paraId="00F5B63E" w14:textId="593EFB50" w:rsidR="007A08D8" w:rsidRPr="00E27DAB" w:rsidRDefault="00FA6652" w:rsidP="00E27DAB">
      <w:pPr>
        <w:spacing w:after="0" w:line="480" w:lineRule="auto"/>
        <w:textAlignment w:val="baseline"/>
        <w:rPr>
          <w:rFonts w:cstheme="minorHAnsi"/>
          <w:lang w:val="en-GB"/>
        </w:rPr>
      </w:pPr>
      <w:r w:rsidRPr="00E27DAB">
        <w:rPr>
          <w:rFonts w:cstheme="minorHAnsi"/>
          <w:lang w:val="en-GB"/>
        </w:rPr>
        <w:t>There is evidence that inequality exists within the education system.</w:t>
      </w:r>
      <w:r w:rsidR="003325BF" w:rsidRPr="00E27DAB">
        <w:rPr>
          <w:rFonts w:cstheme="minorHAnsi"/>
          <w:lang w:val="en-GB"/>
        </w:rPr>
        <w:t xml:space="preserve"> Estyn shows a strong link between low attainment and poverty in education; often,</w:t>
      </w:r>
      <w:r w:rsidR="003325BF" w:rsidRPr="00E27DAB">
        <w:rPr>
          <w:rFonts w:eastAsia="MS PGothic" w:cstheme="minorHAnsi"/>
          <w:kern w:val="24"/>
          <w:lang w:eastAsia="en-GB"/>
        </w:rPr>
        <w:t xml:space="preserve"> “learners from poorer families do not achieve as well as their peers”, particularly those entitled to free school meals (2014:p.2).</w:t>
      </w:r>
      <w:r w:rsidR="00A85E09" w:rsidRPr="00E27DAB">
        <w:rPr>
          <w:rFonts w:eastAsia="MS PGothic" w:cstheme="minorHAnsi"/>
          <w:kern w:val="24"/>
          <w:lang w:eastAsia="en-GB"/>
        </w:rPr>
        <w:t xml:space="preserve"> This would support Bynner and Joshi’s theory (2002) that suggests a link between class</w:t>
      </w:r>
      <w:r w:rsidRPr="00E27DAB">
        <w:rPr>
          <w:rFonts w:cstheme="minorHAnsi"/>
          <w:lang w:val="en-GB"/>
        </w:rPr>
        <w:t xml:space="preserve"> and educational attainment</w:t>
      </w:r>
      <w:r w:rsidR="003902F2" w:rsidRPr="00E27DAB">
        <w:rPr>
          <w:rFonts w:cstheme="minorHAnsi"/>
          <w:lang w:val="en-GB"/>
        </w:rPr>
        <w:t xml:space="preserve">. </w:t>
      </w:r>
      <w:r w:rsidRPr="00E27DAB">
        <w:rPr>
          <w:rFonts w:cstheme="minorHAnsi"/>
          <w:lang w:val="en-GB"/>
        </w:rPr>
        <w:t xml:space="preserve">Almost a quarter </w:t>
      </w:r>
      <w:r w:rsidR="00D105DB" w:rsidRPr="00E27DAB">
        <w:rPr>
          <w:rFonts w:cstheme="minorHAnsi"/>
          <w:lang w:val="en-GB"/>
        </w:rPr>
        <w:t>of Wales live in poverty</w:t>
      </w:r>
      <w:r w:rsidR="000D7DE2" w:rsidRPr="00E27DAB">
        <w:rPr>
          <w:rFonts w:cstheme="minorHAnsi"/>
          <w:lang w:val="en-GB"/>
        </w:rPr>
        <w:t xml:space="preserve"> (Gweddill.gov.wales, 2019)</w:t>
      </w:r>
      <w:r w:rsidR="00A85E09" w:rsidRPr="00E27DAB">
        <w:rPr>
          <w:rFonts w:cstheme="minorHAnsi"/>
          <w:lang w:val="en-GB"/>
        </w:rPr>
        <w:t>, and an estimated 17</w:t>
      </w:r>
      <w:r w:rsidR="00B96820">
        <w:rPr>
          <w:rFonts w:cstheme="minorHAnsi"/>
          <w:lang w:val="en-GB"/>
        </w:rPr>
        <w:t>%</w:t>
      </w:r>
      <w:r w:rsidR="00A85E09" w:rsidRPr="00E27DAB">
        <w:rPr>
          <w:rFonts w:cstheme="minorHAnsi"/>
          <w:lang w:val="en-GB"/>
        </w:rPr>
        <w:t xml:space="preserve"> of children in Wales are eligible for free school meals (Save the Children, 2012:p.1).</w:t>
      </w:r>
      <w:r w:rsidR="00D105DB" w:rsidRPr="00E27DAB">
        <w:rPr>
          <w:rFonts w:cstheme="minorHAnsi"/>
          <w:lang w:val="en-GB"/>
        </w:rPr>
        <w:t xml:space="preserve"> </w:t>
      </w:r>
      <w:r w:rsidR="004C7586" w:rsidRPr="00E27DAB">
        <w:rPr>
          <w:rFonts w:cstheme="minorHAnsi"/>
          <w:lang w:val="en-GB"/>
        </w:rPr>
        <w:t>I</w:t>
      </w:r>
      <w:r w:rsidR="000F6342" w:rsidRPr="00E27DAB">
        <w:rPr>
          <w:rFonts w:cstheme="minorHAnsi"/>
          <w:lang w:val="en-GB"/>
        </w:rPr>
        <w:t>n 2015</w:t>
      </w:r>
      <w:r w:rsidR="004C7586" w:rsidRPr="00E27DAB">
        <w:rPr>
          <w:rFonts w:cstheme="minorHAnsi"/>
          <w:lang w:val="en-GB"/>
        </w:rPr>
        <w:t xml:space="preserve">, </w:t>
      </w:r>
      <w:r w:rsidR="000F6342" w:rsidRPr="00E27DAB">
        <w:rPr>
          <w:rFonts w:cstheme="minorHAnsi"/>
          <w:lang w:val="en-GB"/>
        </w:rPr>
        <w:t xml:space="preserve">statswales </w:t>
      </w:r>
      <w:r w:rsidR="004C7586" w:rsidRPr="00E27DAB">
        <w:rPr>
          <w:rFonts w:cstheme="minorHAnsi"/>
          <w:lang w:val="en-GB"/>
        </w:rPr>
        <w:t>(</w:t>
      </w:r>
      <w:r w:rsidR="000F6342" w:rsidRPr="00E27DAB">
        <w:rPr>
          <w:rFonts w:cstheme="minorHAnsi"/>
          <w:lang w:val="en-GB"/>
        </w:rPr>
        <w:t>2019) show</w:t>
      </w:r>
      <w:r w:rsidR="004C7586" w:rsidRPr="00E27DAB">
        <w:rPr>
          <w:rFonts w:cstheme="minorHAnsi"/>
          <w:lang w:val="en-GB"/>
        </w:rPr>
        <w:t>ed</w:t>
      </w:r>
      <w:r w:rsidR="000F6342" w:rsidRPr="00E27DAB">
        <w:rPr>
          <w:rFonts w:cstheme="minorHAnsi"/>
          <w:lang w:val="en-GB"/>
        </w:rPr>
        <w:t xml:space="preserve"> a 9</w:t>
      </w:r>
      <w:r w:rsidR="00B96820">
        <w:rPr>
          <w:rFonts w:cstheme="minorHAnsi"/>
          <w:lang w:val="en-GB"/>
        </w:rPr>
        <w:t>%</w:t>
      </w:r>
      <w:r w:rsidR="000F6342" w:rsidRPr="00E27DAB">
        <w:rPr>
          <w:rFonts w:cstheme="minorHAnsi"/>
          <w:lang w:val="en-GB"/>
        </w:rPr>
        <w:t xml:space="preserve"> gap in attainment according to the core subject indicato</w:t>
      </w:r>
      <w:r w:rsidR="003902F2" w:rsidRPr="00E27DAB">
        <w:rPr>
          <w:rFonts w:cstheme="minorHAnsi"/>
          <w:lang w:val="en-GB"/>
        </w:rPr>
        <w:t>r. However</w:t>
      </w:r>
      <w:r w:rsidR="006D06E7" w:rsidRPr="00E27DAB">
        <w:rPr>
          <w:rFonts w:cstheme="minorHAnsi"/>
          <w:lang w:val="en-GB"/>
        </w:rPr>
        <w:t>,</w:t>
      </w:r>
      <w:r w:rsidR="003902F2" w:rsidRPr="00E27DAB">
        <w:rPr>
          <w:rFonts w:cstheme="minorHAnsi"/>
          <w:lang w:val="en-GB"/>
        </w:rPr>
        <w:t xml:space="preserve"> Jef</w:t>
      </w:r>
      <w:r w:rsidR="006F1A45" w:rsidRPr="00E27DAB">
        <w:rPr>
          <w:rFonts w:cstheme="minorHAnsi"/>
          <w:lang w:val="en-GB"/>
        </w:rPr>
        <w:t>f</w:t>
      </w:r>
      <w:r w:rsidR="003902F2" w:rsidRPr="00E27DAB">
        <w:rPr>
          <w:rFonts w:cstheme="minorHAnsi"/>
          <w:lang w:val="en-GB"/>
        </w:rPr>
        <w:t>eris</w:t>
      </w:r>
      <w:r w:rsidR="006F1A45" w:rsidRPr="00E27DAB">
        <w:rPr>
          <w:rFonts w:cstheme="minorHAnsi"/>
          <w:lang w:val="en-GB"/>
        </w:rPr>
        <w:t>, Power and Hertzman</w:t>
      </w:r>
      <w:r w:rsidR="003902F2" w:rsidRPr="00E27DAB">
        <w:rPr>
          <w:rFonts w:cstheme="minorHAnsi"/>
          <w:lang w:val="en-GB"/>
        </w:rPr>
        <w:t xml:space="preserve"> (</w:t>
      </w:r>
      <w:r w:rsidR="006F1A45" w:rsidRPr="00E27DAB">
        <w:rPr>
          <w:rFonts w:cstheme="minorHAnsi"/>
          <w:lang w:val="en-GB"/>
        </w:rPr>
        <w:t>2002</w:t>
      </w:r>
      <w:r w:rsidR="003902F2" w:rsidRPr="00E27DAB">
        <w:rPr>
          <w:rFonts w:cstheme="minorHAnsi"/>
          <w:lang w:val="en-GB"/>
        </w:rPr>
        <w:t xml:space="preserve">) found this gap to be the widest at the age of 33, </w:t>
      </w:r>
      <w:r w:rsidR="004C7586" w:rsidRPr="00E27DAB">
        <w:rPr>
          <w:rFonts w:cstheme="minorHAnsi"/>
          <w:lang w:val="en-GB"/>
        </w:rPr>
        <w:t>signalling</w:t>
      </w:r>
      <w:r w:rsidR="003902F2" w:rsidRPr="00E27DAB">
        <w:rPr>
          <w:rFonts w:cstheme="minorHAnsi"/>
          <w:lang w:val="en-GB"/>
        </w:rPr>
        <w:t xml:space="preserve"> the gap continues to grow </w:t>
      </w:r>
      <w:r w:rsidR="00D507F9">
        <w:rPr>
          <w:rFonts w:cstheme="minorHAnsi"/>
          <w:lang w:val="en-GB"/>
        </w:rPr>
        <w:t>after education</w:t>
      </w:r>
      <w:r w:rsidR="003902F2" w:rsidRPr="00E27DAB">
        <w:rPr>
          <w:rFonts w:cstheme="minorHAnsi"/>
          <w:lang w:val="en-GB"/>
        </w:rPr>
        <w:t xml:space="preserve">. Marxists such as Althusser </w:t>
      </w:r>
      <w:r w:rsidR="003446F2" w:rsidRPr="00E27DAB">
        <w:rPr>
          <w:rFonts w:cstheme="minorHAnsi"/>
          <w:lang w:val="en-GB"/>
        </w:rPr>
        <w:t>(</w:t>
      </w:r>
      <w:r w:rsidR="005F00B0" w:rsidRPr="00E27DAB">
        <w:rPr>
          <w:rFonts w:cstheme="minorHAnsi"/>
          <w:lang w:val="en-GB"/>
        </w:rPr>
        <w:t>2014</w:t>
      </w:r>
      <w:r w:rsidR="003446F2" w:rsidRPr="00E27DAB">
        <w:rPr>
          <w:rFonts w:cstheme="minorHAnsi"/>
          <w:lang w:val="en-GB"/>
        </w:rPr>
        <w:t xml:space="preserve">) </w:t>
      </w:r>
      <w:r w:rsidR="003902F2" w:rsidRPr="00E27DAB">
        <w:rPr>
          <w:rFonts w:cstheme="minorHAnsi"/>
          <w:lang w:val="en-GB"/>
        </w:rPr>
        <w:t>believe</w:t>
      </w:r>
      <w:r w:rsidR="004C7586" w:rsidRPr="00E27DAB">
        <w:rPr>
          <w:rFonts w:cstheme="minorHAnsi"/>
          <w:lang w:val="en-GB"/>
        </w:rPr>
        <w:t xml:space="preserve"> </w:t>
      </w:r>
      <w:r w:rsidR="003902F2" w:rsidRPr="00E27DAB">
        <w:rPr>
          <w:rFonts w:cstheme="minorHAnsi"/>
          <w:lang w:val="en-GB"/>
        </w:rPr>
        <w:t>the school is an Ideological State Apparatus</w:t>
      </w:r>
      <w:r w:rsidR="00D8364B" w:rsidRPr="00E27DAB">
        <w:rPr>
          <w:rFonts w:cstheme="minorHAnsi"/>
          <w:lang w:val="en-GB"/>
        </w:rPr>
        <w:t xml:space="preserve"> </w:t>
      </w:r>
      <w:r w:rsidR="004C7586" w:rsidRPr="00E27DAB">
        <w:rPr>
          <w:rFonts w:cstheme="minorHAnsi"/>
          <w:lang w:val="en-GB"/>
        </w:rPr>
        <w:t>dominated by ruling class ideology</w:t>
      </w:r>
      <w:r w:rsidR="00D8364B" w:rsidRPr="00E27DAB">
        <w:rPr>
          <w:rFonts w:cstheme="minorHAnsi"/>
          <w:lang w:val="en-GB"/>
        </w:rPr>
        <w:t xml:space="preserve">. </w:t>
      </w:r>
      <w:r w:rsidR="006C2668" w:rsidRPr="00E27DAB">
        <w:rPr>
          <w:rFonts w:cstheme="minorHAnsi"/>
          <w:lang w:val="en-GB"/>
        </w:rPr>
        <w:t xml:space="preserve">Gramsci </w:t>
      </w:r>
      <w:r w:rsidR="00C160CF" w:rsidRPr="00E27DAB">
        <w:rPr>
          <w:rFonts w:cstheme="minorHAnsi"/>
          <w:lang w:val="en-GB"/>
        </w:rPr>
        <w:t>(</w:t>
      </w:r>
      <w:r w:rsidR="003F767F" w:rsidRPr="00E27DAB">
        <w:rPr>
          <w:rFonts w:cstheme="minorHAnsi"/>
          <w:lang w:val="en-GB"/>
        </w:rPr>
        <w:t>Cox, 1983</w:t>
      </w:r>
      <w:r w:rsidR="00C160CF" w:rsidRPr="00E27DAB">
        <w:rPr>
          <w:rFonts w:cstheme="minorHAnsi"/>
          <w:lang w:val="en-GB"/>
        </w:rPr>
        <w:t>)</w:t>
      </w:r>
      <w:r w:rsidR="0032618B" w:rsidRPr="00E27DAB">
        <w:rPr>
          <w:rFonts w:cstheme="minorHAnsi"/>
          <w:lang w:val="en-GB"/>
        </w:rPr>
        <w:t xml:space="preserve"> </w:t>
      </w:r>
      <w:r w:rsidR="006C2668" w:rsidRPr="00E27DAB">
        <w:rPr>
          <w:rFonts w:cstheme="minorHAnsi"/>
          <w:lang w:val="en-GB"/>
        </w:rPr>
        <w:t>suggests the ruling classes impose hegemony</w:t>
      </w:r>
      <w:r w:rsidR="006D06E7" w:rsidRPr="00E27DAB">
        <w:rPr>
          <w:rFonts w:cstheme="minorHAnsi"/>
          <w:lang w:val="en-GB"/>
        </w:rPr>
        <w:t>; the dominant values of the bo</w:t>
      </w:r>
      <w:r w:rsidR="001E7C55" w:rsidRPr="00E27DAB">
        <w:rPr>
          <w:rFonts w:cstheme="minorHAnsi"/>
          <w:lang w:val="en-GB"/>
        </w:rPr>
        <w:t>urgeoisie</w:t>
      </w:r>
      <w:r w:rsidR="006D06E7" w:rsidRPr="00E27DAB">
        <w:rPr>
          <w:rFonts w:cstheme="minorHAnsi"/>
          <w:lang w:val="en-GB"/>
        </w:rPr>
        <w:t xml:space="preserve"> </w:t>
      </w:r>
      <w:r w:rsidR="006C2668" w:rsidRPr="00E27DAB">
        <w:rPr>
          <w:rFonts w:cstheme="minorHAnsi"/>
          <w:lang w:val="en-GB"/>
        </w:rPr>
        <w:t>are imposed on the proletariat</w:t>
      </w:r>
      <w:r w:rsidR="004C7586" w:rsidRPr="00E27DAB">
        <w:rPr>
          <w:rFonts w:cstheme="minorHAnsi"/>
          <w:lang w:val="en-GB"/>
        </w:rPr>
        <w:t xml:space="preserve">, for instance, wearing uniforms in preparation for the world </w:t>
      </w:r>
      <w:r w:rsidR="004C7586" w:rsidRPr="00E27DAB">
        <w:rPr>
          <w:rFonts w:cstheme="minorHAnsi"/>
          <w:lang w:val="en-GB"/>
        </w:rPr>
        <w:lastRenderedPageBreak/>
        <w:t xml:space="preserve">of work. </w:t>
      </w:r>
      <w:r w:rsidR="0031253D" w:rsidRPr="00E27DAB">
        <w:rPr>
          <w:rFonts w:cstheme="minorHAnsi"/>
          <w:lang w:val="en-GB"/>
        </w:rPr>
        <w:t>Maguire (2006) agree</w:t>
      </w:r>
      <w:r w:rsidR="004C7586" w:rsidRPr="00E27DAB">
        <w:rPr>
          <w:rFonts w:cstheme="minorHAnsi"/>
          <w:lang w:val="en-GB"/>
        </w:rPr>
        <w:t>s,</w:t>
      </w:r>
      <w:r w:rsidR="0031253D" w:rsidRPr="00E27DAB">
        <w:rPr>
          <w:rFonts w:cstheme="minorHAnsi"/>
          <w:lang w:val="en-GB"/>
        </w:rPr>
        <w:t xml:space="preserve"> </w:t>
      </w:r>
      <w:r w:rsidR="00FA0984" w:rsidRPr="00E27DAB">
        <w:rPr>
          <w:rFonts w:cstheme="minorHAnsi"/>
          <w:lang w:val="en-GB"/>
        </w:rPr>
        <w:t>stating that education is a classed phenomenon</w:t>
      </w:r>
      <w:r w:rsidR="004C7586" w:rsidRPr="00E27DAB">
        <w:rPr>
          <w:rFonts w:cstheme="minorHAnsi"/>
          <w:lang w:val="en-GB"/>
        </w:rPr>
        <w:t xml:space="preserve"> that benefits the ruling class</w:t>
      </w:r>
      <w:r w:rsidR="00706928">
        <w:rPr>
          <w:rFonts w:cstheme="minorHAnsi"/>
          <w:lang w:val="en-GB"/>
        </w:rPr>
        <w:t xml:space="preserve">, shown by </w:t>
      </w:r>
      <w:r w:rsidR="00FA0984" w:rsidRPr="00E27DAB">
        <w:rPr>
          <w:rFonts w:cstheme="minorHAnsi"/>
          <w:lang w:val="en-GB"/>
        </w:rPr>
        <w:t>Bernstein’s (</w:t>
      </w:r>
      <w:r w:rsidR="004366C1" w:rsidRPr="00E27DAB">
        <w:rPr>
          <w:rFonts w:cstheme="minorHAnsi"/>
          <w:lang w:val="en-GB"/>
        </w:rPr>
        <w:t>2003</w:t>
      </w:r>
      <w:r w:rsidR="00FA0984" w:rsidRPr="00E27DAB">
        <w:rPr>
          <w:rFonts w:cstheme="minorHAnsi"/>
          <w:lang w:val="en-GB"/>
        </w:rPr>
        <w:t>) linguistic deprivation</w:t>
      </w:r>
      <w:r w:rsidR="004C7586" w:rsidRPr="00E27DAB">
        <w:rPr>
          <w:rFonts w:cstheme="minorHAnsi"/>
          <w:lang w:val="en-GB"/>
        </w:rPr>
        <w:t xml:space="preserve"> study</w:t>
      </w:r>
      <w:r w:rsidR="00706928">
        <w:rPr>
          <w:rFonts w:cstheme="minorHAnsi"/>
          <w:lang w:val="en-GB"/>
        </w:rPr>
        <w:t xml:space="preserve"> which asserts different codes of language used by separate classes impose </w:t>
      </w:r>
      <w:r w:rsidR="001378C3" w:rsidRPr="00E27DAB">
        <w:rPr>
          <w:rFonts w:cstheme="minorHAnsi"/>
          <w:lang w:val="en-GB"/>
        </w:rPr>
        <w:t xml:space="preserve">a </w:t>
      </w:r>
      <w:r w:rsidR="00FA0984" w:rsidRPr="00E27DAB">
        <w:rPr>
          <w:rFonts w:cstheme="minorHAnsi"/>
          <w:lang w:val="en-GB"/>
        </w:rPr>
        <w:t>hidden curriculum</w:t>
      </w:r>
      <w:r w:rsidR="00706928">
        <w:rPr>
          <w:rFonts w:cstheme="minorHAnsi"/>
          <w:lang w:val="en-GB"/>
        </w:rPr>
        <w:t>,</w:t>
      </w:r>
      <w:r w:rsidR="00FA0984" w:rsidRPr="00E27DAB">
        <w:rPr>
          <w:rFonts w:cstheme="minorHAnsi"/>
          <w:lang w:val="en-GB"/>
        </w:rPr>
        <w:t xml:space="preserve"> creat</w:t>
      </w:r>
      <w:r w:rsidR="00706928">
        <w:rPr>
          <w:rFonts w:cstheme="minorHAnsi"/>
          <w:lang w:val="en-GB"/>
        </w:rPr>
        <w:t>ing</w:t>
      </w:r>
      <w:r w:rsidR="00FA0984" w:rsidRPr="00E27DAB">
        <w:rPr>
          <w:rFonts w:cstheme="minorHAnsi"/>
          <w:lang w:val="en-GB"/>
        </w:rPr>
        <w:t xml:space="preserve"> social reproduction</w:t>
      </w:r>
      <w:r w:rsidR="00706928">
        <w:rPr>
          <w:rFonts w:cstheme="minorHAnsi"/>
          <w:lang w:val="en-GB"/>
        </w:rPr>
        <w:t xml:space="preserve"> and</w:t>
      </w:r>
      <w:r w:rsidR="006D06E7" w:rsidRPr="00E27DAB">
        <w:rPr>
          <w:rFonts w:cstheme="minorHAnsi"/>
          <w:lang w:val="en-GB"/>
        </w:rPr>
        <w:t xml:space="preserve"> disadvantaging children in poverty. </w:t>
      </w:r>
      <w:r w:rsidR="00A5457F" w:rsidRPr="00E27DAB">
        <w:rPr>
          <w:rFonts w:cstheme="minorHAnsi"/>
          <w:lang w:val="en-GB"/>
        </w:rPr>
        <w:t xml:space="preserve">While </w:t>
      </w:r>
      <w:r w:rsidR="009D77BC" w:rsidRPr="00E27DAB">
        <w:rPr>
          <w:rFonts w:cstheme="minorHAnsi"/>
          <w:lang w:val="en-GB"/>
        </w:rPr>
        <w:t>Fr</w:t>
      </w:r>
      <w:r w:rsidR="006D06E7" w:rsidRPr="00E27DAB">
        <w:rPr>
          <w:rFonts w:cstheme="minorHAnsi"/>
          <w:lang w:val="en-GB"/>
        </w:rPr>
        <w:t>ei</w:t>
      </w:r>
      <w:r w:rsidR="009D77BC" w:rsidRPr="00E27DAB">
        <w:rPr>
          <w:rFonts w:cstheme="minorHAnsi"/>
          <w:lang w:val="en-GB"/>
        </w:rPr>
        <w:t xml:space="preserve">re (1970) suggests </w:t>
      </w:r>
      <w:r w:rsidR="00D95057" w:rsidRPr="00E27DAB">
        <w:rPr>
          <w:rFonts w:cstheme="minorHAnsi"/>
          <w:lang w:val="en-GB"/>
        </w:rPr>
        <w:t xml:space="preserve">education is a </w:t>
      </w:r>
      <w:r w:rsidR="009D77BC" w:rsidRPr="00E27DAB">
        <w:rPr>
          <w:rFonts w:cstheme="minorHAnsi"/>
          <w:lang w:val="en-GB"/>
        </w:rPr>
        <w:t>tool for the emancipation of the oppressed</w:t>
      </w:r>
      <w:r w:rsidR="00D95057" w:rsidRPr="00E27DAB">
        <w:rPr>
          <w:rFonts w:cstheme="minorHAnsi"/>
          <w:lang w:val="en-GB"/>
        </w:rPr>
        <w:t>,</w:t>
      </w:r>
      <w:r w:rsidR="00A5457F" w:rsidRPr="00E27DAB">
        <w:rPr>
          <w:rFonts w:cstheme="minorHAnsi"/>
          <w:lang w:val="en-GB"/>
        </w:rPr>
        <w:t xml:space="preserve"> the system can be seen as engaging lower classes into Engels theory of ‘false consciousness’ (</w:t>
      </w:r>
      <w:r w:rsidR="00E92464" w:rsidRPr="00E27DAB">
        <w:rPr>
          <w:rFonts w:cstheme="minorHAnsi"/>
        </w:rPr>
        <w:t>Eyerman,1981</w:t>
      </w:r>
      <w:r w:rsidR="00EC678E" w:rsidRPr="00E27DAB">
        <w:rPr>
          <w:rFonts w:cstheme="minorHAnsi"/>
          <w:lang w:val="en-GB"/>
        </w:rPr>
        <w:t>)</w:t>
      </w:r>
      <w:r w:rsidR="00A5457F" w:rsidRPr="00E27DAB">
        <w:rPr>
          <w:rFonts w:cstheme="minorHAnsi"/>
          <w:lang w:val="en-GB"/>
        </w:rPr>
        <w:t xml:space="preserve"> whereby they become content with their social positions.</w:t>
      </w:r>
      <w:r w:rsidR="00944A93" w:rsidRPr="00E27DAB">
        <w:rPr>
          <w:rFonts w:cstheme="minorHAnsi"/>
          <w:lang w:val="en-GB"/>
        </w:rPr>
        <w:t xml:space="preserve"> </w:t>
      </w:r>
      <w:r w:rsidR="004920C6" w:rsidRPr="00E27DAB">
        <w:rPr>
          <w:rFonts w:cstheme="minorHAnsi"/>
          <w:lang w:val="en-GB"/>
        </w:rPr>
        <w:t>Smith and Noble (1995) suggest that outcomes and opportunities are biased against the poorer members of society</w:t>
      </w:r>
      <w:r w:rsidR="00841C90" w:rsidRPr="00E27DAB">
        <w:rPr>
          <w:rFonts w:cstheme="minorHAnsi"/>
          <w:lang w:val="en-GB"/>
        </w:rPr>
        <w:t xml:space="preserve">, however, </w:t>
      </w:r>
      <w:r w:rsidR="00DA139C" w:rsidRPr="00E27DAB">
        <w:rPr>
          <w:rFonts w:cstheme="minorHAnsi"/>
          <w:lang w:val="en-GB"/>
        </w:rPr>
        <w:t xml:space="preserve">Parsons </w:t>
      </w:r>
      <w:r w:rsidR="00EB5DCC" w:rsidRPr="00E27DAB">
        <w:rPr>
          <w:rFonts w:cstheme="minorHAnsi"/>
          <w:lang w:val="en-GB"/>
        </w:rPr>
        <w:t xml:space="preserve">and Halsey </w:t>
      </w:r>
      <w:r w:rsidR="00D6161A" w:rsidRPr="00E27DAB">
        <w:rPr>
          <w:rFonts w:cstheme="minorHAnsi"/>
          <w:lang w:val="en-GB"/>
        </w:rPr>
        <w:t>(</w:t>
      </w:r>
      <w:r w:rsidR="00EB5DCC" w:rsidRPr="00E27DAB">
        <w:rPr>
          <w:rFonts w:cstheme="minorHAnsi"/>
          <w:lang w:val="en-GB"/>
        </w:rPr>
        <w:t>1959</w:t>
      </w:r>
      <w:r w:rsidR="00D6161A" w:rsidRPr="00E27DAB">
        <w:rPr>
          <w:rFonts w:cstheme="minorHAnsi"/>
          <w:lang w:val="en-GB"/>
        </w:rPr>
        <w:t xml:space="preserve">) </w:t>
      </w:r>
      <w:r w:rsidR="00DA139C" w:rsidRPr="00E27DAB">
        <w:rPr>
          <w:rFonts w:cstheme="minorHAnsi"/>
          <w:lang w:val="en-GB"/>
        </w:rPr>
        <w:t xml:space="preserve">would suggest </w:t>
      </w:r>
      <w:r w:rsidR="003A7A69" w:rsidRPr="00E27DAB">
        <w:rPr>
          <w:rFonts w:cstheme="minorHAnsi"/>
          <w:lang w:val="en-GB"/>
        </w:rPr>
        <w:t>that meritocracy should be the basis of education</w:t>
      </w:r>
      <w:r w:rsidR="00AE1ED2" w:rsidRPr="00E27DAB">
        <w:rPr>
          <w:rFonts w:cstheme="minorHAnsi"/>
          <w:lang w:val="en-GB"/>
        </w:rPr>
        <w:t>,</w:t>
      </w:r>
      <w:r w:rsidR="003A7A69" w:rsidRPr="00E27DAB">
        <w:rPr>
          <w:rFonts w:cstheme="minorHAnsi"/>
          <w:lang w:val="en-GB"/>
        </w:rPr>
        <w:t xml:space="preserve"> allowing more able students </w:t>
      </w:r>
      <w:r w:rsidR="00D6161A" w:rsidRPr="00E27DAB">
        <w:rPr>
          <w:rFonts w:cstheme="minorHAnsi"/>
          <w:lang w:val="en-GB"/>
        </w:rPr>
        <w:t xml:space="preserve">to get better jobs. </w:t>
      </w:r>
    </w:p>
    <w:p w14:paraId="7E5282E1" w14:textId="672F96D7" w:rsidR="00913F2B" w:rsidRPr="00E27DAB" w:rsidRDefault="00913F2B" w:rsidP="00E27DAB">
      <w:pPr>
        <w:spacing w:line="480" w:lineRule="auto"/>
        <w:rPr>
          <w:rFonts w:cstheme="minorHAnsi"/>
          <w:lang w:val="en-GB"/>
        </w:rPr>
      </w:pPr>
    </w:p>
    <w:p w14:paraId="66553B04" w14:textId="52D9567F" w:rsidR="00992ACB" w:rsidRPr="00E27DAB" w:rsidRDefault="00992ACB" w:rsidP="00E27DAB">
      <w:pPr>
        <w:spacing w:line="480" w:lineRule="auto"/>
        <w:rPr>
          <w:rFonts w:cstheme="minorHAnsi"/>
          <w:u w:val="single"/>
          <w:lang w:val="en-GB"/>
        </w:rPr>
      </w:pPr>
      <w:r w:rsidRPr="00E27DAB">
        <w:rPr>
          <w:rFonts w:cstheme="minorHAnsi"/>
          <w:noProof/>
          <w:lang w:val="en-GB" w:eastAsia="en-GB"/>
        </w:rPr>
        <w:drawing>
          <wp:inline distT="0" distB="0" distL="0" distR="0" wp14:anchorId="7D0BEF53" wp14:editId="4DE94707">
            <wp:extent cx="4572000" cy="2743200"/>
            <wp:effectExtent l="0" t="0" r="0" b="0"/>
            <wp:docPr id="8" name="Chart 8">
              <a:extLst xmlns:a="http://schemas.openxmlformats.org/drawingml/2006/main">
                <a:ext uri="{FF2B5EF4-FFF2-40B4-BE49-F238E27FC236}">
                  <a16:creationId xmlns:a16="http://schemas.microsoft.com/office/drawing/2014/main" id="{8C5A750D-958D-4C9D-A125-CECDA7443A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E664BC" w:rsidRPr="00E27DAB">
        <w:rPr>
          <w:rFonts w:cstheme="minorHAnsi"/>
          <w:u w:val="single"/>
          <w:lang w:val="en-GB"/>
        </w:rPr>
        <w:t>Fig 3.</w:t>
      </w:r>
    </w:p>
    <w:p w14:paraId="76D82F1C" w14:textId="707B7FA9" w:rsidR="00E664BC" w:rsidRPr="00E27DAB" w:rsidRDefault="00E664BC" w:rsidP="00E27DAB">
      <w:pPr>
        <w:spacing w:line="480" w:lineRule="auto"/>
        <w:rPr>
          <w:rFonts w:cstheme="minorHAnsi"/>
          <w:lang w:val="en-GB"/>
        </w:rPr>
      </w:pPr>
      <w:r w:rsidRPr="00E27DAB">
        <w:rPr>
          <w:rFonts w:cstheme="minorHAnsi"/>
          <w:lang w:val="en-GB"/>
        </w:rPr>
        <w:t>Fig 3. Suggests 62.5% of the response disagree with the assertion there is a link between student attainment and deprivation</w:t>
      </w:r>
      <w:r w:rsidR="006E39DB" w:rsidRPr="00E27DAB">
        <w:rPr>
          <w:rFonts w:cstheme="minorHAnsi"/>
          <w:lang w:val="en-GB"/>
        </w:rPr>
        <w:t>.</w:t>
      </w:r>
    </w:p>
    <w:p w14:paraId="01E81C9E" w14:textId="45987306" w:rsidR="00D04A14" w:rsidRPr="00E27DAB" w:rsidRDefault="000135D1" w:rsidP="00E27DAB">
      <w:pPr>
        <w:spacing w:line="480" w:lineRule="auto"/>
        <w:rPr>
          <w:rFonts w:cstheme="minorHAnsi"/>
        </w:rPr>
      </w:pPr>
      <w:r w:rsidRPr="00E27DAB">
        <w:rPr>
          <w:rFonts w:cstheme="minorHAnsi"/>
          <w:lang w:val="en-GB"/>
        </w:rPr>
        <w:t xml:space="preserve">There is an argument that poverty itself does not cause lower attainment, but </w:t>
      </w:r>
      <w:r w:rsidR="00E601A2" w:rsidRPr="00E27DAB">
        <w:rPr>
          <w:rFonts w:cstheme="minorHAnsi"/>
          <w:lang w:val="en-GB"/>
        </w:rPr>
        <w:t xml:space="preserve">in </w:t>
      </w:r>
      <w:r w:rsidRPr="00E27DAB">
        <w:rPr>
          <w:rFonts w:cstheme="minorHAnsi"/>
          <w:lang w:val="en-GB"/>
        </w:rPr>
        <w:t xml:space="preserve">fact the cultural and material factors surrounding poverty hinder educational progress. Often, wealthier children learn in a more nurturing, stress-free environment than those who come from a low economic background. </w:t>
      </w:r>
      <w:r w:rsidRPr="00E27DAB">
        <w:rPr>
          <w:rFonts w:cstheme="minorHAnsi"/>
          <w:lang w:val="en-GB"/>
        </w:rPr>
        <w:lastRenderedPageBreak/>
        <w:t>Dearden, Sibieta and Sylva (2011) found a difference in cognitive ability between classes at the age of 3. This could be affected by a number of factors including parental ability and housing conditions</w:t>
      </w:r>
      <w:r w:rsidR="004F747A">
        <w:rPr>
          <w:rFonts w:cstheme="minorHAnsi"/>
          <w:lang w:val="en-GB"/>
        </w:rPr>
        <w:t>,</w:t>
      </w:r>
      <w:r w:rsidRPr="00E27DAB">
        <w:rPr>
          <w:rFonts w:cstheme="minorHAnsi"/>
          <w:lang w:val="en-GB"/>
        </w:rPr>
        <w:t xml:space="preserve"> </w:t>
      </w:r>
      <w:r w:rsidR="004F747A">
        <w:rPr>
          <w:rFonts w:cstheme="minorHAnsi"/>
          <w:lang w:val="en-GB"/>
        </w:rPr>
        <w:t>t</w:t>
      </w:r>
      <w:r w:rsidRPr="00E27DAB">
        <w:rPr>
          <w:rFonts w:cstheme="minorHAnsi"/>
          <w:lang w:val="en-GB"/>
        </w:rPr>
        <w:t>herefore</w:t>
      </w:r>
      <w:r w:rsidR="005C7887">
        <w:rPr>
          <w:rFonts w:cstheme="minorHAnsi"/>
          <w:lang w:val="en-GB"/>
        </w:rPr>
        <w:t xml:space="preserve"> showing</w:t>
      </w:r>
      <w:r w:rsidRPr="00E27DAB">
        <w:rPr>
          <w:rFonts w:cstheme="minorHAnsi"/>
          <w:lang w:val="en-GB"/>
        </w:rPr>
        <w:t xml:space="preserve"> the importance of predetermined factors</w:t>
      </w:r>
      <w:r w:rsidR="005C7887">
        <w:rPr>
          <w:rFonts w:cstheme="minorHAnsi"/>
          <w:lang w:val="en-GB"/>
        </w:rPr>
        <w:t xml:space="preserve"> and</w:t>
      </w:r>
      <w:r w:rsidRPr="00E27DAB">
        <w:rPr>
          <w:rFonts w:cstheme="minorHAnsi"/>
          <w:lang w:val="en-GB"/>
        </w:rPr>
        <w:t xml:space="preserve"> showing prior knowledge has a significant effect on learning.</w:t>
      </w:r>
      <w:r w:rsidR="00C46AF7" w:rsidRPr="00E27DAB">
        <w:rPr>
          <w:rFonts w:cstheme="minorHAnsi"/>
          <w:lang w:val="en-GB"/>
        </w:rPr>
        <w:t xml:space="preserve"> A debate exists between the effects of nature versus nurture on educational development. Research has shown that 55</w:t>
      </w:r>
      <w:r w:rsidR="00B96820">
        <w:rPr>
          <w:rFonts w:cstheme="minorHAnsi"/>
          <w:lang w:val="en-GB"/>
        </w:rPr>
        <w:t>%</w:t>
      </w:r>
      <w:r w:rsidR="00C46AF7" w:rsidRPr="00E27DAB">
        <w:rPr>
          <w:rFonts w:cstheme="minorHAnsi"/>
          <w:lang w:val="en-GB"/>
        </w:rPr>
        <w:t xml:space="preserve"> of intelligence is genetically determined </w:t>
      </w:r>
      <w:r w:rsidR="00AA391D" w:rsidRPr="00E27DAB">
        <w:rPr>
          <w:rFonts w:cstheme="minorHAnsi"/>
        </w:rPr>
        <w:t>(123test.com2019)</w:t>
      </w:r>
      <w:r w:rsidR="00CD2E13" w:rsidRPr="00E27DAB">
        <w:rPr>
          <w:rFonts w:cstheme="minorHAnsi"/>
        </w:rPr>
        <w:t xml:space="preserve">. </w:t>
      </w:r>
      <w:r w:rsidR="006C5EFA" w:rsidRPr="00E27DAB">
        <w:rPr>
          <w:rFonts w:cstheme="minorHAnsi"/>
        </w:rPr>
        <w:t>Hernstein and Murray</w:t>
      </w:r>
      <w:r w:rsidR="00A06764" w:rsidRPr="00E27DAB">
        <w:rPr>
          <w:rFonts w:cstheme="minorHAnsi"/>
        </w:rPr>
        <w:t>’s</w:t>
      </w:r>
      <w:r w:rsidR="006C5EFA" w:rsidRPr="00E27DAB">
        <w:rPr>
          <w:rFonts w:cstheme="minorHAnsi"/>
        </w:rPr>
        <w:t xml:space="preserve"> </w:t>
      </w:r>
      <w:r w:rsidR="00A06764" w:rsidRPr="00E27DAB">
        <w:rPr>
          <w:rFonts w:cstheme="minorHAnsi"/>
        </w:rPr>
        <w:t xml:space="preserve">‘Bell Curve’ </w:t>
      </w:r>
      <w:r w:rsidR="00E15F38" w:rsidRPr="00E27DAB">
        <w:rPr>
          <w:rFonts w:cstheme="minorHAnsi"/>
        </w:rPr>
        <w:t xml:space="preserve">(2010) </w:t>
      </w:r>
      <w:r w:rsidR="00A06764" w:rsidRPr="00E27DAB">
        <w:rPr>
          <w:rFonts w:cstheme="minorHAnsi"/>
        </w:rPr>
        <w:t>asserts the view that intelligence is 60%-40% genetically heritable</w:t>
      </w:r>
      <w:r w:rsidR="00AD4B23" w:rsidRPr="00E27DAB">
        <w:rPr>
          <w:rFonts w:cstheme="minorHAnsi"/>
        </w:rPr>
        <w:t xml:space="preserve">. Contrastingly, </w:t>
      </w:r>
      <w:r w:rsidR="00A11FF7" w:rsidRPr="00E27DAB">
        <w:rPr>
          <w:rFonts w:cstheme="minorHAnsi"/>
        </w:rPr>
        <w:t>Geller, Bernhardt and Holtzman</w:t>
      </w:r>
      <w:r w:rsidR="004B040F" w:rsidRPr="00E27DAB">
        <w:rPr>
          <w:rFonts w:cstheme="minorHAnsi"/>
        </w:rPr>
        <w:t xml:space="preserve"> (</w:t>
      </w:r>
      <w:r w:rsidR="00A11FF7" w:rsidRPr="00E27DAB">
        <w:rPr>
          <w:rFonts w:cstheme="minorHAnsi"/>
        </w:rPr>
        <w:t>2002</w:t>
      </w:r>
      <w:r w:rsidR="004B040F" w:rsidRPr="00E27DAB">
        <w:rPr>
          <w:rFonts w:cstheme="minorHAnsi"/>
        </w:rPr>
        <w:t>)</w:t>
      </w:r>
      <w:r w:rsidR="00747C05">
        <w:rPr>
          <w:rFonts w:cstheme="minorHAnsi"/>
        </w:rPr>
        <w:t xml:space="preserve"> suggest</w:t>
      </w:r>
      <w:r w:rsidR="00A06764" w:rsidRPr="00E27DAB">
        <w:rPr>
          <w:rFonts w:cstheme="minorHAnsi"/>
        </w:rPr>
        <w:t xml:space="preserve"> environmental factors and genes</w:t>
      </w:r>
      <w:r w:rsidR="00AD4B23" w:rsidRPr="00E27DAB">
        <w:rPr>
          <w:rFonts w:cstheme="minorHAnsi"/>
        </w:rPr>
        <w:t xml:space="preserve"> must be considered.</w:t>
      </w:r>
      <w:r w:rsidR="006C5EFA" w:rsidRPr="00E27DAB">
        <w:rPr>
          <w:rFonts w:cstheme="minorHAnsi"/>
        </w:rPr>
        <w:t xml:space="preserve"> </w:t>
      </w:r>
      <w:r w:rsidR="00A06764" w:rsidRPr="00E27DAB">
        <w:rPr>
          <w:rFonts w:cstheme="minorHAnsi"/>
        </w:rPr>
        <w:t xml:space="preserve">The Nature </w:t>
      </w:r>
      <w:r w:rsidR="00D70CAD" w:rsidRPr="00E27DAB">
        <w:rPr>
          <w:rFonts w:cstheme="minorHAnsi"/>
        </w:rPr>
        <w:t xml:space="preserve">perspective of the argument </w:t>
      </w:r>
      <w:r w:rsidR="00A06764" w:rsidRPr="00E27DAB">
        <w:rPr>
          <w:rFonts w:cstheme="minorHAnsi"/>
        </w:rPr>
        <w:t>suggests that intelligence is solely based on genetic structure</w:t>
      </w:r>
      <w:r w:rsidR="00164662">
        <w:rPr>
          <w:rFonts w:cstheme="minorHAnsi"/>
        </w:rPr>
        <w:t>, which</w:t>
      </w:r>
      <w:r w:rsidR="00747C05">
        <w:rPr>
          <w:rFonts w:cstheme="minorHAnsi"/>
        </w:rPr>
        <w:t xml:space="preserve"> </w:t>
      </w:r>
      <w:r w:rsidR="00164662">
        <w:rPr>
          <w:rFonts w:cstheme="minorHAnsi"/>
        </w:rPr>
        <w:t>c</w:t>
      </w:r>
      <w:r w:rsidR="00D70CAD" w:rsidRPr="00E27DAB">
        <w:rPr>
          <w:rFonts w:cstheme="minorHAnsi"/>
        </w:rPr>
        <w:t>r</w:t>
      </w:r>
      <w:r w:rsidR="00A06764" w:rsidRPr="00E27DAB">
        <w:rPr>
          <w:rFonts w:cstheme="minorHAnsi"/>
        </w:rPr>
        <w:t>itics argue ignore</w:t>
      </w:r>
      <w:r w:rsidR="002A6E3A" w:rsidRPr="00E27DAB">
        <w:rPr>
          <w:rFonts w:cstheme="minorHAnsi"/>
        </w:rPr>
        <w:t>s</w:t>
      </w:r>
      <w:r w:rsidR="00A06764" w:rsidRPr="00E27DAB">
        <w:rPr>
          <w:rFonts w:cstheme="minorHAnsi"/>
        </w:rPr>
        <w:t xml:space="preserve"> the material and environmental factors </w:t>
      </w:r>
      <w:r w:rsidR="002A6E3A" w:rsidRPr="00E27DAB">
        <w:rPr>
          <w:rFonts w:cstheme="minorHAnsi"/>
        </w:rPr>
        <w:t xml:space="preserve">at play. </w:t>
      </w:r>
      <w:r w:rsidR="00A06764" w:rsidRPr="00E27DAB">
        <w:rPr>
          <w:rFonts w:cstheme="minorHAnsi"/>
        </w:rPr>
        <w:t>The Nurture argument suggests that children gain intelligence from fact</w:t>
      </w:r>
      <w:r w:rsidR="002A6E3A" w:rsidRPr="00E27DAB">
        <w:rPr>
          <w:rFonts w:cstheme="minorHAnsi"/>
        </w:rPr>
        <w:t>o</w:t>
      </w:r>
      <w:r w:rsidR="00A06764" w:rsidRPr="00E27DAB">
        <w:rPr>
          <w:rFonts w:cstheme="minorHAnsi"/>
        </w:rPr>
        <w:t xml:space="preserve">rs </w:t>
      </w:r>
      <w:r w:rsidR="002A6E3A" w:rsidRPr="00E27DAB">
        <w:rPr>
          <w:rFonts w:cstheme="minorHAnsi"/>
        </w:rPr>
        <w:t xml:space="preserve">like </w:t>
      </w:r>
      <w:r w:rsidR="00A06764" w:rsidRPr="00E27DAB">
        <w:rPr>
          <w:rFonts w:cstheme="minorHAnsi"/>
        </w:rPr>
        <w:t xml:space="preserve">upbringing and education, rather than </w:t>
      </w:r>
      <w:r w:rsidR="00EF10A2">
        <w:rPr>
          <w:rFonts w:cstheme="minorHAnsi"/>
        </w:rPr>
        <w:t>genetics</w:t>
      </w:r>
      <w:r w:rsidR="002A6E3A" w:rsidRPr="00E27DAB">
        <w:rPr>
          <w:rFonts w:cstheme="minorHAnsi"/>
        </w:rPr>
        <w:t>.</w:t>
      </w:r>
      <w:r w:rsidR="00B77DF6" w:rsidRPr="00E27DAB">
        <w:rPr>
          <w:rFonts w:cstheme="minorHAnsi"/>
        </w:rPr>
        <w:t xml:space="preserve"> </w:t>
      </w:r>
      <w:r w:rsidR="00A06764" w:rsidRPr="00E27DAB">
        <w:rPr>
          <w:rFonts w:cstheme="minorHAnsi"/>
        </w:rPr>
        <w:t xml:space="preserve">Raffo et al (2007) </w:t>
      </w:r>
      <w:r w:rsidR="002A6E3A" w:rsidRPr="00E27DAB">
        <w:rPr>
          <w:rFonts w:cstheme="minorHAnsi"/>
        </w:rPr>
        <w:t>says that education allows for positive experiences and resources</w:t>
      </w:r>
      <w:r w:rsidR="002D4E65">
        <w:rPr>
          <w:rFonts w:cstheme="minorHAnsi"/>
        </w:rPr>
        <w:t xml:space="preserve"> and </w:t>
      </w:r>
      <w:r w:rsidR="002A6E3A" w:rsidRPr="00E27DAB">
        <w:rPr>
          <w:rFonts w:cstheme="minorHAnsi"/>
        </w:rPr>
        <w:t xml:space="preserve">so </w:t>
      </w:r>
      <w:r w:rsidR="002D4E65">
        <w:rPr>
          <w:rFonts w:cstheme="minorHAnsi"/>
        </w:rPr>
        <w:t>can he</w:t>
      </w:r>
      <w:r w:rsidR="00A15B06">
        <w:rPr>
          <w:rFonts w:cstheme="minorHAnsi"/>
        </w:rPr>
        <w:t>lp</w:t>
      </w:r>
      <w:r w:rsidR="002A6E3A" w:rsidRPr="00E27DAB">
        <w:rPr>
          <w:rFonts w:cstheme="minorHAnsi"/>
        </w:rPr>
        <w:t xml:space="preserve"> disadvantaged students, however, children </w:t>
      </w:r>
      <w:r w:rsidR="002E7441">
        <w:rPr>
          <w:rFonts w:cstheme="minorHAnsi"/>
        </w:rPr>
        <w:t>don’t spend</w:t>
      </w:r>
      <w:r w:rsidR="002A6E3A" w:rsidRPr="00E27DAB">
        <w:rPr>
          <w:rFonts w:cstheme="minorHAnsi"/>
        </w:rPr>
        <w:t xml:space="preserve"> enough time in education to take advantage of these resources. </w:t>
      </w:r>
      <w:r w:rsidR="00B03811" w:rsidRPr="00E27DAB">
        <w:rPr>
          <w:rFonts w:cstheme="minorHAnsi"/>
        </w:rPr>
        <w:t>Chomsky (1965) advocate</w:t>
      </w:r>
      <w:r w:rsidR="002A6E3A" w:rsidRPr="00E27DAB">
        <w:rPr>
          <w:rFonts w:cstheme="minorHAnsi"/>
        </w:rPr>
        <w:t>s</w:t>
      </w:r>
      <w:r w:rsidR="00B03811" w:rsidRPr="00E27DAB">
        <w:rPr>
          <w:rFonts w:cstheme="minorHAnsi"/>
        </w:rPr>
        <w:t xml:space="preserve"> the nature argument</w:t>
      </w:r>
      <w:r w:rsidR="002A6E3A" w:rsidRPr="00E27DAB">
        <w:rPr>
          <w:rFonts w:cstheme="minorHAnsi"/>
        </w:rPr>
        <w:t xml:space="preserve">, </w:t>
      </w:r>
      <w:r w:rsidR="00B03811" w:rsidRPr="00E27DAB">
        <w:rPr>
          <w:rFonts w:cstheme="minorHAnsi"/>
        </w:rPr>
        <w:t>suggesting “language is gained through the use of an innate language acquisition device” (Mcleod, 2019</w:t>
      </w:r>
      <w:r w:rsidR="00D90809" w:rsidRPr="00E27DAB">
        <w:rPr>
          <w:rFonts w:cstheme="minorHAnsi"/>
        </w:rPr>
        <w:t>, p1</w:t>
      </w:r>
      <w:r w:rsidR="002A55A5" w:rsidRPr="00E27DAB">
        <w:rPr>
          <w:rFonts w:cstheme="minorHAnsi"/>
        </w:rPr>
        <w:t xml:space="preserve">), suggesting </w:t>
      </w:r>
      <w:r w:rsidR="00B03811" w:rsidRPr="00E27DAB">
        <w:rPr>
          <w:rFonts w:cstheme="minorHAnsi"/>
        </w:rPr>
        <w:t>intelligence is heritable</w:t>
      </w:r>
      <w:r w:rsidR="002A55A5" w:rsidRPr="00E27DAB">
        <w:rPr>
          <w:rFonts w:cstheme="minorHAnsi"/>
        </w:rPr>
        <w:t>.</w:t>
      </w:r>
      <w:r w:rsidR="00D84CFC" w:rsidRPr="00E27DAB">
        <w:rPr>
          <w:rFonts w:cstheme="minorHAnsi"/>
        </w:rPr>
        <w:t xml:space="preserve"> </w:t>
      </w:r>
      <w:r w:rsidR="002A55A5" w:rsidRPr="00E27DAB">
        <w:rPr>
          <w:rFonts w:cstheme="minorHAnsi"/>
        </w:rPr>
        <w:t>T</w:t>
      </w:r>
      <w:r w:rsidR="00D84CFC" w:rsidRPr="00E27DAB">
        <w:rPr>
          <w:rFonts w:cstheme="minorHAnsi"/>
        </w:rPr>
        <w:t xml:space="preserve">his is further agreed by UCLA scientists </w:t>
      </w:r>
      <w:r w:rsidR="009B1CC4" w:rsidRPr="00E27DAB">
        <w:rPr>
          <w:rFonts w:cstheme="minorHAnsi"/>
        </w:rPr>
        <w:t>(ScienceDaily, 2019)</w:t>
      </w:r>
      <w:r w:rsidR="002A55A5" w:rsidRPr="00E27DAB">
        <w:rPr>
          <w:rFonts w:cstheme="minorHAnsi"/>
        </w:rPr>
        <w:t>.</w:t>
      </w:r>
      <w:r w:rsidR="00B03811" w:rsidRPr="00E27DAB">
        <w:rPr>
          <w:rFonts w:cstheme="minorHAnsi"/>
        </w:rPr>
        <w:t xml:space="preserve"> Contrastingly</w:t>
      </w:r>
      <w:r w:rsidR="002A55A5" w:rsidRPr="00E27DAB">
        <w:rPr>
          <w:rFonts w:cstheme="minorHAnsi"/>
        </w:rPr>
        <w:t>,</w:t>
      </w:r>
      <w:r w:rsidR="00B03811" w:rsidRPr="00E27DAB">
        <w:rPr>
          <w:rFonts w:cstheme="minorHAnsi"/>
        </w:rPr>
        <w:t xml:space="preserve"> Bandura’s (1977) Social learning theory suggests humans learn by imitation and observation from their environment. </w:t>
      </w:r>
      <w:r w:rsidR="00D84CFC" w:rsidRPr="00E27DAB">
        <w:rPr>
          <w:rFonts w:cstheme="minorHAnsi"/>
        </w:rPr>
        <w:t xml:space="preserve">Dr Rick Herber’s </w:t>
      </w:r>
      <w:r w:rsidR="00372957" w:rsidRPr="00E27DAB">
        <w:rPr>
          <w:rFonts w:cstheme="minorHAnsi"/>
        </w:rPr>
        <w:t>Milwaukee</w:t>
      </w:r>
      <w:r w:rsidR="00D84CFC" w:rsidRPr="00E27DAB">
        <w:rPr>
          <w:rFonts w:cstheme="minorHAnsi"/>
        </w:rPr>
        <w:t xml:space="preserve"> study </w:t>
      </w:r>
      <w:r w:rsidR="00CF363A" w:rsidRPr="00E27DAB">
        <w:rPr>
          <w:rFonts w:cstheme="minorHAnsi"/>
        </w:rPr>
        <w:t>(</w:t>
      </w:r>
      <w:r w:rsidR="00BB3CF7" w:rsidRPr="00E27DAB">
        <w:rPr>
          <w:rFonts w:cstheme="minorHAnsi"/>
        </w:rPr>
        <w:t>Heber and Garber</w:t>
      </w:r>
      <w:r w:rsidR="00CF363A" w:rsidRPr="00E27DAB">
        <w:rPr>
          <w:rFonts w:cstheme="minorHAnsi"/>
        </w:rPr>
        <w:t>,</w:t>
      </w:r>
      <w:r w:rsidR="002E7441">
        <w:rPr>
          <w:rFonts w:cstheme="minorHAnsi"/>
        </w:rPr>
        <w:t xml:space="preserve"> </w:t>
      </w:r>
      <w:r w:rsidR="00BB3CF7" w:rsidRPr="00E27DAB">
        <w:rPr>
          <w:rFonts w:cstheme="minorHAnsi"/>
        </w:rPr>
        <w:t xml:space="preserve">1975) </w:t>
      </w:r>
      <w:r w:rsidR="00D84CFC" w:rsidRPr="00E27DAB">
        <w:rPr>
          <w:rFonts w:cstheme="minorHAnsi"/>
        </w:rPr>
        <w:t>shows that the role of nurture</w:t>
      </w:r>
      <w:r w:rsidR="002E7441">
        <w:rPr>
          <w:rFonts w:cstheme="minorHAnsi"/>
        </w:rPr>
        <w:t xml:space="preserve"> </w:t>
      </w:r>
      <w:r w:rsidR="00D84CFC" w:rsidRPr="00E27DAB">
        <w:rPr>
          <w:rFonts w:cstheme="minorHAnsi"/>
        </w:rPr>
        <w:t>has a</w:t>
      </w:r>
      <w:r w:rsidR="002A55A5" w:rsidRPr="00E27DAB">
        <w:rPr>
          <w:rFonts w:cstheme="minorHAnsi"/>
        </w:rPr>
        <w:t xml:space="preserve"> positive</w:t>
      </w:r>
      <w:r w:rsidR="00D84CFC" w:rsidRPr="00E27DAB">
        <w:rPr>
          <w:rFonts w:cstheme="minorHAnsi"/>
        </w:rPr>
        <w:t xml:space="preserve"> effect on children</w:t>
      </w:r>
      <w:r w:rsidR="002A55A5" w:rsidRPr="00E27DAB">
        <w:rPr>
          <w:rFonts w:cstheme="minorHAnsi"/>
        </w:rPr>
        <w:t>.</w:t>
      </w:r>
      <w:r w:rsidR="00D84CFC" w:rsidRPr="00E27DAB">
        <w:rPr>
          <w:rFonts w:cstheme="minorHAnsi"/>
        </w:rPr>
        <w:t xml:space="preserve"> However</w:t>
      </w:r>
      <w:r w:rsidR="002A55A5" w:rsidRPr="00E27DAB">
        <w:rPr>
          <w:rFonts w:cstheme="minorHAnsi"/>
        </w:rPr>
        <w:t>,</w:t>
      </w:r>
      <w:r w:rsidR="00D84CFC" w:rsidRPr="00E27DAB">
        <w:rPr>
          <w:rFonts w:cstheme="minorHAnsi"/>
        </w:rPr>
        <w:t xml:space="preserve"> Jenson</w:t>
      </w:r>
      <w:r w:rsidR="00527F4A" w:rsidRPr="00E27DAB">
        <w:rPr>
          <w:rFonts w:cstheme="minorHAnsi"/>
        </w:rPr>
        <w:t xml:space="preserve"> (</w:t>
      </w:r>
      <w:r w:rsidR="002A55A5" w:rsidRPr="00E27DAB">
        <w:rPr>
          <w:rFonts w:cstheme="minorHAnsi"/>
        </w:rPr>
        <w:t>2013</w:t>
      </w:r>
      <w:r w:rsidR="00527F4A" w:rsidRPr="00E27DAB">
        <w:rPr>
          <w:rFonts w:cstheme="minorHAnsi"/>
        </w:rPr>
        <w:t>)</w:t>
      </w:r>
      <w:r w:rsidR="00D84CFC" w:rsidRPr="00E27DAB">
        <w:rPr>
          <w:rFonts w:cstheme="minorHAnsi"/>
        </w:rPr>
        <w:t xml:space="preserve"> claims that this study </w:t>
      </w:r>
      <w:r w:rsidR="00E33EC1" w:rsidRPr="00E27DAB">
        <w:rPr>
          <w:rFonts w:cstheme="minorHAnsi"/>
        </w:rPr>
        <w:t>suggests</w:t>
      </w:r>
      <w:r w:rsidR="002A55A5" w:rsidRPr="00E27DAB">
        <w:rPr>
          <w:rFonts w:cstheme="minorHAnsi"/>
        </w:rPr>
        <w:t>,</w:t>
      </w:r>
      <w:r w:rsidR="00E33EC1" w:rsidRPr="00E27DAB">
        <w:rPr>
          <w:rFonts w:cstheme="minorHAnsi"/>
        </w:rPr>
        <w:t xml:space="preserve"> without </w:t>
      </w:r>
      <w:r w:rsidR="00806027" w:rsidRPr="00E27DAB">
        <w:rPr>
          <w:rFonts w:cstheme="minorHAnsi"/>
        </w:rPr>
        <w:t>socialization</w:t>
      </w:r>
      <w:r w:rsidR="002A55A5" w:rsidRPr="00E27DAB">
        <w:rPr>
          <w:rFonts w:cstheme="minorHAnsi"/>
        </w:rPr>
        <w:t>,</w:t>
      </w:r>
      <w:r w:rsidR="00E33EC1" w:rsidRPr="00E27DAB">
        <w:rPr>
          <w:rFonts w:cstheme="minorHAnsi"/>
        </w:rPr>
        <w:t xml:space="preserve"> intelligence will deteriorate.</w:t>
      </w:r>
      <w:r w:rsidR="002A55A5" w:rsidRPr="00E27DAB">
        <w:rPr>
          <w:rFonts w:cstheme="minorHAnsi"/>
        </w:rPr>
        <w:t xml:space="preserve"> Examples of feral children, such as ‘Genie’</w:t>
      </w:r>
      <w:r w:rsidR="0093526E" w:rsidRPr="00E27DAB">
        <w:rPr>
          <w:rFonts w:cstheme="minorHAnsi"/>
        </w:rPr>
        <w:t xml:space="preserve"> </w:t>
      </w:r>
      <w:r w:rsidR="002026ED">
        <w:rPr>
          <w:rFonts w:cstheme="minorHAnsi"/>
        </w:rPr>
        <w:t>(</w:t>
      </w:r>
      <w:r w:rsidR="0093526E" w:rsidRPr="00E27DAB">
        <w:rPr>
          <w:rFonts w:cstheme="minorHAnsi"/>
        </w:rPr>
        <w:t>Sociologywithcandee.blogspot.com</w:t>
      </w:r>
      <w:r w:rsidR="002026ED">
        <w:rPr>
          <w:rFonts w:cstheme="minorHAnsi"/>
        </w:rPr>
        <w:t xml:space="preserve">, </w:t>
      </w:r>
      <w:r w:rsidR="0093526E" w:rsidRPr="00E27DAB">
        <w:rPr>
          <w:rFonts w:cstheme="minorHAnsi"/>
        </w:rPr>
        <w:t>2019)</w:t>
      </w:r>
      <w:r w:rsidR="002A55A5" w:rsidRPr="00E27DAB">
        <w:rPr>
          <w:rFonts w:cstheme="minorHAnsi"/>
        </w:rPr>
        <w:t>, show the merits of this theory in the real-world</w:t>
      </w:r>
      <w:r w:rsidR="00682988">
        <w:rPr>
          <w:rFonts w:cstheme="minorHAnsi"/>
        </w:rPr>
        <w:t xml:space="preserve"> and how, without </w:t>
      </w:r>
      <w:r w:rsidR="003B230B">
        <w:rPr>
          <w:rFonts w:cstheme="minorHAnsi"/>
        </w:rPr>
        <w:t>socialization, children lack</w:t>
      </w:r>
      <w:r w:rsidR="002A55A5" w:rsidRPr="00E27DAB">
        <w:rPr>
          <w:rFonts w:cstheme="minorHAnsi"/>
        </w:rPr>
        <w:t xml:space="preserve"> the skills required to function in society. </w:t>
      </w:r>
      <w:r w:rsidR="00C168B6" w:rsidRPr="00E27DAB">
        <w:rPr>
          <w:rFonts w:cstheme="minorHAnsi"/>
        </w:rPr>
        <w:t>Bowlby’s (</w:t>
      </w:r>
      <w:r w:rsidR="00CD4EB8" w:rsidRPr="00E27DAB">
        <w:rPr>
          <w:rFonts w:cstheme="minorHAnsi"/>
        </w:rPr>
        <w:t>2008</w:t>
      </w:r>
      <w:r w:rsidR="00C168B6" w:rsidRPr="00E27DAB">
        <w:rPr>
          <w:rFonts w:cstheme="minorHAnsi"/>
        </w:rPr>
        <w:t>) ‘</w:t>
      </w:r>
      <w:r w:rsidR="006C16E8" w:rsidRPr="00E27DAB">
        <w:rPr>
          <w:rFonts w:cstheme="minorHAnsi"/>
        </w:rPr>
        <w:t>Attachment</w:t>
      </w:r>
      <w:r w:rsidR="00C168B6" w:rsidRPr="00E27DAB">
        <w:rPr>
          <w:rFonts w:cstheme="minorHAnsi"/>
        </w:rPr>
        <w:t xml:space="preserve"> </w:t>
      </w:r>
      <w:r w:rsidR="006C16E8" w:rsidRPr="00E27DAB">
        <w:rPr>
          <w:rFonts w:cstheme="minorHAnsi"/>
        </w:rPr>
        <w:t xml:space="preserve">Theory’ </w:t>
      </w:r>
      <w:r w:rsidR="00AA6D7D" w:rsidRPr="00E27DAB">
        <w:rPr>
          <w:rFonts w:cstheme="minorHAnsi"/>
        </w:rPr>
        <w:t>give</w:t>
      </w:r>
      <w:r w:rsidR="00123850">
        <w:rPr>
          <w:rFonts w:cstheme="minorHAnsi"/>
        </w:rPr>
        <w:t>s</w:t>
      </w:r>
      <w:r w:rsidR="00AA6D7D" w:rsidRPr="00E27DAB">
        <w:rPr>
          <w:rFonts w:cstheme="minorHAnsi"/>
        </w:rPr>
        <w:t xml:space="preserve"> an explanation as to how the socialization </w:t>
      </w:r>
      <w:r w:rsidR="002A55A5" w:rsidRPr="00E27DAB">
        <w:rPr>
          <w:rFonts w:cstheme="minorHAnsi"/>
        </w:rPr>
        <w:t>process</w:t>
      </w:r>
      <w:r w:rsidR="00AA6D7D" w:rsidRPr="00E27DAB">
        <w:rPr>
          <w:rFonts w:cstheme="minorHAnsi"/>
        </w:rPr>
        <w:t xml:space="preserve"> is</w:t>
      </w:r>
      <w:r w:rsidR="0052331D">
        <w:rPr>
          <w:rFonts w:cstheme="minorHAnsi"/>
        </w:rPr>
        <w:t xml:space="preserve"> </w:t>
      </w:r>
      <w:r w:rsidR="00AA6D7D" w:rsidRPr="00E27DAB">
        <w:rPr>
          <w:rFonts w:cstheme="minorHAnsi"/>
        </w:rPr>
        <w:t>learned</w:t>
      </w:r>
      <w:r w:rsidR="002A55A5" w:rsidRPr="00E27DAB">
        <w:rPr>
          <w:rFonts w:cstheme="minorHAnsi"/>
        </w:rPr>
        <w:t xml:space="preserve">, </w:t>
      </w:r>
      <w:r w:rsidR="00AA6D7D" w:rsidRPr="00E27DAB">
        <w:rPr>
          <w:rFonts w:cstheme="minorHAnsi"/>
        </w:rPr>
        <w:t xml:space="preserve">not ingrained through </w:t>
      </w:r>
      <w:r w:rsidR="00D84D78" w:rsidRPr="00E27DAB">
        <w:rPr>
          <w:rFonts w:cstheme="minorHAnsi"/>
        </w:rPr>
        <w:t xml:space="preserve">genetics. </w:t>
      </w:r>
      <w:r w:rsidR="006804DD" w:rsidRPr="00E27DAB">
        <w:rPr>
          <w:rFonts w:cstheme="minorHAnsi"/>
          <w:lang w:val="en-GB"/>
        </w:rPr>
        <w:t xml:space="preserve">Gregg and Washbrook (2010) </w:t>
      </w:r>
      <w:r w:rsidR="009D27FA" w:rsidRPr="00E27DAB">
        <w:rPr>
          <w:rFonts w:cstheme="minorHAnsi"/>
          <w:lang w:val="en-GB"/>
        </w:rPr>
        <w:t xml:space="preserve">believe parental attitudes and engagement continue to matter during primary school, finding that </w:t>
      </w:r>
      <w:r w:rsidR="006B57AB" w:rsidRPr="00E27DAB">
        <w:rPr>
          <w:rFonts w:cstheme="minorHAnsi"/>
          <w:lang w:val="en-GB"/>
        </w:rPr>
        <w:t xml:space="preserve">seven year-olds </w:t>
      </w:r>
      <w:r w:rsidR="009D27FA" w:rsidRPr="00E27DAB">
        <w:rPr>
          <w:rFonts w:cstheme="minorHAnsi"/>
          <w:lang w:val="en-GB"/>
        </w:rPr>
        <w:t xml:space="preserve">from a low </w:t>
      </w:r>
      <w:r w:rsidR="009D27FA" w:rsidRPr="00E27DAB">
        <w:rPr>
          <w:rFonts w:cstheme="minorHAnsi"/>
          <w:lang w:val="en-GB"/>
        </w:rPr>
        <w:lastRenderedPageBreak/>
        <w:t>economic background</w:t>
      </w:r>
      <w:r w:rsidR="006B57AB" w:rsidRPr="00E27DAB">
        <w:rPr>
          <w:rFonts w:cstheme="minorHAnsi"/>
          <w:lang w:val="en-GB"/>
        </w:rPr>
        <w:t xml:space="preserve"> with similar test scores to their more affluent peers will still fall behind by the age of 11. </w:t>
      </w:r>
      <w:r w:rsidR="009D27FA" w:rsidRPr="00E27DAB">
        <w:rPr>
          <w:rFonts w:cstheme="minorHAnsi"/>
          <w:lang w:val="en-GB"/>
        </w:rPr>
        <w:t>Gregg and Washbrook (2010)</w:t>
      </w:r>
      <w:r w:rsidR="00692B39" w:rsidRPr="00E27DAB">
        <w:rPr>
          <w:rFonts w:cstheme="minorHAnsi"/>
          <w:lang w:val="en-GB"/>
        </w:rPr>
        <w:t xml:space="preserve"> </w:t>
      </w:r>
      <w:r w:rsidR="001167AD" w:rsidRPr="00E27DAB">
        <w:rPr>
          <w:rFonts w:cstheme="minorHAnsi"/>
          <w:lang w:val="en-GB"/>
        </w:rPr>
        <w:t>suggest that 67% of the highest SEP children believe school results are important in life, compared with 51% of the lowest SEP children.</w:t>
      </w:r>
      <w:r w:rsidR="00692B39" w:rsidRPr="00E27DAB">
        <w:rPr>
          <w:rFonts w:cstheme="minorHAnsi"/>
          <w:lang w:val="en-GB"/>
        </w:rPr>
        <w:t xml:space="preserve"> </w:t>
      </w:r>
      <w:r w:rsidR="00AE54B2" w:rsidRPr="00E27DAB">
        <w:rPr>
          <w:rFonts w:cstheme="minorHAnsi"/>
          <w:lang w:val="en-GB"/>
        </w:rPr>
        <w:t xml:space="preserve">Raffo et al (2007) </w:t>
      </w:r>
      <w:r w:rsidR="00F2474F" w:rsidRPr="00E27DAB">
        <w:rPr>
          <w:rFonts w:cstheme="minorHAnsi"/>
          <w:lang w:val="en-GB"/>
        </w:rPr>
        <w:t>suggest lack of employment and poor educational experience lead</w:t>
      </w:r>
      <w:r w:rsidR="00692B39" w:rsidRPr="00E27DAB">
        <w:rPr>
          <w:rFonts w:cstheme="minorHAnsi"/>
          <w:lang w:val="en-GB"/>
        </w:rPr>
        <w:t xml:space="preserve">s </w:t>
      </w:r>
      <w:r w:rsidR="00F2474F" w:rsidRPr="00E27DAB">
        <w:rPr>
          <w:rFonts w:cstheme="minorHAnsi"/>
          <w:lang w:val="en-GB"/>
        </w:rPr>
        <w:t xml:space="preserve">to ‘low </w:t>
      </w:r>
      <w:r w:rsidR="00806027" w:rsidRPr="00E27DAB">
        <w:rPr>
          <w:rFonts w:cstheme="minorHAnsi"/>
          <w:lang w:val="en-GB"/>
        </w:rPr>
        <w:t>self-esteem</w:t>
      </w:r>
      <w:r w:rsidR="00F2474F" w:rsidRPr="00E27DAB">
        <w:rPr>
          <w:rFonts w:cstheme="minorHAnsi"/>
          <w:lang w:val="en-GB"/>
        </w:rPr>
        <w:t>’</w:t>
      </w:r>
      <w:r w:rsidR="00692B39" w:rsidRPr="00E27DAB">
        <w:rPr>
          <w:rFonts w:cstheme="minorHAnsi"/>
          <w:lang w:val="en-GB"/>
        </w:rPr>
        <w:t>.</w:t>
      </w:r>
      <w:r w:rsidR="00F2474F" w:rsidRPr="00E27DAB">
        <w:rPr>
          <w:rFonts w:cstheme="minorHAnsi"/>
          <w:lang w:val="en-GB"/>
        </w:rPr>
        <w:t xml:space="preserve"> This further suggests that when teachers label children (Becker</w:t>
      </w:r>
      <w:r w:rsidR="003156ED" w:rsidRPr="00E27DAB">
        <w:rPr>
          <w:rFonts w:cstheme="minorHAnsi"/>
          <w:lang w:val="en-GB"/>
        </w:rPr>
        <w:t>, 2003</w:t>
      </w:r>
      <w:r w:rsidR="00F2474F" w:rsidRPr="00E27DAB">
        <w:rPr>
          <w:rFonts w:cstheme="minorHAnsi"/>
          <w:lang w:val="en-GB"/>
        </w:rPr>
        <w:t>)</w:t>
      </w:r>
      <w:r w:rsidR="00722D7D">
        <w:rPr>
          <w:rFonts w:cstheme="minorHAnsi"/>
          <w:lang w:val="en-GB"/>
        </w:rPr>
        <w:t>,</w:t>
      </w:r>
      <w:r w:rsidR="00692B39" w:rsidRPr="00E27DAB">
        <w:rPr>
          <w:rFonts w:cstheme="minorHAnsi"/>
          <w:lang w:val="en-GB"/>
        </w:rPr>
        <w:t xml:space="preserve"> </w:t>
      </w:r>
      <w:r w:rsidR="00F2474F" w:rsidRPr="00E27DAB">
        <w:rPr>
          <w:rFonts w:cstheme="minorHAnsi"/>
          <w:lang w:val="en-GB"/>
        </w:rPr>
        <w:t>a repeated cyclical pattern</w:t>
      </w:r>
      <w:r w:rsidR="00692B39" w:rsidRPr="00E27DAB">
        <w:rPr>
          <w:rFonts w:cstheme="minorHAnsi"/>
          <w:lang w:val="en-GB"/>
        </w:rPr>
        <w:t xml:space="preserve"> is formed</w:t>
      </w:r>
      <w:r w:rsidR="00F2474F" w:rsidRPr="00E27DAB">
        <w:rPr>
          <w:rFonts w:cstheme="minorHAnsi"/>
          <w:lang w:val="en-GB"/>
        </w:rPr>
        <w:t xml:space="preserve">. </w:t>
      </w:r>
    </w:p>
    <w:p w14:paraId="30361DF6" w14:textId="56AE62F9" w:rsidR="00EA725F" w:rsidRPr="00E27DAB" w:rsidRDefault="002F20A6" w:rsidP="00E27DAB">
      <w:pPr>
        <w:spacing w:line="480" w:lineRule="auto"/>
        <w:rPr>
          <w:rFonts w:cstheme="minorHAnsi"/>
        </w:rPr>
      </w:pPr>
      <w:r w:rsidRPr="00E27DAB">
        <w:rPr>
          <w:rFonts w:cstheme="minorHAnsi"/>
          <w:lang w:val="en-GB"/>
        </w:rPr>
        <w:t>Fr</w:t>
      </w:r>
      <w:r w:rsidR="00EA725F" w:rsidRPr="00E27DAB">
        <w:rPr>
          <w:rFonts w:cstheme="minorHAnsi"/>
        </w:rPr>
        <w:t>ansoo et al (2008) suggest a link between health, poverty and educational attainment</w:t>
      </w:r>
      <w:r w:rsidR="00075731" w:rsidRPr="00E27DAB">
        <w:rPr>
          <w:rFonts w:cstheme="minorHAnsi"/>
        </w:rPr>
        <w:t xml:space="preserve"> </w:t>
      </w:r>
      <w:r w:rsidR="00EA725F" w:rsidRPr="00E27DAB">
        <w:rPr>
          <w:rFonts w:cstheme="minorHAnsi"/>
        </w:rPr>
        <w:t xml:space="preserve">caused by educational barriers. </w:t>
      </w:r>
      <w:r w:rsidR="00075731" w:rsidRPr="00E27DAB">
        <w:rPr>
          <w:rFonts w:cstheme="minorHAnsi"/>
        </w:rPr>
        <w:t xml:space="preserve">These </w:t>
      </w:r>
      <w:r w:rsidR="005D79B2" w:rsidRPr="00E27DAB">
        <w:rPr>
          <w:rFonts w:cstheme="minorHAnsi"/>
        </w:rPr>
        <w:t>barriers take many forms,</w:t>
      </w:r>
      <w:r w:rsidR="00075731" w:rsidRPr="00E27DAB">
        <w:rPr>
          <w:rFonts w:cstheme="minorHAnsi"/>
        </w:rPr>
        <w:t xml:space="preserve"> from</w:t>
      </w:r>
      <w:r w:rsidR="005D79B2" w:rsidRPr="00E27DAB">
        <w:rPr>
          <w:rFonts w:cstheme="minorHAnsi"/>
        </w:rPr>
        <w:t xml:space="preserve"> physical</w:t>
      </w:r>
      <w:r w:rsidR="00075731" w:rsidRPr="00E27DAB">
        <w:rPr>
          <w:rFonts w:cstheme="minorHAnsi"/>
        </w:rPr>
        <w:t xml:space="preserve"> and</w:t>
      </w:r>
      <w:r w:rsidR="005D79B2" w:rsidRPr="00E27DAB">
        <w:rPr>
          <w:rFonts w:cstheme="minorHAnsi"/>
        </w:rPr>
        <w:t xml:space="preserve"> technological</w:t>
      </w:r>
      <w:r w:rsidR="00075731" w:rsidRPr="00E27DAB">
        <w:rPr>
          <w:rFonts w:cstheme="minorHAnsi"/>
        </w:rPr>
        <w:t xml:space="preserve"> to</w:t>
      </w:r>
      <w:r w:rsidR="005D79B2" w:rsidRPr="00E27DAB">
        <w:rPr>
          <w:rFonts w:cstheme="minorHAnsi"/>
        </w:rPr>
        <w:t xml:space="preserve"> financial or a</w:t>
      </w:r>
      <w:r w:rsidR="00075731" w:rsidRPr="00E27DAB">
        <w:rPr>
          <w:rFonts w:cstheme="minorHAnsi"/>
        </w:rPr>
        <w:t>t</w:t>
      </w:r>
      <w:r w:rsidR="005D79B2" w:rsidRPr="00E27DAB">
        <w:rPr>
          <w:rFonts w:cstheme="minorHAnsi"/>
        </w:rPr>
        <w:t>titudinal (Ontario Human Rights Commission, as cited in Armstrong, 2015). White (2009</w:t>
      </w:r>
      <w:r w:rsidR="00486B52" w:rsidRPr="00E27DAB">
        <w:rPr>
          <w:rFonts w:cstheme="minorHAnsi"/>
        </w:rPr>
        <w:t>, as cited in Armstr</w:t>
      </w:r>
      <w:r w:rsidR="004E1ADD" w:rsidRPr="00E27DAB">
        <w:rPr>
          <w:rFonts w:cstheme="minorHAnsi"/>
        </w:rPr>
        <w:t xml:space="preserve">ong, 2015) </w:t>
      </w:r>
      <w:r w:rsidR="00DB3E9D" w:rsidRPr="00E27DAB">
        <w:rPr>
          <w:rFonts w:cstheme="minorHAnsi"/>
        </w:rPr>
        <w:t xml:space="preserve">extends these </w:t>
      </w:r>
      <w:r w:rsidR="005D79B2" w:rsidRPr="00E27DAB">
        <w:rPr>
          <w:rFonts w:cstheme="minorHAnsi"/>
        </w:rPr>
        <w:t xml:space="preserve">barriers </w:t>
      </w:r>
      <w:r w:rsidR="00DB3E9D" w:rsidRPr="00E27DAB">
        <w:rPr>
          <w:rFonts w:cstheme="minorHAnsi"/>
        </w:rPr>
        <w:t>to including lack of</w:t>
      </w:r>
      <w:r w:rsidR="005D79B2" w:rsidRPr="00E27DAB">
        <w:rPr>
          <w:rFonts w:cstheme="minorHAnsi"/>
        </w:rPr>
        <w:t xml:space="preserve"> adequate food and clothing</w:t>
      </w:r>
      <w:r w:rsidR="00DB3E9D" w:rsidRPr="00E27DAB">
        <w:rPr>
          <w:rFonts w:cstheme="minorHAnsi"/>
        </w:rPr>
        <w:t xml:space="preserve">. </w:t>
      </w:r>
      <w:r w:rsidR="00AE44EE" w:rsidRPr="00E27DAB">
        <w:rPr>
          <w:rFonts w:cstheme="minorHAnsi"/>
        </w:rPr>
        <w:t>Decter (2007, as cited in Armstrong, 2015) believe</w:t>
      </w:r>
      <w:r w:rsidR="00DB3E9D" w:rsidRPr="00E27DAB">
        <w:rPr>
          <w:rFonts w:cstheme="minorHAnsi"/>
        </w:rPr>
        <w:t>s</w:t>
      </w:r>
      <w:r w:rsidR="00AE44EE" w:rsidRPr="00E27DAB">
        <w:rPr>
          <w:rFonts w:cstheme="minorHAnsi"/>
        </w:rPr>
        <w:t xml:space="preserve"> </w:t>
      </w:r>
      <w:r w:rsidR="00DB3E9D" w:rsidRPr="00E27DAB">
        <w:rPr>
          <w:rFonts w:cstheme="minorHAnsi"/>
        </w:rPr>
        <w:t>stigmatization</w:t>
      </w:r>
      <w:r w:rsidR="00AE44EE" w:rsidRPr="00E27DAB">
        <w:rPr>
          <w:rFonts w:cstheme="minorHAnsi"/>
        </w:rPr>
        <w:t xml:space="preserve"> </w:t>
      </w:r>
      <w:r w:rsidR="00DB3E9D" w:rsidRPr="00E27DAB">
        <w:rPr>
          <w:rFonts w:cstheme="minorHAnsi"/>
        </w:rPr>
        <w:t xml:space="preserve">means </w:t>
      </w:r>
      <w:r w:rsidR="00AE44EE" w:rsidRPr="00E27DAB">
        <w:rPr>
          <w:rFonts w:cstheme="minorHAnsi"/>
        </w:rPr>
        <w:t xml:space="preserve">children </w:t>
      </w:r>
      <w:r w:rsidR="00DB3E9D" w:rsidRPr="00E27DAB">
        <w:rPr>
          <w:rFonts w:cstheme="minorHAnsi"/>
        </w:rPr>
        <w:t xml:space="preserve">aren’t </w:t>
      </w:r>
      <w:r w:rsidR="00AE44EE" w:rsidRPr="00E27DAB">
        <w:rPr>
          <w:rFonts w:cstheme="minorHAnsi"/>
        </w:rPr>
        <w:t>able to participate in school activities.</w:t>
      </w:r>
      <w:r w:rsidR="00EA725F" w:rsidRPr="00E27DAB">
        <w:rPr>
          <w:rFonts w:cstheme="minorHAnsi"/>
        </w:rPr>
        <w:t xml:space="preserve"> </w:t>
      </w:r>
    </w:p>
    <w:p w14:paraId="55526B53" w14:textId="3AECC686" w:rsidR="00663403" w:rsidRPr="00E27DAB" w:rsidRDefault="00EE41D6" w:rsidP="00E27DAB">
      <w:pPr>
        <w:spacing w:line="480" w:lineRule="auto"/>
        <w:rPr>
          <w:rFonts w:cstheme="minorHAnsi"/>
        </w:rPr>
      </w:pPr>
      <w:r w:rsidRPr="00E27DAB">
        <w:rPr>
          <w:rFonts w:cstheme="minorHAnsi"/>
          <w:noProof/>
          <w:lang w:val="en-GB" w:eastAsia="en-GB"/>
        </w:rPr>
        <w:drawing>
          <wp:anchor distT="0" distB="0" distL="114300" distR="114300" simplePos="0" relativeHeight="251660288" behindDoc="1" locked="0" layoutInCell="1" allowOverlap="1" wp14:anchorId="2888E7E9" wp14:editId="7531848F">
            <wp:simplePos x="0" y="0"/>
            <wp:positionH relativeFrom="column">
              <wp:posOffset>0</wp:posOffset>
            </wp:positionH>
            <wp:positionV relativeFrom="paragraph">
              <wp:posOffset>-1270</wp:posOffset>
            </wp:positionV>
            <wp:extent cx="4572000" cy="2743200"/>
            <wp:effectExtent l="0" t="0" r="0" b="0"/>
            <wp:wrapTight wrapText="bothSides">
              <wp:wrapPolygon edited="0">
                <wp:start x="0" y="0"/>
                <wp:lineTo x="0" y="21450"/>
                <wp:lineTo x="21510" y="21450"/>
                <wp:lineTo x="21510" y="0"/>
                <wp:lineTo x="0" y="0"/>
              </wp:wrapPolygon>
            </wp:wrapTight>
            <wp:docPr id="4" name="Chart 4">
              <a:extLst xmlns:a="http://schemas.openxmlformats.org/drawingml/2006/main">
                <a:ext uri="{FF2B5EF4-FFF2-40B4-BE49-F238E27FC236}">
                  <a16:creationId xmlns:a16="http://schemas.microsoft.com/office/drawing/2014/main" id="{43EF089F-C322-4FF7-A1E8-ACEC950E3E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F153321" w14:textId="77777777" w:rsidR="00D04A14" w:rsidRPr="00E27DAB" w:rsidRDefault="00AE44EE" w:rsidP="00E27DAB">
      <w:pPr>
        <w:spacing w:line="480" w:lineRule="auto"/>
        <w:rPr>
          <w:rFonts w:cstheme="minorHAnsi"/>
        </w:rPr>
      </w:pPr>
      <w:r w:rsidRPr="00E27DAB">
        <w:rPr>
          <w:rFonts w:cstheme="minorHAnsi"/>
        </w:rPr>
        <w:t xml:space="preserve"> </w:t>
      </w:r>
    </w:p>
    <w:p w14:paraId="70B8192F" w14:textId="77777777" w:rsidR="00D04A14" w:rsidRPr="00E27DAB" w:rsidRDefault="00D04A14" w:rsidP="00E27DAB">
      <w:pPr>
        <w:spacing w:line="480" w:lineRule="auto"/>
        <w:rPr>
          <w:rFonts w:cstheme="minorHAnsi"/>
        </w:rPr>
      </w:pPr>
    </w:p>
    <w:p w14:paraId="7B9DA593" w14:textId="77777777" w:rsidR="00D04A14" w:rsidRPr="00E27DAB" w:rsidRDefault="00D04A14" w:rsidP="00E27DAB">
      <w:pPr>
        <w:spacing w:line="480" w:lineRule="auto"/>
        <w:rPr>
          <w:rFonts w:cstheme="minorHAnsi"/>
        </w:rPr>
      </w:pPr>
    </w:p>
    <w:p w14:paraId="3390E5E3" w14:textId="77777777" w:rsidR="00D04A14" w:rsidRPr="00E27DAB" w:rsidRDefault="00D04A14" w:rsidP="00E27DAB">
      <w:pPr>
        <w:spacing w:line="480" w:lineRule="auto"/>
        <w:rPr>
          <w:rFonts w:cstheme="minorHAnsi"/>
        </w:rPr>
      </w:pPr>
    </w:p>
    <w:p w14:paraId="3D643D7D" w14:textId="77777777" w:rsidR="00D04A14" w:rsidRPr="00E27DAB" w:rsidRDefault="00D04A14" w:rsidP="00E27DAB">
      <w:pPr>
        <w:spacing w:line="480" w:lineRule="auto"/>
        <w:rPr>
          <w:rFonts w:cstheme="minorHAnsi"/>
        </w:rPr>
      </w:pPr>
    </w:p>
    <w:p w14:paraId="5B2E68A8" w14:textId="77777777" w:rsidR="00D04A14" w:rsidRPr="00E27DAB" w:rsidRDefault="00D04A14" w:rsidP="00E27DAB">
      <w:pPr>
        <w:spacing w:line="480" w:lineRule="auto"/>
        <w:rPr>
          <w:rFonts w:cstheme="minorHAnsi"/>
        </w:rPr>
      </w:pPr>
    </w:p>
    <w:p w14:paraId="11339A81" w14:textId="77777777" w:rsidR="00D04A14" w:rsidRPr="00E27DAB" w:rsidRDefault="00D04A14" w:rsidP="00E27DAB">
      <w:pPr>
        <w:spacing w:line="480" w:lineRule="auto"/>
        <w:rPr>
          <w:rFonts w:cstheme="minorHAnsi"/>
        </w:rPr>
      </w:pPr>
    </w:p>
    <w:p w14:paraId="369013E0" w14:textId="77777777" w:rsidR="00D04A14" w:rsidRPr="00E27DAB" w:rsidRDefault="00D04A14" w:rsidP="00E27DAB">
      <w:pPr>
        <w:spacing w:line="480" w:lineRule="auto"/>
        <w:rPr>
          <w:rFonts w:cstheme="minorHAnsi"/>
        </w:rPr>
      </w:pPr>
    </w:p>
    <w:p w14:paraId="3DE91CF5" w14:textId="77777777" w:rsidR="00D04A14" w:rsidRPr="00E27DAB" w:rsidRDefault="00D04A14" w:rsidP="00E27DAB">
      <w:pPr>
        <w:spacing w:line="480" w:lineRule="auto"/>
        <w:rPr>
          <w:rFonts w:cstheme="minorHAnsi"/>
        </w:rPr>
      </w:pPr>
    </w:p>
    <w:p w14:paraId="3DC34513" w14:textId="4C46E5C7" w:rsidR="00E72F2F" w:rsidRPr="00E27DAB" w:rsidRDefault="006E39DB" w:rsidP="00E27DAB">
      <w:pPr>
        <w:spacing w:line="480" w:lineRule="auto"/>
        <w:rPr>
          <w:rFonts w:cstheme="minorHAnsi"/>
          <w:lang w:val="en-GB"/>
        </w:rPr>
      </w:pPr>
      <w:r w:rsidRPr="00E27DAB">
        <w:rPr>
          <w:rFonts w:cstheme="minorHAnsi"/>
        </w:rPr>
        <w:t xml:space="preserve">Fig 4. </w:t>
      </w:r>
      <w:r w:rsidRPr="00E27DAB">
        <w:rPr>
          <w:rFonts w:cstheme="minorHAnsi"/>
          <w:lang w:val="en-GB"/>
        </w:rPr>
        <w:t xml:space="preserve">Shows professional teaching staff’s opinions on what educational barriers </w:t>
      </w:r>
      <w:r w:rsidR="00E72F2F" w:rsidRPr="00E27DAB">
        <w:rPr>
          <w:rFonts w:cstheme="minorHAnsi"/>
          <w:lang w:val="en-GB"/>
        </w:rPr>
        <w:t>a</w:t>
      </w:r>
      <w:r w:rsidRPr="00E27DAB">
        <w:rPr>
          <w:rFonts w:cstheme="minorHAnsi"/>
          <w:lang w:val="en-GB"/>
        </w:rPr>
        <w:t>ffect attainment of students the most, suggesting lack of parental involvement is the major educational barrier</w:t>
      </w:r>
      <w:r w:rsidR="00E72F2F" w:rsidRPr="00E27DAB">
        <w:rPr>
          <w:rFonts w:cstheme="minorHAnsi"/>
          <w:lang w:val="en-GB"/>
        </w:rPr>
        <w:t xml:space="preserve">. </w:t>
      </w:r>
    </w:p>
    <w:p w14:paraId="251DD423" w14:textId="2D2C4FC2" w:rsidR="00067603" w:rsidRPr="00E27DAB" w:rsidRDefault="00067603" w:rsidP="00E27DAB">
      <w:pPr>
        <w:spacing w:line="480" w:lineRule="auto"/>
        <w:rPr>
          <w:rFonts w:cstheme="minorHAnsi"/>
          <w:lang w:val="en-GB"/>
        </w:rPr>
      </w:pPr>
      <w:r w:rsidRPr="00E27DAB">
        <w:rPr>
          <w:rFonts w:cstheme="minorHAnsi"/>
          <w:noProof/>
          <w:lang w:val="en-GB" w:eastAsia="en-GB"/>
        </w:rPr>
        <w:drawing>
          <wp:inline distT="0" distB="0" distL="0" distR="0" wp14:anchorId="2972D23A" wp14:editId="34F7CED7">
            <wp:extent cx="4572000" cy="2743200"/>
            <wp:effectExtent l="0" t="0" r="0" b="0"/>
            <wp:docPr id="15" name="Chart 15">
              <a:extLst xmlns:a="http://schemas.openxmlformats.org/drawingml/2006/main">
                <a:ext uri="{FF2B5EF4-FFF2-40B4-BE49-F238E27FC236}">
                  <a16:creationId xmlns:a16="http://schemas.microsoft.com/office/drawing/2014/main" id="{74489D1D-7D21-4D02-807E-686D6F53EA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2E6EF3" w:rsidRPr="00E27DAB">
        <w:rPr>
          <w:rFonts w:cstheme="minorHAnsi"/>
          <w:lang w:val="en-GB"/>
        </w:rPr>
        <w:t>Fig 10</w:t>
      </w:r>
    </w:p>
    <w:p w14:paraId="0D742BAA" w14:textId="4CBC3863" w:rsidR="0093598D" w:rsidRPr="00E27DAB" w:rsidRDefault="00E72F2F" w:rsidP="00E27DAB">
      <w:pPr>
        <w:spacing w:line="480" w:lineRule="auto"/>
        <w:rPr>
          <w:rFonts w:cstheme="minorHAnsi"/>
        </w:rPr>
      </w:pPr>
      <w:r w:rsidRPr="00E27DAB">
        <w:rPr>
          <w:rFonts w:cstheme="minorHAnsi"/>
          <w:lang w:val="en-GB"/>
        </w:rPr>
        <w:t>Q</w:t>
      </w:r>
      <w:r w:rsidR="00306364" w:rsidRPr="00E27DAB">
        <w:rPr>
          <w:rFonts w:cstheme="minorHAnsi"/>
          <w:lang w:val="en-GB"/>
        </w:rPr>
        <w:t>uestion 15 (Fig.</w:t>
      </w:r>
      <w:r w:rsidR="002E6EF3" w:rsidRPr="00E27DAB">
        <w:rPr>
          <w:rFonts w:cstheme="minorHAnsi"/>
          <w:lang w:val="en-GB"/>
        </w:rPr>
        <w:t>10</w:t>
      </w:r>
      <w:r w:rsidR="00306364" w:rsidRPr="00E27DAB">
        <w:rPr>
          <w:rFonts w:cstheme="minorHAnsi"/>
          <w:lang w:val="en-GB"/>
        </w:rPr>
        <w:t xml:space="preserve">) </w:t>
      </w:r>
      <w:r w:rsidR="00190AAA">
        <w:rPr>
          <w:rFonts w:cstheme="minorHAnsi"/>
        </w:rPr>
        <w:t xml:space="preserve">shows the split opinion of respondents on whether the attainment gap is created by deprivation. </w:t>
      </w:r>
    </w:p>
    <w:p w14:paraId="096D6771" w14:textId="5EA9CF83" w:rsidR="00EC2FAA" w:rsidRPr="00E27DAB" w:rsidRDefault="003C1AD9" w:rsidP="00E27DAB">
      <w:pPr>
        <w:spacing w:line="480" w:lineRule="auto"/>
        <w:rPr>
          <w:rFonts w:eastAsia="Times New Roman" w:cstheme="minorHAnsi"/>
          <w:lang w:val="en-GB" w:eastAsia="en-GB"/>
        </w:rPr>
      </w:pPr>
      <w:r w:rsidRPr="00E27DAB">
        <w:rPr>
          <w:rFonts w:cstheme="minorHAnsi"/>
        </w:rPr>
        <w:t>A</w:t>
      </w:r>
      <w:r w:rsidR="00306364" w:rsidRPr="00E27DAB">
        <w:rPr>
          <w:rFonts w:cstheme="minorHAnsi"/>
        </w:rPr>
        <w:t xml:space="preserve"> number of factors</w:t>
      </w:r>
      <w:r w:rsidRPr="00E27DAB">
        <w:rPr>
          <w:rFonts w:cstheme="minorHAnsi"/>
        </w:rPr>
        <w:t xml:space="preserve"> </w:t>
      </w:r>
      <w:r w:rsidR="00306364" w:rsidRPr="00E27DAB">
        <w:rPr>
          <w:rFonts w:cstheme="minorHAnsi"/>
        </w:rPr>
        <w:t>cause the attainment gap</w:t>
      </w:r>
      <w:r w:rsidRPr="00E27DAB">
        <w:rPr>
          <w:rFonts w:cstheme="minorHAnsi"/>
        </w:rPr>
        <w:t xml:space="preserve">. </w:t>
      </w:r>
      <w:r w:rsidR="00306364" w:rsidRPr="00E27DAB">
        <w:rPr>
          <w:rFonts w:cstheme="minorHAnsi"/>
        </w:rPr>
        <w:t xml:space="preserve">Douglas (1964) </w:t>
      </w:r>
      <w:r w:rsidR="00B07A7F" w:rsidRPr="00E27DAB">
        <w:rPr>
          <w:rFonts w:cstheme="minorHAnsi"/>
        </w:rPr>
        <w:t>assert</w:t>
      </w:r>
      <w:r w:rsidRPr="00E27DAB">
        <w:rPr>
          <w:rFonts w:cstheme="minorHAnsi"/>
        </w:rPr>
        <w:t>s</w:t>
      </w:r>
      <w:r w:rsidR="00B07A7F" w:rsidRPr="00E27DAB">
        <w:rPr>
          <w:rFonts w:cstheme="minorHAnsi"/>
        </w:rPr>
        <w:t xml:space="preserve"> </w:t>
      </w:r>
      <w:r w:rsidR="00306364" w:rsidRPr="00E27DAB">
        <w:rPr>
          <w:rFonts w:cstheme="minorHAnsi"/>
        </w:rPr>
        <w:t>that material factors affect attainment,</w:t>
      </w:r>
      <w:r w:rsidR="00B07A7F" w:rsidRPr="00E27DAB">
        <w:rPr>
          <w:rFonts w:cstheme="minorHAnsi"/>
        </w:rPr>
        <w:t xml:space="preserve"> suggesting lack of a computer</w:t>
      </w:r>
      <w:r w:rsidR="006824A0">
        <w:rPr>
          <w:rFonts w:cstheme="minorHAnsi"/>
        </w:rPr>
        <w:t xml:space="preserve"> or study room</w:t>
      </w:r>
      <w:r w:rsidR="00B07A7F" w:rsidRPr="00E27DAB">
        <w:rPr>
          <w:rFonts w:cstheme="minorHAnsi"/>
        </w:rPr>
        <w:t>, fewer books at home</w:t>
      </w:r>
      <w:r w:rsidR="006824A0">
        <w:rPr>
          <w:rFonts w:cstheme="minorHAnsi"/>
        </w:rPr>
        <w:t xml:space="preserve"> and </w:t>
      </w:r>
      <w:r w:rsidR="00B07A7F" w:rsidRPr="00E27DAB">
        <w:rPr>
          <w:rFonts w:cstheme="minorHAnsi"/>
        </w:rPr>
        <w:t>less money for trips and equipment causes inequality for those living in poverty</w:t>
      </w:r>
      <w:r w:rsidRPr="00E27DAB">
        <w:rPr>
          <w:rFonts w:cstheme="minorHAnsi"/>
        </w:rPr>
        <w:t xml:space="preserve">. </w:t>
      </w:r>
      <w:r w:rsidR="007B0D20" w:rsidRPr="00E27DAB">
        <w:rPr>
          <w:rFonts w:cstheme="minorHAnsi"/>
        </w:rPr>
        <w:t>Antonow­Schlorke et al.</w:t>
      </w:r>
      <w:r w:rsidRPr="00E27DAB">
        <w:rPr>
          <w:rFonts w:cstheme="minorHAnsi"/>
        </w:rPr>
        <w:t xml:space="preserve"> (</w:t>
      </w:r>
      <w:r w:rsidR="007B0D20" w:rsidRPr="00E27DAB">
        <w:rPr>
          <w:rFonts w:cstheme="minorHAnsi"/>
        </w:rPr>
        <w:t>2011</w:t>
      </w:r>
      <w:r w:rsidR="009F0293" w:rsidRPr="00E27DAB">
        <w:rPr>
          <w:rFonts w:cstheme="minorHAnsi"/>
        </w:rPr>
        <w:t>, as cited in J</w:t>
      </w:r>
      <w:r w:rsidR="008A0338" w:rsidRPr="00E27DAB">
        <w:rPr>
          <w:rFonts w:cstheme="minorHAnsi"/>
        </w:rPr>
        <w:t>ensen, 2013</w:t>
      </w:r>
      <w:r w:rsidR="007B0D20" w:rsidRPr="00E27DAB">
        <w:rPr>
          <w:rFonts w:cstheme="minorHAnsi"/>
        </w:rPr>
        <w:t>) suggest</w:t>
      </w:r>
      <w:r w:rsidRPr="00E27DAB">
        <w:rPr>
          <w:rFonts w:cstheme="minorHAnsi"/>
        </w:rPr>
        <w:t>s</w:t>
      </w:r>
      <w:r w:rsidR="007B0D20" w:rsidRPr="00E27DAB">
        <w:rPr>
          <w:rFonts w:cstheme="minorHAnsi"/>
        </w:rPr>
        <w:t xml:space="preserve"> poor nutrition </w:t>
      </w:r>
      <w:r w:rsidR="006F5E7C">
        <w:rPr>
          <w:rFonts w:cstheme="minorHAnsi"/>
        </w:rPr>
        <w:t>is a factor when considering</w:t>
      </w:r>
      <w:r w:rsidR="007B0D20" w:rsidRPr="00E27DAB">
        <w:rPr>
          <w:rFonts w:cstheme="minorHAnsi"/>
        </w:rPr>
        <w:t xml:space="preserve"> children’s learning</w:t>
      </w:r>
      <w:r w:rsidR="006F5E7C">
        <w:rPr>
          <w:rFonts w:cstheme="minorHAnsi"/>
        </w:rPr>
        <w:t xml:space="preserve">, while </w:t>
      </w:r>
      <w:r w:rsidR="00B07A7F" w:rsidRPr="00E27DAB">
        <w:rPr>
          <w:rFonts w:eastAsia="Times New Roman" w:cstheme="minorHAnsi"/>
          <w:lang w:val="en-GB" w:eastAsia="en-GB"/>
        </w:rPr>
        <w:t xml:space="preserve">Lisa Harker (2006) </w:t>
      </w:r>
      <w:r w:rsidR="00220615" w:rsidRPr="00E27DAB">
        <w:rPr>
          <w:rFonts w:eastAsia="Times New Roman" w:cstheme="minorHAnsi"/>
          <w:lang w:val="en-GB" w:eastAsia="en-GB"/>
        </w:rPr>
        <w:t xml:space="preserve">proposes a </w:t>
      </w:r>
      <w:r w:rsidR="00B07A7F" w:rsidRPr="00E27DAB">
        <w:rPr>
          <w:rFonts w:eastAsia="Times New Roman" w:cstheme="minorHAnsi"/>
          <w:lang w:val="en-GB" w:eastAsia="en-GB"/>
        </w:rPr>
        <w:t>relationship between poor-quality housing and low attainment at school</w:t>
      </w:r>
      <w:r w:rsidRPr="00E27DAB">
        <w:rPr>
          <w:rFonts w:eastAsia="Times New Roman" w:cstheme="minorHAnsi"/>
          <w:lang w:val="en-GB" w:eastAsia="en-GB"/>
        </w:rPr>
        <w:t>;</w:t>
      </w:r>
      <w:r w:rsidR="00220615" w:rsidRPr="00E27DAB">
        <w:rPr>
          <w:rFonts w:eastAsia="Times New Roman" w:cstheme="minorHAnsi"/>
          <w:lang w:val="en-GB" w:eastAsia="en-GB"/>
        </w:rPr>
        <w:t xml:space="preserve"> she </w:t>
      </w:r>
      <w:r w:rsidR="00B07A7F" w:rsidRPr="00E27DAB">
        <w:rPr>
          <w:rFonts w:eastAsia="Times New Roman" w:cstheme="minorHAnsi"/>
          <w:lang w:val="en-GB" w:eastAsia="en-GB"/>
        </w:rPr>
        <w:t>found</w:t>
      </w:r>
      <w:r w:rsidRPr="00E27DAB">
        <w:rPr>
          <w:rFonts w:eastAsia="Times New Roman" w:cstheme="minorHAnsi"/>
          <w:lang w:val="en-GB" w:eastAsia="en-GB"/>
        </w:rPr>
        <w:t xml:space="preserve"> l</w:t>
      </w:r>
      <w:r w:rsidR="00B07A7F" w:rsidRPr="00E27DAB">
        <w:rPr>
          <w:rFonts w:eastAsia="Times New Roman" w:cstheme="minorHAnsi"/>
          <w:lang w:val="en-GB" w:eastAsia="en-GB"/>
        </w:rPr>
        <w:t xml:space="preserve">ess space to play meant a restricted cognitive </w:t>
      </w:r>
      <w:r w:rsidR="00220615" w:rsidRPr="00E27DAB">
        <w:rPr>
          <w:rFonts w:eastAsia="Times New Roman" w:cstheme="minorHAnsi"/>
          <w:lang w:val="en-GB" w:eastAsia="en-GB"/>
        </w:rPr>
        <w:t>development</w:t>
      </w:r>
      <w:r w:rsidRPr="00E27DAB">
        <w:rPr>
          <w:rFonts w:eastAsia="Times New Roman" w:cstheme="minorHAnsi"/>
          <w:lang w:val="en-GB" w:eastAsia="en-GB"/>
        </w:rPr>
        <w:t xml:space="preserve">. </w:t>
      </w:r>
      <w:r w:rsidR="00EB34A4" w:rsidRPr="00E27DAB">
        <w:rPr>
          <w:rFonts w:cstheme="minorHAnsi"/>
          <w:lang w:val="en-GB"/>
        </w:rPr>
        <w:t>Mani et al (2013) suggest</w:t>
      </w:r>
      <w:r w:rsidRPr="00E27DAB">
        <w:rPr>
          <w:rFonts w:cstheme="minorHAnsi"/>
          <w:lang w:val="en-GB"/>
        </w:rPr>
        <w:t>s</w:t>
      </w:r>
      <w:r w:rsidR="00EB34A4" w:rsidRPr="00E27DAB">
        <w:rPr>
          <w:rFonts w:cstheme="minorHAnsi"/>
          <w:lang w:val="en-GB"/>
        </w:rPr>
        <w:t xml:space="preserve"> poverty causes </w:t>
      </w:r>
      <w:r w:rsidR="006F5E7C" w:rsidRPr="00E27DAB">
        <w:rPr>
          <w:rFonts w:cstheme="minorHAnsi"/>
          <w:lang w:val="en-GB"/>
        </w:rPr>
        <w:t>a cognitive</w:t>
      </w:r>
      <w:r w:rsidR="00EB34A4" w:rsidRPr="00E27DAB">
        <w:rPr>
          <w:rFonts w:cstheme="minorHAnsi"/>
          <w:lang w:val="en-GB"/>
        </w:rPr>
        <w:t xml:space="preserve"> load which disengages children</w:t>
      </w:r>
      <w:r w:rsidRPr="00E27DAB">
        <w:rPr>
          <w:rFonts w:cstheme="minorHAnsi"/>
          <w:lang w:val="en-GB"/>
        </w:rPr>
        <w:t>, making learning difficult</w:t>
      </w:r>
      <w:r w:rsidR="00DE16C4" w:rsidRPr="00E27DAB">
        <w:rPr>
          <w:rFonts w:cstheme="minorHAnsi"/>
          <w:lang w:val="en-GB"/>
        </w:rPr>
        <w:t xml:space="preserve">. </w:t>
      </w:r>
      <w:r w:rsidR="00EA749B" w:rsidRPr="00E27DAB">
        <w:rPr>
          <w:rFonts w:cstheme="minorHAnsi"/>
          <w:lang w:val="en-GB"/>
        </w:rPr>
        <w:t xml:space="preserve">Almeida, et al. </w:t>
      </w:r>
      <w:r w:rsidR="00DE16C4" w:rsidRPr="00E27DAB">
        <w:rPr>
          <w:rFonts w:cstheme="minorHAnsi"/>
          <w:lang w:val="en-GB"/>
        </w:rPr>
        <w:t>(</w:t>
      </w:r>
      <w:r w:rsidR="00EA749B" w:rsidRPr="00E27DAB">
        <w:rPr>
          <w:rFonts w:cstheme="minorHAnsi"/>
          <w:lang w:val="en-GB"/>
        </w:rPr>
        <w:t>2005</w:t>
      </w:r>
      <w:r w:rsidR="007F18FE" w:rsidRPr="00E27DAB">
        <w:rPr>
          <w:rFonts w:cstheme="minorHAnsi"/>
          <w:lang w:val="en-GB"/>
        </w:rPr>
        <w:t xml:space="preserve"> as cited in </w:t>
      </w:r>
      <w:r w:rsidR="0047036D" w:rsidRPr="00E27DAB">
        <w:rPr>
          <w:rFonts w:cstheme="minorHAnsi"/>
          <w:lang w:val="en-GB"/>
        </w:rPr>
        <w:t xml:space="preserve">The science network, 2019) </w:t>
      </w:r>
      <w:r w:rsidR="00EA749B" w:rsidRPr="00E27DAB">
        <w:rPr>
          <w:rFonts w:cstheme="minorHAnsi"/>
          <w:lang w:val="en-GB"/>
        </w:rPr>
        <w:t>suggest</w:t>
      </w:r>
      <w:r w:rsidR="00DE16C4" w:rsidRPr="00E27DAB">
        <w:rPr>
          <w:rFonts w:cstheme="minorHAnsi"/>
          <w:lang w:val="en-GB"/>
        </w:rPr>
        <w:t>s</w:t>
      </w:r>
      <w:r w:rsidR="00E811CB">
        <w:rPr>
          <w:rFonts w:cstheme="minorHAnsi"/>
          <w:lang w:val="en-GB"/>
        </w:rPr>
        <w:t xml:space="preserve"> this could be because</w:t>
      </w:r>
      <w:r w:rsidR="00EA749B" w:rsidRPr="00E27DAB">
        <w:rPr>
          <w:rFonts w:cstheme="minorHAnsi"/>
          <w:lang w:val="en-GB"/>
        </w:rPr>
        <w:t xml:space="preserve"> there are up to 35</w:t>
      </w:r>
      <w:r w:rsidR="00B96820">
        <w:rPr>
          <w:rFonts w:cstheme="minorHAnsi"/>
          <w:lang w:val="en-GB"/>
        </w:rPr>
        <w:t>%</w:t>
      </w:r>
      <w:r w:rsidR="006F5E7C">
        <w:rPr>
          <w:rFonts w:cstheme="minorHAnsi"/>
          <w:lang w:val="en-GB"/>
        </w:rPr>
        <w:t xml:space="preserve"> </w:t>
      </w:r>
      <w:r w:rsidR="00EA749B" w:rsidRPr="00E27DAB">
        <w:rPr>
          <w:rFonts w:cstheme="minorHAnsi"/>
          <w:lang w:val="en-GB"/>
        </w:rPr>
        <w:t xml:space="preserve">more daily hassles for children from a low economic background. </w:t>
      </w:r>
      <w:r w:rsidR="00B07A7F" w:rsidRPr="00E27DAB">
        <w:rPr>
          <w:rFonts w:eastAsia="Times New Roman" w:cstheme="minorHAnsi"/>
          <w:lang w:val="en-GB" w:eastAsia="en-GB"/>
        </w:rPr>
        <w:t xml:space="preserve">Farah </w:t>
      </w:r>
      <w:r w:rsidR="00DE16C4" w:rsidRPr="00E27DAB">
        <w:rPr>
          <w:rFonts w:eastAsia="Times New Roman" w:cstheme="minorHAnsi"/>
          <w:lang w:val="en-GB" w:eastAsia="en-GB"/>
        </w:rPr>
        <w:t>e</w:t>
      </w:r>
      <w:r w:rsidR="00885ABF" w:rsidRPr="00E27DAB">
        <w:rPr>
          <w:rFonts w:eastAsia="Times New Roman" w:cstheme="minorHAnsi"/>
          <w:lang w:val="en-GB" w:eastAsia="en-GB"/>
        </w:rPr>
        <w:t>t al.</w:t>
      </w:r>
      <w:r w:rsidR="00DE16C4" w:rsidRPr="00E27DAB">
        <w:rPr>
          <w:rFonts w:eastAsia="Times New Roman" w:cstheme="minorHAnsi"/>
          <w:lang w:val="en-GB" w:eastAsia="en-GB"/>
        </w:rPr>
        <w:t xml:space="preserve"> </w:t>
      </w:r>
      <w:r w:rsidR="00B07A7F" w:rsidRPr="00E27DAB">
        <w:rPr>
          <w:rFonts w:eastAsia="Times New Roman" w:cstheme="minorHAnsi"/>
          <w:lang w:val="en-GB" w:eastAsia="en-GB"/>
        </w:rPr>
        <w:t xml:space="preserve">(2006) </w:t>
      </w:r>
      <w:r w:rsidR="00220615" w:rsidRPr="00E27DAB">
        <w:rPr>
          <w:rFonts w:eastAsia="Times New Roman" w:cstheme="minorHAnsi"/>
          <w:lang w:val="en-GB" w:eastAsia="en-GB"/>
        </w:rPr>
        <w:t xml:space="preserve">states that poverty </w:t>
      </w:r>
      <w:r w:rsidR="00DE16C4" w:rsidRPr="00E27DAB">
        <w:rPr>
          <w:rFonts w:eastAsia="Times New Roman" w:cstheme="minorHAnsi"/>
          <w:lang w:val="en-GB" w:eastAsia="en-GB"/>
        </w:rPr>
        <w:t xml:space="preserve">directly impacts upon </w:t>
      </w:r>
      <w:r w:rsidR="00220615" w:rsidRPr="00E27DAB">
        <w:rPr>
          <w:rFonts w:eastAsia="Times New Roman" w:cstheme="minorHAnsi"/>
          <w:lang w:val="en-GB" w:eastAsia="en-GB"/>
        </w:rPr>
        <w:t xml:space="preserve">brain development, </w:t>
      </w:r>
      <w:r w:rsidR="00DE16C4" w:rsidRPr="00E27DAB">
        <w:rPr>
          <w:rFonts w:eastAsia="Times New Roman" w:cstheme="minorHAnsi"/>
          <w:lang w:val="en-GB" w:eastAsia="en-GB"/>
        </w:rPr>
        <w:t>a</w:t>
      </w:r>
      <w:r w:rsidR="00220615" w:rsidRPr="00E27DAB">
        <w:rPr>
          <w:rFonts w:eastAsia="Times New Roman" w:cstheme="minorHAnsi"/>
          <w:lang w:val="en-GB" w:eastAsia="en-GB"/>
        </w:rPr>
        <w:t>ffecting attainment</w:t>
      </w:r>
      <w:r w:rsidR="00DE16C4" w:rsidRPr="00E27DAB">
        <w:rPr>
          <w:rFonts w:eastAsia="Times New Roman" w:cstheme="minorHAnsi"/>
          <w:lang w:val="en-GB" w:eastAsia="en-GB"/>
        </w:rPr>
        <w:t xml:space="preserve">. </w:t>
      </w:r>
      <w:r w:rsidR="005D2EFF" w:rsidRPr="00E27DAB">
        <w:rPr>
          <w:rFonts w:eastAsia="Times New Roman" w:cstheme="minorHAnsi"/>
          <w:lang w:val="en-GB" w:eastAsia="en-GB"/>
        </w:rPr>
        <w:t>Children fro</w:t>
      </w:r>
      <w:r w:rsidR="00E72E2E" w:rsidRPr="00E27DAB">
        <w:rPr>
          <w:rFonts w:eastAsia="Times New Roman" w:cstheme="minorHAnsi"/>
          <w:lang w:val="en-GB" w:eastAsia="en-GB"/>
        </w:rPr>
        <w:t xml:space="preserve">m a poorer </w:t>
      </w:r>
      <w:r w:rsidR="005D2EFF" w:rsidRPr="00E27DAB">
        <w:rPr>
          <w:rFonts w:eastAsia="Times New Roman" w:cstheme="minorHAnsi"/>
          <w:lang w:val="en-GB" w:eastAsia="en-GB"/>
        </w:rPr>
        <w:t xml:space="preserve">background </w:t>
      </w:r>
      <w:r w:rsidR="00E72E2E" w:rsidRPr="00E27DAB">
        <w:rPr>
          <w:rFonts w:eastAsia="Times New Roman" w:cstheme="minorHAnsi"/>
          <w:lang w:val="en-GB" w:eastAsia="en-GB"/>
        </w:rPr>
        <w:t xml:space="preserve">often </w:t>
      </w:r>
      <w:r w:rsidR="005D2EFF" w:rsidRPr="00E27DAB">
        <w:rPr>
          <w:rFonts w:eastAsia="Times New Roman" w:cstheme="minorHAnsi"/>
          <w:lang w:val="en-GB" w:eastAsia="en-GB"/>
        </w:rPr>
        <w:t>show cognitive</w:t>
      </w:r>
      <w:r w:rsidR="00743481" w:rsidRPr="00E27DAB">
        <w:rPr>
          <w:rFonts w:eastAsia="Times New Roman" w:cstheme="minorHAnsi"/>
          <w:lang w:val="en-GB" w:eastAsia="en-GB"/>
        </w:rPr>
        <w:t xml:space="preserve"> </w:t>
      </w:r>
      <w:r w:rsidR="00E72E2E" w:rsidRPr="00E27DAB">
        <w:rPr>
          <w:rFonts w:eastAsia="Times New Roman" w:cstheme="minorHAnsi"/>
          <w:lang w:val="en-GB" w:eastAsia="en-GB"/>
        </w:rPr>
        <w:t>problems, such as a difficulty monitoring the quality of their work (Alloway</w:t>
      </w:r>
      <w:r w:rsidR="00AB4FBB" w:rsidRPr="00E27DAB">
        <w:rPr>
          <w:rFonts w:eastAsia="Times New Roman" w:cstheme="minorHAnsi"/>
          <w:lang w:val="en-GB" w:eastAsia="en-GB"/>
        </w:rPr>
        <w:t xml:space="preserve"> et al</w:t>
      </w:r>
      <w:r w:rsidR="00DE16C4" w:rsidRPr="00E27DAB">
        <w:rPr>
          <w:rFonts w:eastAsia="Times New Roman" w:cstheme="minorHAnsi"/>
          <w:lang w:val="en-GB" w:eastAsia="en-GB"/>
        </w:rPr>
        <w:t xml:space="preserve">., </w:t>
      </w:r>
      <w:r w:rsidR="00E72E2E" w:rsidRPr="00E27DAB">
        <w:rPr>
          <w:rFonts w:eastAsia="Times New Roman" w:cstheme="minorHAnsi"/>
          <w:lang w:val="en-GB" w:eastAsia="en-GB"/>
        </w:rPr>
        <w:t xml:space="preserve">2009), </w:t>
      </w:r>
      <w:r w:rsidR="005D2EFF" w:rsidRPr="00E27DAB">
        <w:rPr>
          <w:rFonts w:eastAsia="Times New Roman" w:cstheme="minorHAnsi"/>
          <w:lang w:val="en-GB" w:eastAsia="en-GB"/>
        </w:rPr>
        <w:t xml:space="preserve">suggesting that school is more difficult for poorer children. </w:t>
      </w:r>
    </w:p>
    <w:p w14:paraId="3FEC4D25" w14:textId="29F09A03" w:rsidR="00B07A7F" w:rsidRPr="00E811CB" w:rsidRDefault="005D79B2" w:rsidP="00E811CB">
      <w:pPr>
        <w:spacing w:line="480" w:lineRule="auto"/>
        <w:rPr>
          <w:rFonts w:cstheme="minorHAnsi"/>
          <w:lang w:val="en-GB"/>
        </w:rPr>
      </w:pPr>
      <w:r w:rsidRPr="00E27DAB">
        <w:rPr>
          <w:rFonts w:eastAsia="Times New Roman" w:cstheme="minorHAnsi"/>
          <w:lang w:val="en-GB" w:eastAsia="en-GB"/>
        </w:rPr>
        <w:t>White et al</w:t>
      </w:r>
      <w:r w:rsidR="002612F9" w:rsidRPr="00E27DAB">
        <w:rPr>
          <w:rFonts w:eastAsia="Times New Roman" w:cstheme="minorHAnsi"/>
          <w:lang w:val="en-GB" w:eastAsia="en-GB"/>
        </w:rPr>
        <w:t xml:space="preserve"> </w:t>
      </w:r>
      <w:r w:rsidR="00666707" w:rsidRPr="00E27DAB">
        <w:rPr>
          <w:rFonts w:eastAsia="Times New Roman" w:cstheme="minorHAnsi"/>
          <w:lang w:val="en-GB" w:eastAsia="en-GB"/>
        </w:rPr>
        <w:t>(</w:t>
      </w:r>
      <w:r w:rsidRPr="00E27DAB">
        <w:rPr>
          <w:rFonts w:eastAsia="Times New Roman" w:cstheme="minorHAnsi"/>
          <w:lang w:val="en-GB" w:eastAsia="en-GB"/>
        </w:rPr>
        <w:t>2009</w:t>
      </w:r>
      <w:r w:rsidR="002612F9" w:rsidRPr="00E27DAB">
        <w:rPr>
          <w:rFonts w:eastAsia="Times New Roman" w:cstheme="minorHAnsi"/>
          <w:lang w:val="en-GB" w:eastAsia="en-GB"/>
        </w:rPr>
        <w:t xml:space="preserve"> as cited in Armstrong, 2015</w:t>
      </w:r>
      <w:r w:rsidRPr="00E27DAB">
        <w:rPr>
          <w:rFonts w:eastAsia="Times New Roman" w:cstheme="minorHAnsi"/>
          <w:lang w:val="en-GB" w:eastAsia="en-GB"/>
        </w:rPr>
        <w:t>) suggest that some teachers feel unprepared to teach children living in areas with high levels of poverty</w:t>
      </w:r>
      <w:r w:rsidR="004F22F8" w:rsidRPr="00E27DAB">
        <w:rPr>
          <w:rFonts w:eastAsia="Times New Roman" w:cstheme="minorHAnsi"/>
          <w:lang w:val="en-GB" w:eastAsia="en-GB"/>
        </w:rPr>
        <w:t xml:space="preserve">. He </w:t>
      </w:r>
      <w:r w:rsidR="00666707" w:rsidRPr="00E27DAB">
        <w:rPr>
          <w:rFonts w:eastAsia="Times New Roman" w:cstheme="minorHAnsi"/>
          <w:lang w:val="en-GB" w:eastAsia="en-GB"/>
        </w:rPr>
        <w:t xml:space="preserve">offers teacher training as a solution to combat this. </w:t>
      </w:r>
      <w:r w:rsidR="00EA725F" w:rsidRPr="00E27DAB">
        <w:rPr>
          <w:rFonts w:eastAsia="Times New Roman" w:cstheme="minorHAnsi"/>
          <w:lang w:val="en-GB" w:eastAsia="en-GB"/>
        </w:rPr>
        <w:t>Mangels</w:t>
      </w:r>
      <w:r w:rsidR="00B05ABC" w:rsidRPr="00E27DAB">
        <w:rPr>
          <w:rFonts w:eastAsia="Times New Roman" w:cstheme="minorHAnsi"/>
          <w:lang w:val="en-GB" w:eastAsia="en-GB"/>
        </w:rPr>
        <w:t xml:space="preserve"> et al., </w:t>
      </w:r>
      <w:r w:rsidR="00EA725F" w:rsidRPr="00E27DAB">
        <w:rPr>
          <w:rFonts w:eastAsia="Times New Roman" w:cstheme="minorHAnsi"/>
          <w:lang w:val="en-GB" w:eastAsia="en-GB"/>
        </w:rPr>
        <w:t xml:space="preserve">(2006) believe teachers should focus on growth </w:t>
      </w:r>
      <w:r w:rsidR="00666707" w:rsidRPr="00E27DAB">
        <w:rPr>
          <w:rFonts w:eastAsia="Times New Roman" w:cstheme="minorHAnsi"/>
          <w:lang w:val="en-GB" w:eastAsia="en-GB"/>
        </w:rPr>
        <w:t>as</w:t>
      </w:r>
      <w:r w:rsidR="00EA725F" w:rsidRPr="00E27DAB">
        <w:rPr>
          <w:rFonts w:eastAsia="Times New Roman" w:cstheme="minorHAnsi"/>
          <w:lang w:val="en-GB" w:eastAsia="en-GB"/>
        </w:rPr>
        <w:t xml:space="preserve"> expectations and mindset have a large impact on engagement. </w:t>
      </w:r>
      <w:r w:rsidR="00C66BED" w:rsidRPr="00E27DAB">
        <w:rPr>
          <w:rFonts w:cstheme="minorHAnsi"/>
          <w:lang w:val="en-GB"/>
        </w:rPr>
        <w:t>The d</w:t>
      </w:r>
      <w:r w:rsidR="00AC200A" w:rsidRPr="00E27DAB">
        <w:rPr>
          <w:rFonts w:cstheme="minorHAnsi"/>
        </w:rPr>
        <w:t>epartment for education</w:t>
      </w:r>
      <w:r w:rsidR="00C66BED" w:rsidRPr="00E27DAB">
        <w:rPr>
          <w:rFonts w:cstheme="minorHAnsi"/>
        </w:rPr>
        <w:t xml:space="preserve"> (</w:t>
      </w:r>
      <w:r w:rsidR="00AC200A" w:rsidRPr="00E27DAB">
        <w:rPr>
          <w:rFonts w:cstheme="minorHAnsi"/>
        </w:rPr>
        <w:t xml:space="preserve">2015) </w:t>
      </w:r>
      <w:r w:rsidR="004F22F8" w:rsidRPr="00E27DAB">
        <w:rPr>
          <w:rFonts w:cstheme="minorHAnsi"/>
        </w:rPr>
        <w:t>suggests</w:t>
      </w:r>
      <w:r w:rsidR="00AC200A" w:rsidRPr="00E27DAB">
        <w:rPr>
          <w:rFonts w:cstheme="minorHAnsi"/>
        </w:rPr>
        <w:t xml:space="preserve"> there is a 16.1% attainment gap at ks2 reading, writing and math</w:t>
      </w:r>
      <w:r w:rsidR="00C66BED" w:rsidRPr="00E27DAB">
        <w:rPr>
          <w:rFonts w:cstheme="minorHAnsi"/>
        </w:rPr>
        <w:t xml:space="preserve">s. </w:t>
      </w:r>
      <w:r w:rsidR="004C005B" w:rsidRPr="00E27DAB">
        <w:rPr>
          <w:rFonts w:cstheme="minorHAnsi"/>
        </w:rPr>
        <w:t>T</w:t>
      </w:r>
      <w:r w:rsidR="00EA7F76" w:rsidRPr="00E27DAB">
        <w:rPr>
          <w:rFonts w:eastAsia="Times New Roman" w:cstheme="minorHAnsi"/>
          <w:lang w:val="en-GB" w:eastAsia="en-GB"/>
        </w:rPr>
        <w:t>he Education Endowment Foundations (2017) suggest t</w:t>
      </w:r>
      <w:r w:rsidR="00D168AB" w:rsidRPr="00E27DAB">
        <w:rPr>
          <w:rFonts w:eastAsia="Times New Roman" w:cstheme="minorHAnsi"/>
          <w:lang w:val="en-GB" w:eastAsia="en-GB"/>
        </w:rPr>
        <w:t>he attainment gap is largest for children and young people eligible for free school meals</w:t>
      </w:r>
      <w:r w:rsidR="00C66BED" w:rsidRPr="00E27DAB">
        <w:rPr>
          <w:rFonts w:eastAsia="Times New Roman" w:cstheme="minorHAnsi"/>
          <w:lang w:val="en-GB" w:eastAsia="en-GB"/>
        </w:rPr>
        <w:t xml:space="preserve">. </w:t>
      </w:r>
      <w:r w:rsidR="00072857" w:rsidRPr="00E27DAB">
        <w:rPr>
          <w:rFonts w:eastAsia="Times New Roman" w:cstheme="minorHAnsi"/>
          <w:lang w:val="en-GB" w:eastAsia="en-GB"/>
        </w:rPr>
        <w:t>A</w:t>
      </w:r>
      <w:r w:rsidR="00056C99" w:rsidRPr="00E27DAB">
        <w:rPr>
          <w:rFonts w:eastAsia="Times New Roman" w:cstheme="minorHAnsi"/>
          <w:lang w:val="en-GB" w:eastAsia="en-GB"/>
        </w:rPr>
        <w:t xml:space="preserve">llen </w:t>
      </w:r>
      <w:r w:rsidR="00072857" w:rsidRPr="00E27DAB">
        <w:rPr>
          <w:rFonts w:eastAsia="Times New Roman" w:cstheme="minorHAnsi"/>
          <w:lang w:val="en-GB" w:eastAsia="en-GB"/>
        </w:rPr>
        <w:t>(201</w:t>
      </w:r>
      <w:r w:rsidR="00D73D45" w:rsidRPr="00E27DAB">
        <w:rPr>
          <w:rFonts w:eastAsia="Times New Roman" w:cstheme="minorHAnsi"/>
          <w:lang w:val="en-GB" w:eastAsia="en-GB"/>
        </w:rPr>
        <w:t>9</w:t>
      </w:r>
      <w:r w:rsidR="00072857" w:rsidRPr="00E27DAB">
        <w:rPr>
          <w:rFonts w:eastAsia="Times New Roman" w:cstheme="minorHAnsi"/>
          <w:lang w:val="en-GB" w:eastAsia="en-GB"/>
        </w:rPr>
        <w:t xml:space="preserve">) </w:t>
      </w:r>
      <w:r w:rsidR="00056C99" w:rsidRPr="00E27DAB">
        <w:rPr>
          <w:rFonts w:eastAsia="Times New Roman" w:cstheme="minorHAnsi"/>
          <w:lang w:val="en-GB" w:eastAsia="en-GB"/>
        </w:rPr>
        <w:t>suggests the attainment gap could be created due the system of schooling being stratified</w:t>
      </w:r>
      <w:r w:rsidR="00EC2FAA" w:rsidRPr="00E27DAB">
        <w:rPr>
          <w:rFonts w:eastAsia="Times New Roman" w:cstheme="minorHAnsi"/>
          <w:lang w:val="en-GB" w:eastAsia="en-GB"/>
        </w:rPr>
        <w:t>.</w:t>
      </w:r>
      <w:r w:rsidR="005073F3" w:rsidRPr="00E27DAB">
        <w:rPr>
          <w:rFonts w:eastAsia="Times New Roman" w:cstheme="minorHAnsi"/>
          <w:lang w:val="en-GB" w:eastAsia="en-GB"/>
        </w:rPr>
        <w:t xml:space="preserve"> </w:t>
      </w:r>
      <w:r w:rsidR="00E811CB">
        <w:rPr>
          <w:rFonts w:eastAsia="Times New Roman" w:cstheme="minorHAnsi"/>
          <w:lang w:val="en-GB" w:eastAsia="en-GB"/>
        </w:rPr>
        <w:t>C</w:t>
      </w:r>
      <w:r w:rsidR="005073F3" w:rsidRPr="00E27DAB">
        <w:rPr>
          <w:rFonts w:eastAsia="Times New Roman" w:cstheme="minorHAnsi"/>
          <w:lang w:val="en-GB" w:eastAsia="en-GB"/>
        </w:rPr>
        <w:t xml:space="preserve">hildren who live in poverty </w:t>
      </w:r>
      <w:r w:rsidR="00EC2FAA" w:rsidRPr="00E27DAB">
        <w:rPr>
          <w:rFonts w:eastAsia="Times New Roman" w:cstheme="minorHAnsi"/>
          <w:lang w:val="en-GB" w:eastAsia="en-GB"/>
        </w:rPr>
        <w:t xml:space="preserve">typically </w:t>
      </w:r>
      <w:r w:rsidR="00E811CB">
        <w:rPr>
          <w:rFonts w:eastAsia="Times New Roman" w:cstheme="minorHAnsi"/>
          <w:lang w:val="en-GB" w:eastAsia="en-GB"/>
        </w:rPr>
        <w:t>have a higher</w:t>
      </w:r>
      <w:r w:rsidR="00EC2FAA" w:rsidRPr="00E27DAB">
        <w:rPr>
          <w:rFonts w:eastAsia="Times New Roman" w:cstheme="minorHAnsi"/>
          <w:lang w:val="en-GB" w:eastAsia="en-GB"/>
        </w:rPr>
        <w:t xml:space="preserve"> cognitive load as they</w:t>
      </w:r>
      <w:r w:rsidR="005073F3" w:rsidRPr="00E27DAB">
        <w:rPr>
          <w:rFonts w:eastAsia="Times New Roman" w:cstheme="minorHAnsi"/>
          <w:lang w:val="en-GB" w:eastAsia="en-GB"/>
        </w:rPr>
        <w:t xml:space="preserve"> do not have the prior knowledge their peers have</w:t>
      </w:r>
      <w:r w:rsidR="00EC2FAA" w:rsidRPr="00E27DAB">
        <w:rPr>
          <w:rFonts w:eastAsia="Times New Roman" w:cstheme="minorHAnsi"/>
          <w:lang w:val="en-GB" w:eastAsia="en-GB"/>
        </w:rPr>
        <w:t xml:space="preserve">, often leading to lower aspirations than their peers. </w:t>
      </w:r>
      <w:r w:rsidR="00743481" w:rsidRPr="002026ED">
        <w:rPr>
          <w:rFonts w:eastAsia="Times New Roman" w:cstheme="minorHAnsi"/>
          <w:lang w:val="en-GB" w:eastAsia="en-GB"/>
        </w:rPr>
        <w:t xml:space="preserve">Jensen (2013) suggests </w:t>
      </w:r>
      <w:r w:rsidR="00EC2FAA" w:rsidRPr="002026ED">
        <w:rPr>
          <w:rFonts w:eastAsia="Times New Roman" w:cstheme="minorHAnsi"/>
          <w:lang w:val="en-GB" w:eastAsia="en-GB"/>
        </w:rPr>
        <w:t xml:space="preserve">a </w:t>
      </w:r>
      <w:r w:rsidR="00743481" w:rsidRPr="002026ED">
        <w:rPr>
          <w:rFonts w:eastAsia="Times New Roman" w:cstheme="minorHAnsi"/>
          <w:lang w:val="en-GB" w:eastAsia="en-GB"/>
        </w:rPr>
        <w:t>lack of hope and optimism</w:t>
      </w:r>
      <w:r w:rsidR="00EC2FAA" w:rsidRPr="002026ED">
        <w:rPr>
          <w:rFonts w:eastAsia="Times New Roman" w:cstheme="minorHAnsi"/>
          <w:lang w:val="en-GB" w:eastAsia="en-GB"/>
        </w:rPr>
        <w:t xml:space="preserve"> </w:t>
      </w:r>
      <w:r w:rsidR="006E4318" w:rsidRPr="002026ED">
        <w:rPr>
          <w:rFonts w:eastAsia="Times New Roman" w:cstheme="minorHAnsi"/>
          <w:lang w:val="en-GB" w:eastAsia="en-GB"/>
        </w:rPr>
        <w:t>develops</w:t>
      </w:r>
      <w:r w:rsidR="00EC2FAA" w:rsidRPr="002026ED">
        <w:rPr>
          <w:rFonts w:eastAsia="Times New Roman" w:cstheme="minorHAnsi"/>
          <w:lang w:val="en-GB" w:eastAsia="en-GB"/>
        </w:rPr>
        <w:t xml:space="preserve"> from </w:t>
      </w:r>
      <w:r w:rsidR="006E4318" w:rsidRPr="002026ED">
        <w:rPr>
          <w:rFonts w:eastAsia="Times New Roman" w:cstheme="minorHAnsi"/>
          <w:lang w:val="en-GB" w:eastAsia="en-GB"/>
        </w:rPr>
        <w:t xml:space="preserve">a child’s environment, </w:t>
      </w:r>
      <w:r w:rsidR="001F5AA1" w:rsidRPr="002026ED">
        <w:rPr>
          <w:rFonts w:eastAsia="Times New Roman" w:cstheme="minorHAnsi"/>
          <w:lang w:val="en-GB" w:eastAsia="en-GB"/>
        </w:rPr>
        <w:t>while</w:t>
      </w:r>
      <w:r w:rsidR="00743481" w:rsidRPr="002026ED">
        <w:rPr>
          <w:rFonts w:eastAsia="Times New Roman" w:cstheme="minorHAnsi"/>
          <w:lang w:val="en-GB" w:eastAsia="en-GB"/>
        </w:rPr>
        <w:t xml:space="preserve"> </w:t>
      </w:r>
      <w:r w:rsidR="00B07A7F" w:rsidRPr="002026ED">
        <w:rPr>
          <w:rFonts w:eastAsia="Times New Roman" w:cstheme="minorHAnsi"/>
          <w:lang w:val="en-GB" w:eastAsia="en-GB"/>
        </w:rPr>
        <w:t>Douglas</w:t>
      </w:r>
      <w:r w:rsidR="00B07A7F" w:rsidRPr="00E27DAB">
        <w:rPr>
          <w:rFonts w:eastAsia="Times New Roman" w:cstheme="minorHAnsi"/>
          <w:lang w:val="en-GB" w:eastAsia="en-GB"/>
        </w:rPr>
        <w:t xml:space="preserve"> </w:t>
      </w:r>
      <w:r w:rsidR="00C6743B" w:rsidRPr="00E27DAB">
        <w:rPr>
          <w:rFonts w:eastAsia="Times New Roman" w:cstheme="minorHAnsi"/>
          <w:lang w:val="en-GB" w:eastAsia="en-GB"/>
        </w:rPr>
        <w:t xml:space="preserve">(1964) </w:t>
      </w:r>
      <w:r w:rsidR="00A2294D" w:rsidRPr="00E27DAB">
        <w:rPr>
          <w:rFonts w:eastAsia="Times New Roman" w:cstheme="minorHAnsi"/>
          <w:lang w:val="en-GB" w:eastAsia="en-GB"/>
        </w:rPr>
        <w:t xml:space="preserve">points to </w:t>
      </w:r>
      <w:r w:rsidR="00B07A7F" w:rsidRPr="004F21B8">
        <w:rPr>
          <w:rFonts w:eastAsia="Times New Roman" w:cstheme="minorHAnsi"/>
          <w:bCs/>
          <w:bdr w:val="none" w:sz="0" w:space="0" w:color="auto" w:frame="1"/>
          <w:lang w:val="en-GB" w:eastAsia="en-GB"/>
        </w:rPr>
        <w:t>cultural factors</w:t>
      </w:r>
      <w:r w:rsidR="00A2294D" w:rsidRPr="004F21B8">
        <w:rPr>
          <w:rFonts w:eastAsia="Times New Roman" w:cstheme="minorHAnsi"/>
          <w:bCs/>
          <w:bdr w:val="none" w:sz="0" w:space="0" w:color="auto" w:frame="1"/>
          <w:lang w:val="en-GB" w:eastAsia="en-GB"/>
        </w:rPr>
        <w:t xml:space="preserve"> as affecting children’s attainment.</w:t>
      </w:r>
      <w:r w:rsidR="00B07A7F" w:rsidRPr="00E27DAB">
        <w:rPr>
          <w:rFonts w:eastAsia="Times New Roman" w:cstheme="minorHAnsi"/>
          <w:lang w:val="en-GB" w:eastAsia="en-GB"/>
        </w:rPr>
        <w:t xml:space="preserve"> He</w:t>
      </w:r>
      <w:r w:rsidR="003831C0" w:rsidRPr="00E27DAB">
        <w:rPr>
          <w:rFonts w:eastAsia="Times New Roman" w:cstheme="minorHAnsi"/>
          <w:lang w:val="en-GB" w:eastAsia="en-GB"/>
        </w:rPr>
        <w:t xml:space="preserve"> believe</w:t>
      </w:r>
      <w:r w:rsidR="00A2294D" w:rsidRPr="00E27DAB">
        <w:rPr>
          <w:rFonts w:eastAsia="Times New Roman" w:cstheme="minorHAnsi"/>
          <w:lang w:val="en-GB" w:eastAsia="en-GB"/>
        </w:rPr>
        <w:t xml:space="preserve">s </w:t>
      </w:r>
      <w:r w:rsidR="00B07A7F" w:rsidRPr="00E27DAB">
        <w:rPr>
          <w:rFonts w:eastAsia="Times New Roman" w:cstheme="minorHAnsi"/>
          <w:lang w:val="en-GB" w:eastAsia="en-GB"/>
        </w:rPr>
        <w:t xml:space="preserve">middle-class parents’ attitudes </w:t>
      </w:r>
      <w:r w:rsidR="00C43BCB" w:rsidRPr="00E27DAB">
        <w:rPr>
          <w:rFonts w:eastAsia="Times New Roman" w:cstheme="minorHAnsi"/>
          <w:lang w:val="en-GB" w:eastAsia="en-GB"/>
        </w:rPr>
        <w:t xml:space="preserve">can </w:t>
      </w:r>
      <w:r w:rsidR="00C361F6" w:rsidRPr="00E27DAB">
        <w:rPr>
          <w:rFonts w:eastAsia="Times New Roman" w:cstheme="minorHAnsi"/>
          <w:lang w:val="en-GB" w:eastAsia="en-GB"/>
        </w:rPr>
        <w:t>affect</w:t>
      </w:r>
      <w:r w:rsidR="00C43BCB" w:rsidRPr="00E27DAB">
        <w:rPr>
          <w:rFonts w:eastAsia="Times New Roman" w:cstheme="minorHAnsi"/>
          <w:lang w:val="en-GB" w:eastAsia="en-GB"/>
        </w:rPr>
        <w:t xml:space="preserve"> </w:t>
      </w:r>
      <w:r w:rsidR="00B07A7F" w:rsidRPr="00E27DAB">
        <w:rPr>
          <w:rFonts w:eastAsia="Times New Roman" w:cstheme="minorHAnsi"/>
          <w:lang w:val="en-GB" w:eastAsia="en-GB"/>
        </w:rPr>
        <w:t>child</w:t>
      </w:r>
      <w:r w:rsidR="00A2294D" w:rsidRPr="00E27DAB">
        <w:rPr>
          <w:rFonts w:eastAsia="Times New Roman" w:cstheme="minorHAnsi"/>
          <w:lang w:val="en-GB" w:eastAsia="en-GB"/>
        </w:rPr>
        <w:t>ren’s</w:t>
      </w:r>
      <w:r w:rsidR="00B07A7F" w:rsidRPr="00E27DAB">
        <w:rPr>
          <w:rFonts w:eastAsia="Times New Roman" w:cstheme="minorHAnsi"/>
          <w:lang w:val="en-GB" w:eastAsia="en-GB"/>
        </w:rPr>
        <w:t xml:space="preserve"> attainment</w:t>
      </w:r>
      <w:r w:rsidR="003831C0" w:rsidRPr="00E27DAB">
        <w:rPr>
          <w:rFonts w:eastAsia="Times New Roman" w:cstheme="minorHAnsi"/>
          <w:lang w:val="en-GB" w:eastAsia="en-GB"/>
        </w:rPr>
        <w:t xml:space="preserve">. </w:t>
      </w:r>
      <w:r w:rsidR="00C6743B" w:rsidRPr="00E27DAB">
        <w:rPr>
          <w:rFonts w:eastAsia="Times New Roman" w:cstheme="minorHAnsi"/>
          <w:lang w:val="en-GB" w:eastAsia="en-GB"/>
        </w:rPr>
        <w:t>This is further agreed by Pierre Bo</w:t>
      </w:r>
      <w:r w:rsidR="00A2294D" w:rsidRPr="00E27DAB">
        <w:rPr>
          <w:rFonts w:eastAsia="Times New Roman" w:cstheme="minorHAnsi"/>
          <w:lang w:val="en-GB" w:eastAsia="en-GB"/>
        </w:rPr>
        <w:t>u</w:t>
      </w:r>
      <w:r w:rsidR="00C6743B" w:rsidRPr="00E27DAB">
        <w:rPr>
          <w:rFonts w:eastAsia="Times New Roman" w:cstheme="minorHAnsi"/>
          <w:lang w:val="en-GB" w:eastAsia="en-GB"/>
        </w:rPr>
        <w:t>rdieu</w:t>
      </w:r>
      <w:r w:rsidR="001B74A4" w:rsidRPr="00E27DAB">
        <w:rPr>
          <w:rFonts w:eastAsia="Times New Roman" w:cstheme="minorHAnsi"/>
          <w:lang w:val="en-GB" w:eastAsia="en-GB"/>
        </w:rPr>
        <w:t>’s cultural habitus</w:t>
      </w:r>
      <w:r w:rsidR="00FA29B1" w:rsidRPr="00E27DAB">
        <w:rPr>
          <w:rFonts w:eastAsia="Times New Roman" w:cstheme="minorHAnsi"/>
          <w:lang w:val="en-GB" w:eastAsia="en-GB"/>
        </w:rPr>
        <w:t xml:space="preserve"> (</w:t>
      </w:r>
      <w:r w:rsidR="001B74A4" w:rsidRPr="00E27DAB">
        <w:rPr>
          <w:rFonts w:eastAsia="Times New Roman" w:cstheme="minorHAnsi"/>
          <w:lang w:val="en-GB" w:eastAsia="en-GB"/>
        </w:rPr>
        <w:t>1986</w:t>
      </w:r>
      <w:r w:rsidR="00FA29B1" w:rsidRPr="00E27DAB">
        <w:rPr>
          <w:rFonts w:eastAsia="Times New Roman" w:cstheme="minorHAnsi"/>
          <w:lang w:val="en-GB" w:eastAsia="en-GB"/>
        </w:rPr>
        <w:t>)</w:t>
      </w:r>
      <w:r w:rsidR="00C6743B" w:rsidRPr="00E27DAB">
        <w:rPr>
          <w:rFonts w:eastAsia="Times New Roman" w:cstheme="minorHAnsi"/>
          <w:lang w:val="en-GB" w:eastAsia="en-GB"/>
        </w:rPr>
        <w:t>, wh</w:t>
      </w:r>
      <w:r w:rsidR="00A2294D" w:rsidRPr="00E27DAB">
        <w:rPr>
          <w:rFonts w:eastAsia="Times New Roman" w:cstheme="minorHAnsi"/>
          <w:lang w:val="en-GB" w:eastAsia="en-GB"/>
        </w:rPr>
        <w:t>ich</w:t>
      </w:r>
      <w:r w:rsidR="00C6743B" w:rsidRPr="00E27DAB">
        <w:rPr>
          <w:rFonts w:eastAsia="Times New Roman" w:cstheme="minorHAnsi"/>
          <w:lang w:val="en-GB" w:eastAsia="en-GB"/>
        </w:rPr>
        <w:t xml:space="preserve"> suggests parents’ possession of capital </w:t>
      </w:r>
      <w:r w:rsidR="00A2294D" w:rsidRPr="00E27DAB">
        <w:rPr>
          <w:rFonts w:eastAsia="Times New Roman" w:cstheme="minorHAnsi"/>
          <w:lang w:val="en-GB" w:eastAsia="en-GB"/>
        </w:rPr>
        <w:t>a</w:t>
      </w:r>
      <w:r w:rsidR="00C6743B" w:rsidRPr="00E27DAB">
        <w:rPr>
          <w:rFonts w:eastAsia="Times New Roman" w:cstheme="minorHAnsi"/>
          <w:lang w:val="en-GB" w:eastAsia="en-GB"/>
        </w:rPr>
        <w:t>ffects achievement.</w:t>
      </w:r>
      <w:r w:rsidR="00A2294D" w:rsidRPr="00E27DAB">
        <w:rPr>
          <w:rFonts w:eastAsia="Times New Roman" w:cstheme="minorHAnsi"/>
          <w:lang w:val="en-GB" w:eastAsia="en-GB"/>
        </w:rPr>
        <w:t xml:space="preserve"> </w:t>
      </w:r>
    </w:p>
    <w:p w14:paraId="291CC4CD" w14:textId="38A4C847" w:rsidR="00C5612E" w:rsidRPr="00E27DAB" w:rsidRDefault="00E87038" w:rsidP="00E27DAB">
      <w:pPr>
        <w:spacing w:line="480" w:lineRule="auto"/>
        <w:rPr>
          <w:rFonts w:cstheme="minorHAnsi"/>
          <w:highlight w:val="magenta"/>
          <w:lang w:val="en-GB"/>
        </w:rPr>
      </w:pPr>
      <w:r w:rsidRPr="00E27DAB">
        <w:rPr>
          <w:rFonts w:cstheme="minorHAnsi"/>
        </w:rPr>
        <w:t xml:space="preserve">Wales’ Government have </w:t>
      </w:r>
      <w:r w:rsidR="00E811CB" w:rsidRPr="00E27DAB">
        <w:rPr>
          <w:rFonts w:cstheme="minorHAnsi"/>
        </w:rPr>
        <w:t>several</w:t>
      </w:r>
      <w:r w:rsidRPr="00E27DAB">
        <w:rPr>
          <w:rFonts w:cstheme="minorHAnsi"/>
        </w:rPr>
        <w:t xml:space="preserve"> policies</w:t>
      </w:r>
      <w:r w:rsidR="00067047" w:rsidRPr="00E27DAB">
        <w:rPr>
          <w:rFonts w:cstheme="minorHAnsi"/>
        </w:rPr>
        <w:t xml:space="preserve"> on how </w:t>
      </w:r>
      <w:r w:rsidR="00AA65BA" w:rsidRPr="00E27DAB">
        <w:rPr>
          <w:rFonts w:cstheme="minorHAnsi"/>
        </w:rPr>
        <w:t>Wales</w:t>
      </w:r>
      <w:r w:rsidR="00067047" w:rsidRPr="00E27DAB">
        <w:rPr>
          <w:rFonts w:cstheme="minorHAnsi"/>
        </w:rPr>
        <w:t xml:space="preserve"> can improve figures of poverty. </w:t>
      </w:r>
      <w:r w:rsidRPr="00E27DAB">
        <w:rPr>
          <w:rFonts w:cstheme="minorHAnsi"/>
        </w:rPr>
        <w:t>C</w:t>
      </w:r>
      <w:r w:rsidR="00067047" w:rsidRPr="00E27DAB">
        <w:rPr>
          <w:rFonts w:cstheme="minorHAnsi"/>
        </w:rPr>
        <w:t>urrently</w:t>
      </w:r>
      <w:r w:rsidRPr="00E27DAB">
        <w:rPr>
          <w:rFonts w:cstheme="minorHAnsi"/>
        </w:rPr>
        <w:t xml:space="preserve">, Wales has </w:t>
      </w:r>
      <w:r w:rsidR="00067047" w:rsidRPr="00E27DAB">
        <w:rPr>
          <w:rFonts w:cstheme="minorHAnsi"/>
        </w:rPr>
        <w:t>the highest rate of poverty in the United Kingdom with 23</w:t>
      </w:r>
      <w:r w:rsidR="00B96820">
        <w:rPr>
          <w:rFonts w:cstheme="minorHAnsi"/>
        </w:rPr>
        <w:t xml:space="preserve">% </w:t>
      </w:r>
      <w:r w:rsidR="00067047" w:rsidRPr="00E27DAB">
        <w:rPr>
          <w:rFonts w:cstheme="minorHAnsi"/>
        </w:rPr>
        <w:t xml:space="preserve">of the population living in poverty </w:t>
      </w:r>
      <w:r w:rsidRPr="00E27DAB">
        <w:rPr>
          <w:rFonts w:cstheme="minorHAnsi"/>
        </w:rPr>
        <w:t>(</w:t>
      </w:r>
      <w:r w:rsidR="00D47A17" w:rsidRPr="00E27DAB">
        <w:rPr>
          <w:rFonts w:cstheme="minorHAnsi"/>
        </w:rPr>
        <w:t>WISERD</w:t>
      </w:r>
      <w:r w:rsidRPr="00E27DAB">
        <w:rPr>
          <w:rFonts w:cstheme="minorHAnsi"/>
        </w:rPr>
        <w:t>,</w:t>
      </w:r>
      <w:r w:rsidR="00AA65BA" w:rsidRPr="00E27DAB">
        <w:rPr>
          <w:rFonts w:cstheme="minorHAnsi"/>
        </w:rPr>
        <w:t xml:space="preserve"> </w:t>
      </w:r>
      <w:r w:rsidR="00D47A17" w:rsidRPr="00E27DAB">
        <w:rPr>
          <w:rFonts w:cstheme="minorHAnsi"/>
        </w:rPr>
        <w:t>2019</w:t>
      </w:r>
      <w:r w:rsidR="00AA65BA" w:rsidRPr="00E27DAB">
        <w:rPr>
          <w:rFonts w:cstheme="minorHAnsi"/>
        </w:rPr>
        <w:t>)</w:t>
      </w:r>
      <w:r w:rsidRPr="00E27DAB">
        <w:rPr>
          <w:rFonts w:cstheme="minorHAnsi"/>
        </w:rPr>
        <w:t>;</w:t>
      </w:r>
      <w:r w:rsidR="00067047" w:rsidRPr="00E27DAB">
        <w:rPr>
          <w:rFonts w:cstheme="minorHAnsi"/>
        </w:rPr>
        <w:t xml:space="preserve"> approximately 200,000 children live in poverty in Wales</w:t>
      </w:r>
      <w:r w:rsidR="00E811CB">
        <w:rPr>
          <w:rFonts w:cstheme="minorHAnsi"/>
        </w:rPr>
        <w:t xml:space="preserve"> with </w:t>
      </w:r>
      <w:r w:rsidR="00067047" w:rsidRPr="00E27DAB">
        <w:rPr>
          <w:rFonts w:cstheme="minorHAnsi"/>
        </w:rPr>
        <w:t>90,000 of those liv</w:t>
      </w:r>
      <w:r w:rsidR="00E811CB">
        <w:rPr>
          <w:rFonts w:cstheme="minorHAnsi"/>
        </w:rPr>
        <w:t>ing</w:t>
      </w:r>
      <w:r w:rsidR="00067047" w:rsidRPr="00E27DAB">
        <w:rPr>
          <w:rFonts w:cstheme="minorHAnsi"/>
        </w:rPr>
        <w:t xml:space="preserve"> in severe poverty (Poverty.ac.uk, 2019).</w:t>
      </w:r>
      <w:r w:rsidR="00BA302E" w:rsidRPr="00E27DAB">
        <w:rPr>
          <w:rFonts w:cstheme="minorHAnsi"/>
        </w:rPr>
        <w:t xml:space="preserve"> </w:t>
      </w:r>
      <w:r w:rsidR="00067047" w:rsidRPr="00E27DAB">
        <w:rPr>
          <w:rFonts w:cstheme="minorHAnsi"/>
        </w:rPr>
        <w:t>There is a strong will in Wales to see these numbers decrease, however WISERD</w:t>
      </w:r>
      <w:r w:rsidRPr="00E27DAB">
        <w:rPr>
          <w:rFonts w:cstheme="minorHAnsi"/>
        </w:rPr>
        <w:t xml:space="preserve"> (</w:t>
      </w:r>
      <w:r w:rsidR="00067047" w:rsidRPr="00E27DAB">
        <w:rPr>
          <w:rFonts w:cstheme="minorHAnsi"/>
        </w:rPr>
        <w:t xml:space="preserve">2019) suggests </w:t>
      </w:r>
      <w:r w:rsidRPr="00E27DAB">
        <w:rPr>
          <w:rFonts w:cstheme="minorHAnsi"/>
        </w:rPr>
        <w:t>that</w:t>
      </w:r>
      <w:r w:rsidR="00D47A17" w:rsidRPr="00E27DAB">
        <w:rPr>
          <w:rFonts w:cstheme="minorHAnsi"/>
        </w:rPr>
        <w:t xml:space="preserve"> by 2021</w:t>
      </w:r>
      <w:r w:rsidR="008143D8">
        <w:rPr>
          <w:rFonts w:cstheme="minorHAnsi"/>
        </w:rPr>
        <w:t>-</w:t>
      </w:r>
      <w:r w:rsidR="00D47A17" w:rsidRPr="00E27DAB">
        <w:rPr>
          <w:rFonts w:cstheme="minorHAnsi"/>
        </w:rPr>
        <w:t>22</w:t>
      </w:r>
      <w:r w:rsidRPr="00E27DAB">
        <w:rPr>
          <w:rFonts w:cstheme="minorHAnsi"/>
        </w:rPr>
        <w:t>,</w:t>
      </w:r>
      <w:r w:rsidR="00D47A17" w:rsidRPr="00E27DAB">
        <w:rPr>
          <w:rFonts w:cstheme="minorHAnsi"/>
        </w:rPr>
        <w:t xml:space="preserve"> 27</w:t>
      </w:r>
      <w:r w:rsidR="00B96820">
        <w:rPr>
          <w:rFonts w:cstheme="minorHAnsi"/>
        </w:rPr>
        <w:t>%</w:t>
      </w:r>
      <w:r w:rsidR="00D47A17" w:rsidRPr="00E27DAB">
        <w:rPr>
          <w:rFonts w:cstheme="minorHAnsi"/>
        </w:rPr>
        <w:t xml:space="preserve"> of the population will be living in poverty</w:t>
      </w:r>
      <w:r w:rsidRPr="00E27DAB">
        <w:rPr>
          <w:rFonts w:cstheme="minorHAnsi"/>
        </w:rPr>
        <w:t>,</w:t>
      </w:r>
      <w:r w:rsidR="005371E5">
        <w:rPr>
          <w:rFonts w:cstheme="minorHAnsi"/>
        </w:rPr>
        <w:t xml:space="preserve"> with</w:t>
      </w:r>
      <w:r w:rsidRPr="00E27DAB">
        <w:rPr>
          <w:rFonts w:cstheme="minorHAnsi"/>
        </w:rPr>
        <w:t xml:space="preserve"> </w:t>
      </w:r>
      <w:r w:rsidR="00D47A17" w:rsidRPr="00E27DAB">
        <w:rPr>
          <w:rFonts w:cstheme="minorHAnsi"/>
        </w:rPr>
        <w:t>39% of</w:t>
      </w:r>
      <w:r w:rsidRPr="00E27DAB">
        <w:rPr>
          <w:rFonts w:cstheme="minorHAnsi"/>
        </w:rPr>
        <w:t xml:space="preserve"> </w:t>
      </w:r>
      <w:r w:rsidR="00D47A17" w:rsidRPr="00E27DAB">
        <w:rPr>
          <w:rFonts w:cstheme="minorHAnsi"/>
        </w:rPr>
        <w:t xml:space="preserve">children </w:t>
      </w:r>
      <w:r w:rsidRPr="00E27DAB">
        <w:rPr>
          <w:rFonts w:cstheme="minorHAnsi"/>
        </w:rPr>
        <w:t xml:space="preserve">in Wales </w:t>
      </w:r>
      <w:r w:rsidR="00D47A17" w:rsidRPr="00E27DAB">
        <w:rPr>
          <w:rFonts w:cstheme="minorHAnsi"/>
        </w:rPr>
        <w:t xml:space="preserve">living in poverty. One of the three </w:t>
      </w:r>
      <w:r w:rsidRPr="00E27DAB">
        <w:rPr>
          <w:rFonts w:cstheme="minorHAnsi"/>
        </w:rPr>
        <w:t xml:space="preserve">main </w:t>
      </w:r>
      <w:r w:rsidR="00D47A17" w:rsidRPr="00E27DAB">
        <w:rPr>
          <w:rFonts w:cstheme="minorHAnsi"/>
        </w:rPr>
        <w:t>priorities of the government is reducing the impact of poverty on attainment (</w:t>
      </w:r>
      <w:r w:rsidR="002613EB" w:rsidRPr="00E27DAB">
        <w:rPr>
          <w:rFonts w:cstheme="minorHAnsi"/>
        </w:rPr>
        <w:t>Jones</w:t>
      </w:r>
      <w:r w:rsidR="00D47A17" w:rsidRPr="00E27DAB">
        <w:rPr>
          <w:rFonts w:cstheme="minorHAnsi"/>
        </w:rPr>
        <w:t xml:space="preserve">,2017). To try and </w:t>
      </w:r>
      <w:r w:rsidR="00AA65BA" w:rsidRPr="00E27DAB">
        <w:rPr>
          <w:rFonts w:cstheme="minorHAnsi"/>
        </w:rPr>
        <w:t xml:space="preserve">counteract the figures of poverty </w:t>
      </w:r>
      <w:r w:rsidR="00D47A17" w:rsidRPr="00E27DAB">
        <w:rPr>
          <w:rFonts w:cstheme="minorHAnsi"/>
        </w:rPr>
        <w:t>the government ha</w:t>
      </w:r>
      <w:r w:rsidR="00AA65BA" w:rsidRPr="00E27DAB">
        <w:rPr>
          <w:rFonts w:cstheme="minorHAnsi"/>
        </w:rPr>
        <w:t>s</w:t>
      </w:r>
      <w:r w:rsidR="00D47A17" w:rsidRPr="00E27DAB">
        <w:rPr>
          <w:rFonts w:cstheme="minorHAnsi"/>
        </w:rPr>
        <w:t xml:space="preserve"> introduced the Pupil Development Grant (PDG) </w:t>
      </w:r>
      <w:r w:rsidR="0006172F" w:rsidRPr="00E27DAB">
        <w:rPr>
          <w:rFonts w:cstheme="minorHAnsi"/>
        </w:rPr>
        <w:t>(Gov.wales, 2019)</w:t>
      </w:r>
      <w:r w:rsidR="0047448F" w:rsidRPr="00E27DAB">
        <w:rPr>
          <w:rFonts w:cstheme="minorHAnsi"/>
        </w:rPr>
        <w:t>,</w:t>
      </w:r>
      <w:r w:rsidR="0006172F" w:rsidRPr="00E27DAB">
        <w:rPr>
          <w:rFonts w:cstheme="minorHAnsi"/>
        </w:rPr>
        <w:t xml:space="preserve"> </w:t>
      </w:r>
      <w:r w:rsidR="00D47A17" w:rsidRPr="00E27DAB">
        <w:rPr>
          <w:rFonts w:cstheme="minorHAnsi"/>
        </w:rPr>
        <w:t>a funding initiative for schools with disadvantaged children</w:t>
      </w:r>
      <w:r w:rsidR="0047448F" w:rsidRPr="00E27DAB">
        <w:rPr>
          <w:rFonts w:cstheme="minorHAnsi"/>
        </w:rPr>
        <w:t xml:space="preserve"> to improve attainment, attendance and have a positive impact on family engagement and wellbeing </w:t>
      </w:r>
      <w:r w:rsidR="0006172F" w:rsidRPr="00E27DAB">
        <w:rPr>
          <w:rFonts w:cstheme="minorHAnsi"/>
        </w:rPr>
        <w:t>(Gov.wales, 2019).</w:t>
      </w:r>
      <w:r w:rsidR="00480BA5" w:rsidRPr="00E27DAB">
        <w:rPr>
          <w:rFonts w:cstheme="minorHAnsi"/>
        </w:rPr>
        <w:t xml:space="preserve"> </w:t>
      </w:r>
      <w:r w:rsidR="0047448F" w:rsidRPr="00E27DAB">
        <w:rPr>
          <w:rFonts w:cstheme="minorHAnsi"/>
        </w:rPr>
        <w:t>In</w:t>
      </w:r>
      <w:r w:rsidR="00522A1F" w:rsidRPr="00E27DAB">
        <w:rPr>
          <w:rFonts w:cstheme="minorHAnsi"/>
        </w:rPr>
        <w:t xml:space="preserve"> 2006</w:t>
      </w:r>
      <w:r w:rsidR="0047448F" w:rsidRPr="00E27DAB">
        <w:rPr>
          <w:rFonts w:cstheme="minorHAnsi"/>
        </w:rPr>
        <w:t>,</w:t>
      </w:r>
      <w:r w:rsidR="00522A1F" w:rsidRPr="00E27DAB">
        <w:rPr>
          <w:rFonts w:cstheme="minorHAnsi"/>
        </w:rPr>
        <w:t xml:space="preserve"> the gap</w:t>
      </w:r>
      <w:r w:rsidR="0047448F" w:rsidRPr="00E27DAB">
        <w:rPr>
          <w:rFonts w:cstheme="minorHAnsi"/>
        </w:rPr>
        <w:t xml:space="preserve"> between </w:t>
      </w:r>
      <w:r w:rsidR="00844AC7" w:rsidRPr="00E27DAB">
        <w:rPr>
          <w:rFonts w:cstheme="minorHAnsi"/>
        </w:rPr>
        <w:t>children on free school meals</w:t>
      </w:r>
      <w:r w:rsidR="00522A1F" w:rsidRPr="00E27DAB">
        <w:rPr>
          <w:rFonts w:cstheme="minorHAnsi"/>
        </w:rPr>
        <w:t xml:space="preserve"> was as large as 25.5% for boys and 22.6% for girls</w:t>
      </w:r>
      <w:r w:rsidR="00480BA5" w:rsidRPr="00E27DAB">
        <w:rPr>
          <w:rFonts w:cstheme="minorHAnsi"/>
        </w:rPr>
        <w:t xml:space="preserve"> (</w:t>
      </w:r>
      <w:r w:rsidR="003A60B2" w:rsidRPr="00E27DAB">
        <w:rPr>
          <w:rFonts w:cstheme="minorHAnsi"/>
        </w:rPr>
        <w:t>Stats</w:t>
      </w:r>
      <w:r w:rsidR="00921E07" w:rsidRPr="00E27DAB">
        <w:rPr>
          <w:rFonts w:cstheme="minorHAnsi"/>
        </w:rPr>
        <w:t xml:space="preserve"> wales.gov.wales,</w:t>
      </w:r>
      <w:r w:rsidR="00BD3293" w:rsidRPr="00E27DAB">
        <w:rPr>
          <w:rFonts w:cstheme="minorHAnsi"/>
        </w:rPr>
        <w:t xml:space="preserve"> </w:t>
      </w:r>
      <w:r w:rsidR="00921E07" w:rsidRPr="00E27DAB">
        <w:rPr>
          <w:rFonts w:cstheme="minorHAnsi"/>
        </w:rPr>
        <w:t>2019</w:t>
      </w:r>
      <w:r w:rsidR="00480BA5" w:rsidRPr="00E27DAB">
        <w:rPr>
          <w:rFonts w:cstheme="minorHAnsi"/>
        </w:rPr>
        <w:t>)</w:t>
      </w:r>
      <w:r w:rsidR="00844AC7" w:rsidRPr="00E27DAB">
        <w:rPr>
          <w:rFonts w:cstheme="minorHAnsi"/>
        </w:rPr>
        <w:t>.</w:t>
      </w:r>
      <w:r w:rsidR="00480BA5" w:rsidRPr="00E27DAB">
        <w:rPr>
          <w:rFonts w:cstheme="minorHAnsi"/>
        </w:rPr>
        <w:t xml:space="preserve"> </w:t>
      </w:r>
      <w:r w:rsidR="00AA65BA" w:rsidRPr="00E27DAB">
        <w:rPr>
          <w:rFonts w:cstheme="minorHAnsi"/>
        </w:rPr>
        <w:t>I</w:t>
      </w:r>
      <w:r w:rsidR="00522A1F" w:rsidRPr="00E27DAB">
        <w:rPr>
          <w:rFonts w:cstheme="minorHAnsi"/>
        </w:rPr>
        <w:t xml:space="preserve">n </w:t>
      </w:r>
      <w:r w:rsidR="00AA65BA" w:rsidRPr="00E27DAB">
        <w:rPr>
          <w:rFonts w:cstheme="minorHAnsi"/>
        </w:rPr>
        <w:t>order for the government to solve the current attainment gap, it is essential inequality and poverty is addressed throughout society</w:t>
      </w:r>
      <w:r w:rsidR="00844AC7" w:rsidRPr="00E27DAB">
        <w:rPr>
          <w:rFonts w:cstheme="minorHAnsi"/>
        </w:rPr>
        <w:t xml:space="preserve">, reducing the ever-increasing gap between groups in Wales. </w:t>
      </w:r>
      <w:r w:rsidR="0081532F" w:rsidRPr="00B96820">
        <w:rPr>
          <w:rFonts w:cstheme="minorHAnsi"/>
          <w:lang w:val="en-GB"/>
        </w:rPr>
        <w:t>B</w:t>
      </w:r>
      <w:r w:rsidR="00522A1F" w:rsidRPr="00B96820">
        <w:rPr>
          <w:rFonts w:cstheme="minorHAnsi"/>
          <w:lang w:val="en-GB"/>
        </w:rPr>
        <w:t xml:space="preserve">y </w:t>
      </w:r>
      <w:r w:rsidR="00B66A87" w:rsidRPr="00B96820">
        <w:rPr>
          <w:rFonts w:cstheme="minorHAnsi"/>
          <w:lang w:val="en-GB"/>
        </w:rPr>
        <w:t>key stage 2</w:t>
      </w:r>
      <w:r w:rsidR="00B70F3B" w:rsidRPr="00B96820">
        <w:rPr>
          <w:rFonts w:cstheme="minorHAnsi"/>
          <w:lang w:val="en-GB"/>
        </w:rPr>
        <w:t>,</w:t>
      </w:r>
      <w:r w:rsidR="00B66A87" w:rsidRPr="00B96820">
        <w:rPr>
          <w:rFonts w:cstheme="minorHAnsi"/>
          <w:lang w:val="en-GB"/>
        </w:rPr>
        <w:t xml:space="preserve"> 70% of pupils </w:t>
      </w:r>
      <w:r w:rsidR="00522A1F" w:rsidRPr="00B96820">
        <w:rPr>
          <w:rFonts w:cstheme="minorHAnsi"/>
          <w:lang w:val="en-GB"/>
        </w:rPr>
        <w:t xml:space="preserve">receiving FSM </w:t>
      </w:r>
      <w:r w:rsidR="00893D42" w:rsidRPr="00B96820">
        <w:rPr>
          <w:rFonts w:cstheme="minorHAnsi"/>
          <w:lang w:val="en-GB"/>
        </w:rPr>
        <w:t xml:space="preserve">will gain the expected results compared to </w:t>
      </w:r>
      <w:r w:rsidR="00B66A87" w:rsidRPr="00B96820">
        <w:rPr>
          <w:rFonts w:cstheme="minorHAnsi"/>
          <w:lang w:val="en-GB"/>
        </w:rPr>
        <w:t>88% of pupils from better</w:t>
      </w:r>
      <w:r w:rsidR="00730B32">
        <w:rPr>
          <w:rFonts w:cstheme="minorHAnsi"/>
          <w:lang w:val="en-GB"/>
        </w:rPr>
        <w:t>-</w:t>
      </w:r>
      <w:r w:rsidR="00B66A87" w:rsidRPr="00B96820">
        <w:rPr>
          <w:rFonts w:cstheme="minorHAnsi"/>
          <w:lang w:val="en-GB"/>
        </w:rPr>
        <w:t>off families</w:t>
      </w:r>
      <w:r w:rsidR="007A6521">
        <w:rPr>
          <w:rFonts w:cstheme="minorHAnsi"/>
          <w:lang w:val="en-GB"/>
        </w:rPr>
        <w:t xml:space="preserve"> </w:t>
      </w:r>
      <w:r w:rsidR="00653C94" w:rsidRPr="00E27DAB">
        <w:rPr>
          <w:rFonts w:cstheme="minorHAnsi"/>
        </w:rPr>
        <w:t>(Carmarthenshire.gov.wales, 2015)</w:t>
      </w:r>
      <w:r w:rsidR="000F46E9" w:rsidRPr="00E27DAB">
        <w:rPr>
          <w:rFonts w:cstheme="minorHAnsi"/>
        </w:rPr>
        <w:t xml:space="preserve">. </w:t>
      </w:r>
      <w:r w:rsidR="00C5612E" w:rsidRPr="00E27DAB">
        <w:rPr>
          <w:rFonts w:cstheme="minorHAnsi"/>
          <w:lang w:val="en-GB"/>
        </w:rPr>
        <w:t>The pupil development grant</w:t>
      </w:r>
      <w:r w:rsidR="003860A7" w:rsidRPr="00E27DAB">
        <w:rPr>
          <w:rFonts w:cstheme="minorHAnsi"/>
          <w:lang w:val="en-GB"/>
        </w:rPr>
        <w:t xml:space="preserve"> (Gov.Wales,2019)</w:t>
      </w:r>
      <w:r w:rsidR="00C5612E" w:rsidRPr="00E27DAB">
        <w:rPr>
          <w:rFonts w:cstheme="minorHAnsi"/>
          <w:lang w:val="en-GB"/>
        </w:rPr>
        <w:t xml:space="preserve"> provides additional funding for schools based on the number of pupils eligible for free school meals</w:t>
      </w:r>
      <w:r w:rsidR="009641CD">
        <w:rPr>
          <w:rFonts w:cstheme="minorHAnsi"/>
          <w:lang w:val="en-GB"/>
        </w:rPr>
        <w:t>. Our data</w:t>
      </w:r>
      <w:r w:rsidR="00C5612E" w:rsidRPr="00E27DAB">
        <w:rPr>
          <w:rFonts w:cstheme="minorHAnsi"/>
          <w:lang w:val="en-GB"/>
        </w:rPr>
        <w:t xml:space="preserve"> </w:t>
      </w:r>
      <w:r w:rsidR="003D1170" w:rsidRPr="00E27DAB">
        <w:rPr>
          <w:rFonts w:cstheme="minorHAnsi"/>
          <w:lang w:val="en-GB"/>
        </w:rPr>
        <w:t>shows the majority of respondent schools use it correct</w:t>
      </w:r>
      <w:r w:rsidR="0074600E" w:rsidRPr="00E27DAB">
        <w:rPr>
          <w:rFonts w:cstheme="minorHAnsi"/>
          <w:lang w:val="en-GB"/>
        </w:rPr>
        <w:t>l</w:t>
      </w:r>
      <w:r w:rsidR="003D1170" w:rsidRPr="00E27DAB">
        <w:rPr>
          <w:rFonts w:cstheme="minorHAnsi"/>
          <w:lang w:val="en-GB"/>
        </w:rPr>
        <w:t xml:space="preserve">y, however </w:t>
      </w:r>
      <w:r w:rsidR="009641CD">
        <w:rPr>
          <w:rFonts w:cstheme="minorHAnsi"/>
          <w:lang w:val="en-GB"/>
        </w:rPr>
        <w:t xml:space="preserve">fig 6 Shows </w:t>
      </w:r>
      <w:r w:rsidR="003D1170" w:rsidRPr="00E27DAB">
        <w:rPr>
          <w:rFonts w:cstheme="minorHAnsi"/>
          <w:lang w:val="en-GB"/>
        </w:rPr>
        <w:t xml:space="preserve">this grant is not always used </w:t>
      </w:r>
      <w:r w:rsidR="009641CD">
        <w:rPr>
          <w:rFonts w:cstheme="minorHAnsi"/>
          <w:lang w:val="en-GB"/>
        </w:rPr>
        <w:t>correctly.</w:t>
      </w:r>
      <w:r w:rsidR="00C5612E" w:rsidRPr="00E27DAB">
        <w:rPr>
          <w:rFonts w:cstheme="minorHAnsi"/>
          <w:lang w:val="en-GB"/>
        </w:rPr>
        <w:t xml:space="preserve"> </w:t>
      </w:r>
      <w:r w:rsidR="000E625B" w:rsidRPr="00E27DAB">
        <w:rPr>
          <w:rFonts w:cstheme="minorHAnsi"/>
          <w:lang w:val="en-GB"/>
        </w:rPr>
        <w:t xml:space="preserve">Egan (2013) </w:t>
      </w:r>
      <w:r w:rsidR="0074600E" w:rsidRPr="00E27DAB">
        <w:rPr>
          <w:rFonts w:cstheme="minorHAnsi"/>
          <w:lang w:val="en-GB"/>
        </w:rPr>
        <w:t>states that in</w:t>
      </w:r>
      <w:r w:rsidR="000E625B" w:rsidRPr="00E27DAB">
        <w:rPr>
          <w:rFonts w:cstheme="minorHAnsi"/>
          <w:lang w:val="en-GB"/>
        </w:rPr>
        <w:t xml:space="preserve"> 2011 a Pupil Deprivation Grant was introduced, providing funding to schools for </w:t>
      </w:r>
      <w:r w:rsidR="00D378FF">
        <w:rPr>
          <w:rFonts w:cstheme="minorHAnsi"/>
          <w:lang w:val="en-GB"/>
        </w:rPr>
        <w:t>children</w:t>
      </w:r>
      <w:r w:rsidR="000E625B" w:rsidRPr="00E27DAB">
        <w:rPr>
          <w:rFonts w:cstheme="minorHAnsi"/>
          <w:lang w:val="en-GB"/>
        </w:rPr>
        <w:t xml:space="preserve"> over the age</w:t>
      </w:r>
      <w:r w:rsidR="00341D0B">
        <w:rPr>
          <w:rFonts w:cstheme="minorHAnsi"/>
          <w:lang w:val="en-GB"/>
        </w:rPr>
        <w:t xml:space="preserve"> of</w:t>
      </w:r>
      <w:r w:rsidR="000E625B" w:rsidRPr="00E27DAB">
        <w:rPr>
          <w:rFonts w:cstheme="minorHAnsi"/>
          <w:lang w:val="en-GB"/>
        </w:rPr>
        <w:t xml:space="preserve"> </w:t>
      </w:r>
      <w:r w:rsidR="00061811" w:rsidRPr="00E27DAB">
        <w:rPr>
          <w:rFonts w:cstheme="minorHAnsi"/>
          <w:lang w:val="en-GB"/>
        </w:rPr>
        <w:t>5 from low economic background</w:t>
      </w:r>
      <w:r w:rsidR="00341D0B">
        <w:rPr>
          <w:rFonts w:cstheme="minorHAnsi"/>
          <w:lang w:val="en-GB"/>
        </w:rPr>
        <w:t>s</w:t>
      </w:r>
      <w:r w:rsidR="00061811" w:rsidRPr="00E27DAB">
        <w:rPr>
          <w:rFonts w:cstheme="minorHAnsi"/>
          <w:lang w:val="en-GB"/>
        </w:rPr>
        <w:t xml:space="preserve"> to</w:t>
      </w:r>
      <w:r w:rsidR="000E625B" w:rsidRPr="00E27DAB">
        <w:rPr>
          <w:rFonts w:cstheme="minorHAnsi"/>
          <w:lang w:val="en-GB"/>
        </w:rPr>
        <w:t xml:space="preserve"> receive free school meals</w:t>
      </w:r>
      <w:r w:rsidR="008C519A">
        <w:rPr>
          <w:rFonts w:cstheme="minorHAnsi"/>
          <w:lang w:val="en-GB"/>
        </w:rPr>
        <w:t xml:space="preserve"> in an attempt</w:t>
      </w:r>
      <w:r w:rsidR="0074600E" w:rsidRPr="00E27DAB">
        <w:rPr>
          <w:rFonts w:cstheme="minorHAnsi"/>
          <w:lang w:val="en-GB"/>
        </w:rPr>
        <w:t xml:space="preserve"> to </w:t>
      </w:r>
      <w:r w:rsidR="00061811" w:rsidRPr="00E27DAB">
        <w:rPr>
          <w:rFonts w:cstheme="minorHAnsi"/>
          <w:lang w:val="en-GB"/>
        </w:rPr>
        <w:t>breach the educational barrier of poor nutrition</w:t>
      </w:r>
      <w:r w:rsidR="000E625B" w:rsidRPr="00E27DAB">
        <w:rPr>
          <w:rFonts w:cstheme="minorHAnsi"/>
          <w:lang w:val="en-GB"/>
        </w:rPr>
        <w:t xml:space="preserve">. </w:t>
      </w:r>
      <w:r w:rsidR="00061811" w:rsidRPr="00E27DAB">
        <w:rPr>
          <w:rFonts w:cstheme="minorHAnsi"/>
          <w:lang w:val="en-GB"/>
        </w:rPr>
        <w:t>The PDG</w:t>
      </w:r>
      <w:r w:rsidR="0006172F" w:rsidRPr="00E27DAB">
        <w:rPr>
          <w:rFonts w:cstheme="minorHAnsi"/>
          <w:lang w:val="en-GB"/>
        </w:rPr>
        <w:t xml:space="preserve"> </w:t>
      </w:r>
      <w:r w:rsidR="0006172F" w:rsidRPr="00E27DAB">
        <w:rPr>
          <w:rFonts w:cstheme="minorHAnsi"/>
        </w:rPr>
        <w:t>(Gov.wales, 2019)</w:t>
      </w:r>
      <w:r w:rsidR="006F27F8" w:rsidRPr="00E27DAB">
        <w:rPr>
          <w:rFonts w:cstheme="minorHAnsi"/>
          <w:lang w:val="en-GB"/>
        </w:rPr>
        <w:t xml:space="preserve"> </w:t>
      </w:r>
      <w:r w:rsidR="000E625B" w:rsidRPr="00E27DAB">
        <w:rPr>
          <w:rFonts w:cstheme="minorHAnsi"/>
          <w:lang w:val="en-GB"/>
        </w:rPr>
        <w:t>is intended to support schools in introducing additional interventions</w:t>
      </w:r>
      <w:r w:rsidR="008C519A">
        <w:rPr>
          <w:rFonts w:cstheme="minorHAnsi"/>
          <w:lang w:val="en-GB"/>
        </w:rPr>
        <w:t xml:space="preserve"> such as these</w:t>
      </w:r>
      <w:r w:rsidR="000E625B" w:rsidRPr="00E27DAB">
        <w:rPr>
          <w:rFonts w:cstheme="minorHAnsi"/>
          <w:lang w:val="en-GB"/>
        </w:rPr>
        <w:t xml:space="preserve"> to improve the achievement of disadvantaged children.</w:t>
      </w:r>
      <w:r w:rsidR="0074600E" w:rsidRPr="00E27DAB">
        <w:rPr>
          <w:rFonts w:cstheme="minorHAnsi"/>
          <w:lang w:val="en-GB"/>
        </w:rPr>
        <w:t xml:space="preserve"> </w:t>
      </w:r>
    </w:p>
    <w:p w14:paraId="58A41093" w14:textId="6F43E5CA" w:rsidR="00C5612E" w:rsidRPr="00E27DAB" w:rsidRDefault="00B63CFA" w:rsidP="00E27DAB">
      <w:pPr>
        <w:spacing w:line="480" w:lineRule="auto"/>
        <w:rPr>
          <w:rFonts w:cstheme="minorHAnsi"/>
          <w:lang w:val="en-GB"/>
        </w:rPr>
      </w:pPr>
      <w:r w:rsidRPr="00E27DAB">
        <w:rPr>
          <w:rFonts w:cstheme="minorHAnsi"/>
          <w:noProof/>
          <w:lang w:val="en-GB" w:eastAsia="en-GB"/>
        </w:rPr>
        <w:drawing>
          <wp:anchor distT="0" distB="0" distL="114300" distR="114300" simplePos="0" relativeHeight="251655680" behindDoc="1" locked="0" layoutInCell="1" allowOverlap="1" wp14:anchorId="1AD36701" wp14:editId="58720F9A">
            <wp:simplePos x="0" y="0"/>
            <wp:positionH relativeFrom="margin">
              <wp:align>left</wp:align>
            </wp:positionH>
            <wp:positionV relativeFrom="paragraph">
              <wp:posOffset>3810</wp:posOffset>
            </wp:positionV>
            <wp:extent cx="3429000" cy="2712720"/>
            <wp:effectExtent l="0" t="0" r="0" b="11430"/>
            <wp:wrapTight wrapText="bothSides">
              <wp:wrapPolygon edited="0">
                <wp:start x="0" y="0"/>
                <wp:lineTo x="0" y="21539"/>
                <wp:lineTo x="21480" y="21539"/>
                <wp:lineTo x="21480" y="0"/>
                <wp:lineTo x="0" y="0"/>
              </wp:wrapPolygon>
            </wp:wrapTight>
            <wp:docPr id="2" name="Chart 2">
              <a:extLst xmlns:a="http://schemas.openxmlformats.org/drawingml/2006/main">
                <a:ext uri="{FF2B5EF4-FFF2-40B4-BE49-F238E27FC236}">
                  <a16:creationId xmlns:a16="http://schemas.microsoft.com/office/drawing/2014/main" id="{8954D781-C0A2-4E87-BCC8-D9CAE5BFF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3FAA236A" w14:textId="07AF2B83" w:rsidR="00913F2B" w:rsidRPr="00E27DAB" w:rsidRDefault="00913F2B" w:rsidP="00E27DAB">
      <w:pPr>
        <w:spacing w:line="480" w:lineRule="auto"/>
        <w:rPr>
          <w:rFonts w:cstheme="minorHAnsi"/>
        </w:rPr>
      </w:pPr>
    </w:p>
    <w:p w14:paraId="6E29ABA4" w14:textId="68F1733A" w:rsidR="00913F2B" w:rsidRPr="00E27DAB" w:rsidRDefault="00913F2B" w:rsidP="00E27DAB">
      <w:pPr>
        <w:spacing w:line="480" w:lineRule="auto"/>
        <w:rPr>
          <w:rFonts w:cstheme="minorHAnsi"/>
        </w:rPr>
      </w:pPr>
    </w:p>
    <w:p w14:paraId="5DF929AF" w14:textId="68253119" w:rsidR="00913F2B" w:rsidRPr="00E27DAB" w:rsidRDefault="00913F2B" w:rsidP="00E27DAB">
      <w:pPr>
        <w:spacing w:line="480" w:lineRule="auto"/>
        <w:rPr>
          <w:rFonts w:cstheme="minorHAnsi"/>
        </w:rPr>
      </w:pPr>
    </w:p>
    <w:p w14:paraId="1A7C4FDC" w14:textId="05A42646" w:rsidR="00913F2B" w:rsidRPr="00E27DAB" w:rsidRDefault="00913F2B" w:rsidP="00E27DAB">
      <w:pPr>
        <w:spacing w:line="480" w:lineRule="auto"/>
        <w:rPr>
          <w:rFonts w:cstheme="minorHAnsi"/>
        </w:rPr>
      </w:pPr>
    </w:p>
    <w:p w14:paraId="47AB8213" w14:textId="79949374" w:rsidR="00913F2B" w:rsidRPr="00E27DAB" w:rsidRDefault="003836B3" w:rsidP="00E27DAB">
      <w:pPr>
        <w:spacing w:line="480" w:lineRule="auto"/>
        <w:rPr>
          <w:rFonts w:cstheme="minorHAnsi"/>
        </w:rPr>
      </w:pPr>
      <w:r>
        <w:rPr>
          <w:rFonts w:cstheme="minorHAnsi"/>
        </w:rPr>
        <w:t>Fig 5.</w:t>
      </w:r>
    </w:p>
    <w:p w14:paraId="29F703A6" w14:textId="0C841774" w:rsidR="00913F2B" w:rsidRPr="00E27DAB" w:rsidRDefault="00913F2B" w:rsidP="00E27DAB">
      <w:pPr>
        <w:spacing w:line="480" w:lineRule="auto"/>
        <w:rPr>
          <w:rFonts w:cstheme="minorHAnsi"/>
        </w:rPr>
      </w:pPr>
    </w:p>
    <w:p w14:paraId="34EC7C8D" w14:textId="77B87F35" w:rsidR="00913F2B" w:rsidRPr="00E27DAB" w:rsidRDefault="00913F2B" w:rsidP="00E27DAB">
      <w:pPr>
        <w:spacing w:line="480" w:lineRule="auto"/>
        <w:rPr>
          <w:rFonts w:cstheme="minorHAnsi"/>
        </w:rPr>
      </w:pPr>
    </w:p>
    <w:p w14:paraId="27874928" w14:textId="14B9D96F" w:rsidR="00913F2B" w:rsidRPr="00E27DAB" w:rsidRDefault="006E39DB" w:rsidP="00E27DAB">
      <w:pPr>
        <w:spacing w:line="480" w:lineRule="auto"/>
        <w:rPr>
          <w:rFonts w:cstheme="minorHAnsi"/>
        </w:rPr>
      </w:pPr>
      <w:r w:rsidRPr="003836B3">
        <w:rPr>
          <w:rFonts w:cstheme="minorHAnsi"/>
        </w:rPr>
        <w:t>Fig 5</w:t>
      </w:r>
      <w:r w:rsidR="000B1D21" w:rsidRPr="003836B3">
        <w:rPr>
          <w:rFonts w:cstheme="minorHAnsi"/>
        </w:rPr>
        <w:t>. Shows</w:t>
      </w:r>
      <w:r w:rsidR="00B0449C" w:rsidRPr="003836B3">
        <w:rPr>
          <w:rFonts w:cstheme="minorHAnsi"/>
        </w:rPr>
        <w:t xml:space="preserve"> how the</w:t>
      </w:r>
      <w:r w:rsidR="000B1D21" w:rsidRPr="003836B3">
        <w:rPr>
          <w:rFonts w:cstheme="minorHAnsi"/>
        </w:rPr>
        <w:t xml:space="preserve"> respondent schools make use of the Pupil Deprivation Grant to fund the teaching of children from a poor background.</w:t>
      </w:r>
      <w:r w:rsidR="000B1D21" w:rsidRPr="00E27DAB">
        <w:rPr>
          <w:rFonts w:cstheme="minorHAnsi"/>
        </w:rPr>
        <w:t xml:space="preserve"> </w:t>
      </w:r>
    </w:p>
    <w:p w14:paraId="19021229" w14:textId="6F1110D6" w:rsidR="00913F2B" w:rsidRPr="00E27DAB" w:rsidRDefault="00754A83" w:rsidP="00E27DAB">
      <w:pPr>
        <w:spacing w:line="480" w:lineRule="auto"/>
        <w:rPr>
          <w:rFonts w:cstheme="minorHAnsi"/>
        </w:rPr>
      </w:pPr>
      <w:r w:rsidRPr="00E27DAB">
        <w:rPr>
          <w:rFonts w:cstheme="minorHAnsi"/>
          <w:noProof/>
          <w:lang w:val="en-GB" w:eastAsia="en-GB"/>
        </w:rPr>
        <w:drawing>
          <wp:anchor distT="0" distB="0" distL="114300" distR="114300" simplePos="0" relativeHeight="251656704" behindDoc="1" locked="0" layoutInCell="1" allowOverlap="1" wp14:anchorId="04541691" wp14:editId="04643245">
            <wp:simplePos x="0" y="0"/>
            <wp:positionH relativeFrom="margin">
              <wp:posOffset>-171450</wp:posOffset>
            </wp:positionH>
            <wp:positionV relativeFrom="paragraph">
              <wp:posOffset>22225</wp:posOffset>
            </wp:positionV>
            <wp:extent cx="4069080" cy="2659380"/>
            <wp:effectExtent l="0" t="0" r="7620" b="7620"/>
            <wp:wrapTight wrapText="bothSides">
              <wp:wrapPolygon edited="0">
                <wp:start x="0" y="0"/>
                <wp:lineTo x="0" y="21507"/>
                <wp:lineTo x="21539" y="21507"/>
                <wp:lineTo x="21539" y="0"/>
                <wp:lineTo x="0" y="0"/>
              </wp:wrapPolygon>
            </wp:wrapTight>
            <wp:docPr id="1" name="Chart 1">
              <a:extLst xmlns:a="http://schemas.openxmlformats.org/drawingml/2006/main">
                <a:ext uri="{FF2B5EF4-FFF2-40B4-BE49-F238E27FC236}">
                  <a16:creationId xmlns:a16="http://schemas.microsoft.com/office/drawing/2014/main" id="{2758C9FD-E670-4F85-8C56-197D181F20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0E7C634A" w14:textId="67717B34" w:rsidR="00913F2B" w:rsidRPr="00E27DAB" w:rsidRDefault="00913F2B" w:rsidP="00E27DAB">
      <w:pPr>
        <w:spacing w:line="480" w:lineRule="auto"/>
        <w:rPr>
          <w:rFonts w:cstheme="minorHAnsi"/>
        </w:rPr>
      </w:pPr>
    </w:p>
    <w:p w14:paraId="0FDA114D" w14:textId="23CDB478" w:rsidR="00913F2B" w:rsidRPr="00E27DAB" w:rsidRDefault="00913F2B" w:rsidP="00E27DAB">
      <w:pPr>
        <w:spacing w:line="480" w:lineRule="auto"/>
        <w:rPr>
          <w:rFonts w:cstheme="minorHAnsi"/>
        </w:rPr>
      </w:pPr>
    </w:p>
    <w:p w14:paraId="54C569FE" w14:textId="77777777" w:rsidR="00913F2B" w:rsidRPr="00E27DAB" w:rsidRDefault="00913F2B" w:rsidP="00E27DAB">
      <w:pPr>
        <w:spacing w:line="480" w:lineRule="auto"/>
        <w:rPr>
          <w:rFonts w:cstheme="minorHAnsi"/>
        </w:rPr>
      </w:pPr>
    </w:p>
    <w:p w14:paraId="2840EC7E" w14:textId="77777777" w:rsidR="00193C72" w:rsidRPr="00E27DAB" w:rsidRDefault="00193C72" w:rsidP="00E27DAB">
      <w:pPr>
        <w:spacing w:line="480" w:lineRule="auto"/>
        <w:rPr>
          <w:rFonts w:cstheme="minorHAnsi"/>
        </w:rPr>
      </w:pPr>
    </w:p>
    <w:p w14:paraId="44A061E0" w14:textId="77777777" w:rsidR="00193C72" w:rsidRPr="00E27DAB" w:rsidRDefault="00193C72" w:rsidP="00E27DAB">
      <w:pPr>
        <w:spacing w:line="480" w:lineRule="auto"/>
        <w:rPr>
          <w:rFonts w:cstheme="minorHAnsi"/>
        </w:rPr>
      </w:pPr>
    </w:p>
    <w:p w14:paraId="7C724DC6" w14:textId="67F9584D" w:rsidR="00193C72" w:rsidRPr="00E27DAB" w:rsidRDefault="000B1D21" w:rsidP="00E27DAB">
      <w:pPr>
        <w:spacing w:line="480" w:lineRule="auto"/>
        <w:rPr>
          <w:rFonts w:cstheme="minorHAnsi"/>
        </w:rPr>
      </w:pPr>
      <w:r w:rsidRPr="00E27DAB">
        <w:rPr>
          <w:rFonts w:cstheme="minorHAnsi"/>
        </w:rPr>
        <w:t xml:space="preserve">However, </w:t>
      </w:r>
      <w:r w:rsidR="006E39DB" w:rsidRPr="00E27DAB">
        <w:rPr>
          <w:rFonts w:cstheme="minorHAnsi"/>
        </w:rPr>
        <w:t>Fig 6</w:t>
      </w:r>
      <w:r w:rsidRPr="00E27DAB">
        <w:rPr>
          <w:rFonts w:cstheme="minorHAnsi"/>
        </w:rPr>
        <w:t xml:space="preserve"> shows</w:t>
      </w:r>
      <w:r w:rsidR="00B0449C" w:rsidRPr="00E27DAB">
        <w:rPr>
          <w:rFonts w:cstheme="minorHAnsi"/>
        </w:rPr>
        <w:t>,</w:t>
      </w:r>
      <w:r w:rsidRPr="00E27DAB">
        <w:rPr>
          <w:rFonts w:cstheme="minorHAnsi"/>
        </w:rPr>
        <w:t xml:space="preserve"> although </w:t>
      </w:r>
      <w:r w:rsidR="00754A83">
        <w:rPr>
          <w:rFonts w:cstheme="minorHAnsi"/>
        </w:rPr>
        <w:t>many</w:t>
      </w:r>
      <w:r w:rsidRPr="00E27DAB">
        <w:rPr>
          <w:rFonts w:cstheme="minorHAnsi"/>
        </w:rPr>
        <w:t xml:space="preserve"> schools use this correctly in order to fund children from a low economic background, some schools use it for general funding of the school</w:t>
      </w:r>
      <w:r w:rsidR="00B0449C" w:rsidRPr="00E27DAB">
        <w:rPr>
          <w:rFonts w:cstheme="minorHAnsi"/>
        </w:rPr>
        <w:t xml:space="preserve">. This might be an effect of the </w:t>
      </w:r>
      <w:r w:rsidRPr="00E27DAB">
        <w:rPr>
          <w:rFonts w:cstheme="minorHAnsi"/>
        </w:rPr>
        <w:t xml:space="preserve">lack of funds currently received by schools in Wales. </w:t>
      </w:r>
    </w:p>
    <w:p w14:paraId="55765753" w14:textId="1425986F" w:rsidR="00B66A87" w:rsidRPr="00E27DAB" w:rsidRDefault="00BF53E1" w:rsidP="00E27DAB">
      <w:pPr>
        <w:spacing w:line="480" w:lineRule="auto"/>
        <w:rPr>
          <w:rFonts w:cstheme="minorHAnsi"/>
        </w:rPr>
      </w:pPr>
      <w:r w:rsidRPr="00E27DAB">
        <w:rPr>
          <w:rFonts w:cstheme="minorHAnsi"/>
        </w:rPr>
        <w:t xml:space="preserve">The </w:t>
      </w:r>
      <w:r w:rsidR="00C5612E" w:rsidRPr="00E27DAB">
        <w:rPr>
          <w:rFonts w:cstheme="minorHAnsi"/>
        </w:rPr>
        <w:t>Welsh Government</w:t>
      </w:r>
      <w:r w:rsidRPr="00E27DAB">
        <w:rPr>
          <w:rFonts w:cstheme="minorHAnsi"/>
        </w:rPr>
        <w:t xml:space="preserve">’s publication </w:t>
      </w:r>
      <w:r w:rsidR="001F5AA1" w:rsidRPr="00E27DAB">
        <w:rPr>
          <w:rFonts w:cstheme="minorHAnsi"/>
        </w:rPr>
        <w:t>‘</w:t>
      </w:r>
      <w:r w:rsidR="00C5612E" w:rsidRPr="00E27DAB">
        <w:rPr>
          <w:rFonts w:cstheme="minorHAnsi"/>
        </w:rPr>
        <w:t>What really works?</w:t>
      </w:r>
      <w:r w:rsidR="001F5AA1" w:rsidRPr="00E27DAB">
        <w:rPr>
          <w:rFonts w:cstheme="minorHAnsi"/>
        </w:rPr>
        <w:t>’</w:t>
      </w:r>
      <w:r w:rsidR="003042AB" w:rsidRPr="00E27DAB">
        <w:rPr>
          <w:rFonts w:cstheme="minorHAnsi"/>
        </w:rPr>
        <w:t xml:space="preserve"> </w:t>
      </w:r>
      <w:r w:rsidR="00665DE7" w:rsidRPr="00E27DAB">
        <w:rPr>
          <w:rFonts w:cstheme="minorHAnsi"/>
        </w:rPr>
        <w:t>(Learning.gov.wales, 2019)</w:t>
      </w:r>
      <w:r w:rsidRPr="00E27DAB">
        <w:rPr>
          <w:rFonts w:cstheme="minorHAnsi"/>
        </w:rPr>
        <w:t xml:space="preserve"> </w:t>
      </w:r>
      <w:r w:rsidR="00576A32" w:rsidRPr="00E27DAB">
        <w:rPr>
          <w:rFonts w:cstheme="minorHAnsi"/>
        </w:rPr>
        <w:t>r</w:t>
      </w:r>
      <w:r w:rsidRPr="00E27DAB">
        <w:rPr>
          <w:rFonts w:cstheme="minorHAnsi"/>
        </w:rPr>
        <w:t>elat</w:t>
      </w:r>
      <w:r w:rsidR="00576A32" w:rsidRPr="00E27DAB">
        <w:rPr>
          <w:rFonts w:cstheme="minorHAnsi"/>
        </w:rPr>
        <w:t xml:space="preserve">es </w:t>
      </w:r>
      <w:r w:rsidRPr="00E27DAB">
        <w:rPr>
          <w:rFonts w:cstheme="minorHAnsi"/>
        </w:rPr>
        <w:t>to the use of the PDG</w:t>
      </w:r>
      <w:r w:rsidR="00576A32" w:rsidRPr="00E27DAB">
        <w:rPr>
          <w:rFonts w:cstheme="minorHAnsi"/>
        </w:rPr>
        <w:t xml:space="preserve">, describing both </w:t>
      </w:r>
      <w:r w:rsidRPr="00E27DAB">
        <w:rPr>
          <w:rFonts w:cstheme="minorHAnsi"/>
        </w:rPr>
        <w:t xml:space="preserve">successful and unsuccessful interventions. </w:t>
      </w:r>
      <w:r w:rsidR="003860A7" w:rsidRPr="00E27DAB">
        <w:rPr>
          <w:rFonts w:cstheme="minorHAnsi"/>
        </w:rPr>
        <w:t>Egan</w:t>
      </w:r>
      <w:r w:rsidRPr="00E27DAB">
        <w:rPr>
          <w:rFonts w:cstheme="minorHAnsi"/>
        </w:rPr>
        <w:t xml:space="preserve"> (2013) suggest</w:t>
      </w:r>
      <w:r w:rsidR="00576A32" w:rsidRPr="00E27DAB">
        <w:rPr>
          <w:rFonts w:cstheme="minorHAnsi"/>
        </w:rPr>
        <w:t>s</w:t>
      </w:r>
      <w:r w:rsidRPr="00E27DAB">
        <w:rPr>
          <w:rFonts w:cstheme="minorHAnsi"/>
        </w:rPr>
        <w:t xml:space="preserve"> employing additional teaching assistants, however the EEF (</w:t>
      </w:r>
      <w:r w:rsidR="009B2556" w:rsidRPr="00E27DAB">
        <w:rPr>
          <w:rFonts w:cstheme="minorHAnsi"/>
        </w:rPr>
        <w:t>Anon, 2019</w:t>
      </w:r>
      <w:r w:rsidRPr="00E27DAB">
        <w:rPr>
          <w:rFonts w:cstheme="minorHAnsi"/>
        </w:rPr>
        <w:t xml:space="preserve">) suggests </w:t>
      </w:r>
      <w:r w:rsidR="003428E3" w:rsidRPr="00E27DAB">
        <w:rPr>
          <w:rFonts w:cstheme="minorHAnsi"/>
        </w:rPr>
        <w:t>this</w:t>
      </w:r>
      <w:r w:rsidRPr="00E27DAB">
        <w:rPr>
          <w:rFonts w:cstheme="minorHAnsi"/>
        </w:rPr>
        <w:t xml:space="preserve"> ha</w:t>
      </w:r>
      <w:r w:rsidR="00576A32" w:rsidRPr="00E27DAB">
        <w:rPr>
          <w:rFonts w:cstheme="minorHAnsi"/>
        </w:rPr>
        <w:t>s</w:t>
      </w:r>
      <w:r w:rsidRPr="00E27DAB">
        <w:rPr>
          <w:rFonts w:cstheme="minorHAnsi"/>
        </w:rPr>
        <w:t xml:space="preserve"> not</w:t>
      </w:r>
      <w:r w:rsidR="00576A32" w:rsidRPr="00E27DAB">
        <w:rPr>
          <w:rFonts w:cstheme="minorHAnsi"/>
        </w:rPr>
        <w:t xml:space="preserve"> had</w:t>
      </w:r>
      <w:r w:rsidRPr="00E27DAB">
        <w:rPr>
          <w:rFonts w:cstheme="minorHAnsi"/>
        </w:rPr>
        <w:t xml:space="preserve"> much effect on attainment and cost</w:t>
      </w:r>
      <w:r w:rsidR="00576A32" w:rsidRPr="00E27DAB">
        <w:rPr>
          <w:rFonts w:cstheme="minorHAnsi"/>
        </w:rPr>
        <w:t>s</w:t>
      </w:r>
      <w:r w:rsidRPr="00E27DAB">
        <w:rPr>
          <w:rFonts w:cstheme="minorHAnsi"/>
        </w:rPr>
        <w:t xml:space="preserve"> more than other intervention methods. </w:t>
      </w:r>
      <w:r w:rsidR="003860A7" w:rsidRPr="00E27DAB">
        <w:rPr>
          <w:rFonts w:cstheme="minorHAnsi"/>
        </w:rPr>
        <w:t>Egan (2013)</w:t>
      </w:r>
      <w:r w:rsidRPr="00E27DAB">
        <w:rPr>
          <w:rFonts w:cstheme="minorHAnsi"/>
        </w:rPr>
        <w:t xml:space="preserve"> </w:t>
      </w:r>
      <w:r w:rsidR="00576A32" w:rsidRPr="00E27DAB">
        <w:rPr>
          <w:rFonts w:cstheme="minorHAnsi"/>
        </w:rPr>
        <w:t xml:space="preserve">also states that </w:t>
      </w:r>
      <w:r w:rsidRPr="00E27DAB">
        <w:rPr>
          <w:rFonts w:cstheme="minorHAnsi"/>
        </w:rPr>
        <w:t>ability grouping and teacher performance</w:t>
      </w:r>
      <w:r w:rsidR="00576A32" w:rsidRPr="00E27DAB">
        <w:rPr>
          <w:rFonts w:cstheme="minorHAnsi"/>
        </w:rPr>
        <w:t>-</w:t>
      </w:r>
      <w:r w:rsidRPr="00E27DAB">
        <w:rPr>
          <w:rFonts w:cstheme="minorHAnsi"/>
        </w:rPr>
        <w:t>related pay has been successful</w:t>
      </w:r>
      <w:r w:rsidR="003428E3" w:rsidRPr="00E27DAB">
        <w:rPr>
          <w:rFonts w:cstheme="minorHAnsi"/>
        </w:rPr>
        <w:t xml:space="preserve">. </w:t>
      </w:r>
      <w:r w:rsidR="00576A32" w:rsidRPr="00E27DAB">
        <w:rPr>
          <w:rFonts w:cstheme="minorHAnsi"/>
        </w:rPr>
        <w:t xml:space="preserve">From my own experience in schools, I have found that </w:t>
      </w:r>
      <w:r w:rsidRPr="00E27DAB">
        <w:rPr>
          <w:rFonts w:cstheme="minorHAnsi"/>
        </w:rPr>
        <w:t xml:space="preserve">ability groups </w:t>
      </w:r>
      <w:r w:rsidR="00576A32" w:rsidRPr="00E27DAB">
        <w:rPr>
          <w:rFonts w:cstheme="minorHAnsi"/>
        </w:rPr>
        <w:t xml:space="preserve">often </w:t>
      </w:r>
      <w:r w:rsidRPr="00E27DAB">
        <w:rPr>
          <w:rFonts w:cstheme="minorHAnsi"/>
        </w:rPr>
        <w:t>extenuate the attainment gap</w:t>
      </w:r>
      <w:r w:rsidR="00576A32" w:rsidRPr="00E27DAB">
        <w:rPr>
          <w:rFonts w:cstheme="minorHAnsi"/>
        </w:rPr>
        <w:t>, often with lack of interventions</w:t>
      </w:r>
      <w:r w:rsidR="00D714E0" w:rsidRPr="00E27DAB">
        <w:rPr>
          <w:rFonts w:cstheme="minorHAnsi"/>
        </w:rPr>
        <w:t xml:space="preserve"> for lower ability group</w:t>
      </w:r>
      <w:r w:rsidR="00576A32" w:rsidRPr="00E27DAB">
        <w:rPr>
          <w:rFonts w:cstheme="minorHAnsi"/>
        </w:rPr>
        <w:t>s</w:t>
      </w:r>
      <w:r w:rsidR="00D714E0" w:rsidRPr="00E27DAB">
        <w:rPr>
          <w:rFonts w:cstheme="minorHAnsi"/>
        </w:rPr>
        <w:t xml:space="preserve"> to catch up to curriculum requirements. </w:t>
      </w:r>
      <w:r w:rsidR="003428E3" w:rsidRPr="00E27DAB">
        <w:rPr>
          <w:rFonts w:cstheme="minorHAnsi"/>
        </w:rPr>
        <w:t xml:space="preserve">Egan also believes peer tutoring has a positive impact. While on </w:t>
      </w:r>
      <w:r w:rsidR="003428E3" w:rsidRPr="004F21B8">
        <w:rPr>
          <w:rFonts w:cstheme="minorHAnsi"/>
        </w:rPr>
        <w:t>placement A, I saw peer mentoring first-hand with year 5 pupils helping year 1/2 students code on HWB, which was very effective for both groups.</w:t>
      </w:r>
      <w:r w:rsidR="002026ED">
        <w:rPr>
          <w:rFonts w:cstheme="minorHAnsi"/>
        </w:rPr>
        <w:t xml:space="preserve"> </w:t>
      </w:r>
      <w:r w:rsidR="004A7F27" w:rsidRPr="00E27DAB">
        <w:rPr>
          <w:rFonts w:cstheme="minorHAnsi"/>
        </w:rPr>
        <w:t xml:space="preserve">The </w:t>
      </w:r>
      <w:r w:rsidR="00C5612E" w:rsidRPr="00E27DAB">
        <w:rPr>
          <w:rFonts w:cstheme="minorHAnsi"/>
        </w:rPr>
        <w:t xml:space="preserve">Family and Community </w:t>
      </w:r>
      <w:r w:rsidR="00EC3844" w:rsidRPr="00E27DAB">
        <w:rPr>
          <w:rFonts w:cstheme="minorHAnsi"/>
        </w:rPr>
        <w:t>Engagement</w:t>
      </w:r>
      <w:r w:rsidR="002026ED" w:rsidRPr="002026ED">
        <w:rPr>
          <w:rFonts w:cstheme="minorHAnsi"/>
        </w:rPr>
        <w:t xml:space="preserve"> </w:t>
      </w:r>
      <w:r w:rsidR="002026ED">
        <w:rPr>
          <w:rFonts w:cstheme="minorHAnsi"/>
        </w:rPr>
        <w:t>(</w:t>
      </w:r>
      <w:r w:rsidR="002026ED" w:rsidRPr="00E27DAB">
        <w:rPr>
          <w:rFonts w:cstheme="minorHAnsi"/>
        </w:rPr>
        <w:t>Learning.gov.wales</w:t>
      </w:r>
      <w:r w:rsidR="002026ED">
        <w:rPr>
          <w:rFonts w:cstheme="minorHAnsi"/>
        </w:rPr>
        <w:t xml:space="preserve">, </w:t>
      </w:r>
      <w:r w:rsidR="002026ED" w:rsidRPr="00E27DAB">
        <w:rPr>
          <w:rFonts w:cstheme="minorHAnsi"/>
        </w:rPr>
        <w:t xml:space="preserve">2019). </w:t>
      </w:r>
      <w:r w:rsidR="00C5612E" w:rsidRPr="00E27DAB">
        <w:rPr>
          <w:rFonts w:cstheme="minorHAnsi"/>
        </w:rPr>
        <w:t>Toolkit</w:t>
      </w:r>
      <w:r w:rsidR="002026ED">
        <w:rPr>
          <w:rFonts w:cstheme="minorHAnsi"/>
        </w:rPr>
        <w:t xml:space="preserve"> (FaCE) </w:t>
      </w:r>
      <w:r w:rsidR="00A75F0F" w:rsidRPr="00E27DAB">
        <w:rPr>
          <w:rFonts w:cstheme="minorHAnsi"/>
        </w:rPr>
        <w:t xml:space="preserve">implemented by the government provides </w:t>
      </w:r>
      <w:r w:rsidR="003428E3" w:rsidRPr="00E27DAB">
        <w:rPr>
          <w:rFonts w:cstheme="minorHAnsi"/>
        </w:rPr>
        <w:t>several</w:t>
      </w:r>
      <w:r w:rsidR="00A75F0F" w:rsidRPr="00E27DAB">
        <w:rPr>
          <w:rFonts w:cstheme="minorHAnsi"/>
        </w:rPr>
        <w:t xml:space="preserve"> suggestions on how </w:t>
      </w:r>
      <w:r w:rsidR="003428E3" w:rsidRPr="00E27DAB">
        <w:rPr>
          <w:rFonts w:cstheme="minorHAnsi"/>
        </w:rPr>
        <w:t>to create an</w:t>
      </w:r>
      <w:r w:rsidR="00A75F0F" w:rsidRPr="00E27DAB">
        <w:rPr>
          <w:rFonts w:cstheme="minorHAnsi"/>
        </w:rPr>
        <w:t xml:space="preserve"> environment which engages with</w:t>
      </w:r>
      <w:r w:rsidR="004A7F27" w:rsidRPr="00E27DAB">
        <w:rPr>
          <w:rFonts w:cstheme="minorHAnsi"/>
        </w:rPr>
        <w:t xml:space="preserve"> </w:t>
      </w:r>
      <w:r w:rsidR="00A75F0F" w:rsidRPr="00E27DAB">
        <w:rPr>
          <w:rFonts w:cstheme="minorHAnsi"/>
        </w:rPr>
        <w:t>the surrounding community</w:t>
      </w:r>
      <w:r w:rsidR="000C58E2" w:rsidRPr="00E27DAB">
        <w:rPr>
          <w:rFonts w:cstheme="minorHAnsi"/>
        </w:rPr>
        <w:t xml:space="preserve"> (Learning.gov.wales, 2019)</w:t>
      </w:r>
      <w:r w:rsidR="00A75F0F" w:rsidRPr="00E27DAB">
        <w:rPr>
          <w:rFonts w:cstheme="minorHAnsi"/>
        </w:rPr>
        <w:t>. Herbert Thompson</w:t>
      </w:r>
      <w:r w:rsidR="004A7F27" w:rsidRPr="00E27DAB">
        <w:rPr>
          <w:rFonts w:cstheme="minorHAnsi"/>
        </w:rPr>
        <w:t>’s</w:t>
      </w:r>
      <w:r w:rsidR="00A75F0F" w:rsidRPr="00E27DAB">
        <w:rPr>
          <w:rFonts w:cstheme="minorHAnsi"/>
        </w:rPr>
        <w:t xml:space="preserve"> Primary School </w:t>
      </w:r>
      <w:r w:rsidR="000C58E2" w:rsidRPr="00E27DAB">
        <w:rPr>
          <w:rFonts w:cstheme="minorHAnsi"/>
        </w:rPr>
        <w:t>(Learning.gov.wales, 2019)</w:t>
      </w:r>
      <w:r w:rsidR="00A75F0F" w:rsidRPr="00E27DAB">
        <w:rPr>
          <w:rFonts w:cstheme="minorHAnsi"/>
        </w:rPr>
        <w:t xml:space="preserve"> strengthened important relationships with a range of community agencies to address the barriers that come from home and the community.</w:t>
      </w:r>
      <w:r w:rsidR="002207B9" w:rsidRPr="00E27DAB">
        <w:rPr>
          <w:rFonts w:cstheme="minorHAnsi"/>
        </w:rPr>
        <w:t xml:space="preserve"> </w:t>
      </w:r>
      <w:r w:rsidR="00072857" w:rsidRPr="00E27DAB">
        <w:rPr>
          <w:rFonts w:cstheme="minorHAnsi"/>
        </w:rPr>
        <w:t xml:space="preserve">Parc Waundew Richmond Park School provide ‘PEAS’ (Parents Engaged Actively in School) and ‘DREAMS’ (Developing Reading, English And Maths) initiatives which are aimed at including parents in order to raise </w:t>
      </w:r>
      <w:r w:rsidR="00072857" w:rsidRPr="004F21B8">
        <w:rPr>
          <w:rFonts w:cstheme="minorHAnsi"/>
        </w:rPr>
        <w:t>attendance and levels of literacy and numeracy.</w:t>
      </w:r>
      <w:r w:rsidR="00072857" w:rsidRPr="00E27DAB">
        <w:rPr>
          <w:rFonts w:cstheme="minorHAnsi"/>
        </w:rPr>
        <w:t xml:space="preserve"> </w:t>
      </w:r>
    </w:p>
    <w:p w14:paraId="47759FBF" w14:textId="3228E8F4" w:rsidR="00DF6A10" w:rsidRPr="00E27DAB" w:rsidRDefault="00D43F1F" w:rsidP="00E27DAB">
      <w:pPr>
        <w:spacing w:line="480" w:lineRule="auto"/>
        <w:rPr>
          <w:rFonts w:cstheme="minorHAnsi"/>
          <w:u w:val="single"/>
          <w:lang w:val="en-GB"/>
        </w:rPr>
      </w:pPr>
      <w:r w:rsidRPr="00E27DAB">
        <w:rPr>
          <w:rFonts w:cstheme="minorHAnsi"/>
          <w:lang w:val="en-GB"/>
        </w:rPr>
        <w:t xml:space="preserve">There is a clear need </w:t>
      </w:r>
      <w:r w:rsidR="00337FC0" w:rsidRPr="00E27DAB">
        <w:rPr>
          <w:rFonts w:cstheme="minorHAnsi"/>
          <w:lang w:val="en-GB"/>
        </w:rPr>
        <w:t xml:space="preserve">for </w:t>
      </w:r>
      <w:r w:rsidRPr="00E27DAB">
        <w:rPr>
          <w:rFonts w:cstheme="minorHAnsi"/>
          <w:lang w:val="en-GB"/>
        </w:rPr>
        <w:t xml:space="preserve">an inclusive approach </w:t>
      </w:r>
      <w:r w:rsidR="00337FC0" w:rsidRPr="00E27DAB">
        <w:rPr>
          <w:rFonts w:cstheme="minorHAnsi"/>
          <w:lang w:val="en-GB"/>
        </w:rPr>
        <w:t>i</w:t>
      </w:r>
      <w:r w:rsidRPr="00E27DAB">
        <w:rPr>
          <w:rFonts w:cstheme="minorHAnsi"/>
          <w:lang w:val="en-GB"/>
        </w:rPr>
        <w:t>n order to bridge the attainment gap. The Warnock Report’s (1978) ‘Code of Practice’ outlined the responsibilities of practitioners and governing bodies in relation to children with Special Educational needs. Since then there have been number of government acts and policies in which set out the rights and interventions which outline an effective approach to allowing every child a chance in education. These policies are based on the UNCRC (19</w:t>
      </w:r>
      <w:r w:rsidR="00FB2C31" w:rsidRPr="00E27DAB">
        <w:rPr>
          <w:rFonts w:cstheme="minorHAnsi"/>
          <w:lang w:val="en-GB"/>
        </w:rPr>
        <w:t>89</w:t>
      </w:r>
      <w:r w:rsidRPr="00E27DAB">
        <w:rPr>
          <w:rFonts w:cstheme="minorHAnsi"/>
          <w:lang w:val="en-GB"/>
        </w:rPr>
        <w:t>) which sets out the rights of children around the world</w:t>
      </w:r>
      <w:r w:rsidR="00337FC0" w:rsidRPr="00E27DAB">
        <w:rPr>
          <w:rFonts w:cstheme="minorHAnsi"/>
          <w:lang w:val="en-GB"/>
        </w:rPr>
        <w:t xml:space="preserve">. </w:t>
      </w:r>
      <w:r w:rsidRPr="00E27DAB">
        <w:rPr>
          <w:rFonts w:cstheme="minorHAnsi"/>
          <w:lang w:val="en-GB"/>
        </w:rPr>
        <w:t>In Wales the SEN code of practice (</w:t>
      </w:r>
      <w:r w:rsidR="00D52999" w:rsidRPr="00E27DAB">
        <w:rPr>
          <w:rFonts w:cstheme="minorHAnsi"/>
        </w:rPr>
        <w:t>Learning.gov.wales.</w:t>
      </w:r>
      <w:r w:rsidR="00337FC0" w:rsidRPr="00E27DAB">
        <w:rPr>
          <w:rFonts w:cstheme="minorHAnsi"/>
        </w:rPr>
        <w:t xml:space="preserve">, </w:t>
      </w:r>
      <w:r w:rsidR="00D52999" w:rsidRPr="00E27DAB">
        <w:rPr>
          <w:rFonts w:cstheme="minorHAnsi"/>
        </w:rPr>
        <w:t>2019</w:t>
      </w:r>
      <w:r w:rsidRPr="00E27DAB">
        <w:rPr>
          <w:rFonts w:cstheme="minorHAnsi"/>
          <w:lang w:val="en-GB"/>
        </w:rPr>
        <w:t xml:space="preserve">) and the Equality Act </w:t>
      </w:r>
      <w:r w:rsidR="0080186A" w:rsidRPr="00E27DAB">
        <w:rPr>
          <w:rFonts w:cstheme="minorHAnsi"/>
        </w:rPr>
        <w:t xml:space="preserve">(GOV.UK, 2019) </w:t>
      </w:r>
      <w:r w:rsidRPr="00E27DAB">
        <w:rPr>
          <w:rFonts w:cstheme="minorHAnsi"/>
          <w:lang w:val="en-GB"/>
        </w:rPr>
        <w:t>further outline the practice of equality and fairness to allow all learners the same chance to a quality of life given to them by education</w:t>
      </w:r>
      <w:r w:rsidR="00AC406D" w:rsidRPr="00E27DAB">
        <w:rPr>
          <w:rFonts w:cstheme="minorHAnsi"/>
          <w:lang w:val="en-GB"/>
        </w:rPr>
        <w:t>.</w:t>
      </w:r>
      <w:r w:rsidRPr="00E27DAB">
        <w:rPr>
          <w:rFonts w:cstheme="minorHAnsi"/>
          <w:lang w:val="en-GB"/>
        </w:rPr>
        <w:t xml:space="preserve"> These policies </w:t>
      </w:r>
      <w:r w:rsidR="00415BDD" w:rsidRPr="00E27DAB">
        <w:rPr>
          <w:rFonts w:cstheme="minorHAnsi"/>
          <w:lang w:val="en-GB"/>
        </w:rPr>
        <w:t>ar</w:t>
      </w:r>
      <w:r w:rsidRPr="00E27DAB">
        <w:rPr>
          <w:rFonts w:cstheme="minorHAnsi"/>
          <w:lang w:val="en-GB"/>
        </w:rPr>
        <w:t xml:space="preserve">e furthered by the Rights of Children and Young People </w:t>
      </w:r>
      <w:r w:rsidR="0080186A" w:rsidRPr="00E27DAB">
        <w:rPr>
          <w:rFonts w:cstheme="minorHAnsi"/>
          <w:lang w:val="en-GB"/>
        </w:rPr>
        <w:t xml:space="preserve">Measure </w:t>
      </w:r>
      <w:r w:rsidR="0080186A" w:rsidRPr="00E27DAB">
        <w:rPr>
          <w:rFonts w:cstheme="minorHAnsi"/>
        </w:rPr>
        <w:t>(Legislation.gov.uk, 2019)</w:t>
      </w:r>
      <w:r w:rsidRPr="00E27DAB">
        <w:rPr>
          <w:rFonts w:cstheme="minorHAnsi"/>
          <w:lang w:val="en-GB"/>
        </w:rPr>
        <w:t xml:space="preserve"> and the Wellbeing </w:t>
      </w:r>
      <w:r w:rsidRPr="00B96820">
        <w:rPr>
          <w:rFonts w:cstheme="minorHAnsi"/>
          <w:lang w:val="en-GB"/>
        </w:rPr>
        <w:t>of Future Generations Act (Wales</w:t>
      </w:r>
      <w:r w:rsidR="0068530C" w:rsidRPr="00B96820">
        <w:rPr>
          <w:rFonts w:cstheme="minorHAnsi"/>
          <w:lang w:val="en-GB"/>
        </w:rPr>
        <w:t>) (</w:t>
      </w:r>
      <w:r w:rsidR="0080186A" w:rsidRPr="00B96820">
        <w:rPr>
          <w:rFonts w:cstheme="minorHAnsi"/>
        </w:rPr>
        <w:t>Legislation.gov.uk, 2019)</w:t>
      </w:r>
      <w:r w:rsidR="00B11FBE" w:rsidRPr="00B96820">
        <w:rPr>
          <w:rFonts w:cstheme="minorHAnsi"/>
          <w:lang w:val="en-GB"/>
        </w:rPr>
        <w:t>. These p</w:t>
      </w:r>
      <w:r w:rsidRPr="00B96820">
        <w:rPr>
          <w:rFonts w:cstheme="minorHAnsi"/>
          <w:lang w:val="en-GB"/>
        </w:rPr>
        <w:t>olicie</w:t>
      </w:r>
      <w:r w:rsidR="00B11FBE" w:rsidRPr="00B96820">
        <w:rPr>
          <w:rFonts w:cstheme="minorHAnsi"/>
          <w:lang w:val="en-GB"/>
        </w:rPr>
        <w:t>s</w:t>
      </w:r>
      <w:r w:rsidR="00B11FBE" w:rsidRPr="00E27DAB">
        <w:rPr>
          <w:rFonts w:cstheme="minorHAnsi"/>
          <w:lang w:val="en-GB"/>
        </w:rPr>
        <w:t>, laying out T</w:t>
      </w:r>
      <w:r w:rsidRPr="00E27DAB">
        <w:rPr>
          <w:rFonts w:cstheme="minorHAnsi"/>
          <w:lang w:val="en-GB"/>
        </w:rPr>
        <w:t xml:space="preserve">he Inclusion and Pupil Support Act </w:t>
      </w:r>
      <w:r w:rsidR="0080186A" w:rsidRPr="00E27DAB">
        <w:rPr>
          <w:rFonts w:cstheme="minorHAnsi"/>
        </w:rPr>
        <w:t>(Dera.ioe.ac.uk, 2019)</w:t>
      </w:r>
      <w:r w:rsidR="00B11FBE" w:rsidRPr="00E27DAB">
        <w:rPr>
          <w:rFonts w:cstheme="minorHAnsi"/>
        </w:rPr>
        <w:t xml:space="preserve">, </w:t>
      </w:r>
      <w:r w:rsidRPr="00E27DAB">
        <w:rPr>
          <w:rFonts w:cstheme="minorHAnsi"/>
          <w:lang w:val="en-GB"/>
        </w:rPr>
        <w:t>assert the essential nature of inclusive education as being crucial</w:t>
      </w:r>
      <w:r w:rsidR="00C8254B" w:rsidRPr="00E27DAB">
        <w:rPr>
          <w:rFonts w:cstheme="minorHAnsi"/>
          <w:lang w:val="en-GB"/>
        </w:rPr>
        <w:t xml:space="preserve"> to all learners. </w:t>
      </w:r>
      <w:r w:rsidR="004F35CB" w:rsidRPr="00B96820">
        <w:rPr>
          <w:rFonts w:cstheme="minorHAnsi"/>
        </w:rPr>
        <w:t>The Communities First programme</w:t>
      </w:r>
      <w:r w:rsidR="007D43B6" w:rsidRPr="00E27DAB">
        <w:rPr>
          <w:rFonts w:cstheme="minorHAnsi"/>
        </w:rPr>
        <w:t xml:space="preserve"> (Egan, 2013)</w:t>
      </w:r>
      <w:r w:rsidR="004F35CB" w:rsidRPr="00E27DAB">
        <w:rPr>
          <w:rFonts w:cstheme="minorHAnsi"/>
        </w:rPr>
        <w:t xml:space="preserve"> </w:t>
      </w:r>
      <w:r w:rsidR="00E65F2F" w:rsidRPr="00E27DAB">
        <w:rPr>
          <w:rFonts w:cstheme="minorHAnsi"/>
        </w:rPr>
        <w:t xml:space="preserve">is trying to combat this with a strategy that aims to </w:t>
      </w:r>
      <w:r w:rsidR="004F35CB" w:rsidRPr="00E27DAB">
        <w:rPr>
          <w:rFonts w:cstheme="minorHAnsi"/>
        </w:rPr>
        <w:t xml:space="preserve">encourage schools to work with their local community in deprived areas to raise attainment of </w:t>
      </w:r>
      <w:r w:rsidR="007D43B6" w:rsidRPr="00E27DAB">
        <w:rPr>
          <w:rFonts w:cstheme="minorHAnsi"/>
        </w:rPr>
        <w:t xml:space="preserve">economically and culturally disadvantaged learners. </w:t>
      </w:r>
      <w:r w:rsidR="00967587" w:rsidRPr="00E27DAB">
        <w:rPr>
          <w:rFonts w:cstheme="minorHAnsi"/>
        </w:rPr>
        <w:t xml:space="preserve">The Government’s Early Years programme Flying Start aims to provide early intervention in assessing children’s needs to counteract inequality (Egan, 2013). </w:t>
      </w:r>
      <w:r w:rsidR="00DF6A10" w:rsidRPr="00E27DAB">
        <w:rPr>
          <w:rFonts w:cstheme="minorHAnsi"/>
          <w:lang w:val="en-GB"/>
        </w:rPr>
        <w:t>An example of good practice can be seen in Mount Stuart Primary school, Cardiff. During the past 5 years</w:t>
      </w:r>
      <w:r w:rsidR="00967587" w:rsidRPr="00E27DAB">
        <w:rPr>
          <w:rFonts w:cstheme="minorHAnsi"/>
          <w:lang w:val="en-GB"/>
        </w:rPr>
        <w:t>,</w:t>
      </w:r>
      <w:r w:rsidR="00DF6A10" w:rsidRPr="00E27DAB">
        <w:rPr>
          <w:rFonts w:cstheme="minorHAnsi"/>
          <w:lang w:val="en-GB"/>
        </w:rPr>
        <w:t xml:space="preserve"> FSM pupils have outperformed non-FSM pupils at K2 </w:t>
      </w:r>
      <w:r w:rsidR="00040B3C" w:rsidRPr="00E27DAB">
        <w:rPr>
          <w:rFonts w:cstheme="minorHAnsi"/>
        </w:rPr>
        <w:t>(Egan et al., 2014)</w:t>
      </w:r>
      <w:r w:rsidR="00967587" w:rsidRPr="00E27DAB">
        <w:rPr>
          <w:rFonts w:cstheme="minorHAnsi"/>
        </w:rPr>
        <w:t>. Egan states that t</w:t>
      </w:r>
      <w:r w:rsidR="00DF6A10" w:rsidRPr="00E27DAB">
        <w:rPr>
          <w:rFonts w:cstheme="minorHAnsi"/>
          <w:lang w:val="en-GB"/>
        </w:rPr>
        <w:t xml:space="preserve">he school </w:t>
      </w:r>
      <w:r w:rsidR="0069545D">
        <w:rPr>
          <w:rFonts w:cstheme="minorHAnsi"/>
          <w:lang w:val="en-GB"/>
        </w:rPr>
        <w:t>engaged</w:t>
      </w:r>
      <w:r w:rsidR="00DF6A10" w:rsidRPr="00E27DAB">
        <w:rPr>
          <w:rFonts w:cstheme="minorHAnsi"/>
          <w:lang w:val="en-GB"/>
        </w:rPr>
        <w:t xml:space="preserve"> with parents and families to overcome cultural barriers</w:t>
      </w:r>
      <w:r w:rsidR="00967587" w:rsidRPr="00E27DAB">
        <w:rPr>
          <w:rFonts w:cstheme="minorHAnsi"/>
          <w:lang w:val="en-GB"/>
        </w:rPr>
        <w:t xml:space="preserve">. A number of schools implement similar strategies, for instance, </w:t>
      </w:r>
      <w:r w:rsidR="00040B3C" w:rsidRPr="00E27DAB">
        <w:rPr>
          <w:rFonts w:cstheme="minorHAnsi"/>
          <w:lang w:val="en-GB"/>
        </w:rPr>
        <w:t xml:space="preserve">Sandfields Comprehensive school </w:t>
      </w:r>
      <w:r w:rsidR="00967587" w:rsidRPr="00E27DAB">
        <w:rPr>
          <w:rFonts w:cstheme="minorHAnsi"/>
          <w:lang w:val="en-GB"/>
        </w:rPr>
        <w:t>have a strategy for</w:t>
      </w:r>
      <w:r w:rsidR="00040B3C" w:rsidRPr="00E27DAB">
        <w:rPr>
          <w:rFonts w:cstheme="minorHAnsi"/>
          <w:lang w:val="en-GB"/>
        </w:rPr>
        <w:t xml:space="preserve"> teaching skills</w:t>
      </w:r>
      <w:r w:rsidR="00967587" w:rsidRPr="00E27DAB">
        <w:rPr>
          <w:rFonts w:cstheme="minorHAnsi"/>
          <w:lang w:val="en-GB"/>
        </w:rPr>
        <w:t xml:space="preserve"> where </w:t>
      </w:r>
      <w:r w:rsidR="00040B3C" w:rsidRPr="00E27DAB">
        <w:rPr>
          <w:rFonts w:cstheme="minorHAnsi"/>
          <w:lang w:val="en-GB"/>
        </w:rPr>
        <w:t xml:space="preserve">teachers can design a structured support programme for those in need </w:t>
      </w:r>
      <w:r w:rsidR="00040B3C" w:rsidRPr="00E27DAB">
        <w:rPr>
          <w:rFonts w:cstheme="minorHAnsi"/>
        </w:rPr>
        <w:t>(Estyn.gov.wales, 2012)</w:t>
      </w:r>
      <w:r w:rsidR="00040B3C" w:rsidRPr="00E27DAB">
        <w:rPr>
          <w:rFonts w:cstheme="minorHAnsi"/>
          <w:lang w:val="en-GB"/>
        </w:rPr>
        <w:t xml:space="preserve">. </w:t>
      </w:r>
      <w:r w:rsidR="00BE6154" w:rsidRPr="00E27DAB">
        <w:rPr>
          <w:rFonts w:cstheme="minorHAnsi"/>
          <w:lang w:val="en-GB"/>
        </w:rPr>
        <w:t xml:space="preserve">A number of initiatives are in place to try and tackle poverty across Wales; the Tackling Poverty Action Plan </w:t>
      </w:r>
      <w:r w:rsidR="00BE6154" w:rsidRPr="00E27DAB">
        <w:rPr>
          <w:rFonts w:cstheme="minorHAnsi"/>
        </w:rPr>
        <w:t>(Gweddill.gov.wales, 2019)</w:t>
      </w:r>
      <w:r w:rsidR="00BE6154" w:rsidRPr="00E27DAB">
        <w:rPr>
          <w:rFonts w:cstheme="minorHAnsi"/>
          <w:lang w:val="en-GB"/>
        </w:rPr>
        <w:t xml:space="preserve"> attempts to break down the cyclical nature of poverty and education in Wales, intending to mitigate povert</w:t>
      </w:r>
      <w:r w:rsidR="005B4E89">
        <w:rPr>
          <w:rFonts w:cstheme="minorHAnsi"/>
          <w:lang w:val="en-GB"/>
        </w:rPr>
        <w:t>y’s</w:t>
      </w:r>
      <w:r w:rsidR="00BE6154" w:rsidRPr="00E27DAB">
        <w:rPr>
          <w:rFonts w:cstheme="minorHAnsi"/>
          <w:lang w:val="en-GB"/>
        </w:rPr>
        <w:t xml:space="preserve"> effects and to prevent future poverty (Welsh Government, 2012). Save the Children’s FAST (Families and Schools Together) (2012) targets school engagement in education of groups of disadvantaged children and families. There is also a free breakfast initiative in place (Egan, 2013) as Taki et al. found that lack of a breakfast could affect attainment</w:t>
      </w:r>
      <w:r w:rsidR="00047F81">
        <w:rPr>
          <w:rFonts w:cstheme="minorHAnsi"/>
          <w:lang w:val="en-GB"/>
        </w:rPr>
        <w:t>, affecting</w:t>
      </w:r>
      <w:r w:rsidR="00BE6154" w:rsidRPr="00E27DAB">
        <w:rPr>
          <w:rFonts w:cstheme="minorHAnsi"/>
          <w:lang w:val="en-GB"/>
        </w:rPr>
        <w:t xml:space="preserve"> children’s thinking and functioning (2010). Although many of these strategies improve student wellbeing and participation in school, there is little evidence to suggest improvement in attainment.  </w:t>
      </w:r>
    </w:p>
    <w:p w14:paraId="2107E03E" w14:textId="16F875D2" w:rsidR="0005200D" w:rsidRPr="00E27DAB" w:rsidRDefault="0005200D" w:rsidP="00E27DAB">
      <w:pPr>
        <w:spacing w:line="480" w:lineRule="auto"/>
        <w:rPr>
          <w:rFonts w:cstheme="minorHAnsi"/>
          <w:lang w:val="en-GB"/>
        </w:rPr>
      </w:pPr>
      <w:r w:rsidRPr="00E27DAB">
        <w:rPr>
          <w:rFonts w:cstheme="minorHAnsi"/>
          <w:noProof/>
          <w:lang w:val="en-GB" w:eastAsia="en-GB"/>
        </w:rPr>
        <w:drawing>
          <wp:inline distT="0" distB="0" distL="0" distR="0" wp14:anchorId="0CA62A4E" wp14:editId="78B812ED">
            <wp:extent cx="4572000" cy="2743200"/>
            <wp:effectExtent l="0" t="0" r="0" b="0"/>
            <wp:docPr id="11" name="Chart 11">
              <a:extLst xmlns:a="http://schemas.openxmlformats.org/drawingml/2006/main">
                <a:ext uri="{FF2B5EF4-FFF2-40B4-BE49-F238E27FC236}">
                  <a16:creationId xmlns:a16="http://schemas.microsoft.com/office/drawing/2014/main" id="{C90F0A51-9FB5-46B2-9F97-DC1C961A11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DB43A9" w:rsidRPr="00E27DAB">
        <w:rPr>
          <w:rFonts w:cstheme="minorHAnsi"/>
          <w:lang w:val="en-GB"/>
        </w:rPr>
        <w:t>Fig 7.</w:t>
      </w:r>
    </w:p>
    <w:p w14:paraId="54CCC33E" w14:textId="399B0CB1" w:rsidR="00C40EE1" w:rsidRPr="00E27DAB" w:rsidRDefault="00C40EE1" w:rsidP="00E27DAB">
      <w:pPr>
        <w:spacing w:line="480" w:lineRule="auto"/>
        <w:rPr>
          <w:rFonts w:cstheme="minorHAnsi"/>
          <w:lang w:val="en-GB"/>
        </w:rPr>
      </w:pPr>
      <w:r w:rsidRPr="00E27DAB">
        <w:rPr>
          <w:rFonts w:cstheme="minorHAnsi"/>
          <w:lang w:val="en-GB"/>
        </w:rPr>
        <w:t>When talking about an inclusive approach, Fig 7. Suggests that all respondents believe that schools have an inclusive approach for all children.</w:t>
      </w:r>
      <w:r w:rsidR="00103490" w:rsidRPr="00E27DAB">
        <w:rPr>
          <w:rFonts w:cstheme="minorHAnsi"/>
          <w:lang w:val="en-GB"/>
        </w:rPr>
        <w:t xml:space="preserve"> </w:t>
      </w:r>
    </w:p>
    <w:p w14:paraId="568A4DE7" w14:textId="12156041" w:rsidR="00D4184D" w:rsidRPr="00E27DAB" w:rsidRDefault="00126AB6" w:rsidP="00E27DAB">
      <w:pPr>
        <w:spacing w:line="480" w:lineRule="auto"/>
        <w:rPr>
          <w:rFonts w:cstheme="minorHAnsi"/>
          <w:lang w:val="en-GB"/>
        </w:rPr>
      </w:pPr>
      <w:r w:rsidRPr="00E27DAB">
        <w:rPr>
          <w:rFonts w:cstheme="minorHAnsi"/>
          <w:noProof/>
          <w:lang w:val="en-GB" w:eastAsia="en-GB"/>
        </w:rPr>
        <w:drawing>
          <wp:inline distT="0" distB="0" distL="0" distR="0" wp14:anchorId="533EA837" wp14:editId="25C82FC8">
            <wp:extent cx="4572000" cy="2743200"/>
            <wp:effectExtent l="0" t="0" r="0" b="0"/>
            <wp:docPr id="9" name="Chart 9">
              <a:extLst xmlns:a="http://schemas.openxmlformats.org/drawingml/2006/main">
                <a:ext uri="{FF2B5EF4-FFF2-40B4-BE49-F238E27FC236}">
                  <a16:creationId xmlns:a16="http://schemas.microsoft.com/office/drawing/2014/main" id="{12BC5CA4-11ED-47CA-BD89-2F073CCDA5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303793" w:rsidRPr="00E27DAB">
        <w:rPr>
          <w:rFonts w:cstheme="minorHAnsi"/>
          <w:lang w:val="en-GB"/>
        </w:rPr>
        <w:t>Fig 8.</w:t>
      </w:r>
    </w:p>
    <w:p w14:paraId="55729E61" w14:textId="6A9ED17E" w:rsidR="00AE54B2" w:rsidRPr="00E27DAB" w:rsidRDefault="00C40EE1" w:rsidP="00E27DAB">
      <w:pPr>
        <w:spacing w:line="480" w:lineRule="auto"/>
        <w:rPr>
          <w:rFonts w:cstheme="minorHAnsi"/>
        </w:rPr>
      </w:pPr>
      <w:r w:rsidRPr="00E27DAB">
        <w:rPr>
          <w:rFonts w:cstheme="minorHAnsi"/>
          <w:lang w:val="en-GB"/>
        </w:rPr>
        <w:t>Fig 8. Shows the number of interventions being used within schools already, suggesting a lot of time, money and support is currently available in a variety of schools across the country.</w:t>
      </w:r>
      <w:r w:rsidR="0057235D" w:rsidRPr="00E27DAB">
        <w:rPr>
          <w:rFonts w:cstheme="minorHAnsi"/>
        </w:rPr>
        <w:t xml:space="preserve"> </w:t>
      </w:r>
    </w:p>
    <w:p w14:paraId="199C089A" w14:textId="0E9BCF9F" w:rsidR="003F00D2" w:rsidRPr="00E27DAB" w:rsidRDefault="0057235D" w:rsidP="00E27DAB">
      <w:pPr>
        <w:spacing w:line="480" w:lineRule="auto"/>
        <w:rPr>
          <w:rFonts w:eastAsia="MS PGothic" w:cstheme="minorHAnsi"/>
          <w:kern w:val="24"/>
        </w:rPr>
      </w:pPr>
      <w:r w:rsidRPr="00E27DAB">
        <w:rPr>
          <w:rFonts w:cstheme="minorHAnsi"/>
          <w:lang w:val="en-GB"/>
        </w:rPr>
        <w:t xml:space="preserve">It </w:t>
      </w:r>
      <w:r w:rsidR="0089561D" w:rsidRPr="00E27DAB">
        <w:rPr>
          <w:rFonts w:cstheme="minorHAnsi"/>
          <w:lang w:val="en-GB"/>
        </w:rPr>
        <w:t>was important to understand current research in the area of poverty and educational attainment</w:t>
      </w:r>
      <w:r w:rsidRPr="00E27DAB">
        <w:rPr>
          <w:rFonts w:cstheme="minorHAnsi"/>
          <w:lang w:val="en-GB"/>
        </w:rPr>
        <w:t xml:space="preserve"> when carrying out this assignment.</w:t>
      </w:r>
      <w:r w:rsidR="0089561D" w:rsidRPr="00E27DAB">
        <w:rPr>
          <w:rFonts w:cstheme="minorHAnsi"/>
          <w:lang w:val="en-GB"/>
        </w:rPr>
        <w:t xml:space="preserve"> </w:t>
      </w:r>
      <w:r w:rsidRPr="00E27DAB">
        <w:rPr>
          <w:rFonts w:cstheme="minorHAnsi"/>
          <w:lang w:val="en-GB"/>
        </w:rPr>
        <w:t>We</w:t>
      </w:r>
      <w:r w:rsidR="0089561D" w:rsidRPr="00E27DAB">
        <w:rPr>
          <w:rFonts w:cstheme="minorHAnsi"/>
          <w:lang w:val="en-GB"/>
        </w:rPr>
        <w:t xml:space="preserve"> looked at </w:t>
      </w:r>
      <w:r w:rsidRPr="00E27DAB">
        <w:rPr>
          <w:rFonts w:cstheme="minorHAnsi"/>
          <w:lang w:val="en-GB"/>
        </w:rPr>
        <w:t>several areas of research like</w:t>
      </w:r>
      <w:r w:rsidR="0089561D" w:rsidRPr="00E27DAB">
        <w:rPr>
          <w:rFonts w:cstheme="minorHAnsi"/>
          <w:lang w:val="en-GB"/>
        </w:rPr>
        <w:t xml:space="preserve"> social exclusion </w:t>
      </w:r>
      <w:r w:rsidRPr="00E27DAB">
        <w:rPr>
          <w:rFonts w:cstheme="minorHAnsi"/>
          <w:lang w:val="en-GB"/>
        </w:rPr>
        <w:t xml:space="preserve">and links between additional needs and poverty, however, we decided to look at </w:t>
      </w:r>
      <w:r w:rsidR="0089561D" w:rsidRPr="00E27DAB">
        <w:rPr>
          <w:rFonts w:cstheme="minorHAnsi"/>
          <w:lang w:val="en-GB"/>
        </w:rPr>
        <w:t xml:space="preserve">educational attainment and </w:t>
      </w:r>
      <w:r w:rsidRPr="00E27DAB">
        <w:rPr>
          <w:rFonts w:cstheme="minorHAnsi"/>
          <w:lang w:val="en-GB"/>
        </w:rPr>
        <w:t>its</w:t>
      </w:r>
      <w:r w:rsidR="0089561D" w:rsidRPr="00E27DAB">
        <w:rPr>
          <w:rFonts w:cstheme="minorHAnsi"/>
          <w:lang w:val="en-GB"/>
        </w:rPr>
        <w:t xml:space="preserve"> links to poverty</w:t>
      </w:r>
      <w:r w:rsidRPr="00E27DAB">
        <w:rPr>
          <w:rFonts w:cstheme="minorHAnsi"/>
          <w:lang w:val="en-GB"/>
        </w:rPr>
        <w:t xml:space="preserve"> based </w:t>
      </w:r>
      <w:r w:rsidR="0089561D" w:rsidRPr="00E27DAB">
        <w:rPr>
          <w:rFonts w:cstheme="minorHAnsi"/>
          <w:lang w:val="en-GB"/>
        </w:rPr>
        <w:t xml:space="preserve">on the amount of secondary data </w:t>
      </w:r>
      <w:r w:rsidRPr="00E27DAB">
        <w:rPr>
          <w:rFonts w:cstheme="minorHAnsi"/>
          <w:lang w:val="en-GB"/>
        </w:rPr>
        <w:t xml:space="preserve">available, allowing </w:t>
      </w:r>
      <w:r w:rsidR="0089561D" w:rsidRPr="00E27DAB">
        <w:rPr>
          <w:rFonts w:cstheme="minorHAnsi"/>
          <w:lang w:val="en-GB"/>
        </w:rPr>
        <w:t>the group to compare</w:t>
      </w:r>
      <w:r w:rsidRPr="00E27DAB">
        <w:rPr>
          <w:rFonts w:cstheme="minorHAnsi"/>
          <w:lang w:val="en-GB"/>
        </w:rPr>
        <w:t xml:space="preserve"> </w:t>
      </w:r>
      <w:r w:rsidR="0089561D" w:rsidRPr="00E27DAB">
        <w:rPr>
          <w:rFonts w:cstheme="minorHAnsi"/>
          <w:lang w:val="en-GB"/>
        </w:rPr>
        <w:t xml:space="preserve">our questionnaire </w:t>
      </w:r>
      <w:r w:rsidRPr="00E27DAB">
        <w:rPr>
          <w:rFonts w:cstheme="minorHAnsi"/>
          <w:lang w:val="en-GB"/>
        </w:rPr>
        <w:t>with</w:t>
      </w:r>
      <w:r w:rsidR="0089561D" w:rsidRPr="00E27DAB">
        <w:rPr>
          <w:rFonts w:cstheme="minorHAnsi"/>
          <w:lang w:val="en-GB"/>
        </w:rPr>
        <w:t xml:space="preserve"> </w:t>
      </w:r>
      <w:r w:rsidRPr="00E27DAB">
        <w:rPr>
          <w:rFonts w:cstheme="minorHAnsi"/>
          <w:lang w:val="en-GB"/>
        </w:rPr>
        <w:t>research in the field. We decided to follow a methodology of research to ensure all aspects were completed thoroughly throughout the project, and to ensure research carried-out was ethical, in line with the university’s ethics form. We first looked into current poverty research which then informed the questions we provided to schools</w:t>
      </w:r>
      <w:r w:rsidR="003F00D2" w:rsidRPr="00E27DAB">
        <w:rPr>
          <w:rFonts w:eastAsia="MS PGothic" w:cstheme="minorHAnsi"/>
          <w:kern w:val="24"/>
        </w:rPr>
        <w:t>.</w:t>
      </w:r>
      <w:r w:rsidRPr="00E27DAB">
        <w:rPr>
          <w:rFonts w:eastAsia="MS PGothic" w:cstheme="minorHAnsi"/>
          <w:kern w:val="24"/>
        </w:rPr>
        <w:t xml:space="preserve"> It was essential that we operationalise</w:t>
      </w:r>
      <w:r w:rsidR="003F00D2" w:rsidRPr="00E27DAB">
        <w:rPr>
          <w:rFonts w:eastAsia="MS PGothic" w:cstheme="minorHAnsi"/>
          <w:kern w:val="24"/>
        </w:rPr>
        <w:t xml:space="preserve"> the key terms of our research,</w:t>
      </w:r>
      <w:r w:rsidRPr="00E27DAB">
        <w:rPr>
          <w:rFonts w:eastAsia="MS PGothic" w:cstheme="minorHAnsi"/>
          <w:kern w:val="24"/>
        </w:rPr>
        <w:t xml:space="preserve"> defining them into mea</w:t>
      </w:r>
      <w:r w:rsidR="003F00D2" w:rsidRPr="00E27DAB">
        <w:rPr>
          <w:rFonts w:eastAsia="MS PGothic" w:cstheme="minorHAnsi"/>
          <w:kern w:val="24"/>
        </w:rPr>
        <w:t>surable factors.</w:t>
      </w:r>
      <w:r w:rsidRPr="00E27DAB">
        <w:rPr>
          <w:rFonts w:eastAsia="MS PGothic" w:cstheme="minorHAnsi"/>
          <w:kern w:val="24"/>
        </w:rPr>
        <w:t xml:space="preserve"> The aim of the questionnaire was to gain an understanding on teachers’ own views of poverty on education and the attainment gap. </w:t>
      </w:r>
      <w:r w:rsidR="003F00D2" w:rsidRPr="00E27DAB">
        <w:rPr>
          <w:rFonts w:eastAsia="MS PGothic" w:cstheme="minorHAnsi"/>
          <w:kern w:val="24"/>
        </w:rPr>
        <w:t>Estyn (</w:t>
      </w:r>
      <w:r w:rsidR="00556756" w:rsidRPr="00E27DAB">
        <w:rPr>
          <w:rFonts w:eastAsia="MS PGothic" w:cstheme="minorHAnsi"/>
          <w:kern w:val="24"/>
        </w:rPr>
        <w:t>2012</w:t>
      </w:r>
      <w:r w:rsidR="003F00D2" w:rsidRPr="00E27DAB">
        <w:rPr>
          <w:rFonts w:eastAsia="MS PGothic" w:cstheme="minorHAnsi"/>
          <w:kern w:val="24"/>
        </w:rPr>
        <w:t xml:space="preserve">) state that there is no universal definition of poverty, </w:t>
      </w:r>
      <w:r w:rsidR="00E10E9C" w:rsidRPr="00E27DAB">
        <w:rPr>
          <w:rFonts w:eastAsia="MS PGothic" w:cstheme="minorHAnsi"/>
          <w:kern w:val="24"/>
        </w:rPr>
        <w:t>therefore we used Q2 in order to find how teachers defined poverty, we operationalised the data by using groups such as material deprivation, absolute poverty and relative deprivation</w:t>
      </w:r>
      <w:r w:rsidR="005E39A5" w:rsidRPr="00E27DAB">
        <w:rPr>
          <w:rFonts w:eastAsia="MS PGothic" w:cstheme="minorHAnsi"/>
          <w:kern w:val="24"/>
        </w:rPr>
        <w:t xml:space="preserve">, and decided that eligibility for free school meals should be used as the poverty line for this project. </w:t>
      </w:r>
      <w:r w:rsidR="005E39A5" w:rsidRPr="00E27DAB">
        <w:rPr>
          <w:rFonts w:cstheme="minorHAnsi"/>
          <w:lang w:val="en-GB"/>
        </w:rPr>
        <w:t>We used</w:t>
      </w:r>
      <w:r w:rsidR="0089561D" w:rsidRPr="00E27DAB">
        <w:rPr>
          <w:rFonts w:cstheme="minorHAnsi"/>
          <w:lang w:val="en-GB"/>
        </w:rPr>
        <w:t xml:space="preserve"> online questionnaire</w:t>
      </w:r>
      <w:r w:rsidR="005E39A5" w:rsidRPr="00E27DAB">
        <w:rPr>
          <w:rFonts w:cstheme="minorHAnsi"/>
          <w:lang w:val="en-GB"/>
        </w:rPr>
        <w:t xml:space="preserve"> as it was low cost, easy to create and distribute, and quick to gather responses and assess the data gathered. It also allowed us to find both quantitative and qualitative research.</w:t>
      </w:r>
      <w:r w:rsidR="00B402E7" w:rsidRPr="00E27DAB">
        <w:rPr>
          <w:rFonts w:cstheme="minorHAnsi"/>
          <w:lang w:val="en-GB"/>
        </w:rPr>
        <w:t xml:space="preserve"> </w:t>
      </w:r>
      <w:r w:rsidR="00DB55C9" w:rsidRPr="00E27DAB">
        <w:rPr>
          <w:rFonts w:cstheme="minorHAnsi"/>
          <w:lang w:val="en-GB"/>
        </w:rPr>
        <w:t>Baruch (1999) asserts that questionnaires rarely provide a full data set</w:t>
      </w:r>
      <w:r w:rsidR="005E39A5" w:rsidRPr="00E27DAB">
        <w:rPr>
          <w:rFonts w:cstheme="minorHAnsi"/>
          <w:lang w:val="en-GB"/>
        </w:rPr>
        <w:t>, which we found to be true as we had a low response rate with only eight responses. Because of this, our data is potentially low in reliability and generalisability, and the small sample would mean it would be difficult to repeat the research with certainty of gaining the same responses. It would also be difficult to know how far our results reflect the views of the wider population due to the small response rate.</w:t>
      </w:r>
      <w:r w:rsidR="00206440" w:rsidRPr="00E27DAB">
        <w:rPr>
          <w:rFonts w:cstheme="minorHAnsi"/>
          <w:lang w:val="en-GB"/>
        </w:rPr>
        <w:t xml:space="preserve"> </w:t>
      </w:r>
      <w:r w:rsidR="00767078" w:rsidRPr="00E27DAB">
        <w:rPr>
          <w:rFonts w:cstheme="minorHAnsi"/>
          <w:lang w:val="en-GB"/>
        </w:rPr>
        <w:t>Sills and Song (2002) suggest that low response rate</w:t>
      </w:r>
      <w:r w:rsidR="005E39A5" w:rsidRPr="00E27DAB">
        <w:rPr>
          <w:rFonts w:cstheme="minorHAnsi"/>
          <w:lang w:val="en-GB"/>
        </w:rPr>
        <w:t>s are common in</w:t>
      </w:r>
      <w:r w:rsidR="00767078" w:rsidRPr="00E27DAB">
        <w:rPr>
          <w:rFonts w:cstheme="minorHAnsi"/>
          <w:lang w:val="en-GB"/>
        </w:rPr>
        <w:t xml:space="preserve"> email and web-based surveys</w:t>
      </w:r>
      <w:r w:rsidR="005E39A5" w:rsidRPr="00E27DAB">
        <w:rPr>
          <w:rFonts w:cstheme="minorHAnsi"/>
          <w:lang w:val="en-GB"/>
        </w:rPr>
        <w:t>, however, the benefits of using this approach outweighed the costs of another approach.</w:t>
      </w:r>
      <w:r w:rsidR="00767078" w:rsidRPr="00E27DAB">
        <w:rPr>
          <w:rFonts w:cstheme="minorHAnsi"/>
          <w:lang w:val="en-GB"/>
        </w:rPr>
        <w:t xml:space="preserve"> </w:t>
      </w:r>
      <w:r w:rsidR="005E39A5" w:rsidRPr="00E27DAB">
        <w:rPr>
          <w:rFonts w:cstheme="minorHAnsi"/>
          <w:lang w:val="en-GB"/>
        </w:rPr>
        <w:t>Our questionnaire was designed for primary school teachers and so time was likely a factor in our low response rate. 67</w:t>
      </w:r>
      <w:r w:rsidR="00B96820">
        <w:rPr>
          <w:rFonts w:cstheme="minorHAnsi"/>
          <w:lang w:val="en-GB"/>
        </w:rPr>
        <w:t>%</w:t>
      </w:r>
      <w:r w:rsidR="00767078" w:rsidRPr="00E27DAB">
        <w:rPr>
          <w:rFonts w:cstheme="minorHAnsi"/>
          <w:lang w:val="en-GB"/>
        </w:rPr>
        <w:t xml:space="preserve"> of respondents were headteachers</w:t>
      </w:r>
      <w:r w:rsidR="005E39A5" w:rsidRPr="00E27DAB">
        <w:rPr>
          <w:rFonts w:cstheme="minorHAnsi"/>
          <w:lang w:val="en-GB"/>
        </w:rPr>
        <w:t xml:space="preserve"> which suggests we didn’t allow enough time for the average teacher to respond. Hend</w:t>
      </w:r>
      <w:r w:rsidR="00767078" w:rsidRPr="00E27DAB">
        <w:rPr>
          <w:rFonts w:cstheme="minorHAnsi"/>
          <w:lang w:val="en-GB"/>
        </w:rPr>
        <w:t>erson (1990</w:t>
      </w:r>
      <w:r w:rsidR="00D35C6B" w:rsidRPr="00E27DAB">
        <w:rPr>
          <w:rFonts w:cstheme="minorHAnsi"/>
          <w:lang w:val="en-GB"/>
        </w:rPr>
        <w:t xml:space="preserve">, </w:t>
      </w:r>
      <w:r w:rsidR="00C90560" w:rsidRPr="00E27DAB">
        <w:rPr>
          <w:rFonts w:cstheme="minorHAnsi"/>
          <w:lang w:val="en-GB"/>
        </w:rPr>
        <w:t xml:space="preserve">as cited in </w:t>
      </w:r>
      <w:r w:rsidR="00415F87" w:rsidRPr="00E27DAB">
        <w:rPr>
          <w:rFonts w:cstheme="minorHAnsi"/>
          <w:lang w:val="en-GB"/>
        </w:rPr>
        <w:t>Baruch,1999</w:t>
      </w:r>
      <w:r w:rsidR="00767078" w:rsidRPr="00E27DAB">
        <w:rPr>
          <w:rFonts w:cstheme="minorHAnsi"/>
          <w:lang w:val="en-GB"/>
        </w:rPr>
        <w:t xml:space="preserve">) argued a 20%-30% response rate for mailed questionnaires is typical. </w:t>
      </w:r>
      <w:r w:rsidR="00A522AE" w:rsidRPr="00E27DAB">
        <w:rPr>
          <w:rFonts w:cstheme="minorHAnsi"/>
          <w:lang w:val="en-GB"/>
        </w:rPr>
        <w:t xml:space="preserve">We included only twenty questions in our questionnaire as we decided this was enough to ask the important questions and could give us a strong overview of teachers views on poverty without taking up too much of their time to complete. </w:t>
      </w:r>
      <w:r w:rsidR="009624A5" w:rsidRPr="00E27DAB">
        <w:rPr>
          <w:rFonts w:cstheme="minorHAnsi"/>
          <w:lang w:val="en-GB"/>
        </w:rPr>
        <w:t>Strong consideration was given to the ethics of this research; we followed the university’s ethics form and guidelines,</w:t>
      </w:r>
      <w:r w:rsidR="005D2A65" w:rsidRPr="00E27DAB">
        <w:rPr>
          <w:rFonts w:cstheme="minorHAnsi"/>
          <w:lang w:val="en-GB"/>
        </w:rPr>
        <w:t xml:space="preserve"> based on BERA </w:t>
      </w:r>
      <w:r w:rsidR="005D2A65" w:rsidRPr="00F419E6">
        <w:rPr>
          <w:rFonts w:cstheme="minorHAnsi"/>
          <w:lang w:val="en-GB"/>
        </w:rPr>
        <w:t>(</w:t>
      </w:r>
      <w:r w:rsidR="001D4FFB">
        <w:rPr>
          <w:rFonts w:cstheme="minorHAnsi"/>
          <w:lang w:val="en-GB"/>
        </w:rPr>
        <w:t>1992</w:t>
      </w:r>
      <w:r w:rsidR="009624A5" w:rsidRPr="00E27DAB">
        <w:rPr>
          <w:rFonts w:cstheme="minorHAnsi"/>
          <w:lang w:val="en-GB"/>
        </w:rPr>
        <w:t>).</w:t>
      </w:r>
      <w:r w:rsidR="005D2A65" w:rsidRPr="00E27DAB">
        <w:rPr>
          <w:rFonts w:cstheme="minorHAnsi"/>
          <w:lang w:val="en-GB"/>
        </w:rPr>
        <w:t xml:space="preserve"> It was important to ensure that all responses were anonymous, generally ensuring a larger response rate. </w:t>
      </w:r>
      <w:r w:rsidR="009624A5" w:rsidRPr="00E27DAB">
        <w:rPr>
          <w:rFonts w:cstheme="minorHAnsi"/>
          <w:lang w:val="en-GB"/>
        </w:rPr>
        <w:t xml:space="preserve">To do this </w:t>
      </w:r>
      <w:r w:rsidR="005D2A65" w:rsidRPr="00E27DAB">
        <w:rPr>
          <w:rFonts w:cstheme="minorHAnsi"/>
          <w:lang w:val="en-GB"/>
        </w:rPr>
        <w:t xml:space="preserve">we complied with the </w:t>
      </w:r>
      <w:r w:rsidR="00DB55C9" w:rsidRPr="00E27DAB">
        <w:rPr>
          <w:rFonts w:eastAsia="Times New Roman" w:cstheme="minorHAnsi"/>
          <w:bCs/>
          <w:lang w:val="en-GB" w:eastAsia="en-GB"/>
        </w:rPr>
        <w:t>General Data Protection Regulation (</w:t>
      </w:r>
      <w:r w:rsidR="00490C84" w:rsidRPr="00E27DAB">
        <w:rPr>
          <w:rFonts w:cstheme="minorHAnsi"/>
        </w:rPr>
        <w:t>Regulation</w:t>
      </w:r>
      <w:r w:rsidR="009624A5" w:rsidRPr="00E27DAB">
        <w:rPr>
          <w:rFonts w:cstheme="minorHAnsi"/>
        </w:rPr>
        <w:t>,</w:t>
      </w:r>
      <w:r w:rsidR="00490C84" w:rsidRPr="00E27DAB">
        <w:rPr>
          <w:rFonts w:cstheme="minorHAnsi"/>
        </w:rPr>
        <w:t xml:space="preserve"> 2018</w:t>
      </w:r>
      <w:r w:rsidR="00DB55C9" w:rsidRPr="00E27DAB">
        <w:rPr>
          <w:rFonts w:eastAsia="Times New Roman" w:cstheme="minorHAnsi"/>
          <w:bCs/>
          <w:lang w:val="en-GB" w:eastAsia="en-GB"/>
        </w:rPr>
        <w:t>)</w:t>
      </w:r>
      <w:r w:rsidR="009624A5" w:rsidRPr="00E27DAB">
        <w:rPr>
          <w:rFonts w:eastAsia="Times New Roman" w:cstheme="minorHAnsi"/>
          <w:bCs/>
          <w:lang w:val="en-GB" w:eastAsia="en-GB"/>
        </w:rPr>
        <w:t xml:space="preserve"> which provides</w:t>
      </w:r>
      <w:r w:rsidR="005D2A65" w:rsidRPr="00E27DAB">
        <w:rPr>
          <w:rFonts w:eastAsia="Times New Roman" w:cstheme="minorHAnsi"/>
          <w:bCs/>
          <w:lang w:val="en-GB" w:eastAsia="en-GB"/>
        </w:rPr>
        <w:t xml:space="preserve"> a</w:t>
      </w:r>
      <w:r w:rsidR="009624A5" w:rsidRPr="00E27DAB">
        <w:rPr>
          <w:rFonts w:eastAsia="Times New Roman" w:cstheme="minorHAnsi"/>
          <w:bCs/>
          <w:lang w:val="en-GB" w:eastAsia="en-GB"/>
        </w:rPr>
        <w:t xml:space="preserve"> fair and ethical way of</w:t>
      </w:r>
      <w:r w:rsidR="005D2A65" w:rsidRPr="00E27DAB">
        <w:rPr>
          <w:rFonts w:eastAsia="Times New Roman" w:cstheme="minorHAnsi"/>
          <w:bCs/>
          <w:lang w:val="en-GB" w:eastAsia="en-GB"/>
        </w:rPr>
        <w:t xml:space="preserve"> handling</w:t>
      </w:r>
      <w:r w:rsidR="009624A5" w:rsidRPr="00E27DAB">
        <w:rPr>
          <w:rFonts w:eastAsia="Times New Roman" w:cstheme="minorHAnsi"/>
          <w:bCs/>
          <w:lang w:val="en-GB" w:eastAsia="en-GB"/>
        </w:rPr>
        <w:t xml:space="preserve"> research </w:t>
      </w:r>
      <w:r w:rsidR="005D2A65" w:rsidRPr="00E27DAB">
        <w:rPr>
          <w:rFonts w:eastAsia="Times New Roman" w:cstheme="minorHAnsi"/>
          <w:bCs/>
          <w:lang w:val="en-GB" w:eastAsia="en-GB"/>
        </w:rPr>
        <w:t>data</w:t>
      </w:r>
      <w:r w:rsidR="009624A5" w:rsidRPr="00E27DAB">
        <w:rPr>
          <w:rFonts w:eastAsia="Times New Roman" w:cstheme="minorHAnsi"/>
          <w:bCs/>
          <w:lang w:val="en-GB" w:eastAsia="en-GB"/>
        </w:rPr>
        <w:t>. Participants’ rig</w:t>
      </w:r>
      <w:r w:rsidR="005D2A65" w:rsidRPr="00E27DAB">
        <w:rPr>
          <w:rFonts w:eastAsia="Times New Roman" w:cstheme="minorHAnsi"/>
          <w:bCs/>
          <w:lang w:val="en-GB" w:eastAsia="en-GB"/>
        </w:rPr>
        <w:t xml:space="preserve">hts to privacy and confidentiality were </w:t>
      </w:r>
      <w:r w:rsidR="009624A5" w:rsidRPr="00E27DAB">
        <w:rPr>
          <w:rFonts w:eastAsia="Times New Roman" w:cstheme="minorHAnsi"/>
          <w:bCs/>
          <w:lang w:val="en-GB" w:eastAsia="en-GB"/>
        </w:rPr>
        <w:t>maintained at all times</w:t>
      </w:r>
      <w:r w:rsidR="005D2A65" w:rsidRPr="00E27DAB">
        <w:rPr>
          <w:rFonts w:eastAsia="Times New Roman" w:cstheme="minorHAnsi"/>
          <w:bCs/>
          <w:lang w:val="en-GB" w:eastAsia="en-GB"/>
        </w:rPr>
        <w:t>.</w:t>
      </w:r>
      <w:r w:rsidR="009624A5" w:rsidRPr="00E27DAB">
        <w:rPr>
          <w:rFonts w:eastAsia="Times New Roman" w:cstheme="minorHAnsi"/>
          <w:bCs/>
          <w:lang w:val="en-GB" w:eastAsia="en-GB"/>
        </w:rPr>
        <w:t xml:space="preserve"> When contacting the gatekeeper of the institutions, in this case the headteachers, it was important to maintain openness and honesty about the whole project. </w:t>
      </w:r>
      <w:r w:rsidR="005D2A65" w:rsidRPr="00E27DAB">
        <w:rPr>
          <w:rFonts w:eastAsia="Times New Roman" w:cstheme="minorHAnsi"/>
          <w:b/>
          <w:bCs/>
          <w:lang w:val="en-GB" w:eastAsia="en-GB"/>
        </w:rPr>
        <w:t xml:space="preserve"> </w:t>
      </w:r>
    </w:p>
    <w:p w14:paraId="46085952" w14:textId="0D119713" w:rsidR="003F00D2" w:rsidRPr="00E27DAB" w:rsidRDefault="009624A5" w:rsidP="00E27DAB">
      <w:pPr>
        <w:spacing w:line="480" w:lineRule="auto"/>
        <w:rPr>
          <w:rFonts w:cstheme="minorHAnsi"/>
          <w:lang w:val="en-GB"/>
        </w:rPr>
      </w:pPr>
      <w:r w:rsidRPr="00E27DAB">
        <w:rPr>
          <w:rFonts w:cstheme="minorHAnsi"/>
          <w:lang w:val="en-GB"/>
        </w:rPr>
        <w:t xml:space="preserve">After choosing poverty as our topic, we then had to </w:t>
      </w:r>
      <w:r w:rsidR="00B402E7" w:rsidRPr="00E27DAB">
        <w:rPr>
          <w:rFonts w:cstheme="minorHAnsi"/>
          <w:lang w:val="en-GB"/>
        </w:rPr>
        <w:t xml:space="preserve">pick a sample of respondents. We needed to ensure the sample was representative of </w:t>
      </w:r>
      <w:r w:rsidRPr="00E27DAB">
        <w:rPr>
          <w:rFonts w:cstheme="minorHAnsi"/>
          <w:lang w:val="en-GB"/>
        </w:rPr>
        <w:t>the research group as a whole, and so we chose purposive sam</w:t>
      </w:r>
      <w:r w:rsidR="00B402E7" w:rsidRPr="00E27DAB">
        <w:rPr>
          <w:rFonts w:cstheme="minorHAnsi"/>
          <w:lang w:val="en-GB"/>
        </w:rPr>
        <w:t>pling</w:t>
      </w:r>
      <w:r w:rsidRPr="00E27DAB">
        <w:rPr>
          <w:rFonts w:cstheme="minorHAnsi"/>
          <w:lang w:val="en-GB"/>
        </w:rPr>
        <w:t>; a popular method for this type of research (</w:t>
      </w:r>
      <w:r w:rsidRPr="00B96820">
        <w:rPr>
          <w:rFonts w:cstheme="minorHAnsi"/>
        </w:rPr>
        <w:t>Tongco</w:t>
      </w:r>
      <w:r w:rsidRPr="00E27DAB">
        <w:rPr>
          <w:rFonts w:cstheme="minorHAnsi"/>
        </w:rPr>
        <w:t>, 2007)</w:t>
      </w:r>
      <w:r w:rsidRPr="00E27DAB">
        <w:rPr>
          <w:rFonts w:cstheme="minorHAnsi"/>
          <w:lang w:val="en-GB"/>
        </w:rPr>
        <w:t xml:space="preserve">. We </w:t>
      </w:r>
      <w:r w:rsidR="00B402E7" w:rsidRPr="00E27DAB">
        <w:rPr>
          <w:rFonts w:cstheme="minorHAnsi"/>
          <w:lang w:val="en-GB"/>
        </w:rPr>
        <w:t>also used snowball sampling</w:t>
      </w:r>
      <w:r w:rsidR="00437684" w:rsidRPr="00E27DAB">
        <w:rPr>
          <w:rFonts w:cstheme="minorHAnsi"/>
          <w:lang w:val="en-GB"/>
        </w:rPr>
        <w:t xml:space="preserve"> </w:t>
      </w:r>
      <w:r w:rsidR="00B402E7" w:rsidRPr="00E27DAB">
        <w:rPr>
          <w:rFonts w:cstheme="minorHAnsi"/>
          <w:lang w:val="en-GB"/>
        </w:rPr>
        <w:t xml:space="preserve">by asking the teacher to pass on the questionnaires to </w:t>
      </w:r>
      <w:r w:rsidRPr="00E27DAB">
        <w:rPr>
          <w:rFonts w:cstheme="minorHAnsi"/>
          <w:lang w:val="en-GB"/>
        </w:rPr>
        <w:t xml:space="preserve">other teachers. </w:t>
      </w:r>
      <w:r w:rsidR="00437684" w:rsidRPr="00E27DAB">
        <w:rPr>
          <w:rFonts w:cstheme="minorHAnsi"/>
          <w:lang w:val="en-GB"/>
        </w:rPr>
        <w:t>However</w:t>
      </w:r>
      <w:r w:rsidR="00FC4DF6" w:rsidRPr="00E27DAB">
        <w:rPr>
          <w:rFonts w:cstheme="minorHAnsi"/>
          <w:lang w:val="en-GB"/>
        </w:rPr>
        <w:t>,</w:t>
      </w:r>
      <w:r w:rsidR="00437684" w:rsidRPr="00E27DAB">
        <w:rPr>
          <w:rFonts w:cstheme="minorHAnsi"/>
          <w:lang w:val="en-GB"/>
        </w:rPr>
        <w:t xml:space="preserve"> Biern</w:t>
      </w:r>
      <w:r w:rsidR="001239F9" w:rsidRPr="00E27DAB">
        <w:rPr>
          <w:rFonts w:cstheme="minorHAnsi"/>
          <w:lang w:val="en-GB"/>
        </w:rPr>
        <w:t>acky and Waldorf</w:t>
      </w:r>
      <w:r w:rsidR="00FC4DF6" w:rsidRPr="00E27DAB">
        <w:rPr>
          <w:rFonts w:cstheme="minorHAnsi"/>
          <w:lang w:val="en-GB"/>
        </w:rPr>
        <w:t xml:space="preserve"> </w:t>
      </w:r>
      <w:r w:rsidR="00437684" w:rsidRPr="00E27DAB">
        <w:rPr>
          <w:rFonts w:cstheme="minorHAnsi"/>
          <w:lang w:val="en-GB"/>
        </w:rPr>
        <w:t>(</w:t>
      </w:r>
      <w:r w:rsidR="001239F9" w:rsidRPr="00E27DAB">
        <w:rPr>
          <w:rFonts w:cstheme="minorHAnsi"/>
          <w:lang w:val="en-GB"/>
        </w:rPr>
        <w:t>1981</w:t>
      </w:r>
      <w:r w:rsidR="00437684" w:rsidRPr="00E27DAB">
        <w:rPr>
          <w:rFonts w:cstheme="minorHAnsi"/>
          <w:lang w:val="en-GB"/>
        </w:rPr>
        <w:t>) suggest this type of sampling is not representative because it is not random and requires personal recommendation. In this case</w:t>
      </w:r>
      <w:r w:rsidR="00FC4DF6" w:rsidRPr="00E27DAB">
        <w:rPr>
          <w:rFonts w:cstheme="minorHAnsi"/>
          <w:lang w:val="en-GB"/>
        </w:rPr>
        <w:t>,</w:t>
      </w:r>
      <w:r w:rsidR="00D27D44" w:rsidRPr="00E27DAB">
        <w:rPr>
          <w:rFonts w:cstheme="minorHAnsi"/>
          <w:lang w:val="en-GB"/>
        </w:rPr>
        <w:t xml:space="preserve"> as seen in Fig 9.</w:t>
      </w:r>
      <w:r w:rsidR="00437684" w:rsidRPr="00E27DAB">
        <w:rPr>
          <w:rFonts w:cstheme="minorHAnsi"/>
          <w:lang w:val="en-GB"/>
        </w:rPr>
        <w:t xml:space="preserve">, snowball sampling </w:t>
      </w:r>
      <w:r w:rsidR="00FC4DF6" w:rsidRPr="00E27DAB">
        <w:rPr>
          <w:rFonts w:cstheme="minorHAnsi"/>
          <w:lang w:val="en-GB"/>
        </w:rPr>
        <w:t xml:space="preserve">was not an effective method in getting responses from not just people in leadership roles, but teachers as well. </w:t>
      </w:r>
    </w:p>
    <w:p w14:paraId="4534DE93" w14:textId="1A7824D9" w:rsidR="00911EE8" w:rsidRPr="00E27DAB" w:rsidRDefault="00911EE8" w:rsidP="00E27DAB">
      <w:pPr>
        <w:spacing w:line="480" w:lineRule="auto"/>
        <w:rPr>
          <w:rFonts w:cstheme="minorHAnsi"/>
          <w:lang w:val="en-GB"/>
        </w:rPr>
      </w:pPr>
      <w:r w:rsidRPr="00E27DAB">
        <w:rPr>
          <w:rFonts w:cstheme="minorHAnsi"/>
          <w:noProof/>
          <w:lang w:val="en-GB" w:eastAsia="en-GB"/>
        </w:rPr>
        <w:drawing>
          <wp:inline distT="0" distB="0" distL="0" distR="0" wp14:anchorId="1F563B65" wp14:editId="4A3157E6">
            <wp:extent cx="4572000" cy="2840355"/>
            <wp:effectExtent l="0" t="0" r="0" b="17145"/>
            <wp:docPr id="10" name="Chart 10">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303793" w:rsidRPr="00E27DAB">
        <w:rPr>
          <w:rFonts w:cstheme="minorHAnsi"/>
          <w:lang w:val="en-GB"/>
        </w:rPr>
        <w:t xml:space="preserve">Fig 9. </w:t>
      </w:r>
    </w:p>
    <w:p w14:paraId="29F7701F" w14:textId="6ABF017B" w:rsidR="003C72D3" w:rsidRPr="00E27DAB" w:rsidRDefault="003C72D3" w:rsidP="00E27DAB">
      <w:pPr>
        <w:spacing w:line="480" w:lineRule="auto"/>
        <w:rPr>
          <w:rFonts w:cstheme="minorHAnsi"/>
          <w:lang w:val="en-GB"/>
        </w:rPr>
      </w:pPr>
    </w:p>
    <w:p w14:paraId="5BF8449B" w14:textId="09F3DA97" w:rsidR="00084006" w:rsidRPr="00E27DAB" w:rsidRDefault="000C69E3" w:rsidP="00E27DAB">
      <w:pPr>
        <w:spacing w:line="480" w:lineRule="auto"/>
        <w:rPr>
          <w:rFonts w:cstheme="minorHAnsi"/>
          <w:lang w:val="en-GB"/>
        </w:rPr>
      </w:pPr>
      <w:r w:rsidRPr="00E27DAB">
        <w:rPr>
          <w:rFonts w:cstheme="minorHAnsi"/>
          <w:lang w:val="en-GB"/>
        </w:rPr>
        <w:t>It is essential when creating a questionnaire that the date obtained is able to be standardised</w:t>
      </w:r>
      <w:r w:rsidR="00FC4DF6" w:rsidRPr="00E27DAB">
        <w:rPr>
          <w:rFonts w:cstheme="minorHAnsi"/>
          <w:lang w:val="en-GB"/>
        </w:rPr>
        <w:t xml:space="preserve">, and so we used not just questions but graphs and measures in our questionnaire. Johnson and Christensen (2008) look at the importance of using different types of response categories, using different rating scales such as Likert’s rating scale, Rosenberg’s ‘Esteem scale’ and Guttum and Thurstone scaling (Johnson and Christensen, 2008). </w:t>
      </w:r>
      <w:r w:rsidRPr="00E27DAB">
        <w:rPr>
          <w:rFonts w:cstheme="minorHAnsi"/>
          <w:lang w:val="en-GB"/>
        </w:rPr>
        <w:t xml:space="preserve">Dillman </w:t>
      </w:r>
      <w:r w:rsidR="00FC4DF6" w:rsidRPr="00E27DAB">
        <w:rPr>
          <w:rFonts w:cstheme="minorHAnsi"/>
          <w:lang w:val="en-GB"/>
        </w:rPr>
        <w:t>(</w:t>
      </w:r>
      <w:r w:rsidRPr="00E27DAB">
        <w:rPr>
          <w:rFonts w:cstheme="minorHAnsi"/>
          <w:lang w:val="en-GB"/>
        </w:rPr>
        <w:t xml:space="preserve">2007) suggests there must be an aim </w:t>
      </w:r>
      <w:r w:rsidR="009F4247" w:rsidRPr="00E27DAB">
        <w:rPr>
          <w:rFonts w:cstheme="minorHAnsi"/>
          <w:lang w:val="en-GB"/>
        </w:rPr>
        <w:t>to provide a common stimulus for each participant</w:t>
      </w:r>
      <w:r w:rsidR="00FC4DF6" w:rsidRPr="00E27DAB">
        <w:rPr>
          <w:rFonts w:cstheme="minorHAnsi"/>
          <w:lang w:val="en-GB"/>
        </w:rPr>
        <w:t>, while</w:t>
      </w:r>
      <w:r w:rsidR="009F4247" w:rsidRPr="00E27DAB">
        <w:rPr>
          <w:rFonts w:cstheme="minorHAnsi"/>
          <w:lang w:val="en-GB"/>
        </w:rPr>
        <w:t xml:space="preserve"> </w:t>
      </w:r>
      <w:r w:rsidRPr="00E27DAB">
        <w:rPr>
          <w:rFonts w:cstheme="minorHAnsi"/>
          <w:lang w:val="en-GB"/>
        </w:rPr>
        <w:t>Johnson and Christensen (</w:t>
      </w:r>
      <w:r w:rsidR="009F4247" w:rsidRPr="00E27DAB">
        <w:rPr>
          <w:rFonts w:cstheme="minorHAnsi"/>
          <w:lang w:val="en-GB"/>
        </w:rPr>
        <w:t>2008</w:t>
      </w:r>
      <w:r w:rsidRPr="00E27DAB">
        <w:rPr>
          <w:rFonts w:cstheme="minorHAnsi"/>
          <w:lang w:val="en-GB"/>
        </w:rPr>
        <w:t>) suggests it</w:t>
      </w:r>
      <w:r w:rsidR="00FC4DF6" w:rsidRPr="00E27DAB">
        <w:rPr>
          <w:rFonts w:cstheme="minorHAnsi"/>
          <w:lang w:val="en-GB"/>
        </w:rPr>
        <w:t xml:space="preserve">’s </w:t>
      </w:r>
      <w:r w:rsidRPr="00E27DAB">
        <w:rPr>
          <w:rFonts w:cstheme="minorHAnsi"/>
          <w:lang w:val="en-GB"/>
        </w:rPr>
        <w:t xml:space="preserve">important to understand your research participants and use familiar language when writing a </w:t>
      </w:r>
      <w:r w:rsidR="00FC4DF6" w:rsidRPr="00E27DAB">
        <w:rPr>
          <w:rFonts w:cstheme="minorHAnsi"/>
          <w:lang w:val="en-GB"/>
        </w:rPr>
        <w:t>questionnai</w:t>
      </w:r>
      <w:r w:rsidR="00B50911" w:rsidRPr="00E27DAB">
        <w:rPr>
          <w:rFonts w:cstheme="minorHAnsi"/>
          <w:lang w:val="en-GB"/>
        </w:rPr>
        <w:t xml:space="preserve">re. </w:t>
      </w:r>
      <w:r w:rsidR="00227819" w:rsidRPr="00E27DAB">
        <w:rPr>
          <w:rFonts w:cstheme="minorHAnsi"/>
          <w:lang w:val="en-GB"/>
        </w:rPr>
        <w:t>Reja</w:t>
      </w:r>
      <w:r w:rsidR="006A2813" w:rsidRPr="00E27DAB">
        <w:rPr>
          <w:rFonts w:cstheme="minorHAnsi"/>
          <w:lang w:val="en-GB"/>
        </w:rPr>
        <w:t xml:space="preserve"> </w:t>
      </w:r>
      <w:r w:rsidR="00E15100" w:rsidRPr="00E27DAB">
        <w:rPr>
          <w:rFonts w:cstheme="minorHAnsi"/>
          <w:lang w:val="en-GB"/>
        </w:rPr>
        <w:t>et al (2003) suggest c</w:t>
      </w:r>
      <w:r w:rsidR="00227819" w:rsidRPr="00E27DAB">
        <w:rPr>
          <w:rFonts w:cstheme="minorHAnsi"/>
          <w:lang w:val="en-GB"/>
        </w:rPr>
        <w:t>lose-ended questions limit the respondent</w:t>
      </w:r>
      <w:r w:rsidR="007219AA">
        <w:rPr>
          <w:rFonts w:cstheme="minorHAnsi"/>
          <w:lang w:val="en-GB"/>
        </w:rPr>
        <w:t xml:space="preserve">, </w:t>
      </w:r>
      <w:r w:rsidR="008803A7" w:rsidRPr="00E27DAB">
        <w:rPr>
          <w:rFonts w:cstheme="minorHAnsi"/>
          <w:lang w:val="en-GB"/>
        </w:rPr>
        <w:t xml:space="preserve">however Creswell (2014) asserts that closed questions are practical and </w:t>
      </w:r>
      <w:r w:rsidR="00FA1098" w:rsidRPr="00E27DAB">
        <w:rPr>
          <w:rFonts w:cstheme="minorHAnsi"/>
          <w:lang w:val="en-GB"/>
        </w:rPr>
        <w:t>so are</w:t>
      </w:r>
      <w:r w:rsidR="008803A7" w:rsidRPr="00E27DAB">
        <w:rPr>
          <w:rFonts w:cstheme="minorHAnsi"/>
          <w:lang w:val="en-GB"/>
        </w:rPr>
        <w:t xml:space="preserve"> therefore more likel</w:t>
      </w:r>
      <w:r w:rsidR="00FA1098" w:rsidRPr="00E27DAB">
        <w:rPr>
          <w:rFonts w:cstheme="minorHAnsi"/>
          <w:lang w:val="en-GB"/>
        </w:rPr>
        <w:t>y to get answers, while open-</w:t>
      </w:r>
      <w:r w:rsidR="00227819" w:rsidRPr="00E27DAB">
        <w:rPr>
          <w:rFonts w:cstheme="minorHAnsi"/>
          <w:lang w:val="en-GB"/>
        </w:rPr>
        <w:t>ended questions allow the respondent to express an opinion without being influenced</w:t>
      </w:r>
      <w:r w:rsidR="00FA1098" w:rsidRPr="00E27DAB">
        <w:rPr>
          <w:rFonts w:cstheme="minorHAnsi"/>
          <w:lang w:val="en-GB"/>
        </w:rPr>
        <w:t xml:space="preserve"> </w:t>
      </w:r>
      <w:r w:rsidR="00227819" w:rsidRPr="00E27DAB">
        <w:rPr>
          <w:rFonts w:cstheme="minorHAnsi"/>
          <w:lang w:val="en-GB"/>
        </w:rPr>
        <w:t>(Foddy, 1993: 127).</w:t>
      </w:r>
      <w:r w:rsidR="008803A7" w:rsidRPr="00E27DAB">
        <w:rPr>
          <w:rFonts w:cstheme="minorHAnsi"/>
          <w:lang w:val="en-GB"/>
        </w:rPr>
        <w:t xml:space="preserve"> Within our questionnaire we used </w:t>
      </w:r>
      <w:r w:rsidR="00FA1098" w:rsidRPr="00E27DAB">
        <w:rPr>
          <w:rFonts w:cstheme="minorHAnsi"/>
          <w:lang w:val="en-GB"/>
        </w:rPr>
        <w:t xml:space="preserve">both types </w:t>
      </w:r>
      <w:r w:rsidR="002756C5" w:rsidRPr="00E27DAB">
        <w:rPr>
          <w:rFonts w:cstheme="minorHAnsi"/>
          <w:lang w:val="en-GB"/>
        </w:rPr>
        <w:t>to gain qualitative and quantitative data</w:t>
      </w:r>
      <w:r w:rsidR="007219AA">
        <w:rPr>
          <w:rFonts w:cstheme="minorHAnsi"/>
          <w:lang w:val="en-GB"/>
        </w:rPr>
        <w:t>.</w:t>
      </w:r>
      <w:r w:rsidR="00BE08CB">
        <w:rPr>
          <w:rFonts w:cstheme="minorHAnsi"/>
          <w:lang w:val="en-GB"/>
        </w:rPr>
        <w:t xml:space="preserve"> Johnson and Turner (2003) call this a mixed questionnaire</w:t>
      </w:r>
      <w:r w:rsidR="00FA1098" w:rsidRPr="00E27DAB">
        <w:rPr>
          <w:rFonts w:cstheme="minorHAnsi"/>
          <w:lang w:val="en-GB"/>
        </w:rPr>
        <w:t>; the qualitative data allowed us a personal insight and deeper understanding of the situation, while the quantitative data, used by positivists, supplied us with statistics and facts.</w:t>
      </w:r>
      <w:r w:rsidR="002756C5" w:rsidRPr="00E27DAB">
        <w:rPr>
          <w:rFonts w:cstheme="minorHAnsi"/>
          <w:lang w:val="en-GB"/>
        </w:rPr>
        <w:t xml:space="preserve"> To ensure </w:t>
      </w:r>
      <w:r w:rsidR="006C0C6A" w:rsidRPr="00E27DAB">
        <w:rPr>
          <w:rFonts w:cstheme="minorHAnsi"/>
          <w:lang w:val="en-GB"/>
        </w:rPr>
        <w:t xml:space="preserve">the effectiveness of the </w:t>
      </w:r>
      <w:r w:rsidR="002756C5" w:rsidRPr="00E27DAB">
        <w:rPr>
          <w:rFonts w:cstheme="minorHAnsi"/>
          <w:lang w:val="en-GB"/>
        </w:rPr>
        <w:t>questionnaire we used a pilot study</w:t>
      </w:r>
      <w:r w:rsidR="006C0C6A" w:rsidRPr="00E27DAB">
        <w:rPr>
          <w:rFonts w:cstheme="minorHAnsi"/>
          <w:lang w:val="en-GB"/>
        </w:rPr>
        <w:t xml:space="preserve"> to check for design errors and complicated </w:t>
      </w:r>
      <w:r w:rsidR="002756C5" w:rsidRPr="00E27DAB">
        <w:rPr>
          <w:rFonts w:cstheme="minorHAnsi"/>
          <w:lang w:val="en-GB"/>
        </w:rPr>
        <w:t>questions</w:t>
      </w:r>
      <w:r w:rsidR="006C0C6A" w:rsidRPr="00E27DAB">
        <w:rPr>
          <w:rFonts w:cstheme="minorHAnsi"/>
          <w:lang w:val="en-GB"/>
        </w:rPr>
        <w:t xml:space="preserve">. </w:t>
      </w:r>
      <w:r w:rsidR="002756C5" w:rsidRPr="00E27DAB">
        <w:rPr>
          <w:rFonts w:cstheme="minorHAnsi"/>
          <w:lang w:val="en-GB"/>
        </w:rPr>
        <w:t>It was important to check the sampling and questionnaire to give our group a</w:t>
      </w:r>
      <w:r w:rsidR="00FA1098" w:rsidRPr="00E27DAB">
        <w:rPr>
          <w:rFonts w:cstheme="minorHAnsi"/>
          <w:lang w:val="en-GB"/>
        </w:rPr>
        <w:t xml:space="preserve">n </w:t>
      </w:r>
      <w:r w:rsidR="006F637E" w:rsidRPr="00E27DAB">
        <w:rPr>
          <w:rFonts w:cstheme="minorHAnsi"/>
          <w:lang w:val="en-GB"/>
        </w:rPr>
        <w:t>esti</w:t>
      </w:r>
      <w:r w:rsidR="002756C5" w:rsidRPr="00E27DAB">
        <w:rPr>
          <w:rFonts w:cstheme="minorHAnsi"/>
          <w:lang w:val="en-GB"/>
        </w:rPr>
        <w:t xml:space="preserve">mate of the figures and statistics we </w:t>
      </w:r>
      <w:r w:rsidR="00084006" w:rsidRPr="00E27DAB">
        <w:rPr>
          <w:rFonts w:cstheme="minorHAnsi"/>
          <w:lang w:val="en-GB"/>
        </w:rPr>
        <w:t>hoped</w:t>
      </w:r>
      <w:r w:rsidR="00B95070">
        <w:rPr>
          <w:rFonts w:cstheme="minorHAnsi"/>
          <w:lang w:val="en-GB"/>
        </w:rPr>
        <w:t xml:space="preserve"> to</w:t>
      </w:r>
      <w:r w:rsidR="00084006" w:rsidRPr="00E27DAB">
        <w:rPr>
          <w:rFonts w:cstheme="minorHAnsi"/>
          <w:lang w:val="en-GB"/>
        </w:rPr>
        <w:t xml:space="preserve"> find.</w:t>
      </w:r>
      <w:r w:rsidR="002756C5" w:rsidRPr="00E27DAB">
        <w:rPr>
          <w:rFonts w:cstheme="minorHAnsi"/>
          <w:lang w:val="en-GB"/>
        </w:rPr>
        <w:t xml:space="preserve"> </w:t>
      </w:r>
      <w:r w:rsidR="005D2A65" w:rsidRPr="00E27DAB">
        <w:rPr>
          <w:rFonts w:cstheme="minorHAnsi"/>
          <w:lang w:val="en-GB"/>
        </w:rPr>
        <w:t xml:space="preserve">We piloted our questionnaire </w:t>
      </w:r>
      <w:r w:rsidR="00084006" w:rsidRPr="00E27DAB">
        <w:rPr>
          <w:rFonts w:cstheme="minorHAnsi"/>
          <w:lang w:val="en-GB"/>
        </w:rPr>
        <w:t>using</w:t>
      </w:r>
      <w:r w:rsidR="005D2A65" w:rsidRPr="00E27DAB">
        <w:rPr>
          <w:rFonts w:cstheme="minorHAnsi"/>
          <w:lang w:val="en-GB"/>
        </w:rPr>
        <w:t xml:space="preserve"> university students </w:t>
      </w:r>
      <w:r w:rsidR="00084006" w:rsidRPr="00E27DAB">
        <w:rPr>
          <w:rFonts w:cstheme="minorHAnsi"/>
          <w:lang w:val="en-GB"/>
        </w:rPr>
        <w:t xml:space="preserve">in </w:t>
      </w:r>
      <w:r w:rsidR="005D2A65" w:rsidRPr="00E27DAB">
        <w:rPr>
          <w:rFonts w:cstheme="minorHAnsi"/>
          <w:lang w:val="en-GB"/>
        </w:rPr>
        <w:t>Ba Primary education with QTS</w:t>
      </w:r>
      <w:r w:rsidR="00084006" w:rsidRPr="00E27DAB">
        <w:rPr>
          <w:rFonts w:cstheme="minorHAnsi"/>
          <w:lang w:val="en-GB"/>
        </w:rPr>
        <w:t xml:space="preserve">. Feedback was important during this process </w:t>
      </w:r>
      <w:r w:rsidR="005B4E89">
        <w:rPr>
          <w:rFonts w:cstheme="minorHAnsi"/>
          <w:lang w:val="en-GB"/>
        </w:rPr>
        <w:t xml:space="preserve">as it helped to make improvements. </w:t>
      </w:r>
      <w:r w:rsidR="00AD55A7" w:rsidRPr="00E27DAB">
        <w:rPr>
          <w:rFonts w:cstheme="minorHAnsi"/>
          <w:lang w:val="en-GB"/>
        </w:rPr>
        <w:t>However</w:t>
      </w:r>
      <w:r w:rsidR="00084006" w:rsidRPr="00E27DAB">
        <w:rPr>
          <w:rFonts w:cstheme="minorHAnsi"/>
          <w:lang w:val="en-GB"/>
        </w:rPr>
        <w:t>, our</w:t>
      </w:r>
      <w:r w:rsidR="00AD55A7" w:rsidRPr="00E27DAB">
        <w:rPr>
          <w:rFonts w:cstheme="minorHAnsi"/>
          <w:lang w:val="en-GB"/>
        </w:rPr>
        <w:t xml:space="preserve"> pilot study </w:t>
      </w:r>
      <w:r w:rsidR="00084006" w:rsidRPr="00E27DAB">
        <w:rPr>
          <w:rFonts w:cstheme="minorHAnsi"/>
          <w:lang w:val="en-GB"/>
        </w:rPr>
        <w:t>wasn’t</w:t>
      </w:r>
      <w:r w:rsidR="00AD55A7" w:rsidRPr="00E27DAB">
        <w:rPr>
          <w:rFonts w:cstheme="minorHAnsi"/>
          <w:lang w:val="en-GB"/>
        </w:rPr>
        <w:t xml:space="preserve"> representational </w:t>
      </w:r>
      <w:r w:rsidR="00084006" w:rsidRPr="00E27DAB">
        <w:rPr>
          <w:rFonts w:cstheme="minorHAnsi"/>
          <w:lang w:val="en-GB"/>
        </w:rPr>
        <w:t xml:space="preserve">as </w:t>
      </w:r>
      <w:r w:rsidR="00AD55A7" w:rsidRPr="00E27DAB">
        <w:rPr>
          <w:rFonts w:cstheme="minorHAnsi"/>
          <w:lang w:val="en-GB"/>
        </w:rPr>
        <w:t>the questionnaire was created for teaching practitioners</w:t>
      </w:r>
      <w:r w:rsidR="00084006" w:rsidRPr="00E27DAB">
        <w:rPr>
          <w:rFonts w:cstheme="minorHAnsi"/>
          <w:lang w:val="en-GB"/>
        </w:rPr>
        <w:t xml:space="preserve">, based on their broad experiences. </w:t>
      </w:r>
    </w:p>
    <w:p w14:paraId="5F13D6D8" w14:textId="34738282" w:rsidR="00F74220" w:rsidRPr="00E27DAB" w:rsidRDefault="00F74220" w:rsidP="00E27DAB">
      <w:pPr>
        <w:spacing w:line="480" w:lineRule="auto"/>
        <w:rPr>
          <w:rFonts w:cstheme="minorHAnsi"/>
          <w:lang w:val="en-GB"/>
        </w:rPr>
      </w:pPr>
      <w:r w:rsidRPr="00E27DAB">
        <w:rPr>
          <w:rFonts w:cstheme="minorHAnsi"/>
          <w:lang w:val="en-GB"/>
        </w:rPr>
        <w:t xml:space="preserve">In conclusion, </w:t>
      </w:r>
      <w:r w:rsidR="000F3589" w:rsidRPr="00E27DAB">
        <w:rPr>
          <w:rFonts w:cstheme="minorHAnsi"/>
          <w:lang w:val="en-GB"/>
        </w:rPr>
        <w:t xml:space="preserve">after examining the link between poverty and student attainment and the multiple reasons for this link, I have found the research completed, both established research in the field as well as my group’s work, to be substantial in proving this link and offering reasons for it. </w:t>
      </w:r>
      <w:r w:rsidRPr="00E27DAB">
        <w:rPr>
          <w:rFonts w:cstheme="minorHAnsi"/>
          <w:lang w:val="en-GB"/>
        </w:rPr>
        <w:t xml:space="preserve">There </w:t>
      </w:r>
      <w:r w:rsidR="000F3589" w:rsidRPr="00E27DAB">
        <w:rPr>
          <w:rFonts w:cstheme="minorHAnsi"/>
          <w:lang w:val="en-GB"/>
        </w:rPr>
        <w:t xml:space="preserve">are a number of reasons </w:t>
      </w:r>
      <w:r w:rsidRPr="00E27DAB">
        <w:rPr>
          <w:rFonts w:cstheme="minorHAnsi"/>
          <w:lang w:val="en-GB"/>
        </w:rPr>
        <w:t>poverty affect</w:t>
      </w:r>
      <w:r w:rsidR="000F3589" w:rsidRPr="00E27DAB">
        <w:rPr>
          <w:rFonts w:cstheme="minorHAnsi"/>
          <w:lang w:val="en-GB"/>
        </w:rPr>
        <w:t>s</w:t>
      </w:r>
      <w:r w:rsidRPr="00E27DAB">
        <w:rPr>
          <w:rFonts w:cstheme="minorHAnsi"/>
          <w:lang w:val="en-GB"/>
        </w:rPr>
        <w:t xml:space="preserve"> learning</w:t>
      </w:r>
      <w:r w:rsidR="000F3589" w:rsidRPr="00E27DAB">
        <w:rPr>
          <w:rFonts w:cstheme="minorHAnsi"/>
          <w:lang w:val="en-GB"/>
        </w:rPr>
        <w:t xml:space="preserve"> stemming from the lifestyle and environment that children living in poverty experience. Factors such as </w:t>
      </w:r>
      <w:r w:rsidRPr="00E27DAB">
        <w:rPr>
          <w:rFonts w:cstheme="minorHAnsi"/>
          <w:lang w:val="en-GB"/>
        </w:rPr>
        <w:t>poor living conditions and poor nutrition</w:t>
      </w:r>
      <w:r w:rsidR="000F3589" w:rsidRPr="00E27DAB">
        <w:rPr>
          <w:rFonts w:cstheme="minorHAnsi"/>
          <w:lang w:val="en-GB"/>
        </w:rPr>
        <w:t xml:space="preserve"> as well as a lack of experiences and resources all contribute to this attainment gap.</w:t>
      </w:r>
      <w:r w:rsidRPr="00E27DAB">
        <w:rPr>
          <w:rFonts w:cstheme="minorHAnsi"/>
          <w:lang w:val="en-GB"/>
        </w:rPr>
        <w:t xml:space="preserve"> </w:t>
      </w:r>
      <w:r w:rsidR="000F3589" w:rsidRPr="00E27DAB">
        <w:rPr>
          <w:rFonts w:cstheme="minorHAnsi"/>
          <w:lang w:val="en-GB"/>
        </w:rPr>
        <w:t>While there have been numerous local an</w:t>
      </w:r>
      <w:r w:rsidR="005F4008" w:rsidRPr="00E27DAB">
        <w:rPr>
          <w:rFonts w:cstheme="minorHAnsi"/>
          <w:lang w:val="en-GB"/>
        </w:rPr>
        <w:t xml:space="preserve">d national government initiatives </w:t>
      </w:r>
      <w:r w:rsidR="000F3589" w:rsidRPr="00E27DAB">
        <w:rPr>
          <w:rFonts w:cstheme="minorHAnsi"/>
          <w:lang w:val="en-GB"/>
        </w:rPr>
        <w:t>a</w:t>
      </w:r>
      <w:r w:rsidR="005F4008" w:rsidRPr="00E27DAB">
        <w:rPr>
          <w:rFonts w:cstheme="minorHAnsi"/>
          <w:lang w:val="en-GB"/>
        </w:rPr>
        <w:t>ttempt</w:t>
      </w:r>
      <w:r w:rsidR="000F3589" w:rsidRPr="00E27DAB">
        <w:rPr>
          <w:rFonts w:cstheme="minorHAnsi"/>
          <w:lang w:val="en-GB"/>
        </w:rPr>
        <w:t>ing to address this gap, the effects poverty can have on attainment are still present in many areas for many children. Inequality in education still exists across the country in both education, as well as in other areas of life,</w:t>
      </w:r>
      <w:r w:rsidR="005F4008" w:rsidRPr="00E27DAB">
        <w:rPr>
          <w:rFonts w:cstheme="minorHAnsi"/>
          <w:lang w:val="en-GB"/>
        </w:rPr>
        <w:t xml:space="preserve"> because of cultural and material factors</w:t>
      </w:r>
      <w:r w:rsidR="000F3589" w:rsidRPr="00E27DAB">
        <w:rPr>
          <w:rFonts w:cstheme="minorHAnsi"/>
          <w:lang w:val="en-GB"/>
        </w:rPr>
        <w:t xml:space="preserve"> surrounding poverty. There is even evidence of a link to genetics and the effect poverty can have on this, proving that poverty is in-type a learning difficulty that requires extra support and understanding from teachers</w:t>
      </w:r>
      <w:r w:rsidR="007A39A1" w:rsidRPr="00E27DAB">
        <w:rPr>
          <w:rFonts w:cstheme="minorHAnsi"/>
          <w:lang w:val="en-GB"/>
        </w:rPr>
        <w:t xml:space="preserve"> and government initiatives.</w:t>
      </w:r>
      <w:r w:rsidR="005F4008" w:rsidRPr="00E27DAB">
        <w:rPr>
          <w:rFonts w:cstheme="minorHAnsi"/>
          <w:lang w:val="en-GB"/>
        </w:rPr>
        <w:t xml:space="preserve"> There are a number of interventions used within classrooms around Wales, as seen in the questionnaire data</w:t>
      </w:r>
      <w:r w:rsidR="007A39A1" w:rsidRPr="00E27DAB">
        <w:rPr>
          <w:rFonts w:cstheme="minorHAnsi"/>
          <w:lang w:val="en-GB"/>
        </w:rPr>
        <w:t xml:space="preserve">, to tackle this issue, showing a willingness for change and the desire for an inclusive approach to learning to be adopted across Wales. There is also evidence of this inclusive approach being used in many schools to help children improve, however, this approach is not yet used all across Wales. While there is no clear pathway to bridging the attainment gap, </w:t>
      </w:r>
      <w:r w:rsidR="003823E3" w:rsidRPr="00E27DAB">
        <w:rPr>
          <w:rFonts w:cstheme="minorHAnsi"/>
          <w:lang w:val="en-GB"/>
        </w:rPr>
        <w:t xml:space="preserve">the introduction of interventions </w:t>
      </w:r>
      <w:r w:rsidR="007A39A1" w:rsidRPr="00E27DAB">
        <w:rPr>
          <w:rFonts w:cstheme="minorHAnsi"/>
          <w:lang w:val="en-GB"/>
        </w:rPr>
        <w:t xml:space="preserve">from </w:t>
      </w:r>
      <w:r w:rsidR="003823E3" w:rsidRPr="00E27DAB">
        <w:rPr>
          <w:rFonts w:cstheme="minorHAnsi"/>
          <w:lang w:val="en-GB"/>
        </w:rPr>
        <w:t>families</w:t>
      </w:r>
      <w:r w:rsidR="007A39A1" w:rsidRPr="00E27DAB">
        <w:rPr>
          <w:rFonts w:cstheme="minorHAnsi"/>
          <w:lang w:val="en-GB"/>
        </w:rPr>
        <w:t>, schools</w:t>
      </w:r>
      <w:r w:rsidR="003823E3" w:rsidRPr="00E27DAB">
        <w:rPr>
          <w:rFonts w:cstheme="minorHAnsi"/>
          <w:lang w:val="en-GB"/>
        </w:rPr>
        <w:t xml:space="preserve"> and communities</w:t>
      </w:r>
      <w:r w:rsidR="007A39A1" w:rsidRPr="00E27DAB">
        <w:rPr>
          <w:rFonts w:cstheme="minorHAnsi"/>
          <w:lang w:val="en-GB"/>
        </w:rPr>
        <w:t xml:space="preserve"> appear to be having a positive effect. As many teachers suggest that a </w:t>
      </w:r>
      <w:r w:rsidR="003823E3" w:rsidRPr="00E27DAB">
        <w:rPr>
          <w:rFonts w:cstheme="minorHAnsi"/>
          <w:lang w:val="en-GB"/>
        </w:rPr>
        <w:t>lack of parental involvement has significant impact on the attainment of their children</w:t>
      </w:r>
      <w:r w:rsidR="007A39A1" w:rsidRPr="00E27DAB">
        <w:rPr>
          <w:rFonts w:cstheme="minorHAnsi"/>
          <w:lang w:val="en-GB"/>
        </w:rPr>
        <w:t xml:space="preserve">, this should be a priority moving forward in the hopes of achieving an inclusive and equal society and education system for all children, no matter what their economic and cultural backgrounds may be. </w:t>
      </w:r>
      <w:r w:rsidR="00E649DB">
        <w:rPr>
          <w:rFonts w:cstheme="minorHAnsi"/>
          <w:lang w:val="en-GB"/>
        </w:rPr>
        <w:t xml:space="preserve">  </w:t>
      </w:r>
    </w:p>
    <w:p w14:paraId="2E46DF3E" w14:textId="77777777" w:rsidR="007020DD" w:rsidRPr="00E27DAB" w:rsidRDefault="007020DD" w:rsidP="00E27DAB">
      <w:pPr>
        <w:spacing w:line="480" w:lineRule="auto"/>
        <w:rPr>
          <w:rFonts w:cstheme="minorHAnsi"/>
          <w:lang w:val="en-GB"/>
        </w:rPr>
      </w:pPr>
    </w:p>
    <w:p w14:paraId="6FEF196C" w14:textId="39EEC4F9" w:rsidR="007020DD" w:rsidRPr="00E27DAB" w:rsidRDefault="00460680" w:rsidP="00E27DAB">
      <w:pPr>
        <w:spacing w:line="480" w:lineRule="auto"/>
        <w:rPr>
          <w:rFonts w:cstheme="minorHAnsi"/>
          <w:lang w:val="en-GB"/>
        </w:rPr>
      </w:pPr>
      <w:r>
        <w:rPr>
          <w:rFonts w:cstheme="minorHAnsi"/>
          <w:lang w:val="en-GB"/>
        </w:rPr>
        <w:t>Word count (4308</w:t>
      </w:r>
      <w:r w:rsidR="003836B3">
        <w:rPr>
          <w:rFonts w:cstheme="minorHAnsi"/>
          <w:lang w:val="en-GB"/>
        </w:rPr>
        <w:t>)</w:t>
      </w:r>
    </w:p>
    <w:p w14:paraId="42AF4483" w14:textId="77777777" w:rsidR="007020DD" w:rsidRPr="00E27DAB" w:rsidRDefault="007020DD" w:rsidP="00E27DAB">
      <w:pPr>
        <w:spacing w:line="480" w:lineRule="auto"/>
        <w:rPr>
          <w:rFonts w:cstheme="minorHAnsi"/>
          <w:lang w:val="en-GB"/>
        </w:rPr>
      </w:pPr>
    </w:p>
    <w:p w14:paraId="58E42E3B" w14:textId="77777777" w:rsidR="007020DD" w:rsidRPr="00E27DAB" w:rsidRDefault="007020DD" w:rsidP="00E27DAB">
      <w:pPr>
        <w:spacing w:line="480" w:lineRule="auto"/>
        <w:rPr>
          <w:rFonts w:cstheme="minorHAnsi"/>
          <w:lang w:val="en-GB"/>
        </w:rPr>
      </w:pPr>
    </w:p>
    <w:p w14:paraId="73317470" w14:textId="77777777" w:rsidR="00791414" w:rsidRPr="00E27DAB" w:rsidRDefault="00791414" w:rsidP="00E27DAB">
      <w:pPr>
        <w:spacing w:line="480" w:lineRule="auto"/>
        <w:rPr>
          <w:rFonts w:cstheme="minorHAnsi"/>
          <w:lang w:val="en-GB"/>
        </w:rPr>
      </w:pPr>
    </w:p>
    <w:p w14:paraId="29B7EE55" w14:textId="77777777" w:rsidR="005F4008" w:rsidRPr="00E27DAB" w:rsidRDefault="005F4008" w:rsidP="00E27DAB">
      <w:pPr>
        <w:spacing w:line="480" w:lineRule="auto"/>
        <w:rPr>
          <w:rFonts w:cstheme="minorHAnsi"/>
          <w:b/>
          <w:u w:val="single"/>
        </w:rPr>
      </w:pPr>
    </w:p>
    <w:p w14:paraId="59A4B0E2" w14:textId="77777777" w:rsidR="005F4008" w:rsidRPr="00E27DAB" w:rsidRDefault="005F4008" w:rsidP="00E27DAB">
      <w:pPr>
        <w:spacing w:line="480" w:lineRule="auto"/>
        <w:rPr>
          <w:rFonts w:cstheme="minorHAnsi"/>
          <w:b/>
          <w:u w:val="single"/>
        </w:rPr>
      </w:pPr>
    </w:p>
    <w:p w14:paraId="33830F5C" w14:textId="77777777" w:rsidR="005F4008" w:rsidRPr="00E27DAB" w:rsidRDefault="005F4008" w:rsidP="00E27DAB">
      <w:pPr>
        <w:spacing w:line="480" w:lineRule="auto"/>
        <w:rPr>
          <w:rFonts w:cstheme="minorHAnsi"/>
          <w:b/>
          <w:u w:val="single"/>
        </w:rPr>
      </w:pPr>
    </w:p>
    <w:p w14:paraId="4CBC1C57" w14:textId="77777777" w:rsidR="005F4008" w:rsidRPr="00E27DAB" w:rsidRDefault="005F4008" w:rsidP="00E27DAB">
      <w:pPr>
        <w:spacing w:line="480" w:lineRule="auto"/>
        <w:rPr>
          <w:rFonts w:cstheme="minorHAnsi"/>
          <w:b/>
          <w:u w:val="single"/>
        </w:rPr>
      </w:pPr>
    </w:p>
    <w:p w14:paraId="4F225F42" w14:textId="77777777" w:rsidR="005F4008" w:rsidRPr="00E27DAB" w:rsidRDefault="005F4008" w:rsidP="00E27DAB">
      <w:pPr>
        <w:spacing w:line="480" w:lineRule="auto"/>
        <w:rPr>
          <w:rFonts w:cstheme="minorHAnsi"/>
          <w:b/>
          <w:u w:val="single"/>
        </w:rPr>
      </w:pPr>
    </w:p>
    <w:p w14:paraId="374010B8" w14:textId="77777777" w:rsidR="005F4008" w:rsidRPr="00E27DAB" w:rsidRDefault="005F4008" w:rsidP="00E27DAB">
      <w:pPr>
        <w:spacing w:line="480" w:lineRule="auto"/>
        <w:rPr>
          <w:rFonts w:cstheme="minorHAnsi"/>
          <w:b/>
          <w:u w:val="single"/>
        </w:rPr>
      </w:pPr>
    </w:p>
    <w:p w14:paraId="335034A9" w14:textId="74AD4BC1" w:rsidR="00180A3C" w:rsidRPr="00E27DAB" w:rsidRDefault="007020DD" w:rsidP="00E27DAB">
      <w:pPr>
        <w:spacing w:line="480" w:lineRule="auto"/>
        <w:rPr>
          <w:rFonts w:cstheme="minorHAnsi"/>
          <w:b/>
          <w:u w:val="single"/>
        </w:rPr>
      </w:pPr>
      <w:r w:rsidRPr="00E27DAB">
        <w:rPr>
          <w:rFonts w:cstheme="minorHAnsi"/>
          <w:b/>
          <w:u w:val="single"/>
        </w:rPr>
        <w:t xml:space="preserve">Reference List – </w:t>
      </w:r>
    </w:p>
    <w:p w14:paraId="7BA2C634" w14:textId="4031DED5" w:rsidR="00B90FF3" w:rsidRPr="00E27DAB" w:rsidRDefault="00B90FF3" w:rsidP="00E27DAB">
      <w:pPr>
        <w:spacing w:line="480" w:lineRule="auto"/>
        <w:rPr>
          <w:rFonts w:cstheme="minorHAnsi"/>
        </w:rPr>
      </w:pPr>
      <w:r w:rsidRPr="00E27DAB">
        <w:rPr>
          <w:rFonts w:cstheme="minorHAnsi"/>
        </w:rPr>
        <w:t xml:space="preserve">123test.com. (2019). </w:t>
      </w:r>
      <w:r w:rsidRPr="00E27DAB">
        <w:rPr>
          <w:rFonts w:cstheme="minorHAnsi"/>
          <w:i/>
          <w:iCs/>
        </w:rPr>
        <w:t>Is Intelligence Hereditary or Acquired? | 123test</w:t>
      </w:r>
      <w:r w:rsidRPr="00E27DAB">
        <w:rPr>
          <w:rFonts w:cstheme="minorHAnsi"/>
        </w:rPr>
        <w:t xml:space="preserve">. [online] Available at: </w:t>
      </w:r>
      <w:hyperlink r:id="rId18" w:history="1">
        <w:r w:rsidRPr="00E27DAB">
          <w:rPr>
            <w:rStyle w:val="Hyperlink"/>
            <w:rFonts w:cstheme="minorHAnsi"/>
            <w:color w:val="auto"/>
          </w:rPr>
          <w:t>https://www.123test.com/is-intelligence-hereditary/</w:t>
        </w:r>
      </w:hyperlink>
      <w:r w:rsidRPr="00E27DAB">
        <w:rPr>
          <w:rFonts w:cstheme="minorHAnsi"/>
        </w:rPr>
        <w:t xml:space="preserve"> [Accessed 14 Apr. 2019]. </w:t>
      </w:r>
    </w:p>
    <w:p w14:paraId="11919BA1" w14:textId="711242FB" w:rsidR="00370502" w:rsidRPr="00E27DAB" w:rsidRDefault="00370502" w:rsidP="00E27DAB">
      <w:pPr>
        <w:spacing w:line="480" w:lineRule="auto"/>
        <w:rPr>
          <w:rFonts w:cstheme="minorHAnsi"/>
          <w:lang w:val="en-GB"/>
        </w:rPr>
      </w:pPr>
      <w:r w:rsidRPr="00E27DAB">
        <w:rPr>
          <w:rFonts w:cstheme="minorHAnsi"/>
        </w:rPr>
        <w:t xml:space="preserve">Ashton, P., </w:t>
      </w:r>
      <w:r w:rsidR="00024DA3">
        <w:rPr>
          <w:rFonts w:cstheme="minorHAnsi"/>
        </w:rPr>
        <w:t>(</w:t>
      </w:r>
      <w:r w:rsidRPr="00E27DAB">
        <w:rPr>
          <w:rFonts w:cstheme="minorHAnsi"/>
        </w:rPr>
        <w:t>1984</w:t>
      </w:r>
      <w:r w:rsidR="00024DA3">
        <w:rPr>
          <w:rFonts w:cstheme="minorHAnsi"/>
        </w:rPr>
        <w:t>)</w:t>
      </w:r>
      <w:r w:rsidRPr="00E27DAB">
        <w:rPr>
          <w:rFonts w:cstheme="minorHAnsi"/>
        </w:rPr>
        <w:t xml:space="preserve"> Poverty and its beholders. </w:t>
      </w:r>
      <w:r w:rsidRPr="00E27DAB">
        <w:rPr>
          <w:rFonts w:cstheme="minorHAnsi"/>
          <w:i/>
          <w:iCs/>
        </w:rPr>
        <w:t>New Society</w:t>
      </w:r>
      <w:r w:rsidRPr="00E27DAB">
        <w:rPr>
          <w:rFonts w:cstheme="minorHAnsi"/>
        </w:rPr>
        <w:t xml:space="preserve">, </w:t>
      </w:r>
      <w:r w:rsidRPr="00E27DAB">
        <w:rPr>
          <w:rFonts w:cstheme="minorHAnsi"/>
          <w:i/>
          <w:iCs/>
        </w:rPr>
        <w:t>70</w:t>
      </w:r>
      <w:r w:rsidRPr="00E27DAB">
        <w:rPr>
          <w:rFonts w:cstheme="minorHAnsi"/>
        </w:rPr>
        <w:t>(1139), pp.95-98.</w:t>
      </w:r>
    </w:p>
    <w:p w14:paraId="342830F1" w14:textId="53B28FE2" w:rsidR="00C5071E" w:rsidRPr="00E27DAB" w:rsidRDefault="00C5071E" w:rsidP="00E27DAB">
      <w:pPr>
        <w:spacing w:line="480" w:lineRule="auto"/>
        <w:rPr>
          <w:rFonts w:cstheme="minorHAnsi"/>
        </w:rPr>
      </w:pPr>
      <w:r w:rsidRPr="00E27DAB">
        <w:rPr>
          <w:rFonts w:cstheme="minorHAnsi"/>
        </w:rPr>
        <w:t xml:space="preserve">Anon, (2019). </w:t>
      </w:r>
      <w:r w:rsidRPr="00E27DAB">
        <w:rPr>
          <w:rFonts w:cstheme="minorHAnsi"/>
          <w:i/>
          <w:iCs/>
        </w:rPr>
        <w:t>Teaching and Learning Toolkit</w:t>
      </w:r>
      <w:r w:rsidRPr="00E27DAB">
        <w:rPr>
          <w:rFonts w:cstheme="minorHAnsi"/>
        </w:rPr>
        <w:t xml:space="preserve">. [online] Available at: </w:t>
      </w:r>
      <w:hyperlink r:id="rId19" w:history="1">
        <w:r w:rsidR="00B90FF3" w:rsidRPr="00E27DAB">
          <w:rPr>
            <w:rStyle w:val="Hyperlink"/>
            <w:rFonts w:cstheme="minorHAnsi"/>
            <w:color w:val="auto"/>
          </w:rPr>
          <w:t>https://educationendowmentfoundation.org.uk/evidence-summaries/teaching-learning-toolkit/</w:t>
        </w:r>
      </w:hyperlink>
      <w:r w:rsidR="00B90FF3" w:rsidRPr="00E27DAB">
        <w:rPr>
          <w:rFonts w:cstheme="minorHAnsi"/>
        </w:rPr>
        <w:t xml:space="preserve"> </w:t>
      </w:r>
      <w:r w:rsidRPr="00E27DAB">
        <w:rPr>
          <w:rFonts w:cstheme="minorHAnsi"/>
        </w:rPr>
        <w:t>[Accessed 22 Apr. 2019].</w:t>
      </w:r>
    </w:p>
    <w:p w14:paraId="52CA8247" w14:textId="1FD56208" w:rsidR="00D73D45" w:rsidRPr="00E27DAB" w:rsidRDefault="00D73D45" w:rsidP="00E27DAB">
      <w:pPr>
        <w:spacing w:line="480" w:lineRule="auto"/>
        <w:rPr>
          <w:rFonts w:cstheme="minorHAnsi"/>
          <w:b/>
          <w:u w:val="single"/>
        </w:rPr>
      </w:pPr>
      <w:r w:rsidRPr="00E27DAB">
        <w:rPr>
          <w:rFonts w:cstheme="minorHAnsi"/>
          <w:lang w:val="de-DE"/>
        </w:rPr>
        <w:t xml:space="preserve">Allen, B. (2019). </w:t>
      </w:r>
      <w:r w:rsidRPr="00E27DAB">
        <w:rPr>
          <w:rFonts w:cstheme="minorHAnsi"/>
          <w:i/>
          <w:iCs/>
          <w:lang w:val="de-DE"/>
        </w:rPr>
        <w:t>pupil premium – Becky Allen</w:t>
      </w:r>
      <w:r w:rsidRPr="00E27DAB">
        <w:rPr>
          <w:rFonts w:cstheme="minorHAnsi"/>
          <w:lang w:val="de-DE"/>
        </w:rPr>
        <w:t xml:space="preserve">. </w:t>
      </w:r>
      <w:r w:rsidRPr="00E27DAB">
        <w:rPr>
          <w:rFonts w:cstheme="minorHAnsi"/>
        </w:rPr>
        <w:t xml:space="preserve">[online] Rebeccaallen.co.uk. Available at: </w:t>
      </w:r>
      <w:hyperlink r:id="rId20" w:history="1">
        <w:r w:rsidR="00B90FF3" w:rsidRPr="00E27DAB">
          <w:rPr>
            <w:rStyle w:val="Hyperlink"/>
            <w:rFonts w:cstheme="minorHAnsi"/>
            <w:color w:val="auto"/>
          </w:rPr>
          <w:t>https://rebeccaallen.co.uk/tag/pupil-premium/</w:t>
        </w:r>
      </w:hyperlink>
      <w:r w:rsidR="00B90FF3" w:rsidRPr="00E27DAB">
        <w:rPr>
          <w:rFonts w:cstheme="minorHAnsi"/>
        </w:rPr>
        <w:t xml:space="preserve"> </w:t>
      </w:r>
      <w:r w:rsidRPr="00E27DAB">
        <w:rPr>
          <w:rFonts w:cstheme="minorHAnsi"/>
        </w:rPr>
        <w:t>[Accessed 18 Apr. 2019].</w:t>
      </w:r>
    </w:p>
    <w:p w14:paraId="0D1BBE70" w14:textId="3C9E1D12" w:rsidR="00743481" w:rsidRPr="00E27DAB" w:rsidRDefault="00743481" w:rsidP="00E27DAB">
      <w:pPr>
        <w:spacing w:line="480" w:lineRule="auto"/>
        <w:rPr>
          <w:rFonts w:cstheme="minorHAnsi"/>
        </w:rPr>
      </w:pPr>
      <w:r w:rsidRPr="00E27DAB">
        <w:rPr>
          <w:rFonts w:cstheme="minorHAnsi"/>
        </w:rPr>
        <w:t>Alloway, T. P., Gathercole, S. E., Kirkwood, H., &amp; Elliott, J. (2009). The cognitive and behavioral characteristics of children with low working memory. Child Development, 80(2), 606–621.</w:t>
      </w:r>
    </w:p>
    <w:p w14:paraId="18CE20D8" w14:textId="545E1CB8" w:rsidR="00AA108A" w:rsidRPr="00E27DAB" w:rsidRDefault="00AA108A" w:rsidP="00E27DAB">
      <w:pPr>
        <w:spacing w:line="480" w:lineRule="auto"/>
        <w:rPr>
          <w:rFonts w:cstheme="minorHAnsi"/>
        </w:rPr>
      </w:pPr>
      <w:r w:rsidRPr="00E27DAB">
        <w:rPr>
          <w:rFonts w:cstheme="minorHAnsi"/>
        </w:rPr>
        <w:t xml:space="preserve">Althusser, L., </w:t>
      </w:r>
      <w:r w:rsidR="00024DA3">
        <w:rPr>
          <w:rFonts w:cstheme="minorHAnsi"/>
        </w:rPr>
        <w:t>(</w:t>
      </w:r>
      <w:r w:rsidRPr="00E27DAB">
        <w:rPr>
          <w:rFonts w:cstheme="minorHAnsi"/>
        </w:rPr>
        <w:t>2014</w:t>
      </w:r>
      <w:r w:rsidR="00024DA3">
        <w:rPr>
          <w:rFonts w:cstheme="minorHAnsi"/>
        </w:rPr>
        <w:t>)</w:t>
      </w:r>
      <w:r w:rsidRPr="00E27DAB">
        <w:rPr>
          <w:rFonts w:cstheme="minorHAnsi"/>
        </w:rPr>
        <w:t xml:space="preserve"> </w:t>
      </w:r>
      <w:r w:rsidRPr="00E27DAB">
        <w:rPr>
          <w:rFonts w:cstheme="minorHAnsi"/>
          <w:i/>
          <w:iCs/>
        </w:rPr>
        <w:t>On the reproduction of capitalism: Ideology and ideological state apparatuses</w:t>
      </w:r>
      <w:r w:rsidRPr="00E27DAB">
        <w:rPr>
          <w:rFonts w:cstheme="minorHAnsi"/>
        </w:rPr>
        <w:t>. Verso Trade.</w:t>
      </w:r>
    </w:p>
    <w:p w14:paraId="0D0C7F8C" w14:textId="3385C439" w:rsidR="001657BD" w:rsidRPr="00E27DAB" w:rsidRDefault="00EA07BC" w:rsidP="00E27DAB">
      <w:pPr>
        <w:spacing w:line="480" w:lineRule="auto"/>
        <w:rPr>
          <w:rFonts w:cstheme="minorHAnsi"/>
        </w:rPr>
      </w:pPr>
      <w:r w:rsidRPr="00E27DAB">
        <w:rPr>
          <w:rFonts w:cstheme="minorHAnsi"/>
        </w:rPr>
        <w:t>Andrews, L. (2011a) Teaching makes a difference. Cardiff: Welsh Government Available at: http://wales.gov.uk/topics/educationandskills/allsectorpolicies/ ourevents/teachingmakesadifference/?lang=en</w:t>
      </w:r>
    </w:p>
    <w:p w14:paraId="13EABBB5" w14:textId="102CC262" w:rsidR="00EA07BC" w:rsidRPr="00E27DAB" w:rsidRDefault="00EA07BC" w:rsidP="00E27DAB">
      <w:pPr>
        <w:spacing w:line="480" w:lineRule="auto"/>
        <w:rPr>
          <w:rFonts w:cstheme="minorHAnsi"/>
        </w:rPr>
      </w:pPr>
      <w:r w:rsidRPr="00E27DAB">
        <w:rPr>
          <w:rFonts w:cstheme="minorHAnsi"/>
        </w:rPr>
        <w:t>Andrews, L. (2011b) Raising school standards. Cardiff: Welsh Government Available at: http://wales.gov.uk/topics/educationandskills/allsectorpolicies/ ourevents/raisingschoolstandards/?lang=en</w:t>
      </w:r>
    </w:p>
    <w:p w14:paraId="27010BD7" w14:textId="5D296733" w:rsidR="007020DD" w:rsidRPr="00E27DAB" w:rsidRDefault="007020DD" w:rsidP="00E27DAB">
      <w:pPr>
        <w:spacing w:line="480" w:lineRule="auto"/>
        <w:rPr>
          <w:rFonts w:cstheme="minorHAnsi"/>
          <w:shd w:val="clear" w:color="auto" w:fill="FFFFFF"/>
        </w:rPr>
      </w:pPr>
      <w:r w:rsidRPr="00E27DAB">
        <w:rPr>
          <w:rFonts w:cstheme="minorHAnsi"/>
          <w:shd w:val="clear" w:color="auto" w:fill="FFFFFF"/>
        </w:rPr>
        <w:t>Anon, (2019). [online] Available at: https://www.bdadyslexia.org.uk/educator/what-are-specific-learning-difficulties [Accessed 9 Apr. 2019].</w:t>
      </w:r>
    </w:p>
    <w:p w14:paraId="18690864" w14:textId="5AE8FA48" w:rsidR="001253E6" w:rsidRPr="00E27DAB" w:rsidRDefault="001253E6" w:rsidP="00E27DAB">
      <w:pPr>
        <w:spacing w:line="480" w:lineRule="auto"/>
        <w:rPr>
          <w:rFonts w:cstheme="minorHAnsi"/>
          <w:shd w:val="clear" w:color="auto" w:fill="FFFFFF"/>
        </w:rPr>
      </w:pPr>
      <w:r w:rsidRPr="00E27DAB">
        <w:rPr>
          <w:rFonts w:cstheme="minorHAnsi"/>
        </w:rPr>
        <w:t xml:space="preserve">Armstrong, J. (2015). </w:t>
      </w:r>
      <w:r w:rsidRPr="00E27DAB">
        <w:rPr>
          <w:rFonts w:cstheme="minorHAnsi"/>
          <w:i/>
          <w:iCs/>
        </w:rPr>
        <w:t>Poverty and Education: Exploring Teachers’ Perspectives</w:t>
      </w:r>
      <w:r w:rsidRPr="00E27DAB">
        <w:rPr>
          <w:rFonts w:cstheme="minorHAnsi"/>
        </w:rPr>
        <w:t>. Master of Education in Educational Leadership. Vancouver Island University.</w:t>
      </w:r>
    </w:p>
    <w:p w14:paraId="1EA2762D" w14:textId="3096870F" w:rsidR="003E4000" w:rsidRPr="00E27DAB" w:rsidRDefault="003E4000" w:rsidP="00E27DAB">
      <w:pPr>
        <w:spacing w:line="480" w:lineRule="auto"/>
        <w:rPr>
          <w:rFonts w:cstheme="minorHAnsi"/>
          <w:shd w:val="clear" w:color="auto" w:fill="FFFFFF"/>
        </w:rPr>
      </w:pPr>
      <w:r w:rsidRPr="00E27DAB">
        <w:rPr>
          <w:rFonts w:cstheme="minorHAnsi"/>
        </w:rPr>
        <w:t xml:space="preserve">Bandura, A., </w:t>
      </w:r>
      <w:r w:rsidR="00024DA3">
        <w:rPr>
          <w:rFonts w:cstheme="minorHAnsi"/>
        </w:rPr>
        <w:t>(</w:t>
      </w:r>
      <w:r w:rsidRPr="00E27DAB">
        <w:rPr>
          <w:rFonts w:cstheme="minorHAnsi"/>
        </w:rPr>
        <w:t>1977</w:t>
      </w:r>
      <w:r w:rsidR="00024DA3">
        <w:rPr>
          <w:rFonts w:cstheme="minorHAnsi"/>
        </w:rPr>
        <w:t>)</w:t>
      </w:r>
      <w:r w:rsidRPr="00E27DAB">
        <w:rPr>
          <w:rFonts w:cstheme="minorHAnsi"/>
        </w:rPr>
        <w:t xml:space="preserve"> Self-efficacy: toward a unifying theory of behavioral change. </w:t>
      </w:r>
      <w:r w:rsidRPr="00E27DAB">
        <w:rPr>
          <w:rFonts w:cstheme="minorHAnsi"/>
          <w:i/>
          <w:iCs/>
        </w:rPr>
        <w:t>Psychological review</w:t>
      </w:r>
      <w:r w:rsidRPr="00E27DAB">
        <w:rPr>
          <w:rFonts w:cstheme="minorHAnsi"/>
        </w:rPr>
        <w:t xml:space="preserve">, </w:t>
      </w:r>
      <w:r w:rsidRPr="00E27DAB">
        <w:rPr>
          <w:rFonts w:cstheme="minorHAnsi"/>
          <w:i/>
          <w:iCs/>
        </w:rPr>
        <w:t>84</w:t>
      </w:r>
      <w:r w:rsidRPr="00E27DAB">
        <w:rPr>
          <w:rFonts w:cstheme="minorHAnsi"/>
        </w:rPr>
        <w:t>(2), p.191.</w:t>
      </w:r>
    </w:p>
    <w:p w14:paraId="1E1AC2B5" w14:textId="5FCB86B8" w:rsidR="00555D85" w:rsidRPr="00E27DAB" w:rsidRDefault="00555D85" w:rsidP="00E27DAB">
      <w:pPr>
        <w:spacing w:line="480" w:lineRule="auto"/>
        <w:rPr>
          <w:rFonts w:cstheme="minorHAnsi"/>
        </w:rPr>
      </w:pPr>
      <w:r w:rsidRPr="00E27DAB">
        <w:rPr>
          <w:rFonts w:cstheme="minorHAnsi"/>
        </w:rPr>
        <w:t xml:space="preserve">Baruch, Y., </w:t>
      </w:r>
      <w:r w:rsidR="00024DA3">
        <w:rPr>
          <w:rFonts w:cstheme="minorHAnsi"/>
        </w:rPr>
        <w:t>(</w:t>
      </w:r>
      <w:r w:rsidRPr="00E27DAB">
        <w:rPr>
          <w:rFonts w:cstheme="minorHAnsi"/>
        </w:rPr>
        <w:t>1999</w:t>
      </w:r>
      <w:r w:rsidR="00024DA3">
        <w:rPr>
          <w:rFonts w:cstheme="minorHAnsi"/>
        </w:rPr>
        <w:t>)</w:t>
      </w:r>
      <w:r w:rsidRPr="00E27DAB">
        <w:rPr>
          <w:rFonts w:cstheme="minorHAnsi"/>
        </w:rPr>
        <w:t xml:space="preserve"> Response rate in academic studies-A comparative analysis. </w:t>
      </w:r>
      <w:r w:rsidRPr="00E27DAB">
        <w:rPr>
          <w:rFonts w:cstheme="minorHAnsi"/>
          <w:i/>
          <w:iCs/>
        </w:rPr>
        <w:t>Human relations</w:t>
      </w:r>
      <w:r w:rsidRPr="00E27DAB">
        <w:rPr>
          <w:rFonts w:cstheme="minorHAnsi"/>
        </w:rPr>
        <w:t xml:space="preserve">, </w:t>
      </w:r>
      <w:r w:rsidRPr="00E27DAB">
        <w:rPr>
          <w:rFonts w:cstheme="minorHAnsi"/>
          <w:i/>
          <w:iCs/>
        </w:rPr>
        <w:t>52</w:t>
      </w:r>
      <w:r w:rsidRPr="00E27DAB">
        <w:rPr>
          <w:rFonts w:cstheme="minorHAnsi"/>
        </w:rPr>
        <w:t>(4), pp.421-438.</w:t>
      </w:r>
    </w:p>
    <w:p w14:paraId="6A9470FF" w14:textId="6C90E0B6" w:rsidR="008E0320" w:rsidRDefault="008E0320" w:rsidP="00E27DAB">
      <w:pPr>
        <w:spacing w:line="480" w:lineRule="auto"/>
        <w:rPr>
          <w:rFonts w:cstheme="minorHAnsi"/>
        </w:rPr>
      </w:pPr>
      <w:r w:rsidRPr="00E27DAB">
        <w:rPr>
          <w:rFonts w:cstheme="minorHAnsi"/>
        </w:rPr>
        <w:t xml:space="preserve">Becker, H., </w:t>
      </w:r>
      <w:r w:rsidR="00024DA3">
        <w:rPr>
          <w:rFonts w:cstheme="minorHAnsi"/>
        </w:rPr>
        <w:t>(</w:t>
      </w:r>
      <w:r w:rsidRPr="00E27DAB">
        <w:rPr>
          <w:rFonts w:cstheme="minorHAnsi"/>
        </w:rPr>
        <w:t>2003</w:t>
      </w:r>
      <w:r w:rsidR="00024DA3">
        <w:rPr>
          <w:rFonts w:cstheme="minorHAnsi"/>
        </w:rPr>
        <w:t>)</w:t>
      </w:r>
      <w:r w:rsidRPr="00E27DAB">
        <w:rPr>
          <w:rFonts w:cstheme="minorHAnsi"/>
        </w:rPr>
        <w:t xml:space="preserve"> Labelling theory. </w:t>
      </w:r>
      <w:r w:rsidRPr="00E27DAB">
        <w:rPr>
          <w:rFonts w:cstheme="minorHAnsi"/>
          <w:i/>
          <w:iCs/>
        </w:rPr>
        <w:t>Key Ideas in Sociology</w:t>
      </w:r>
      <w:r w:rsidRPr="00E27DAB">
        <w:rPr>
          <w:rFonts w:cstheme="minorHAnsi"/>
        </w:rPr>
        <w:t>, pp.134-139.</w:t>
      </w:r>
    </w:p>
    <w:p w14:paraId="0D099A42" w14:textId="286ABD5B" w:rsidR="001D4FFB" w:rsidRPr="001D4FFB" w:rsidRDefault="001D4FFB" w:rsidP="00E27DAB">
      <w:pPr>
        <w:spacing w:line="480" w:lineRule="auto"/>
        <w:rPr>
          <w:rFonts w:cstheme="minorHAnsi"/>
          <w:sz w:val="20"/>
          <w:szCs w:val="20"/>
        </w:rPr>
      </w:pPr>
      <w:r w:rsidRPr="001D4FFB">
        <w:rPr>
          <w:rFonts w:cs="Arial"/>
          <w:color w:val="222222"/>
          <w:sz w:val="20"/>
          <w:szCs w:val="20"/>
        </w:rPr>
        <w:t xml:space="preserve">British Educational Research Association, </w:t>
      </w:r>
      <w:r>
        <w:rPr>
          <w:rFonts w:cs="Arial"/>
          <w:color w:val="222222"/>
          <w:sz w:val="20"/>
          <w:szCs w:val="20"/>
        </w:rPr>
        <w:t>(</w:t>
      </w:r>
      <w:r w:rsidRPr="001D4FFB">
        <w:rPr>
          <w:rFonts w:cs="Arial"/>
          <w:color w:val="222222"/>
          <w:sz w:val="20"/>
          <w:szCs w:val="20"/>
        </w:rPr>
        <w:t>1992</w:t>
      </w:r>
      <w:r>
        <w:rPr>
          <w:rFonts w:cs="Arial"/>
          <w:color w:val="222222"/>
          <w:sz w:val="20"/>
          <w:szCs w:val="20"/>
        </w:rPr>
        <w:t>)</w:t>
      </w:r>
      <w:r w:rsidRPr="001D4FFB">
        <w:rPr>
          <w:rFonts w:cs="Arial"/>
          <w:color w:val="222222"/>
          <w:sz w:val="20"/>
          <w:szCs w:val="20"/>
        </w:rPr>
        <w:t xml:space="preserve"> </w:t>
      </w:r>
      <w:r w:rsidRPr="001D4FFB">
        <w:rPr>
          <w:rFonts w:cs="Arial"/>
          <w:i/>
          <w:iCs/>
          <w:color w:val="222222"/>
          <w:sz w:val="20"/>
          <w:szCs w:val="20"/>
        </w:rPr>
        <w:t>BERA Ethical Guidelines: British Educational Research Association Ethical Guidelines</w:t>
      </w:r>
      <w:r w:rsidRPr="001D4FFB">
        <w:rPr>
          <w:rFonts w:cs="Arial"/>
          <w:color w:val="222222"/>
          <w:sz w:val="20"/>
          <w:szCs w:val="20"/>
        </w:rPr>
        <w:t>. British Educational Research Association.</w:t>
      </w:r>
    </w:p>
    <w:p w14:paraId="009F246A" w14:textId="5EC13384" w:rsidR="00C20B41" w:rsidRPr="00E27DAB" w:rsidRDefault="00C20B41" w:rsidP="00E27DAB">
      <w:pPr>
        <w:spacing w:line="480" w:lineRule="auto"/>
        <w:rPr>
          <w:rFonts w:cstheme="minorHAnsi"/>
        </w:rPr>
      </w:pPr>
      <w:r w:rsidRPr="00E27DAB">
        <w:rPr>
          <w:rFonts w:cstheme="minorHAnsi"/>
        </w:rPr>
        <w:t xml:space="preserve">Bernstein, B.B., </w:t>
      </w:r>
      <w:r w:rsidR="00024DA3">
        <w:rPr>
          <w:rFonts w:cstheme="minorHAnsi"/>
        </w:rPr>
        <w:t>(</w:t>
      </w:r>
      <w:r w:rsidRPr="00E27DAB">
        <w:rPr>
          <w:rFonts w:cstheme="minorHAnsi"/>
        </w:rPr>
        <w:t>2003</w:t>
      </w:r>
      <w:r w:rsidR="00024DA3">
        <w:rPr>
          <w:rFonts w:cstheme="minorHAnsi"/>
        </w:rPr>
        <w:t>)</w:t>
      </w:r>
      <w:r w:rsidRPr="00E27DAB">
        <w:rPr>
          <w:rFonts w:cstheme="minorHAnsi"/>
        </w:rPr>
        <w:t xml:space="preserve"> </w:t>
      </w:r>
      <w:r w:rsidRPr="00E27DAB">
        <w:rPr>
          <w:rFonts w:cstheme="minorHAnsi"/>
          <w:i/>
          <w:iCs/>
        </w:rPr>
        <w:t>Class, codes and control: Applied studies towards a sociology of language</w:t>
      </w:r>
      <w:r w:rsidRPr="00E27DAB">
        <w:rPr>
          <w:rFonts w:cstheme="minorHAnsi"/>
        </w:rPr>
        <w:t xml:space="preserve"> (Vol. 2). Psychology Press.</w:t>
      </w:r>
    </w:p>
    <w:p w14:paraId="0F378ED3" w14:textId="7839BCF1" w:rsidR="008E0320" w:rsidRPr="00E27DAB" w:rsidRDefault="008E0320" w:rsidP="00E27DAB">
      <w:pPr>
        <w:spacing w:line="480" w:lineRule="auto"/>
        <w:rPr>
          <w:rFonts w:cstheme="minorHAnsi"/>
        </w:rPr>
      </w:pPr>
      <w:r w:rsidRPr="00024DA3">
        <w:rPr>
          <w:rFonts w:cstheme="minorHAnsi"/>
          <w:lang w:val="en-GB"/>
        </w:rPr>
        <w:t xml:space="preserve">Biernacki, P. and Waldorf, D., </w:t>
      </w:r>
      <w:r w:rsidR="00024DA3">
        <w:rPr>
          <w:rFonts w:cstheme="minorHAnsi"/>
          <w:lang w:val="en-GB"/>
        </w:rPr>
        <w:t>(</w:t>
      </w:r>
      <w:r w:rsidRPr="00024DA3">
        <w:rPr>
          <w:rFonts w:cstheme="minorHAnsi"/>
          <w:lang w:val="en-GB"/>
        </w:rPr>
        <w:t>1981</w:t>
      </w:r>
      <w:r w:rsidR="00024DA3">
        <w:rPr>
          <w:rFonts w:cstheme="minorHAnsi"/>
          <w:lang w:val="en-GB"/>
        </w:rPr>
        <w:t>)</w:t>
      </w:r>
      <w:r w:rsidRPr="00024DA3">
        <w:rPr>
          <w:rFonts w:cstheme="minorHAnsi"/>
          <w:lang w:val="en-GB"/>
        </w:rPr>
        <w:t xml:space="preserve"> </w:t>
      </w:r>
      <w:r w:rsidRPr="00E27DAB">
        <w:rPr>
          <w:rFonts w:cstheme="minorHAnsi"/>
        </w:rPr>
        <w:t xml:space="preserve">Snowball sampling: Problems and techniques of chain referral sampling. </w:t>
      </w:r>
      <w:r w:rsidRPr="00E27DAB">
        <w:rPr>
          <w:rFonts w:cstheme="minorHAnsi"/>
          <w:i/>
          <w:iCs/>
        </w:rPr>
        <w:t>Sociological methods &amp; research</w:t>
      </w:r>
      <w:r w:rsidRPr="00E27DAB">
        <w:rPr>
          <w:rFonts w:cstheme="minorHAnsi"/>
        </w:rPr>
        <w:t xml:space="preserve">, </w:t>
      </w:r>
      <w:r w:rsidRPr="00E27DAB">
        <w:rPr>
          <w:rFonts w:cstheme="minorHAnsi"/>
          <w:i/>
          <w:iCs/>
        </w:rPr>
        <w:t>10</w:t>
      </w:r>
      <w:r w:rsidRPr="00E27DAB">
        <w:rPr>
          <w:rFonts w:cstheme="minorHAnsi"/>
        </w:rPr>
        <w:t>(2), pp.141-163.</w:t>
      </w:r>
    </w:p>
    <w:p w14:paraId="63793B5E" w14:textId="3E7C0CE1" w:rsidR="00BB3928" w:rsidRPr="00E27DAB" w:rsidRDefault="00BB3928" w:rsidP="00E27DAB">
      <w:pPr>
        <w:spacing w:line="480" w:lineRule="auto"/>
        <w:rPr>
          <w:rFonts w:cstheme="minorHAnsi"/>
        </w:rPr>
      </w:pPr>
      <w:r w:rsidRPr="00E27DAB">
        <w:rPr>
          <w:rFonts w:cstheme="minorHAnsi"/>
        </w:rPr>
        <w:t xml:space="preserve">Black, P. and Wiliam, D., </w:t>
      </w:r>
      <w:r w:rsidR="00024DA3">
        <w:rPr>
          <w:rFonts w:cstheme="minorHAnsi"/>
        </w:rPr>
        <w:t>(</w:t>
      </w:r>
      <w:r w:rsidRPr="00E27DAB">
        <w:rPr>
          <w:rFonts w:cstheme="minorHAnsi"/>
        </w:rPr>
        <w:t>1998</w:t>
      </w:r>
      <w:r w:rsidR="00024DA3">
        <w:rPr>
          <w:rFonts w:cstheme="minorHAnsi"/>
        </w:rPr>
        <w:t>)</w:t>
      </w:r>
      <w:r w:rsidRPr="00E27DAB">
        <w:rPr>
          <w:rFonts w:cstheme="minorHAnsi"/>
        </w:rPr>
        <w:t xml:space="preserve"> Assessment and classroom learning. </w:t>
      </w:r>
      <w:r w:rsidRPr="00E27DAB">
        <w:rPr>
          <w:rFonts w:cstheme="minorHAnsi"/>
          <w:i/>
          <w:iCs/>
        </w:rPr>
        <w:t>Assessment in Education: principles, policy &amp; practice</w:t>
      </w:r>
      <w:r w:rsidRPr="00E27DAB">
        <w:rPr>
          <w:rFonts w:cstheme="minorHAnsi"/>
        </w:rPr>
        <w:t xml:space="preserve">, </w:t>
      </w:r>
      <w:r w:rsidRPr="00E27DAB">
        <w:rPr>
          <w:rFonts w:cstheme="minorHAnsi"/>
          <w:i/>
          <w:iCs/>
        </w:rPr>
        <w:t>5</w:t>
      </w:r>
      <w:r w:rsidRPr="00E27DAB">
        <w:rPr>
          <w:rFonts w:cstheme="minorHAnsi"/>
        </w:rPr>
        <w:t>(1), pp.7-74.</w:t>
      </w:r>
    </w:p>
    <w:p w14:paraId="49CE0CA4" w14:textId="170792E3" w:rsidR="001B74A4" w:rsidRPr="00E27DAB" w:rsidRDefault="001B74A4" w:rsidP="00E27DAB">
      <w:pPr>
        <w:spacing w:line="480" w:lineRule="auto"/>
        <w:rPr>
          <w:rFonts w:cstheme="minorHAnsi"/>
        </w:rPr>
      </w:pPr>
      <w:r w:rsidRPr="00E27DAB">
        <w:rPr>
          <w:rFonts w:cstheme="minorHAnsi"/>
        </w:rPr>
        <w:t xml:space="preserve">Bourdieu, P., </w:t>
      </w:r>
      <w:r w:rsidR="00024DA3">
        <w:rPr>
          <w:rFonts w:cstheme="minorHAnsi"/>
        </w:rPr>
        <w:t>(</w:t>
      </w:r>
      <w:r w:rsidRPr="00E27DAB">
        <w:rPr>
          <w:rFonts w:cstheme="minorHAnsi"/>
        </w:rPr>
        <w:t>1986</w:t>
      </w:r>
      <w:r w:rsidR="00024DA3">
        <w:rPr>
          <w:rFonts w:cstheme="minorHAnsi"/>
        </w:rPr>
        <w:t>)</w:t>
      </w:r>
      <w:r w:rsidRPr="00E27DAB">
        <w:rPr>
          <w:rFonts w:cstheme="minorHAnsi"/>
        </w:rPr>
        <w:t xml:space="preserve"> The forms of capital.</w:t>
      </w:r>
    </w:p>
    <w:p w14:paraId="163A08F9" w14:textId="720DB45A" w:rsidR="00CD4EB8" w:rsidRPr="00E27DAB" w:rsidRDefault="00CD4EB8" w:rsidP="00E27DAB">
      <w:pPr>
        <w:spacing w:line="480" w:lineRule="auto"/>
        <w:rPr>
          <w:rFonts w:cstheme="minorHAnsi"/>
        </w:rPr>
      </w:pPr>
      <w:r w:rsidRPr="00E27DAB">
        <w:rPr>
          <w:rFonts w:cstheme="minorHAnsi"/>
        </w:rPr>
        <w:t xml:space="preserve">Bowlby, J., </w:t>
      </w:r>
      <w:r w:rsidR="00024DA3">
        <w:rPr>
          <w:rFonts w:cstheme="minorHAnsi"/>
        </w:rPr>
        <w:t>(</w:t>
      </w:r>
      <w:r w:rsidRPr="00E27DAB">
        <w:rPr>
          <w:rFonts w:cstheme="minorHAnsi"/>
        </w:rPr>
        <w:t>2008</w:t>
      </w:r>
      <w:r w:rsidR="00024DA3">
        <w:rPr>
          <w:rFonts w:cstheme="minorHAnsi"/>
        </w:rPr>
        <w:t xml:space="preserve">) </w:t>
      </w:r>
      <w:r w:rsidRPr="00E27DAB">
        <w:rPr>
          <w:rFonts w:cstheme="minorHAnsi"/>
          <w:i/>
          <w:iCs/>
        </w:rPr>
        <w:t>Attachment</w:t>
      </w:r>
      <w:r w:rsidRPr="00E27DAB">
        <w:rPr>
          <w:rFonts w:cstheme="minorHAnsi"/>
        </w:rPr>
        <w:t>. Basic books.</w:t>
      </w:r>
    </w:p>
    <w:p w14:paraId="0BDCAC80" w14:textId="793379BB" w:rsidR="00BE2CE9" w:rsidRPr="00E27DAB" w:rsidRDefault="00BE2CE9" w:rsidP="00E27DAB">
      <w:pPr>
        <w:spacing w:line="480" w:lineRule="auto"/>
        <w:rPr>
          <w:rFonts w:cstheme="minorHAnsi"/>
        </w:rPr>
      </w:pPr>
      <w:r w:rsidRPr="00E27DAB">
        <w:rPr>
          <w:rFonts w:cstheme="minorHAnsi"/>
        </w:rPr>
        <w:t xml:space="preserve">Bowles, S. and Gintis, H., </w:t>
      </w:r>
      <w:r w:rsidR="00024DA3">
        <w:rPr>
          <w:rFonts w:cstheme="minorHAnsi"/>
        </w:rPr>
        <w:t>(</w:t>
      </w:r>
      <w:r w:rsidRPr="00E27DAB">
        <w:rPr>
          <w:rFonts w:cstheme="minorHAnsi"/>
        </w:rPr>
        <w:t>2011</w:t>
      </w:r>
      <w:r w:rsidR="00024DA3">
        <w:rPr>
          <w:rFonts w:cstheme="minorHAnsi"/>
        </w:rPr>
        <w:t>)</w:t>
      </w:r>
      <w:r w:rsidRPr="00E27DAB">
        <w:rPr>
          <w:rFonts w:cstheme="minorHAnsi"/>
        </w:rPr>
        <w:t xml:space="preserve"> </w:t>
      </w:r>
      <w:r w:rsidRPr="00E27DAB">
        <w:rPr>
          <w:rFonts w:cstheme="minorHAnsi"/>
          <w:i/>
          <w:iCs/>
        </w:rPr>
        <w:t>Schooling in capitalist America: Educational reform and the contradictions of economic life</w:t>
      </w:r>
      <w:r w:rsidRPr="00E27DAB">
        <w:rPr>
          <w:rFonts w:cstheme="minorHAnsi"/>
        </w:rPr>
        <w:t>. Haymarket Books.</w:t>
      </w:r>
    </w:p>
    <w:p w14:paraId="638DBAE8" w14:textId="71238AB6" w:rsidR="0072656E" w:rsidRPr="00E27DAB" w:rsidRDefault="0072656E" w:rsidP="00E27DAB">
      <w:pPr>
        <w:spacing w:line="480" w:lineRule="auto"/>
        <w:rPr>
          <w:rFonts w:cstheme="minorHAnsi"/>
        </w:rPr>
      </w:pPr>
      <w:r w:rsidRPr="00E27DAB">
        <w:rPr>
          <w:rFonts w:cstheme="minorHAnsi"/>
        </w:rPr>
        <w:t xml:space="preserve">Bowles, Samuel, and Herbert Gintis. </w:t>
      </w:r>
      <w:r w:rsidR="008E6D43" w:rsidRPr="00E27DAB">
        <w:rPr>
          <w:rFonts w:cstheme="minorHAnsi"/>
        </w:rPr>
        <w:t xml:space="preserve">(1976) </w:t>
      </w:r>
      <w:r w:rsidRPr="00E27DAB">
        <w:rPr>
          <w:rFonts w:cstheme="minorHAnsi"/>
        </w:rPr>
        <w:t>Schooling in Capitalist America: Educational Reform and the Contradictions of Economic Life. New York: Basic Books,</w:t>
      </w:r>
    </w:p>
    <w:p w14:paraId="78C2DC29" w14:textId="091A35D8" w:rsidR="00BB3928" w:rsidRPr="00E27DAB" w:rsidRDefault="00BB3928" w:rsidP="00E27DAB">
      <w:pPr>
        <w:spacing w:line="480" w:lineRule="auto"/>
        <w:rPr>
          <w:rFonts w:cstheme="minorHAnsi"/>
        </w:rPr>
      </w:pPr>
      <w:r w:rsidRPr="00E27DAB">
        <w:rPr>
          <w:rFonts w:cstheme="minorHAnsi"/>
        </w:rPr>
        <w:t xml:space="preserve">Bradley, H., </w:t>
      </w:r>
      <w:r w:rsidR="00024DA3">
        <w:rPr>
          <w:rFonts w:cstheme="minorHAnsi"/>
        </w:rPr>
        <w:t>(</w:t>
      </w:r>
      <w:r w:rsidRPr="00E27DAB">
        <w:rPr>
          <w:rFonts w:cstheme="minorHAnsi"/>
        </w:rPr>
        <w:t>2015</w:t>
      </w:r>
      <w:r w:rsidR="00024DA3">
        <w:rPr>
          <w:rFonts w:cstheme="minorHAnsi"/>
        </w:rPr>
        <w:t>)</w:t>
      </w:r>
      <w:r w:rsidRPr="00E27DAB">
        <w:rPr>
          <w:rFonts w:cstheme="minorHAnsi"/>
        </w:rPr>
        <w:t xml:space="preserve"> </w:t>
      </w:r>
      <w:r w:rsidRPr="00E27DAB">
        <w:rPr>
          <w:rFonts w:cstheme="minorHAnsi"/>
          <w:i/>
          <w:iCs/>
        </w:rPr>
        <w:t>Fractured identities: Changing patterns of inequality</w:t>
      </w:r>
      <w:r w:rsidRPr="00E27DAB">
        <w:rPr>
          <w:rFonts w:cstheme="minorHAnsi"/>
        </w:rPr>
        <w:t>. John Wiley &amp; Sons.</w:t>
      </w:r>
    </w:p>
    <w:p w14:paraId="5936467D" w14:textId="3A91E831" w:rsidR="00743481" w:rsidRPr="00E27DAB" w:rsidRDefault="00743481" w:rsidP="00E27DAB">
      <w:pPr>
        <w:spacing w:line="480" w:lineRule="auto"/>
        <w:rPr>
          <w:rFonts w:cstheme="minorHAnsi"/>
          <w:shd w:val="clear" w:color="auto" w:fill="FFFFFF"/>
        </w:rPr>
      </w:pPr>
      <w:r w:rsidRPr="00E27DAB">
        <w:rPr>
          <w:rFonts w:cstheme="minorHAnsi"/>
          <w:shd w:val="clear" w:color="auto" w:fill="FFFFFF"/>
        </w:rPr>
        <w:t>Butterworth, P., Olesen, S. C., &amp; Leach, L. S. (2012). The role of hardship in the association between socio­economic position and depression. Australia and New Zealand Journal of Psychiatry, 46, 364–373</w:t>
      </w:r>
    </w:p>
    <w:p w14:paraId="43E09252" w14:textId="2B8A09BE" w:rsidR="000C58E2" w:rsidRPr="00E27DAB" w:rsidRDefault="000C58E2" w:rsidP="00E27DAB">
      <w:pPr>
        <w:spacing w:line="480" w:lineRule="auto"/>
        <w:rPr>
          <w:rFonts w:cstheme="minorHAnsi"/>
        </w:rPr>
      </w:pPr>
      <w:r w:rsidRPr="00E27DAB">
        <w:rPr>
          <w:rFonts w:cstheme="minorHAnsi"/>
        </w:rPr>
        <w:t xml:space="preserve">Bynner, J. and Joshi, H., </w:t>
      </w:r>
      <w:r w:rsidR="00024DA3">
        <w:rPr>
          <w:rFonts w:cstheme="minorHAnsi"/>
        </w:rPr>
        <w:t>(</w:t>
      </w:r>
      <w:r w:rsidRPr="00E27DAB">
        <w:rPr>
          <w:rFonts w:cstheme="minorHAnsi"/>
        </w:rPr>
        <w:t>2002</w:t>
      </w:r>
      <w:r w:rsidR="00024DA3">
        <w:rPr>
          <w:rFonts w:cstheme="minorHAnsi"/>
        </w:rPr>
        <w:t>)</w:t>
      </w:r>
      <w:r w:rsidRPr="00E27DAB">
        <w:rPr>
          <w:rFonts w:cstheme="minorHAnsi"/>
        </w:rPr>
        <w:t xml:space="preserve"> Equality and opportunity in education: evidence from the 1958 and 1970 birth cohort studies. </w:t>
      </w:r>
      <w:r w:rsidRPr="00E27DAB">
        <w:rPr>
          <w:rFonts w:cstheme="minorHAnsi"/>
          <w:i/>
          <w:iCs/>
        </w:rPr>
        <w:t>Oxford Review of Education</w:t>
      </w:r>
      <w:r w:rsidRPr="00E27DAB">
        <w:rPr>
          <w:rFonts w:cstheme="minorHAnsi"/>
        </w:rPr>
        <w:t xml:space="preserve">, </w:t>
      </w:r>
      <w:r w:rsidRPr="00E27DAB">
        <w:rPr>
          <w:rFonts w:cstheme="minorHAnsi"/>
          <w:i/>
          <w:iCs/>
        </w:rPr>
        <w:t>28</w:t>
      </w:r>
      <w:r w:rsidRPr="00E27DAB">
        <w:rPr>
          <w:rFonts w:cstheme="minorHAnsi"/>
        </w:rPr>
        <w:t>(4), pp.405-425.</w:t>
      </w:r>
    </w:p>
    <w:p w14:paraId="5AFC6062" w14:textId="79868C3B" w:rsidR="000F46E9" w:rsidRPr="00E27DAB" w:rsidRDefault="000F46E9" w:rsidP="00E27DAB">
      <w:pPr>
        <w:spacing w:line="480" w:lineRule="auto"/>
        <w:rPr>
          <w:rFonts w:cstheme="minorHAnsi"/>
        </w:rPr>
      </w:pPr>
      <w:r w:rsidRPr="00E27DAB">
        <w:rPr>
          <w:rFonts w:cstheme="minorHAnsi"/>
        </w:rPr>
        <w:t>Carmarthenshire.gov.wales. (2015). [online] Available at: https://www.carmarthenshire.gov.wales/media/1213195/education-children-narrowing-the-attainment-gap.pdf [Accessed 18 Apr. 2019].</w:t>
      </w:r>
    </w:p>
    <w:p w14:paraId="6354AD84" w14:textId="212376AF" w:rsidR="008E0320" w:rsidRPr="00E27DAB" w:rsidRDefault="008E0320" w:rsidP="00E27DAB">
      <w:pPr>
        <w:spacing w:line="480" w:lineRule="auto"/>
        <w:rPr>
          <w:rFonts w:cstheme="minorHAnsi"/>
          <w:shd w:val="clear" w:color="auto" w:fill="FFFFFF"/>
        </w:rPr>
      </w:pPr>
      <w:r w:rsidRPr="00E27DAB">
        <w:rPr>
          <w:rFonts w:cstheme="minorHAnsi"/>
          <w:shd w:val="clear" w:color="auto" w:fill="FFFFFF"/>
        </w:rPr>
        <w:t xml:space="preserve">Coleman, James S., ernest Q. Campbell, Carol J. hobson, James McPartland, Alexander M. Mood, Frederic D. Weinfeld, and robert L. york. </w:t>
      </w:r>
      <w:r w:rsidR="00024DA3">
        <w:rPr>
          <w:rFonts w:cstheme="minorHAnsi"/>
          <w:shd w:val="clear" w:color="auto" w:fill="FFFFFF"/>
        </w:rPr>
        <w:t>(</w:t>
      </w:r>
      <w:r w:rsidRPr="00E27DAB">
        <w:rPr>
          <w:rFonts w:cstheme="minorHAnsi"/>
          <w:shd w:val="clear" w:color="auto" w:fill="FFFFFF"/>
        </w:rPr>
        <w:t>1966</w:t>
      </w:r>
      <w:r w:rsidR="00024DA3">
        <w:rPr>
          <w:rFonts w:cstheme="minorHAnsi"/>
          <w:shd w:val="clear" w:color="auto" w:fill="FFFFFF"/>
        </w:rPr>
        <w:t>)</w:t>
      </w:r>
      <w:r w:rsidRPr="00E27DAB">
        <w:rPr>
          <w:rFonts w:cstheme="minorHAnsi"/>
          <w:shd w:val="clear" w:color="auto" w:fill="FFFFFF"/>
        </w:rPr>
        <w:t xml:space="preserve"> Equality of educational opportunity. Washington, DC: U.S. Department of health, education, and Welfare.</w:t>
      </w:r>
    </w:p>
    <w:p w14:paraId="0C9077B4" w14:textId="3CEA504A" w:rsidR="003F767F" w:rsidRPr="00E27DAB" w:rsidRDefault="003F767F" w:rsidP="00E27DAB">
      <w:pPr>
        <w:spacing w:line="480" w:lineRule="auto"/>
        <w:rPr>
          <w:rFonts w:cstheme="minorHAnsi"/>
        </w:rPr>
      </w:pPr>
      <w:r w:rsidRPr="00E27DAB">
        <w:rPr>
          <w:rFonts w:cstheme="minorHAnsi"/>
        </w:rPr>
        <w:t xml:space="preserve">Cox, R.W., </w:t>
      </w:r>
      <w:r w:rsidR="00024DA3">
        <w:rPr>
          <w:rFonts w:cstheme="minorHAnsi"/>
        </w:rPr>
        <w:t>(</w:t>
      </w:r>
      <w:r w:rsidRPr="00E27DAB">
        <w:rPr>
          <w:rFonts w:cstheme="minorHAnsi"/>
        </w:rPr>
        <w:t>1983</w:t>
      </w:r>
      <w:r w:rsidR="00024DA3">
        <w:rPr>
          <w:rFonts w:cstheme="minorHAnsi"/>
        </w:rPr>
        <w:t>)</w:t>
      </w:r>
      <w:r w:rsidRPr="00E27DAB">
        <w:rPr>
          <w:rFonts w:cstheme="minorHAnsi"/>
        </w:rPr>
        <w:t xml:space="preserve"> Gramsci, hegemony and international relations: an essay in method. </w:t>
      </w:r>
      <w:r w:rsidRPr="00E27DAB">
        <w:rPr>
          <w:rFonts w:cstheme="minorHAnsi"/>
          <w:i/>
          <w:iCs/>
        </w:rPr>
        <w:t>Millennium</w:t>
      </w:r>
      <w:r w:rsidRPr="00E27DAB">
        <w:rPr>
          <w:rFonts w:cstheme="minorHAnsi"/>
        </w:rPr>
        <w:t xml:space="preserve">, </w:t>
      </w:r>
      <w:r w:rsidRPr="00E27DAB">
        <w:rPr>
          <w:rFonts w:cstheme="minorHAnsi"/>
          <w:i/>
          <w:iCs/>
        </w:rPr>
        <w:t>12</w:t>
      </w:r>
      <w:r w:rsidRPr="00E27DAB">
        <w:rPr>
          <w:rFonts w:cstheme="minorHAnsi"/>
        </w:rPr>
        <w:t>(2), pp.162-175.</w:t>
      </w:r>
    </w:p>
    <w:p w14:paraId="699227A0" w14:textId="6B3E2767" w:rsidR="00B67C29" w:rsidRPr="00E27DAB" w:rsidRDefault="00B67C29" w:rsidP="00E27DAB">
      <w:pPr>
        <w:spacing w:line="480" w:lineRule="auto"/>
        <w:rPr>
          <w:rFonts w:cstheme="minorHAnsi"/>
          <w:shd w:val="clear" w:color="auto" w:fill="FFFFFF"/>
        </w:rPr>
      </w:pPr>
      <w:r w:rsidRPr="00E27DAB">
        <w:rPr>
          <w:rFonts w:cstheme="minorHAnsi"/>
        </w:rPr>
        <w:t xml:space="preserve">Creswell, J.W., </w:t>
      </w:r>
      <w:r w:rsidR="00024DA3">
        <w:rPr>
          <w:rFonts w:cstheme="minorHAnsi"/>
        </w:rPr>
        <w:t>(</w:t>
      </w:r>
      <w:r w:rsidRPr="00E27DAB">
        <w:rPr>
          <w:rFonts w:cstheme="minorHAnsi"/>
        </w:rPr>
        <w:t>2014</w:t>
      </w:r>
      <w:r w:rsidR="00024DA3">
        <w:rPr>
          <w:rFonts w:cstheme="minorHAnsi"/>
        </w:rPr>
        <w:t>)</w:t>
      </w:r>
      <w:r w:rsidRPr="00E27DAB">
        <w:rPr>
          <w:rFonts w:cstheme="minorHAnsi"/>
        </w:rPr>
        <w:t xml:space="preserve"> </w:t>
      </w:r>
      <w:r w:rsidRPr="00E27DAB">
        <w:rPr>
          <w:rFonts w:cstheme="minorHAnsi"/>
          <w:i/>
          <w:iCs/>
        </w:rPr>
        <w:t>Educational Research:: Planning, Conducting</w:t>
      </w:r>
      <w:r w:rsidRPr="00E27DAB">
        <w:rPr>
          <w:rFonts w:cstheme="minorHAnsi"/>
        </w:rPr>
        <w:t>. Pearson Education Limited.</w:t>
      </w:r>
    </w:p>
    <w:p w14:paraId="2D0A8111" w14:textId="3A192FBC" w:rsidR="00CE7C00" w:rsidRPr="00E27DAB" w:rsidRDefault="00CE7C00" w:rsidP="00E27DAB">
      <w:pPr>
        <w:spacing w:line="480" w:lineRule="auto"/>
        <w:rPr>
          <w:rFonts w:cstheme="minorHAnsi"/>
        </w:rPr>
      </w:pPr>
      <w:r w:rsidRPr="00E27DAB">
        <w:rPr>
          <w:rFonts w:cstheme="minorHAnsi"/>
        </w:rPr>
        <w:t xml:space="preserve">Culturalstudiesnow.blogspot.com. (2019). </w:t>
      </w:r>
      <w:r w:rsidRPr="00E27DAB">
        <w:rPr>
          <w:rFonts w:cstheme="minorHAnsi"/>
          <w:i/>
          <w:iCs/>
        </w:rPr>
        <w:t>Max Weber's Theory of Stratification - summary</w:t>
      </w:r>
      <w:r w:rsidRPr="00E27DAB">
        <w:rPr>
          <w:rFonts w:cstheme="minorHAnsi"/>
        </w:rPr>
        <w:t>. [online] Available at: https://culturalstudiesnow.blogspot.com/2014/02/max-weber-like-karl-marx-beginshis.html [Accessed 14 Apr. 2019].</w:t>
      </w:r>
    </w:p>
    <w:p w14:paraId="771C6330" w14:textId="73490F9E" w:rsidR="008521DE" w:rsidRPr="00E27DAB" w:rsidRDefault="008521DE" w:rsidP="00E27DAB">
      <w:pPr>
        <w:spacing w:line="480" w:lineRule="auto"/>
        <w:rPr>
          <w:rFonts w:cstheme="minorHAnsi"/>
        </w:rPr>
      </w:pPr>
      <w:r w:rsidRPr="00E27DAB">
        <w:rPr>
          <w:rFonts w:cstheme="minorHAnsi"/>
        </w:rPr>
        <w:t xml:space="preserve">Davis, K. and Moore, W.E., </w:t>
      </w:r>
      <w:r w:rsidR="00024DA3">
        <w:rPr>
          <w:rFonts w:cstheme="minorHAnsi"/>
        </w:rPr>
        <w:t>(</w:t>
      </w:r>
      <w:r w:rsidRPr="00E27DAB">
        <w:rPr>
          <w:rFonts w:cstheme="minorHAnsi"/>
        </w:rPr>
        <w:t>1945</w:t>
      </w:r>
      <w:r w:rsidR="00024DA3">
        <w:rPr>
          <w:rFonts w:cstheme="minorHAnsi"/>
        </w:rPr>
        <w:t>)</w:t>
      </w:r>
      <w:r w:rsidRPr="00E27DAB">
        <w:rPr>
          <w:rFonts w:cstheme="minorHAnsi"/>
        </w:rPr>
        <w:t xml:space="preserve"> Some principles of stratification. </w:t>
      </w:r>
      <w:r w:rsidRPr="00E27DAB">
        <w:rPr>
          <w:rFonts w:cstheme="minorHAnsi"/>
          <w:i/>
          <w:iCs/>
        </w:rPr>
        <w:t>American sociological review</w:t>
      </w:r>
      <w:r w:rsidRPr="00E27DAB">
        <w:rPr>
          <w:rFonts w:cstheme="minorHAnsi"/>
        </w:rPr>
        <w:t xml:space="preserve">, </w:t>
      </w:r>
      <w:r w:rsidRPr="00E27DAB">
        <w:rPr>
          <w:rFonts w:cstheme="minorHAnsi"/>
          <w:i/>
          <w:iCs/>
        </w:rPr>
        <w:t>10</w:t>
      </w:r>
      <w:r w:rsidRPr="00E27DAB">
        <w:rPr>
          <w:rFonts w:cstheme="minorHAnsi"/>
        </w:rPr>
        <w:t>(2), pp.242-249.</w:t>
      </w:r>
    </w:p>
    <w:p w14:paraId="4BA91E3D" w14:textId="640099D2" w:rsidR="00AC200A" w:rsidRPr="00E27DAB" w:rsidRDefault="00AC200A" w:rsidP="00E27DAB">
      <w:pPr>
        <w:spacing w:line="480" w:lineRule="auto"/>
        <w:rPr>
          <w:rFonts w:cstheme="minorHAnsi"/>
        </w:rPr>
      </w:pPr>
      <w:r w:rsidRPr="00E27DAB">
        <w:rPr>
          <w:rFonts w:cstheme="minorHAnsi"/>
        </w:rPr>
        <w:t xml:space="preserve">department for education (2015). </w:t>
      </w:r>
      <w:r w:rsidRPr="00E27DAB">
        <w:rPr>
          <w:rFonts w:cstheme="minorHAnsi"/>
          <w:i/>
          <w:iCs/>
        </w:rPr>
        <w:t>Measuring disadvantaged pupils’ attainment gaps over time (updated)</w:t>
      </w:r>
      <w:r w:rsidRPr="00E27DAB">
        <w:rPr>
          <w:rFonts w:cstheme="minorHAnsi"/>
        </w:rPr>
        <w:t>. London: Crown.</w:t>
      </w:r>
    </w:p>
    <w:p w14:paraId="2B0C8B6E" w14:textId="7B1B4BEB" w:rsidR="008E0320" w:rsidRPr="00E27DAB" w:rsidRDefault="008E0320" w:rsidP="00E27DAB">
      <w:pPr>
        <w:spacing w:line="480" w:lineRule="auto"/>
        <w:rPr>
          <w:rFonts w:cstheme="minorHAnsi"/>
        </w:rPr>
      </w:pPr>
      <w:r w:rsidRPr="00E27DAB">
        <w:rPr>
          <w:rFonts w:cstheme="minorHAnsi"/>
        </w:rPr>
        <w:t xml:space="preserve">Dearden, L., Sibieta, L. and Sylva, K., </w:t>
      </w:r>
      <w:r w:rsidR="00024DA3">
        <w:rPr>
          <w:rFonts w:cstheme="minorHAnsi"/>
        </w:rPr>
        <w:t>(</w:t>
      </w:r>
      <w:r w:rsidRPr="00E27DAB">
        <w:rPr>
          <w:rFonts w:cstheme="minorHAnsi"/>
        </w:rPr>
        <w:t>2011</w:t>
      </w:r>
      <w:r w:rsidR="00024DA3">
        <w:rPr>
          <w:rFonts w:cstheme="minorHAnsi"/>
        </w:rPr>
        <w:t>)</w:t>
      </w:r>
      <w:r w:rsidRPr="00E27DAB">
        <w:rPr>
          <w:rFonts w:cstheme="minorHAnsi"/>
        </w:rPr>
        <w:t xml:space="preserve"> </w:t>
      </w:r>
      <w:r w:rsidRPr="00E27DAB">
        <w:rPr>
          <w:rFonts w:cstheme="minorHAnsi"/>
          <w:i/>
          <w:iCs/>
        </w:rPr>
        <w:t>The socio-economic gradient in early child outcomes: evidence from the Millennium Cohort Study</w:t>
      </w:r>
      <w:r w:rsidRPr="00E27DAB">
        <w:rPr>
          <w:rFonts w:cstheme="minorHAnsi"/>
        </w:rPr>
        <w:t xml:space="preserve"> (No. 11, 03). IFS working papers.</w:t>
      </w:r>
    </w:p>
    <w:p w14:paraId="7089A0CC" w14:textId="5E1F9140" w:rsidR="0080186A" w:rsidRPr="00E27DAB" w:rsidRDefault="0080186A" w:rsidP="00E27DAB">
      <w:pPr>
        <w:spacing w:line="480" w:lineRule="auto"/>
        <w:rPr>
          <w:rFonts w:cstheme="minorHAnsi"/>
        </w:rPr>
      </w:pPr>
      <w:r w:rsidRPr="00E27DAB">
        <w:rPr>
          <w:rFonts w:cstheme="minorHAnsi"/>
        </w:rPr>
        <w:t>Dera.ioe.ac.uk. (2019). [online] Available at: https://dera.ioe.ac.uk/25896/2/160318-inclusion-and-pupil-support-en_Redacted.pdf [Accessed 24 Apr. 2019].</w:t>
      </w:r>
    </w:p>
    <w:p w14:paraId="7C14280D" w14:textId="2C7E7420" w:rsidR="009F4247" w:rsidRPr="00E27DAB" w:rsidRDefault="009F4247" w:rsidP="00E27DAB">
      <w:pPr>
        <w:spacing w:line="480" w:lineRule="auto"/>
        <w:rPr>
          <w:rFonts w:cstheme="minorHAnsi"/>
        </w:rPr>
      </w:pPr>
      <w:r w:rsidRPr="00E27DAB">
        <w:rPr>
          <w:rFonts w:cstheme="minorHAnsi"/>
        </w:rPr>
        <w:t xml:space="preserve">Dillman, D.A., </w:t>
      </w:r>
      <w:r w:rsidR="00024DA3">
        <w:rPr>
          <w:rFonts w:cstheme="minorHAnsi"/>
        </w:rPr>
        <w:t>(</w:t>
      </w:r>
      <w:r w:rsidRPr="00E27DAB">
        <w:rPr>
          <w:rFonts w:cstheme="minorHAnsi"/>
        </w:rPr>
        <w:t>2007</w:t>
      </w:r>
      <w:r w:rsidR="00024DA3">
        <w:rPr>
          <w:rFonts w:cstheme="minorHAnsi"/>
        </w:rPr>
        <w:t>)</w:t>
      </w:r>
      <w:r w:rsidRPr="00E27DAB">
        <w:rPr>
          <w:rFonts w:cstheme="minorHAnsi"/>
        </w:rPr>
        <w:t xml:space="preserve"> Mail and internet surveys: the tailored design method. Hoboken, NJ: John &amp; Wiley Sons.</w:t>
      </w:r>
    </w:p>
    <w:p w14:paraId="4C6A14BE" w14:textId="175E8F93" w:rsidR="00CD01DD" w:rsidRPr="00E27DAB" w:rsidRDefault="00CD01DD" w:rsidP="00E27DAB">
      <w:pPr>
        <w:spacing w:line="480" w:lineRule="auto"/>
        <w:rPr>
          <w:rFonts w:cstheme="minorHAnsi"/>
        </w:rPr>
      </w:pPr>
      <w:r w:rsidRPr="00E27DAB">
        <w:rPr>
          <w:rFonts w:cstheme="minorHAnsi"/>
        </w:rPr>
        <w:t xml:space="preserve">Douglas, J.W.B., </w:t>
      </w:r>
      <w:r w:rsidR="00024DA3">
        <w:rPr>
          <w:rFonts w:cstheme="minorHAnsi"/>
        </w:rPr>
        <w:t>(</w:t>
      </w:r>
      <w:r w:rsidRPr="00E27DAB">
        <w:rPr>
          <w:rFonts w:cstheme="minorHAnsi"/>
        </w:rPr>
        <w:t>1964</w:t>
      </w:r>
      <w:r w:rsidR="00024DA3">
        <w:rPr>
          <w:rFonts w:cstheme="minorHAnsi"/>
        </w:rPr>
        <w:t>)</w:t>
      </w:r>
      <w:r w:rsidRPr="00E27DAB">
        <w:rPr>
          <w:rFonts w:cstheme="minorHAnsi"/>
        </w:rPr>
        <w:t xml:space="preserve"> </w:t>
      </w:r>
      <w:r w:rsidRPr="00E27DAB">
        <w:rPr>
          <w:rFonts w:cstheme="minorHAnsi"/>
          <w:i/>
          <w:iCs/>
        </w:rPr>
        <w:t>The home and the school</w:t>
      </w:r>
      <w:r w:rsidRPr="00E27DAB">
        <w:rPr>
          <w:rFonts w:cstheme="minorHAnsi"/>
        </w:rPr>
        <w:t xml:space="preserve"> (p. 98). London: MacGibbon &amp; Kee.</w:t>
      </w:r>
    </w:p>
    <w:p w14:paraId="71C278DB" w14:textId="77777777" w:rsidR="00BB239E" w:rsidRPr="00E27DAB" w:rsidRDefault="00BB239E" w:rsidP="00E27DAB">
      <w:pPr>
        <w:pStyle w:val="NormalWeb"/>
        <w:spacing w:before="120" w:beforeAutospacing="0" w:after="0" w:afterAutospacing="0" w:line="480" w:lineRule="auto"/>
        <w:ind w:left="432" w:hanging="432"/>
        <w:textAlignment w:val="baseline"/>
        <w:rPr>
          <w:rFonts w:asciiTheme="minorHAnsi" w:hAnsiTheme="minorHAnsi" w:cstheme="minorHAnsi"/>
          <w:sz w:val="22"/>
          <w:szCs w:val="22"/>
        </w:rPr>
      </w:pPr>
      <w:r w:rsidRPr="00E27DAB">
        <w:rPr>
          <w:rFonts w:asciiTheme="minorHAnsi" w:eastAsia="MS PGothic" w:hAnsiTheme="minorHAnsi" w:cstheme="minorHAnsi"/>
          <w:kern w:val="24"/>
          <w:sz w:val="22"/>
          <w:szCs w:val="22"/>
          <w:lang w:val="en-US"/>
        </w:rPr>
        <w:t xml:space="preserve">Egan, D. (2013) </w:t>
      </w:r>
      <w:r w:rsidRPr="00E27DAB">
        <w:rPr>
          <w:rFonts w:asciiTheme="minorHAnsi" w:eastAsia="MS PGothic" w:hAnsiTheme="minorHAnsi" w:cstheme="minorHAnsi"/>
          <w:i/>
          <w:iCs/>
          <w:kern w:val="24"/>
          <w:sz w:val="22"/>
          <w:szCs w:val="22"/>
          <w:lang w:val="en-US"/>
        </w:rPr>
        <w:t xml:space="preserve">Poverty and Low Educational Achievement in Wales. </w:t>
      </w:r>
      <w:r w:rsidRPr="00E27DAB">
        <w:rPr>
          <w:rFonts w:asciiTheme="minorHAnsi" w:eastAsia="MS PGothic" w:hAnsiTheme="minorHAnsi" w:cstheme="minorHAnsi"/>
          <w:kern w:val="24"/>
          <w:sz w:val="22"/>
          <w:szCs w:val="22"/>
          <w:lang w:val="en-US"/>
        </w:rPr>
        <w:t xml:space="preserve">York: Joseph Rowntree Foundation. </w:t>
      </w:r>
    </w:p>
    <w:p w14:paraId="65CE9FC9" w14:textId="0FE75C51" w:rsidR="00405321" w:rsidRPr="00E27DAB" w:rsidRDefault="00405321" w:rsidP="00E27DAB">
      <w:pPr>
        <w:spacing w:line="480" w:lineRule="auto"/>
        <w:rPr>
          <w:rFonts w:cstheme="minorHAnsi"/>
        </w:rPr>
      </w:pPr>
      <w:r w:rsidRPr="00E27DAB">
        <w:rPr>
          <w:rFonts w:cstheme="minorHAnsi"/>
        </w:rPr>
        <w:t>Egan, D., McConnon, L., Grigg, R. and Swaffield, L. (2014). [online] Sewales.org.uk. Available at: https://sewales.org.uk/PupilDeprivationGrant/Resources/8_141219-policy-observatory-report.aspx [Accessed 22 Apr. 2019].</w:t>
      </w:r>
    </w:p>
    <w:p w14:paraId="147DB338" w14:textId="38DAD1C1" w:rsidR="008E0320" w:rsidRPr="00E27DAB" w:rsidRDefault="008E0320" w:rsidP="00E27DAB">
      <w:pPr>
        <w:spacing w:line="480" w:lineRule="auto"/>
        <w:rPr>
          <w:rFonts w:cstheme="minorHAnsi"/>
        </w:rPr>
      </w:pPr>
      <w:r w:rsidRPr="009B6EBB">
        <w:rPr>
          <w:rFonts w:cstheme="minorHAnsi"/>
        </w:rPr>
        <w:t xml:space="preserve">Engle, P.L. and Black, M.M., </w:t>
      </w:r>
      <w:r w:rsidR="00024DA3" w:rsidRPr="009B6EBB">
        <w:rPr>
          <w:rFonts w:cstheme="minorHAnsi"/>
        </w:rPr>
        <w:t>(</w:t>
      </w:r>
      <w:r w:rsidRPr="009B6EBB">
        <w:rPr>
          <w:rFonts w:cstheme="minorHAnsi"/>
        </w:rPr>
        <w:t>2008</w:t>
      </w:r>
      <w:r w:rsidR="00024DA3" w:rsidRPr="009B6EBB">
        <w:rPr>
          <w:rFonts w:cstheme="minorHAnsi"/>
        </w:rPr>
        <w:t xml:space="preserve">) </w:t>
      </w:r>
      <w:r w:rsidRPr="009B6EBB">
        <w:rPr>
          <w:rFonts w:cstheme="minorHAnsi"/>
        </w:rPr>
        <w:t xml:space="preserve">The effect of poverty on child development and educational outcomes. </w:t>
      </w:r>
      <w:r w:rsidRPr="009B6EBB">
        <w:rPr>
          <w:rFonts w:cstheme="minorHAnsi"/>
          <w:i/>
          <w:iCs/>
        </w:rPr>
        <w:t>Annals of the New York Academy of Sciences</w:t>
      </w:r>
      <w:r w:rsidRPr="009B6EBB">
        <w:rPr>
          <w:rFonts w:cstheme="minorHAnsi"/>
        </w:rPr>
        <w:t xml:space="preserve">, </w:t>
      </w:r>
      <w:r w:rsidRPr="009B6EBB">
        <w:rPr>
          <w:rFonts w:cstheme="minorHAnsi"/>
          <w:i/>
          <w:iCs/>
        </w:rPr>
        <w:t>1136</w:t>
      </w:r>
      <w:r w:rsidRPr="009B6EBB">
        <w:rPr>
          <w:rFonts w:cstheme="minorHAnsi"/>
        </w:rPr>
        <w:t>(1), pp.243-256.</w:t>
      </w:r>
    </w:p>
    <w:p w14:paraId="3E1FB528" w14:textId="77777777" w:rsidR="006974DD" w:rsidRPr="00E27DAB" w:rsidRDefault="006974DD" w:rsidP="00E27DAB">
      <w:pPr>
        <w:pStyle w:val="NormalWeb"/>
        <w:spacing w:before="120" w:beforeAutospacing="0" w:after="0" w:afterAutospacing="0" w:line="480" w:lineRule="auto"/>
        <w:textAlignment w:val="baseline"/>
        <w:rPr>
          <w:rFonts w:asciiTheme="minorHAnsi" w:hAnsiTheme="minorHAnsi" w:cstheme="minorHAnsi"/>
          <w:sz w:val="22"/>
          <w:szCs w:val="22"/>
        </w:rPr>
      </w:pPr>
      <w:r w:rsidRPr="00E27DAB">
        <w:rPr>
          <w:rFonts w:asciiTheme="minorHAnsi" w:eastAsia="MS PGothic" w:hAnsiTheme="minorHAnsi" w:cstheme="minorHAnsi"/>
          <w:kern w:val="24"/>
          <w:sz w:val="22"/>
          <w:szCs w:val="22"/>
          <w:lang w:val="en-US"/>
        </w:rPr>
        <w:t xml:space="preserve">Estyn, (2012) </w:t>
      </w:r>
      <w:r w:rsidRPr="00E27DAB">
        <w:rPr>
          <w:rFonts w:asciiTheme="minorHAnsi" w:eastAsia="MS PGothic" w:hAnsiTheme="minorHAnsi" w:cstheme="minorHAnsi"/>
          <w:i/>
          <w:iCs/>
          <w:kern w:val="24"/>
          <w:sz w:val="22"/>
          <w:szCs w:val="22"/>
          <w:lang w:val="en-US"/>
        </w:rPr>
        <w:t xml:space="preserve">Effective Practice in Tackling Poverty and Disadvantage in Schools. </w:t>
      </w:r>
      <w:r w:rsidRPr="00E27DAB">
        <w:rPr>
          <w:rFonts w:asciiTheme="minorHAnsi" w:eastAsia="MS PGothic" w:hAnsiTheme="minorHAnsi" w:cstheme="minorHAnsi"/>
          <w:kern w:val="24"/>
          <w:sz w:val="22"/>
          <w:szCs w:val="22"/>
          <w:lang w:val="en-US"/>
        </w:rPr>
        <w:t>Cardiff:Estyn.</w:t>
      </w:r>
    </w:p>
    <w:p w14:paraId="61759B2B" w14:textId="49BFF766" w:rsidR="006974DD" w:rsidRPr="00E27DAB" w:rsidRDefault="006974DD" w:rsidP="00E27DAB">
      <w:pPr>
        <w:pStyle w:val="NormalWeb"/>
        <w:spacing w:before="120" w:beforeAutospacing="0" w:after="0" w:afterAutospacing="0" w:line="480" w:lineRule="auto"/>
        <w:ind w:left="432" w:hanging="432"/>
        <w:textAlignment w:val="baseline"/>
        <w:rPr>
          <w:rFonts w:asciiTheme="minorHAnsi" w:hAnsiTheme="minorHAnsi" w:cstheme="minorHAnsi"/>
          <w:sz w:val="22"/>
          <w:szCs w:val="22"/>
        </w:rPr>
      </w:pPr>
      <w:r w:rsidRPr="00E27DAB">
        <w:rPr>
          <w:rFonts w:asciiTheme="minorHAnsi" w:eastAsia="MS PGothic" w:hAnsiTheme="minorHAnsi" w:cstheme="minorHAnsi"/>
          <w:kern w:val="24"/>
          <w:sz w:val="22"/>
          <w:szCs w:val="22"/>
          <w:lang w:val="en-US"/>
        </w:rPr>
        <w:t xml:space="preserve">Estyn, (2014) </w:t>
      </w:r>
      <w:r w:rsidRPr="00E27DAB">
        <w:rPr>
          <w:rFonts w:asciiTheme="minorHAnsi" w:eastAsia="MS PGothic" w:hAnsiTheme="minorHAnsi" w:cstheme="minorHAnsi"/>
          <w:i/>
          <w:iCs/>
          <w:kern w:val="24"/>
          <w:sz w:val="22"/>
          <w:szCs w:val="22"/>
          <w:lang w:val="en-US"/>
        </w:rPr>
        <w:t xml:space="preserve">Tackling Deprivation and Raising Standards. </w:t>
      </w:r>
      <w:r w:rsidRPr="00E27DAB">
        <w:rPr>
          <w:rFonts w:asciiTheme="minorHAnsi" w:eastAsia="MS PGothic" w:hAnsiTheme="minorHAnsi" w:cstheme="minorHAnsi"/>
          <w:kern w:val="24"/>
          <w:sz w:val="22"/>
          <w:szCs w:val="22"/>
          <w:lang w:val="en-US"/>
        </w:rPr>
        <w:t>Cardiff:Estyn.</w:t>
      </w:r>
    </w:p>
    <w:p w14:paraId="7F320CBD" w14:textId="77777777" w:rsidR="006974DD" w:rsidRPr="00E27DAB" w:rsidRDefault="006974DD" w:rsidP="00E27DAB">
      <w:pPr>
        <w:spacing w:line="480" w:lineRule="auto"/>
        <w:rPr>
          <w:rFonts w:cstheme="minorHAnsi"/>
          <w:lang w:val="en-GB"/>
        </w:rPr>
      </w:pPr>
    </w:p>
    <w:p w14:paraId="0DBA6D9D" w14:textId="2F30C28F" w:rsidR="008456F8" w:rsidRPr="00E27DAB" w:rsidRDefault="008456F8" w:rsidP="00E27DAB">
      <w:pPr>
        <w:spacing w:line="480" w:lineRule="auto"/>
        <w:rPr>
          <w:rFonts w:cstheme="minorHAnsi"/>
        </w:rPr>
      </w:pPr>
      <w:r w:rsidRPr="00E27DAB">
        <w:rPr>
          <w:rFonts w:cstheme="minorHAnsi"/>
        </w:rPr>
        <w:t xml:space="preserve">Eyerman, R., </w:t>
      </w:r>
      <w:r w:rsidR="00024DA3">
        <w:rPr>
          <w:rFonts w:cstheme="minorHAnsi"/>
        </w:rPr>
        <w:t>(</w:t>
      </w:r>
      <w:r w:rsidRPr="00E27DAB">
        <w:rPr>
          <w:rFonts w:cstheme="minorHAnsi"/>
        </w:rPr>
        <w:t>1981</w:t>
      </w:r>
      <w:r w:rsidR="00024DA3">
        <w:rPr>
          <w:rFonts w:cstheme="minorHAnsi"/>
        </w:rPr>
        <w:t>)</w:t>
      </w:r>
      <w:r w:rsidRPr="00E27DAB">
        <w:rPr>
          <w:rFonts w:cstheme="minorHAnsi"/>
        </w:rPr>
        <w:t xml:space="preserve"> False consciousness and ideology in Marxist theory. </w:t>
      </w:r>
      <w:r w:rsidRPr="00E27DAB">
        <w:rPr>
          <w:rFonts w:cstheme="minorHAnsi"/>
          <w:i/>
          <w:iCs/>
        </w:rPr>
        <w:t>Acta Sociologica</w:t>
      </w:r>
      <w:r w:rsidRPr="00E27DAB">
        <w:rPr>
          <w:rFonts w:cstheme="minorHAnsi"/>
        </w:rPr>
        <w:t xml:space="preserve">, </w:t>
      </w:r>
      <w:r w:rsidRPr="00E27DAB">
        <w:rPr>
          <w:rFonts w:cstheme="minorHAnsi"/>
          <w:i/>
          <w:iCs/>
        </w:rPr>
        <w:t>24</w:t>
      </w:r>
      <w:r w:rsidRPr="00E27DAB">
        <w:rPr>
          <w:rFonts w:cstheme="minorHAnsi"/>
        </w:rPr>
        <w:t>(1-2), pp.43-56.</w:t>
      </w:r>
    </w:p>
    <w:p w14:paraId="02149ADD" w14:textId="208C6B1A" w:rsidR="002A4797" w:rsidRPr="00E27DAB" w:rsidRDefault="002A4797" w:rsidP="00E27DAB">
      <w:pPr>
        <w:spacing w:line="480" w:lineRule="auto"/>
        <w:rPr>
          <w:rFonts w:cstheme="minorHAnsi"/>
        </w:rPr>
      </w:pPr>
      <w:r w:rsidRPr="00E27DAB">
        <w:rPr>
          <w:rFonts w:cstheme="minorHAnsi"/>
        </w:rPr>
        <w:t xml:space="preserve">Farah, M.J., Shera, D.M., Savage, J.H., Betancourt, L., Giannetta, J.M., Brodsky, N.L., Malmud, E.K. and Hurt, H., </w:t>
      </w:r>
      <w:r w:rsidR="00024DA3">
        <w:rPr>
          <w:rFonts w:cstheme="minorHAnsi"/>
        </w:rPr>
        <w:t>(</w:t>
      </w:r>
      <w:r w:rsidRPr="00E27DAB">
        <w:rPr>
          <w:rFonts w:cstheme="minorHAnsi"/>
        </w:rPr>
        <w:t>2006</w:t>
      </w:r>
      <w:r w:rsidR="00024DA3">
        <w:rPr>
          <w:rFonts w:cstheme="minorHAnsi"/>
        </w:rPr>
        <w:t xml:space="preserve">) </w:t>
      </w:r>
      <w:r w:rsidRPr="00E27DAB">
        <w:rPr>
          <w:rFonts w:cstheme="minorHAnsi"/>
        </w:rPr>
        <w:t xml:space="preserve">Childhood poverty: Specific associations with neurocognitive development. </w:t>
      </w:r>
      <w:r w:rsidRPr="00E27DAB">
        <w:rPr>
          <w:rFonts w:cstheme="minorHAnsi"/>
          <w:i/>
          <w:iCs/>
        </w:rPr>
        <w:t>Brain research</w:t>
      </w:r>
      <w:r w:rsidRPr="00E27DAB">
        <w:rPr>
          <w:rFonts w:cstheme="minorHAnsi"/>
        </w:rPr>
        <w:t xml:space="preserve">, </w:t>
      </w:r>
      <w:r w:rsidRPr="00E27DAB">
        <w:rPr>
          <w:rFonts w:cstheme="minorHAnsi"/>
          <w:i/>
          <w:iCs/>
        </w:rPr>
        <w:t>1110</w:t>
      </w:r>
      <w:r w:rsidRPr="00E27DAB">
        <w:rPr>
          <w:rFonts w:cstheme="minorHAnsi"/>
        </w:rPr>
        <w:t>(1), pp.166-174.</w:t>
      </w:r>
    </w:p>
    <w:p w14:paraId="3D2FBA95" w14:textId="158FAD79" w:rsidR="00987274" w:rsidRPr="00E27DAB" w:rsidRDefault="00987274" w:rsidP="00E27DAB">
      <w:pPr>
        <w:spacing w:line="480" w:lineRule="auto"/>
        <w:rPr>
          <w:rFonts w:cstheme="minorHAnsi"/>
        </w:rPr>
      </w:pPr>
      <w:r w:rsidRPr="00E27DAB">
        <w:rPr>
          <w:rFonts w:cstheme="minorHAnsi"/>
        </w:rPr>
        <w:t>Foddy, W. (1993). Constructing questions for in terviews and questionnaires. Cambridge: Cambridge University</w:t>
      </w:r>
      <w:r w:rsidR="004B49EF" w:rsidRPr="00E27DAB">
        <w:rPr>
          <w:rFonts w:cstheme="minorHAnsi"/>
        </w:rPr>
        <w:t>.</w:t>
      </w:r>
    </w:p>
    <w:p w14:paraId="1DD83A17" w14:textId="33466495" w:rsidR="004B49EF" w:rsidRPr="00E27DAB" w:rsidRDefault="004B49EF" w:rsidP="00E27DAB">
      <w:pPr>
        <w:spacing w:line="480" w:lineRule="auto"/>
        <w:rPr>
          <w:rFonts w:cstheme="minorHAnsi"/>
        </w:rPr>
      </w:pPr>
      <w:r w:rsidRPr="00E27DAB">
        <w:rPr>
          <w:rFonts w:cstheme="minorHAnsi"/>
        </w:rPr>
        <w:t xml:space="preserve">Fransoo, R.R., Roos, N.P., Martens, P.J., Heaman, M., Levin, B. and Chateau, D., </w:t>
      </w:r>
      <w:r w:rsidR="00024DA3">
        <w:rPr>
          <w:rFonts w:cstheme="minorHAnsi"/>
        </w:rPr>
        <w:t>(</w:t>
      </w:r>
      <w:r w:rsidRPr="00E27DAB">
        <w:rPr>
          <w:rFonts w:cstheme="minorHAnsi"/>
        </w:rPr>
        <w:t>2008</w:t>
      </w:r>
      <w:r w:rsidR="00024DA3">
        <w:rPr>
          <w:rFonts w:cstheme="minorHAnsi"/>
        </w:rPr>
        <w:t>)</w:t>
      </w:r>
      <w:r w:rsidRPr="00E27DAB">
        <w:rPr>
          <w:rFonts w:cstheme="minorHAnsi"/>
        </w:rPr>
        <w:t xml:space="preserve"> How health status affects progress and performance in school. </w:t>
      </w:r>
      <w:r w:rsidRPr="00E27DAB">
        <w:rPr>
          <w:rFonts w:cstheme="minorHAnsi"/>
          <w:i/>
          <w:iCs/>
        </w:rPr>
        <w:t>Canadian Journal of Public Health</w:t>
      </w:r>
      <w:r w:rsidRPr="00E27DAB">
        <w:rPr>
          <w:rFonts w:cstheme="minorHAnsi"/>
        </w:rPr>
        <w:t xml:space="preserve">, </w:t>
      </w:r>
      <w:r w:rsidRPr="00E27DAB">
        <w:rPr>
          <w:rFonts w:cstheme="minorHAnsi"/>
          <w:i/>
          <w:iCs/>
        </w:rPr>
        <w:t>99</w:t>
      </w:r>
      <w:r w:rsidRPr="00E27DAB">
        <w:rPr>
          <w:rFonts w:cstheme="minorHAnsi"/>
        </w:rPr>
        <w:t>(4), pp.344-349.</w:t>
      </w:r>
    </w:p>
    <w:p w14:paraId="16A00ADA" w14:textId="6C11B29D" w:rsidR="008E59B4" w:rsidRPr="00E27DAB" w:rsidRDefault="008E59B4" w:rsidP="00E27DAB">
      <w:pPr>
        <w:spacing w:line="480" w:lineRule="auto"/>
        <w:rPr>
          <w:rFonts w:cstheme="minorHAnsi"/>
        </w:rPr>
      </w:pPr>
      <w:r w:rsidRPr="00E27DAB">
        <w:rPr>
          <w:rFonts w:cstheme="minorHAnsi"/>
        </w:rPr>
        <w:t xml:space="preserve">Freire, P., </w:t>
      </w:r>
      <w:r w:rsidR="00024DA3">
        <w:rPr>
          <w:rFonts w:cstheme="minorHAnsi"/>
        </w:rPr>
        <w:t>(</w:t>
      </w:r>
      <w:r w:rsidRPr="00E27DAB">
        <w:rPr>
          <w:rFonts w:cstheme="minorHAnsi"/>
        </w:rPr>
        <w:t>1970</w:t>
      </w:r>
      <w:r w:rsidR="00024DA3">
        <w:rPr>
          <w:rFonts w:cstheme="minorHAnsi"/>
        </w:rPr>
        <w:t>)</w:t>
      </w:r>
      <w:r w:rsidRPr="00E27DAB">
        <w:rPr>
          <w:rFonts w:cstheme="minorHAnsi"/>
        </w:rPr>
        <w:t xml:space="preserve"> Pedagogy of the oppressed (MB Ramos, Trans.). </w:t>
      </w:r>
      <w:r w:rsidRPr="00E27DAB">
        <w:rPr>
          <w:rFonts w:cstheme="minorHAnsi"/>
          <w:i/>
          <w:iCs/>
        </w:rPr>
        <w:t>New York: Continuum</w:t>
      </w:r>
      <w:r w:rsidRPr="00E27DAB">
        <w:rPr>
          <w:rFonts w:cstheme="minorHAnsi"/>
        </w:rPr>
        <w:t xml:space="preserve">, </w:t>
      </w:r>
      <w:r w:rsidRPr="00E27DAB">
        <w:rPr>
          <w:rFonts w:cstheme="minorHAnsi"/>
          <w:i/>
          <w:iCs/>
        </w:rPr>
        <w:t>2007</w:t>
      </w:r>
      <w:r w:rsidRPr="00E27DAB">
        <w:rPr>
          <w:rFonts w:cstheme="minorHAnsi"/>
        </w:rPr>
        <w:t>.</w:t>
      </w:r>
    </w:p>
    <w:p w14:paraId="1BC75E1E" w14:textId="33ECD397" w:rsidR="00F16C76" w:rsidRPr="00E27DAB" w:rsidRDefault="00F16C76" w:rsidP="00E27DAB">
      <w:pPr>
        <w:spacing w:line="480" w:lineRule="auto"/>
        <w:rPr>
          <w:rFonts w:cstheme="minorHAnsi"/>
        </w:rPr>
      </w:pPr>
      <w:r w:rsidRPr="00E27DAB">
        <w:rPr>
          <w:rFonts w:cstheme="minorHAnsi"/>
        </w:rPr>
        <w:t xml:space="preserve">Fransoo, R.R., Roos, N.P., Martens, P.J., Heaman, M., Levin, B. and Chateau, D., </w:t>
      </w:r>
      <w:r w:rsidR="00024DA3">
        <w:rPr>
          <w:rFonts w:cstheme="minorHAnsi"/>
        </w:rPr>
        <w:t>(</w:t>
      </w:r>
      <w:r w:rsidRPr="00E27DAB">
        <w:rPr>
          <w:rFonts w:cstheme="minorHAnsi"/>
        </w:rPr>
        <w:t>2008</w:t>
      </w:r>
      <w:r w:rsidR="00024DA3">
        <w:rPr>
          <w:rFonts w:cstheme="minorHAnsi"/>
        </w:rPr>
        <w:t>)</w:t>
      </w:r>
      <w:r w:rsidRPr="00E27DAB">
        <w:rPr>
          <w:rFonts w:cstheme="minorHAnsi"/>
        </w:rPr>
        <w:t xml:space="preserve"> How health status affects progress and performance in school. </w:t>
      </w:r>
      <w:r w:rsidRPr="00E27DAB">
        <w:rPr>
          <w:rFonts w:cstheme="minorHAnsi"/>
          <w:i/>
          <w:iCs/>
        </w:rPr>
        <w:t>Canadian Journal of Public Health</w:t>
      </w:r>
      <w:r w:rsidRPr="00E27DAB">
        <w:rPr>
          <w:rFonts w:cstheme="minorHAnsi"/>
        </w:rPr>
        <w:t xml:space="preserve">, </w:t>
      </w:r>
      <w:r w:rsidRPr="00E27DAB">
        <w:rPr>
          <w:rFonts w:cstheme="minorHAnsi"/>
          <w:i/>
          <w:iCs/>
        </w:rPr>
        <w:t>99</w:t>
      </w:r>
      <w:r w:rsidRPr="00E27DAB">
        <w:rPr>
          <w:rFonts w:cstheme="minorHAnsi"/>
        </w:rPr>
        <w:t>(4), pp.344-349.</w:t>
      </w:r>
    </w:p>
    <w:p w14:paraId="6DB1607A" w14:textId="55C2DE10" w:rsidR="00250722" w:rsidRPr="00E27DAB" w:rsidRDefault="00250722" w:rsidP="00E27DAB">
      <w:pPr>
        <w:spacing w:line="480" w:lineRule="auto"/>
        <w:rPr>
          <w:rFonts w:cstheme="minorHAnsi"/>
        </w:rPr>
      </w:pPr>
      <w:r w:rsidRPr="00E27DAB">
        <w:rPr>
          <w:rFonts w:cstheme="minorHAnsi"/>
          <w:lang w:val="fr-FR"/>
        </w:rPr>
        <w:t xml:space="preserve">Gardner, H., </w:t>
      </w:r>
      <w:r w:rsidR="00024DA3">
        <w:rPr>
          <w:rFonts w:cstheme="minorHAnsi"/>
          <w:lang w:val="fr-FR"/>
        </w:rPr>
        <w:t>(</w:t>
      </w:r>
      <w:r w:rsidRPr="00E27DAB">
        <w:rPr>
          <w:rFonts w:cstheme="minorHAnsi"/>
          <w:lang w:val="fr-FR"/>
        </w:rPr>
        <w:t>1992</w:t>
      </w:r>
      <w:r w:rsidR="00024DA3">
        <w:rPr>
          <w:rFonts w:cstheme="minorHAnsi"/>
          <w:lang w:val="fr-FR"/>
        </w:rPr>
        <w:t>)</w:t>
      </w:r>
      <w:r w:rsidRPr="00E27DAB">
        <w:rPr>
          <w:rFonts w:cstheme="minorHAnsi"/>
          <w:lang w:val="fr-FR"/>
        </w:rPr>
        <w:t xml:space="preserve"> </w:t>
      </w:r>
      <w:r w:rsidRPr="00E27DAB">
        <w:rPr>
          <w:rFonts w:cstheme="minorHAnsi"/>
          <w:i/>
          <w:iCs/>
          <w:lang w:val="fr-FR"/>
        </w:rPr>
        <w:t>Multiple intelligences</w:t>
      </w:r>
      <w:r w:rsidRPr="00E27DAB">
        <w:rPr>
          <w:rFonts w:cstheme="minorHAnsi"/>
          <w:lang w:val="fr-FR"/>
        </w:rPr>
        <w:t xml:space="preserve"> (Vol. 5, p. 56). </w:t>
      </w:r>
      <w:r w:rsidRPr="00E27DAB">
        <w:rPr>
          <w:rFonts w:cstheme="minorHAnsi"/>
        </w:rPr>
        <w:t>Minnesota Center for Arts Education.</w:t>
      </w:r>
    </w:p>
    <w:p w14:paraId="77B34173" w14:textId="412B0B3D" w:rsidR="004B040F" w:rsidRPr="00E27DAB" w:rsidRDefault="004B040F" w:rsidP="00E27DAB">
      <w:pPr>
        <w:spacing w:line="480" w:lineRule="auto"/>
        <w:rPr>
          <w:rFonts w:cstheme="minorHAnsi"/>
        </w:rPr>
      </w:pPr>
      <w:r w:rsidRPr="00024DA3">
        <w:rPr>
          <w:rFonts w:cstheme="minorHAnsi"/>
          <w:lang w:val="en-GB"/>
        </w:rPr>
        <w:t xml:space="preserve">Geller, G., Bernhardt, B.A. and Holtzman, N.A., </w:t>
      </w:r>
      <w:r w:rsidR="00024DA3">
        <w:rPr>
          <w:rFonts w:cstheme="minorHAnsi"/>
          <w:lang w:val="en-GB"/>
        </w:rPr>
        <w:t>(</w:t>
      </w:r>
      <w:r w:rsidRPr="00024DA3">
        <w:rPr>
          <w:rFonts w:cstheme="minorHAnsi"/>
          <w:lang w:val="en-GB"/>
        </w:rPr>
        <w:t>2002</w:t>
      </w:r>
      <w:r w:rsidR="00024DA3" w:rsidRPr="00024DA3">
        <w:rPr>
          <w:rFonts w:cstheme="minorHAnsi"/>
          <w:lang w:val="en-GB"/>
        </w:rPr>
        <w:t>)</w:t>
      </w:r>
      <w:r w:rsidRPr="00024DA3">
        <w:rPr>
          <w:rFonts w:cstheme="minorHAnsi"/>
          <w:lang w:val="en-GB"/>
        </w:rPr>
        <w:t xml:space="preserve"> </w:t>
      </w:r>
      <w:r w:rsidRPr="00E27DAB">
        <w:rPr>
          <w:rFonts w:cstheme="minorHAnsi"/>
        </w:rPr>
        <w:t xml:space="preserve">The media and public reaction to genetic research. </w:t>
      </w:r>
      <w:r w:rsidRPr="00E27DAB">
        <w:rPr>
          <w:rFonts w:cstheme="minorHAnsi"/>
          <w:i/>
          <w:iCs/>
        </w:rPr>
        <w:t>JAMA</w:t>
      </w:r>
      <w:r w:rsidRPr="00E27DAB">
        <w:rPr>
          <w:rFonts w:cstheme="minorHAnsi"/>
        </w:rPr>
        <w:t xml:space="preserve">, </w:t>
      </w:r>
      <w:r w:rsidRPr="00E27DAB">
        <w:rPr>
          <w:rFonts w:cstheme="minorHAnsi"/>
          <w:i/>
          <w:iCs/>
        </w:rPr>
        <w:t>287</w:t>
      </w:r>
      <w:r w:rsidRPr="00E27DAB">
        <w:rPr>
          <w:rFonts w:cstheme="minorHAnsi"/>
        </w:rPr>
        <w:t>(6), pp.773-773.</w:t>
      </w:r>
    </w:p>
    <w:p w14:paraId="294751CD" w14:textId="67F1174D" w:rsidR="00266885" w:rsidRPr="00E27DAB" w:rsidRDefault="00266885" w:rsidP="00E27DAB">
      <w:pPr>
        <w:spacing w:line="480" w:lineRule="auto"/>
        <w:rPr>
          <w:rFonts w:cstheme="minorHAnsi"/>
        </w:rPr>
      </w:pPr>
      <w:r w:rsidRPr="00E27DAB">
        <w:rPr>
          <w:rFonts w:cstheme="minorHAnsi"/>
        </w:rPr>
        <w:t xml:space="preserve">Gewirtz, S., </w:t>
      </w:r>
      <w:r w:rsidR="00024DA3">
        <w:rPr>
          <w:rFonts w:cstheme="minorHAnsi"/>
        </w:rPr>
        <w:t>(</w:t>
      </w:r>
      <w:r w:rsidRPr="00E27DAB">
        <w:rPr>
          <w:rFonts w:cstheme="minorHAnsi"/>
        </w:rPr>
        <w:t>2001</w:t>
      </w:r>
      <w:r w:rsidR="00024DA3">
        <w:rPr>
          <w:rFonts w:cstheme="minorHAnsi"/>
        </w:rPr>
        <w:t>)</w:t>
      </w:r>
      <w:r w:rsidRPr="00E27DAB">
        <w:rPr>
          <w:rFonts w:cstheme="minorHAnsi"/>
        </w:rPr>
        <w:t xml:space="preserve"> Cloning the Blairs: New Labour's programme for the re-socialization of working-class parents. </w:t>
      </w:r>
      <w:r w:rsidRPr="00E27DAB">
        <w:rPr>
          <w:rFonts w:cstheme="minorHAnsi"/>
          <w:i/>
          <w:iCs/>
        </w:rPr>
        <w:t>Journal of Education Policy</w:t>
      </w:r>
      <w:r w:rsidRPr="00E27DAB">
        <w:rPr>
          <w:rFonts w:cstheme="minorHAnsi"/>
        </w:rPr>
        <w:t xml:space="preserve">, </w:t>
      </w:r>
      <w:r w:rsidRPr="00E27DAB">
        <w:rPr>
          <w:rFonts w:cstheme="minorHAnsi"/>
          <w:i/>
          <w:iCs/>
        </w:rPr>
        <w:t>16</w:t>
      </w:r>
      <w:r w:rsidRPr="00E27DAB">
        <w:rPr>
          <w:rFonts w:cstheme="minorHAnsi"/>
        </w:rPr>
        <w:t>(4), pp.365-378.</w:t>
      </w:r>
    </w:p>
    <w:p w14:paraId="3816DAB5" w14:textId="740F9415" w:rsidR="004B49EF" w:rsidRPr="00E27DAB" w:rsidRDefault="004B49EF" w:rsidP="00E27DAB">
      <w:pPr>
        <w:spacing w:line="480" w:lineRule="auto"/>
        <w:rPr>
          <w:rFonts w:cstheme="minorHAnsi"/>
        </w:rPr>
      </w:pPr>
      <w:r w:rsidRPr="00E27DAB">
        <w:rPr>
          <w:rFonts w:cstheme="minorHAnsi"/>
        </w:rPr>
        <w:t>Giddens A. (1973), The Class Structure of Advanced Societies, Harper and Row, London.</w:t>
      </w:r>
    </w:p>
    <w:p w14:paraId="7524BBEC" w14:textId="53C5EEC1" w:rsidR="0057000A" w:rsidRPr="00E27DAB" w:rsidRDefault="0057000A" w:rsidP="00E27DAB">
      <w:pPr>
        <w:spacing w:line="480" w:lineRule="auto"/>
        <w:rPr>
          <w:rFonts w:cstheme="minorHAnsi"/>
        </w:rPr>
      </w:pPr>
      <w:r w:rsidRPr="00E27DAB">
        <w:rPr>
          <w:rFonts w:cstheme="minorHAnsi"/>
        </w:rPr>
        <w:t xml:space="preserve">Goldthorpe, J.H., </w:t>
      </w:r>
      <w:r w:rsidR="00024DA3">
        <w:rPr>
          <w:rFonts w:cstheme="minorHAnsi"/>
        </w:rPr>
        <w:t>(</w:t>
      </w:r>
      <w:r w:rsidRPr="00E27DAB">
        <w:rPr>
          <w:rFonts w:cstheme="minorHAnsi"/>
        </w:rPr>
        <w:t>1974</w:t>
      </w:r>
      <w:r w:rsidR="00024DA3">
        <w:rPr>
          <w:rFonts w:cstheme="minorHAnsi"/>
        </w:rPr>
        <w:t>)</w:t>
      </w:r>
      <w:r w:rsidRPr="00E27DAB">
        <w:rPr>
          <w:rFonts w:cstheme="minorHAnsi"/>
        </w:rPr>
        <w:t xml:space="preserve"> Social Integration in Modern Britain'. </w:t>
      </w:r>
      <w:r w:rsidRPr="00E27DAB">
        <w:rPr>
          <w:rFonts w:cstheme="minorHAnsi"/>
          <w:i/>
          <w:iCs/>
        </w:rPr>
        <w:t>Poverty, Inequality and Class Structure, Cambridge University Press, Cambridge</w:t>
      </w:r>
      <w:r w:rsidRPr="00E27DAB">
        <w:rPr>
          <w:rFonts w:cstheme="minorHAnsi"/>
        </w:rPr>
        <w:t>.</w:t>
      </w:r>
    </w:p>
    <w:p w14:paraId="65D77375" w14:textId="490B1E1B" w:rsidR="00143DD0" w:rsidRPr="00E27DAB" w:rsidRDefault="00143DD0" w:rsidP="00E27DAB">
      <w:pPr>
        <w:spacing w:line="480" w:lineRule="auto"/>
        <w:rPr>
          <w:rFonts w:cstheme="minorHAnsi"/>
        </w:rPr>
      </w:pPr>
      <w:r w:rsidRPr="00E27DAB">
        <w:rPr>
          <w:rFonts w:cstheme="minorHAnsi"/>
        </w:rPr>
        <w:t xml:space="preserve">Goodman, A. and Gregg, P. eds., </w:t>
      </w:r>
      <w:r w:rsidR="00024DA3">
        <w:rPr>
          <w:rFonts w:cstheme="minorHAnsi"/>
        </w:rPr>
        <w:t>(</w:t>
      </w:r>
      <w:r w:rsidRPr="00E27DAB">
        <w:rPr>
          <w:rFonts w:cstheme="minorHAnsi"/>
        </w:rPr>
        <w:t>2010</w:t>
      </w:r>
      <w:r w:rsidR="00024DA3">
        <w:rPr>
          <w:rFonts w:cstheme="minorHAnsi"/>
        </w:rPr>
        <w:t>)</w:t>
      </w:r>
      <w:r w:rsidRPr="00E27DAB">
        <w:rPr>
          <w:rFonts w:cstheme="minorHAnsi"/>
        </w:rPr>
        <w:t xml:space="preserve"> </w:t>
      </w:r>
      <w:r w:rsidRPr="00E27DAB">
        <w:rPr>
          <w:rFonts w:cstheme="minorHAnsi"/>
          <w:i/>
          <w:iCs/>
        </w:rPr>
        <w:t>Poorer children's educational attainment: How important are attitudes and behaviour?</w:t>
      </w:r>
      <w:r w:rsidRPr="00E27DAB">
        <w:rPr>
          <w:rFonts w:cstheme="minorHAnsi"/>
        </w:rPr>
        <w:t xml:space="preserve"> (p. 6). York: Joseph Rowntree Foundation.</w:t>
      </w:r>
    </w:p>
    <w:p w14:paraId="5C5F2047" w14:textId="1104D93A" w:rsidR="00D85D73" w:rsidRPr="00E27DAB" w:rsidRDefault="00D85D73" w:rsidP="00E27DAB">
      <w:pPr>
        <w:spacing w:line="480" w:lineRule="auto"/>
        <w:rPr>
          <w:rFonts w:cstheme="minorHAnsi"/>
        </w:rPr>
      </w:pPr>
      <w:r w:rsidRPr="00E27DAB">
        <w:rPr>
          <w:rFonts w:cstheme="minorHAnsi"/>
        </w:rPr>
        <w:t xml:space="preserve">GOV.UK. (2019). </w:t>
      </w:r>
      <w:r w:rsidRPr="00E27DAB">
        <w:rPr>
          <w:rFonts w:cstheme="minorHAnsi"/>
          <w:i/>
          <w:iCs/>
        </w:rPr>
        <w:t>Teacher voice omnibus: November 2014 survey - DfE questions</w:t>
      </w:r>
      <w:r w:rsidRPr="00E27DAB">
        <w:rPr>
          <w:rFonts w:cstheme="minorHAnsi"/>
        </w:rPr>
        <w:t>. [online] Available at: https://www.gov.uk/government/publications/teacher-voice-omnibus-questions-for-dfe-november-2014 [Accessed 24 Apr. 2019].</w:t>
      </w:r>
    </w:p>
    <w:p w14:paraId="020E4E15" w14:textId="752A52C8" w:rsidR="001354AF" w:rsidRPr="00E27DAB" w:rsidRDefault="001354AF" w:rsidP="00E27DAB">
      <w:pPr>
        <w:spacing w:line="480" w:lineRule="auto"/>
        <w:rPr>
          <w:rFonts w:cstheme="minorHAnsi"/>
        </w:rPr>
      </w:pPr>
      <w:r w:rsidRPr="00E27DAB">
        <w:rPr>
          <w:rFonts w:cstheme="minorHAnsi"/>
        </w:rPr>
        <w:t>Gov.wales. (2019). [online] Available at: https://gov.wales/sites/default/files/publications/2018-03/pupil-deprivation-grant-essential-guidance.pdf [Accessed 24 Apr. 2019].</w:t>
      </w:r>
    </w:p>
    <w:p w14:paraId="73B6B61E" w14:textId="5B7497D4" w:rsidR="0080186A" w:rsidRPr="00E27DAB" w:rsidRDefault="0080186A" w:rsidP="00E27DAB">
      <w:pPr>
        <w:spacing w:line="480" w:lineRule="auto"/>
        <w:rPr>
          <w:rFonts w:cstheme="minorHAnsi"/>
        </w:rPr>
      </w:pPr>
      <w:r w:rsidRPr="00E27DAB">
        <w:rPr>
          <w:rFonts w:cstheme="minorHAnsi"/>
        </w:rPr>
        <w:t xml:space="preserve">GOV.UK. (2019). </w:t>
      </w:r>
      <w:r w:rsidRPr="00E27DAB">
        <w:rPr>
          <w:rFonts w:cstheme="minorHAnsi"/>
          <w:i/>
          <w:iCs/>
        </w:rPr>
        <w:t>Equality Act 2010: guidance</w:t>
      </w:r>
      <w:r w:rsidRPr="00E27DAB">
        <w:rPr>
          <w:rFonts w:cstheme="minorHAnsi"/>
        </w:rPr>
        <w:t>. [online] Available at: https://www.gov.uk/guidance/equality-act-2010-guidance [Accessed 24 Apr. 2019].</w:t>
      </w:r>
    </w:p>
    <w:p w14:paraId="22F18B64" w14:textId="592DD160" w:rsidR="000C58E2" w:rsidRPr="00E27DAB" w:rsidRDefault="000C58E2" w:rsidP="00E27DAB">
      <w:pPr>
        <w:spacing w:line="480" w:lineRule="auto"/>
        <w:rPr>
          <w:rFonts w:cstheme="minorHAnsi"/>
        </w:rPr>
      </w:pPr>
      <w:r w:rsidRPr="00E27DAB">
        <w:rPr>
          <w:rFonts w:cstheme="minorHAnsi"/>
        </w:rPr>
        <w:t xml:space="preserve">GOV.WALES. (2019). </w:t>
      </w:r>
      <w:r w:rsidRPr="00E27DAB">
        <w:rPr>
          <w:rFonts w:cstheme="minorHAnsi"/>
          <w:i/>
          <w:iCs/>
        </w:rPr>
        <w:t>Draft additional learning needs code | GOV.WALES</w:t>
      </w:r>
      <w:r w:rsidRPr="00E27DAB">
        <w:rPr>
          <w:rFonts w:cstheme="minorHAnsi"/>
        </w:rPr>
        <w:t>. [online] Available at: https://gov.wales/draft-additional-learning-needs-code [Accessed 25 Apr. 2019].</w:t>
      </w:r>
    </w:p>
    <w:p w14:paraId="2623471A" w14:textId="01B1025B" w:rsidR="005112E4" w:rsidRPr="00E27DAB" w:rsidRDefault="005112E4" w:rsidP="00E27DAB">
      <w:pPr>
        <w:spacing w:line="480" w:lineRule="auto"/>
        <w:rPr>
          <w:rFonts w:cstheme="minorHAnsi"/>
        </w:rPr>
      </w:pPr>
      <w:r w:rsidRPr="00E27DAB">
        <w:rPr>
          <w:rFonts w:cstheme="minorHAnsi"/>
        </w:rPr>
        <w:t xml:space="preserve">Gregg, P. and Washbrook, E., </w:t>
      </w:r>
      <w:r w:rsidR="00024DA3">
        <w:rPr>
          <w:rFonts w:cstheme="minorHAnsi"/>
        </w:rPr>
        <w:t>(</w:t>
      </w:r>
      <w:r w:rsidRPr="00E27DAB">
        <w:rPr>
          <w:rFonts w:cstheme="minorHAnsi"/>
        </w:rPr>
        <w:t>2010</w:t>
      </w:r>
      <w:r w:rsidR="00024DA3">
        <w:rPr>
          <w:rFonts w:cstheme="minorHAnsi"/>
        </w:rPr>
        <w:t xml:space="preserve">) </w:t>
      </w:r>
      <w:r w:rsidRPr="00E27DAB">
        <w:rPr>
          <w:rFonts w:cstheme="minorHAnsi"/>
        </w:rPr>
        <w:t xml:space="preserve">From birth through primary school: evidence from the Avon Longitudinal Study of Parents and Children. </w:t>
      </w:r>
      <w:r w:rsidRPr="00E27DAB">
        <w:rPr>
          <w:rFonts w:cstheme="minorHAnsi"/>
          <w:i/>
          <w:iCs/>
        </w:rPr>
        <w:t>2010) Poorer children‟ s educational attainment: how important are attitudes and behaviour</w:t>
      </w:r>
      <w:r w:rsidRPr="00E27DAB">
        <w:rPr>
          <w:rFonts w:cstheme="minorHAnsi"/>
        </w:rPr>
        <w:t>, pp.26-33.</w:t>
      </w:r>
    </w:p>
    <w:p w14:paraId="55892754" w14:textId="6CBCB659" w:rsidR="00F00F98" w:rsidRPr="00E27DAB" w:rsidRDefault="00F00F98" w:rsidP="00E27DAB">
      <w:pPr>
        <w:spacing w:line="480" w:lineRule="auto"/>
        <w:rPr>
          <w:rFonts w:cstheme="minorHAnsi"/>
        </w:rPr>
      </w:pPr>
      <w:r w:rsidRPr="00E27DAB">
        <w:rPr>
          <w:rFonts w:cstheme="minorHAnsi"/>
        </w:rPr>
        <w:t>Gweddill.gov.wales. (2019). [online] Available at: https://gweddill.gov.wales/docs/dsjlg/publications/socialjustice/120625tackpovplanen.pdf [Accessed 24 Apr. 2019].</w:t>
      </w:r>
    </w:p>
    <w:p w14:paraId="01EBD711" w14:textId="0A943AE4" w:rsidR="00830C28" w:rsidRPr="00E27DAB" w:rsidRDefault="00830C28" w:rsidP="00E27DAB">
      <w:pPr>
        <w:spacing w:line="480" w:lineRule="auto"/>
        <w:rPr>
          <w:rFonts w:cstheme="minorHAnsi"/>
          <w:lang w:val="en-GB"/>
        </w:rPr>
      </w:pPr>
      <w:r w:rsidRPr="00E27DAB">
        <w:rPr>
          <w:rFonts w:cstheme="minorHAnsi"/>
          <w:lang w:val="en-GB"/>
        </w:rPr>
        <w:t xml:space="preserve">Hagenaars, </w:t>
      </w:r>
      <w:r w:rsidR="00AE4094" w:rsidRPr="00E27DAB">
        <w:rPr>
          <w:rFonts w:cstheme="minorHAnsi"/>
          <w:lang w:val="en-GB"/>
        </w:rPr>
        <w:t xml:space="preserve">A, (1991) The definition and measurement </w:t>
      </w:r>
      <w:r w:rsidR="00AF72FB" w:rsidRPr="00E27DAB">
        <w:rPr>
          <w:rFonts w:cstheme="minorHAnsi"/>
          <w:lang w:val="en-GB"/>
        </w:rPr>
        <w:t>of poverty, in L. Osberg (Ed.)</w:t>
      </w:r>
      <w:r w:rsidR="00F04100" w:rsidRPr="00E27DAB">
        <w:rPr>
          <w:rFonts w:cstheme="minorHAnsi"/>
          <w:lang w:val="en-GB"/>
        </w:rPr>
        <w:t>. Economic Inequality and Poverty: International perspectives</w:t>
      </w:r>
      <w:r w:rsidR="006B10AA" w:rsidRPr="00E27DAB">
        <w:rPr>
          <w:rFonts w:cstheme="minorHAnsi"/>
          <w:lang w:val="en-GB"/>
        </w:rPr>
        <w:t>, Armonk, NY: M</w:t>
      </w:r>
      <w:r w:rsidR="004C5FD0" w:rsidRPr="00E27DAB">
        <w:rPr>
          <w:rFonts w:cstheme="minorHAnsi"/>
          <w:lang w:val="en-GB"/>
        </w:rPr>
        <w:t>.</w:t>
      </w:r>
      <w:r w:rsidR="006B10AA" w:rsidRPr="00E27DAB">
        <w:rPr>
          <w:rFonts w:cstheme="minorHAnsi"/>
          <w:lang w:val="en-GB"/>
        </w:rPr>
        <w:t xml:space="preserve"> E</w:t>
      </w:r>
      <w:r w:rsidR="004C5FD0" w:rsidRPr="00E27DAB">
        <w:rPr>
          <w:rFonts w:cstheme="minorHAnsi"/>
          <w:lang w:val="en-GB"/>
        </w:rPr>
        <w:t>.</w:t>
      </w:r>
      <w:r w:rsidR="006B10AA" w:rsidRPr="00E27DAB">
        <w:rPr>
          <w:rFonts w:cstheme="minorHAnsi"/>
          <w:lang w:val="en-GB"/>
        </w:rPr>
        <w:t xml:space="preserve"> Sharp</w:t>
      </w:r>
      <w:r w:rsidR="004C5FD0" w:rsidRPr="00E27DAB">
        <w:rPr>
          <w:rFonts w:cstheme="minorHAnsi"/>
          <w:lang w:val="en-GB"/>
        </w:rPr>
        <w:t>.</w:t>
      </w:r>
      <w:r w:rsidR="00AE4094" w:rsidRPr="00E27DAB">
        <w:rPr>
          <w:rFonts w:cstheme="minorHAnsi"/>
          <w:lang w:val="en-GB"/>
        </w:rPr>
        <w:t xml:space="preserve"> </w:t>
      </w:r>
    </w:p>
    <w:p w14:paraId="05F6C20D" w14:textId="64AF765B" w:rsidR="00B86E8B" w:rsidRPr="00E27DAB" w:rsidRDefault="00B86E8B" w:rsidP="00E27DAB">
      <w:pPr>
        <w:spacing w:line="480" w:lineRule="auto"/>
        <w:rPr>
          <w:rFonts w:cstheme="minorHAnsi"/>
        </w:rPr>
      </w:pPr>
      <w:r w:rsidRPr="00E27DAB">
        <w:rPr>
          <w:rFonts w:cstheme="minorHAnsi"/>
        </w:rPr>
        <w:t xml:space="preserve">Harker, L., </w:t>
      </w:r>
      <w:r w:rsidR="00024DA3">
        <w:rPr>
          <w:rFonts w:cstheme="minorHAnsi"/>
        </w:rPr>
        <w:t>(</w:t>
      </w:r>
      <w:r w:rsidRPr="00E27DAB">
        <w:rPr>
          <w:rFonts w:cstheme="minorHAnsi"/>
        </w:rPr>
        <w:t>2006</w:t>
      </w:r>
      <w:r w:rsidR="00024DA3">
        <w:rPr>
          <w:rFonts w:cstheme="minorHAnsi"/>
        </w:rPr>
        <w:t>)</w:t>
      </w:r>
      <w:r w:rsidRPr="00E27DAB">
        <w:rPr>
          <w:rFonts w:cstheme="minorHAnsi"/>
        </w:rPr>
        <w:t xml:space="preserve"> </w:t>
      </w:r>
      <w:r w:rsidRPr="00E27DAB">
        <w:rPr>
          <w:rFonts w:cstheme="minorHAnsi"/>
          <w:i/>
          <w:iCs/>
        </w:rPr>
        <w:t>Delivering on Child Poverty: What Would it Take?; a Report for the Department for Work and Pensions</w:t>
      </w:r>
      <w:r w:rsidRPr="00E27DAB">
        <w:rPr>
          <w:rFonts w:cstheme="minorHAnsi"/>
        </w:rPr>
        <w:t xml:space="preserve"> (Vol. 6951). The Stationery Office.</w:t>
      </w:r>
    </w:p>
    <w:p w14:paraId="6E9AC680" w14:textId="1C1D4E9A" w:rsidR="00275CF1" w:rsidRPr="00E27DAB" w:rsidRDefault="00BB3CF7" w:rsidP="00E27DAB">
      <w:pPr>
        <w:spacing w:line="480" w:lineRule="auto"/>
        <w:rPr>
          <w:rFonts w:cstheme="minorHAnsi"/>
        </w:rPr>
      </w:pPr>
      <w:r w:rsidRPr="00E27DAB">
        <w:rPr>
          <w:rFonts w:cstheme="minorHAnsi"/>
        </w:rPr>
        <w:t xml:space="preserve">Heber, R. and Garber, H., </w:t>
      </w:r>
      <w:r w:rsidR="00024DA3">
        <w:rPr>
          <w:rFonts w:cstheme="minorHAnsi"/>
        </w:rPr>
        <w:t>(</w:t>
      </w:r>
      <w:r w:rsidRPr="00E27DAB">
        <w:rPr>
          <w:rFonts w:cstheme="minorHAnsi"/>
        </w:rPr>
        <w:t>1975</w:t>
      </w:r>
      <w:r w:rsidR="00024DA3">
        <w:rPr>
          <w:rFonts w:cstheme="minorHAnsi"/>
        </w:rPr>
        <w:t>)</w:t>
      </w:r>
      <w:r w:rsidRPr="00E27DAB">
        <w:rPr>
          <w:rFonts w:cstheme="minorHAnsi"/>
        </w:rPr>
        <w:t xml:space="preserve"> The Milwaukee Project: A study of the use of family intervention to prevent cultural-familial mental retardation. </w:t>
      </w:r>
      <w:r w:rsidRPr="00E27DAB">
        <w:rPr>
          <w:rFonts w:cstheme="minorHAnsi"/>
          <w:i/>
          <w:iCs/>
        </w:rPr>
        <w:t>Exceptional infant</w:t>
      </w:r>
      <w:r w:rsidRPr="00E27DAB">
        <w:rPr>
          <w:rFonts w:cstheme="minorHAnsi"/>
        </w:rPr>
        <w:t xml:space="preserve">, </w:t>
      </w:r>
      <w:r w:rsidRPr="00E27DAB">
        <w:rPr>
          <w:rFonts w:cstheme="minorHAnsi"/>
          <w:i/>
          <w:iCs/>
        </w:rPr>
        <w:t>3</w:t>
      </w:r>
      <w:r w:rsidRPr="00E27DAB">
        <w:rPr>
          <w:rFonts w:cstheme="minorHAnsi"/>
        </w:rPr>
        <w:t>, pp.399-433.</w:t>
      </w:r>
    </w:p>
    <w:p w14:paraId="24B6FAA4" w14:textId="20654EB8" w:rsidR="00E15F38" w:rsidRPr="00E27DAB" w:rsidRDefault="00E15F38" w:rsidP="00E27DAB">
      <w:pPr>
        <w:spacing w:line="480" w:lineRule="auto"/>
        <w:rPr>
          <w:rFonts w:cstheme="minorHAnsi"/>
          <w:lang w:val="en-GB"/>
        </w:rPr>
      </w:pPr>
      <w:r w:rsidRPr="00E27DAB">
        <w:rPr>
          <w:rFonts w:cstheme="minorHAnsi"/>
          <w:lang w:val="en-GB"/>
        </w:rPr>
        <w:t xml:space="preserve">Herrnstein, R.J. and Murray, C., </w:t>
      </w:r>
      <w:r w:rsidR="00024DA3">
        <w:rPr>
          <w:rFonts w:cstheme="minorHAnsi"/>
          <w:lang w:val="en-GB"/>
        </w:rPr>
        <w:t>(</w:t>
      </w:r>
      <w:r w:rsidRPr="00E27DAB">
        <w:rPr>
          <w:rFonts w:cstheme="minorHAnsi"/>
          <w:lang w:val="en-GB"/>
        </w:rPr>
        <w:t>2010</w:t>
      </w:r>
      <w:r w:rsidR="00024DA3">
        <w:rPr>
          <w:rFonts w:cstheme="minorHAnsi"/>
          <w:lang w:val="en-GB"/>
        </w:rPr>
        <w:t>)</w:t>
      </w:r>
      <w:r w:rsidRPr="00E27DAB">
        <w:rPr>
          <w:rFonts w:cstheme="minorHAnsi"/>
          <w:lang w:val="en-GB"/>
        </w:rPr>
        <w:t xml:space="preserve"> </w:t>
      </w:r>
      <w:r w:rsidRPr="00E27DAB">
        <w:rPr>
          <w:rFonts w:cstheme="minorHAnsi"/>
          <w:i/>
          <w:iCs/>
        </w:rPr>
        <w:t>The bell curve: Intelligence and class structure in American life</w:t>
      </w:r>
      <w:r w:rsidRPr="00E27DAB">
        <w:rPr>
          <w:rFonts w:cstheme="minorHAnsi"/>
        </w:rPr>
        <w:t>. Simon and Schuster.</w:t>
      </w:r>
    </w:p>
    <w:p w14:paraId="6CAEDCC4" w14:textId="00EDC13F" w:rsidR="00437684" w:rsidRPr="00E27DAB" w:rsidRDefault="00437684" w:rsidP="00E27DAB">
      <w:pPr>
        <w:spacing w:line="480" w:lineRule="auto"/>
        <w:rPr>
          <w:rFonts w:cstheme="minorHAnsi"/>
        </w:rPr>
      </w:pPr>
      <w:r w:rsidRPr="00024DA3">
        <w:rPr>
          <w:rFonts w:cstheme="minorHAnsi"/>
          <w:lang w:val="en-GB"/>
        </w:rPr>
        <w:t xml:space="preserve">Hodkinson, P., </w:t>
      </w:r>
      <w:r w:rsidR="00024DA3">
        <w:rPr>
          <w:rFonts w:cstheme="minorHAnsi"/>
          <w:lang w:val="en-GB"/>
        </w:rPr>
        <w:t>(</w:t>
      </w:r>
      <w:r w:rsidRPr="00024DA3">
        <w:rPr>
          <w:rFonts w:cstheme="minorHAnsi"/>
          <w:lang w:val="en-GB"/>
        </w:rPr>
        <w:t>2002</w:t>
      </w:r>
      <w:r w:rsidR="00024DA3">
        <w:rPr>
          <w:rFonts w:cstheme="minorHAnsi"/>
          <w:lang w:val="en-GB"/>
        </w:rPr>
        <w:t>)</w:t>
      </w:r>
      <w:r w:rsidRPr="00024DA3">
        <w:rPr>
          <w:rFonts w:cstheme="minorHAnsi"/>
          <w:lang w:val="en-GB"/>
        </w:rPr>
        <w:t xml:space="preserve"> </w:t>
      </w:r>
      <w:r w:rsidRPr="00E27DAB">
        <w:rPr>
          <w:rFonts w:cstheme="minorHAnsi"/>
          <w:i/>
          <w:iCs/>
        </w:rPr>
        <w:t>Goth. Identity, style and subculture</w:t>
      </w:r>
      <w:r w:rsidRPr="00E27DAB">
        <w:rPr>
          <w:rFonts w:cstheme="minorHAnsi"/>
        </w:rPr>
        <w:t>. Berg Publishers.</w:t>
      </w:r>
    </w:p>
    <w:p w14:paraId="504061D6" w14:textId="616C6F41" w:rsidR="003D7963" w:rsidRPr="00E27DAB" w:rsidRDefault="003D7963" w:rsidP="00E27DAB">
      <w:pPr>
        <w:spacing w:line="480" w:lineRule="auto"/>
        <w:rPr>
          <w:rFonts w:cstheme="minorHAnsi"/>
        </w:rPr>
      </w:pPr>
      <w:r w:rsidRPr="00E27DAB">
        <w:rPr>
          <w:rFonts w:cstheme="minorHAnsi"/>
        </w:rPr>
        <w:t xml:space="preserve">Horgan, G., </w:t>
      </w:r>
      <w:r w:rsidR="00024DA3">
        <w:rPr>
          <w:rFonts w:cstheme="minorHAnsi"/>
        </w:rPr>
        <w:t>(</w:t>
      </w:r>
      <w:r w:rsidRPr="00E27DAB">
        <w:rPr>
          <w:rFonts w:cstheme="minorHAnsi"/>
        </w:rPr>
        <w:t>2007</w:t>
      </w:r>
      <w:r w:rsidR="00024DA3">
        <w:rPr>
          <w:rFonts w:cstheme="minorHAnsi"/>
        </w:rPr>
        <w:t>)</w:t>
      </w:r>
      <w:r w:rsidRPr="00E27DAB">
        <w:rPr>
          <w:rFonts w:cstheme="minorHAnsi"/>
        </w:rPr>
        <w:t xml:space="preserve"> </w:t>
      </w:r>
      <w:r w:rsidRPr="00E27DAB">
        <w:rPr>
          <w:rFonts w:cstheme="minorHAnsi"/>
          <w:i/>
          <w:iCs/>
        </w:rPr>
        <w:t>The impact of poverty on young children's experience of school</w:t>
      </w:r>
      <w:r w:rsidRPr="00E27DAB">
        <w:rPr>
          <w:rFonts w:cstheme="minorHAnsi"/>
        </w:rPr>
        <w:t>. York: Joseph Rowntree Foundation.</w:t>
      </w:r>
    </w:p>
    <w:p w14:paraId="1513F9EE" w14:textId="43C46AA0" w:rsidR="006F1A45" w:rsidRPr="00E27DAB" w:rsidRDefault="006F1A45" w:rsidP="00E27DAB">
      <w:pPr>
        <w:spacing w:line="480" w:lineRule="auto"/>
        <w:rPr>
          <w:rFonts w:cstheme="minorHAnsi"/>
        </w:rPr>
      </w:pPr>
      <w:r w:rsidRPr="00E27DAB">
        <w:rPr>
          <w:rFonts w:cstheme="minorHAnsi"/>
        </w:rPr>
        <w:t xml:space="preserve">Jefferis, B.J., Power, C. and Hertzman, C., </w:t>
      </w:r>
      <w:r w:rsidR="00024DA3">
        <w:rPr>
          <w:rFonts w:cstheme="minorHAnsi"/>
        </w:rPr>
        <w:t>(</w:t>
      </w:r>
      <w:r w:rsidRPr="00E27DAB">
        <w:rPr>
          <w:rFonts w:cstheme="minorHAnsi"/>
        </w:rPr>
        <w:t>2002</w:t>
      </w:r>
      <w:r w:rsidR="00024DA3">
        <w:rPr>
          <w:rFonts w:cstheme="minorHAnsi"/>
        </w:rPr>
        <w:t>)</w:t>
      </w:r>
      <w:r w:rsidRPr="00E27DAB">
        <w:rPr>
          <w:rFonts w:cstheme="minorHAnsi"/>
        </w:rPr>
        <w:t xml:space="preserve"> Birth weight, childhood socioeconomic environment, and cognitive development in the 1958 British birth cohort study. </w:t>
      </w:r>
      <w:r w:rsidRPr="00E27DAB">
        <w:rPr>
          <w:rFonts w:cstheme="minorHAnsi"/>
          <w:i/>
          <w:iCs/>
        </w:rPr>
        <w:t>Bmj</w:t>
      </w:r>
      <w:r w:rsidRPr="00E27DAB">
        <w:rPr>
          <w:rFonts w:cstheme="minorHAnsi"/>
        </w:rPr>
        <w:t xml:space="preserve">, </w:t>
      </w:r>
      <w:r w:rsidRPr="00E27DAB">
        <w:rPr>
          <w:rFonts w:cstheme="minorHAnsi"/>
          <w:i/>
          <w:iCs/>
        </w:rPr>
        <w:t>325</w:t>
      </w:r>
      <w:r w:rsidRPr="00E27DAB">
        <w:rPr>
          <w:rFonts w:cstheme="minorHAnsi"/>
        </w:rPr>
        <w:t>(7359), p.305.</w:t>
      </w:r>
    </w:p>
    <w:p w14:paraId="2D2D6FF7" w14:textId="5EE5029E" w:rsidR="001E6549" w:rsidRPr="00E27DAB" w:rsidRDefault="001E6549" w:rsidP="00E27DAB">
      <w:pPr>
        <w:spacing w:line="480" w:lineRule="auto"/>
        <w:rPr>
          <w:rFonts w:cstheme="minorHAnsi"/>
        </w:rPr>
      </w:pPr>
      <w:r w:rsidRPr="00E27DAB">
        <w:rPr>
          <w:rFonts w:cstheme="minorHAnsi"/>
        </w:rPr>
        <w:t xml:space="preserve">Jensen, A.R., </w:t>
      </w:r>
      <w:r w:rsidR="00024DA3">
        <w:rPr>
          <w:rFonts w:cstheme="minorHAnsi"/>
        </w:rPr>
        <w:t>(</w:t>
      </w:r>
      <w:r w:rsidRPr="00E27DAB">
        <w:rPr>
          <w:rFonts w:cstheme="minorHAnsi"/>
        </w:rPr>
        <w:t>1997</w:t>
      </w:r>
      <w:r w:rsidR="00024DA3">
        <w:rPr>
          <w:rFonts w:cstheme="minorHAnsi"/>
        </w:rPr>
        <w:t>)</w:t>
      </w:r>
      <w:r w:rsidRPr="00E27DAB">
        <w:rPr>
          <w:rFonts w:cstheme="minorHAnsi"/>
        </w:rPr>
        <w:t xml:space="preserve"> The psychometrics of intelligence. </w:t>
      </w:r>
      <w:r w:rsidRPr="00E27DAB">
        <w:rPr>
          <w:rFonts w:cstheme="minorHAnsi"/>
          <w:i/>
          <w:iCs/>
        </w:rPr>
        <w:t>The scientific study of human nature: Tribute to Hans J. Eysenck at eighty</w:t>
      </w:r>
      <w:r w:rsidRPr="00E27DAB">
        <w:rPr>
          <w:rFonts w:cstheme="minorHAnsi"/>
        </w:rPr>
        <w:t>, pp.221-239.</w:t>
      </w:r>
    </w:p>
    <w:p w14:paraId="115AFCDC" w14:textId="7B93769A" w:rsidR="00CF10C3" w:rsidRPr="00E27DAB" w:rsidRDefault="00CF10C3" w:rsidP="00E27DAB">
      <w:pPr>
        <w:spacing w:line="480" w:lineRule="auto"/>
        <w:rPr>
          <w:rFonts w:cstheme="minorHAnsi"/>
          <w:highlight w:val="yellow"/>
        </w:rPr>
      </w:pPr>
      <w:r w:rsidRPr="00E27DAB">
        <w:rPr>
          <w:rFonts w:cstheme="minorHAnsi"/>
        </w:rPr>
        <w:t xml:space="preserve">Jensen, E., </w:t>
      </w:r>
      <w:r w:rsidR="00024DA3">
        <w:rPr>
          <w:rFonts w:cstheme="minorHAnsi"/>
        </w:rPr>
        <w:t>(</w:t>
      </w:r>
      <w:r w:rsidRPr="00E27DAB">
        <w:rPr>
          <w:rFonts w:cstheme="minorHAnsi"/>
        </w:rPr>
        <w:t>2009</w:t>
      </w:r>
      <w:r w:rsidR="00024DA3">
        <w:rPr>
          <w:rFonts w:cstheme="minorHAnsi"/>
        </w:rPr>
        <w:t>)</w:t>
      </w:r>
      <w:r w:rsidRPr="00E27DAB">
        <w:rPr>
          <w:rFonts w:cstheme="minorHAnsi"/>
        </w:rPr>
        <w:t xml:space="preserve"> </w:t>
      </w:r>
      <w:r w:rsidRPr="00E27DAB">
        <w:rPr>
          <w:rFonts w:cstheme="minorHAnsi"/>
          <w:i/>
          <w:iCs/>
        </w:rPr>
        <w:t>Teaching with poverty in mind: What being poor does to kids' brains and what schools can do about it</w:t>
      </w:r>
      <w:r w:rsidRPr="00E27DAB">
        <w:rPr>
          <w:rFonts w:cstheme="minorHAnsi"/>
        </w:rPr>
        <w:t>. AScD.</w:t>
      </w:r>
    </w:p>
    <w:p w14:paraId="6179C3C6" w14:textId="5E9D8970" w:rsidR="00A93C5B" w:rsidRPr="00E27DAB" w:rsidRDefault="00A93C5B" w:rsidP="00024DA3">
      <w:pPr>
        <w:pStyle w:val="NormalWeb"/>
        <w:spacing w:before="120" w:beforeAutospacing="0" w:after="0" w:afterAutospacing="0" w:line="480" w:lineRule="auto"/>
        <w:ind w:left="432" w:hanging="432"/>
        <w:textAlignment w:val="baseline"/>
        <w:rPr>
          <w:rFonts w:asciiTheme="minorHAnsi" w:eastAsia="MS PGothic" w:hAnsiTheme="minorHAnsi" w:cstheme="minorHAnsi"/>
          <w:kern w:val="24"/>
          <w:sz w:val="22"/>
          <w:szCs w:val="22"/>
          <w:lang w:val="en-US"/>
        </w:rPr>
      </w:pPr>
      <w:r w:rsidRPr="00E27DAB">
        <w:rPr>
          <w:rFonts w:asciiTheme="minorHAnsi" w:eastAsia="MS PGothic" w:hAnsiTheme="minorHAnsi" w:cstheme="minorHAnsi"/>
          <w:kern w:val="24"/>
          <w:sz w:val="22"/>
          <w:szCs w:val="22"/>
          <w:lang w:val="en-US"/>
        </w:rPr>
        <w:t xml:space="preserve">Jensen, E. (2009) </w:t>
      </w:r>
      <w:r w:rsidRPr="00E27DAB">
        <w:rPr>
          <w:rFonts w:asciiTheme="minorHAnsi" w:eastAsia="MS PGothic" w:hAnsiTheme="minorHAnsi" w:cstheme="minorHAnsi"/>
          <w:i/>
          <w:iCs/>
          <w:kern w:val="24"/>
          <w:sz w:val="22"/>
          <w:szCs w:val="22"/>
          <w:lang w:val="en-US"/>
        </w:rPr>
        <w:t xml:space="preserve">Teaching with Poverty in Mind. </w:t>
      </w:r>
      <w:r w:rsidRPr="00E27DAB">
        <w:rPr>
          <w:rFonts w:asciiTheme="minorHAnsi" w:eastAsia="MS PGothic" w:hAnsiTheme="minorHAnsi" w:cstheme="minorHAnsi"/>
          <w:kern w:val="24"/>
          <w:sz w:val="22"/>
          <w:szCs w:val="22"/>
          <w:lang w:val="en-US"/>
        </w:rPr>
        <w:t>Alexandria:ASCD Books.</w:t>
      </w:r>
    </w:p>
    <w:p w14:paraId="2E866103" w14:textId="5C3E3048" w:rsidR="004B49EF" w:rsidRPr="00E27DAB" w:rsidRDefault="004B49EF" w:rsidP="00024DA3">
      <w:pPr>
        <w:spacing w:line="480" w:lineRule="auto"/>
        <w:rPr>
          <w:rFonts w:cstheme="minorHAnsi"/>
        </w:rPr>
      </w:pPr>
      <w:r w:rsidRPr="00E27DAB">
        <w:rPr>
          <w:rFonts w:cstheme="minorHAnsi"/>
        </w:rPr>
        <w:t xml:space="preserve">Jensen, E., </w:t>
      </w:r>
      <w:r w:rsidR="00024DA3">
        <w:rPr>
          <w:rFonts w:cstheme="minorHAnsi"/>
        </w:rPr>
        <w:t>(</w:t>
      </w:r>
      <w:r w:rsidRPr="00E27DAB">
        <w:rPr>
          <w:rFonts w:cstheme="minorHAnsi"/>
        </w:rPr>
        <w:t>2013</w:t>
      </w:r>
      <w:r w:rsidR="00024DA3">
        <w:rPr>
          <w:rFonts w:cstheme="minorHAnsi"/>
        </w:rPr>
        <w:t xml:space="preserve">) </w:t>
      </w:r>
      <w:r w:rsidRPr="00E27DAB">
        <w:rPr>
          <w:rFonts w:cstheme="minorHAnsi"/>
        </w:rPr>
        <w:t xml:space="preserve">How poverty affects classroom engagement. </w:t>
      </w:r>
      <w:r w:rsidRPr="00E27DAB">
        <w:rPr>
          <w:rFonts w:cstheme="minorHAnsi"/>
          <w:i/>
          <w:iCs/>
        </w:rPr>
        <w:t>Educational Leadership</w:t>
      </w:r>
      <w:r w:rsidRPr="00E27DAB">
        <w:rPr>
          <w:rFonts w:cstheme="minorHAnsi"/>
        </w:rPr>
        <w:t xml:space="preserve">, </w:t>
      </w:r>
      <w:r w:rsidRPr="00E27DAB">
        <w:rPr>
          <w:rFonts w:cstheme="minorHAnsi"/>
          <w:i/>
          <w:iCs/>
        </w:rPr>
        <w:t>70</w:t>
      </w:r>
      <w:r w:rsidRPr="00E27DAB">
        <w:rPr>
          <w:rFonts w:cstheme="minorHAnsi"/>
        </w:rPr>
        <w:t>(8), pp.24-30.</w:t>
      </w:r>
    </w:p>
    <w:p w14:paraId="0EADFAB6" w14:textId="77A501AA" w:rsidR="009F4247" w:rsidRPr="00E27DAB" w:rsidRDefault="009F4247" w:rsidP="00E27DAB">
      <w:pPr>
        <w:spacing w:line="480" w:lineRule="auto"/>
        <w:rPr>
          <w:rFonts w:cstheme="minorHAnsi"/>
        </w:rPr>
      </w:pPr>
      <w:r w:rsidRPr="00E27DAB">
        <w:rPr>
          <w:rFonts w:cstheme="minorHAnsi"/>
        </w:rPr>
        <w:t xml:space="preserve">Johnson, B. and Christensen, L., </w:t>
      </w:r>
      <w:r w:rsidR="00024DA3">
        <w:rPr>
          <w:rFonts w:cstheme="minorHAnsi"/>
        </w:rPr>
        <w:t>(</w:t>
      </w:r>
      <w:r w:rsidRPr="00E27DAB">
        <w:rPr>
          <w:rFonts w:cstheme="minorHAnsi"/>
        </w:rPr>
        <w:t>2008</w:t>
      </w:r>
      <w:r w:rsidR="00024DA3">
        <w:rPr>
          <w:rFonts w:cstheme="minorHAnsi"/>
        </w:rPr>
        <w:t>)</w:t>
      </w:r>
      <w:r w:rsidRPr="00E27DAB">
        <w:rPr>
          <w:rFonts w:cstheme="minorHAnsi"/>
        </w:rPr>
        <w:t xml:space="preserve"> </w:t>
      </w:r>
      <w:r w:rsidRPr="00E27DAB">
        <w:rPr>
          <w:rFonts w:cstheme="minorHAnsi"/>
          <w:i/>
          <w:iCs/>
        </w:rPr>
        <w:t>Educational research: Quantitative, qualitative, and mixed approaches</w:t>
      </w:r>
      <w:r w:rsidRPr="00E27DAB">
        <w:rPr>
          <w:rFonts w:cstheme="minorHAnsi"/>
        </w:rPr>
        <w:t>. Sage.</w:t>
      </w:r>
    </w:p>
    <w:p w14:paraId="2171EB17" w14:textId="6055F918" w:rsidR="009F4247" w:rsidRPr="00E27DAB" w:rsidRDefault="009F4247" w:rsidP="00E27DAB">
      <w:pPr>
        <w:spacing w:line="480" w:lineRule="auto"/>
        <w:rPr>
          <w:rFonts w:cstheme="minorHAnsi"/>
        </w:rPr>
      </w:pPr>
      <w:r w:rsidRPr="00E27DAB">
        <w:rPr>
          <w:rFonts w:cstheme="minorHAnsi"/>
        </w:rPr>
        <w:t xml:space="preserve">Johnson, B. and Turner, L.A., </w:t>
      </w:r>
      <w:r w:rsidR="00024DA3">
        <w:rPr>
          <w:rFonts w:cstheme="minorHAnsi"/>
        </w:rPr>
        <w:t>(</w:t>
      </w:r>
      <w:r w:rsidRPr="00E27DAB">
        <w:rPr>
          <w:rFonts w:cstheme="minorHAnsi"/>
        </w:rPr>
        <w:t>2003</w:t>
      </w:r>
      <w:r w:rsidR="00024DA3">
        <w:rPr>
          <w:rFonts w:cstheme="minorHAnsi"/>
        </w:rPr>
        <w:t>)</w:t>
      </w:r>
      <w:r w:rsidRPr="00E27DAB">
        <w:rPr>
          <w:rFonts w:cstheme="minorHAnsi"/>
        </w:rPr>
        <w:t xml:space="preserve"> Data collection strategies in mixed methods research. </w:t>
      </w:r>
      <w:r w:rsidRPr="00E27DAB">
        <w:rPr>
          <w:rFonts w:cstheme="minorHAnsi"/>
          <w:i/>
          <w:iCs/>
        </w:rPr>
        <w:t>Handbook of mixed methods in social and behavioral research</w:t>
      </w:r>
      <w:r w:rsidRPr="00E27DAB">
        <w:rPr>
          <w:rFonts w:cstheme="minorHAnsi"/>
        </w:rPr>
        <w:t>, pp.297-319.</w:t>
      </w:r>
    </w:p>
    <w:p w14:paraId="155C0E75" w14:textId="38E47DC6" w:rsidR="002613EB" w:rsidRPr="00E27DAB" w:rsidRDefault="002613EB" w:rsidP="00E27DAB">
      <w:pPr>
        <w:pStyle w:val="NormalWeb"/>
        <w:spacing w:before="120" w:beforeAutospacing="0" w:after="0" w:afterAutospacing="0" w:line="480" w:lineRule="auto"/>
        <w:textAlignment w:val="baseline"/>
        <w:rPr>
          <w:rFonts w:asciiTheme="minorHAnsi" w:hAnsiTheme="minorHAnsi" w:cstheme="minorHAnsi"/>
          <w:sz w:val="22"/>
          <w:szCs w:val="22"/>
        </w:rPr>
      </w:pPr>
      <w:r w:rsidRPr="00E27DAB">
        <w:rPr>
          <w:rFonts w:asciiTheme="minorHAnsi" w:hAnsiTheme="minorHAnsi" w:cstheme="minorHAnsi"/>
          <w:sz w:val="22"/>
          <w:szCs w:val="22"/>
        </w:rPr>
        <w:t xml:space="preserve">Jones, A. (2017). </w:t>
      </w:r>
      <w:r w:rsidRPr="00E27DAB">
        <w:rPr>
          <w:rFonts w:asciiTheme="minorHAnsi" w:hAnsiTheme="minorHAnsi" w:cstheme="minorHAnsi"/>
          <w:i/>
          <w:iCs/>
          <w:sz w:val="22"/>
          <w:szCs w:val="22"/>
        </w:rPr>
        <w:t>Closing the Gap in Education</w:t>
      </w:r>
      <w:r w:rsidRPr="00E27DAB">
        <w:rPr>
          <w:rFonts w:asciiTheme="minorHAnsi" w:hAnsiTheme="minorHAnsi" w:cstheme="minorHAnsi"/>
          <w:sz w:val="22"/>
          <w:szCs w:val="22"/>
        </w:rPr>
        <w:t>. Cardiff: EAS.</w:t>
      </w:r>
    </w:p>
    <w:p w14:paraId="5C2BCB9F" w14:textId="536DA05B" w:rsidR="000C58E2" w:rsidRPr="00E27DAB" w:rsidRDefault="006F1A45" w:rsidP="00E27DAB">
      <w:pPr>
        <w:pStyle w:val="NormalWeb"/>
        <w:spacing w:before="120" w:beforeAutospacing="0" w:after="0" w:afterAutospacing="0" w:line="480" w:lineRule="auto"/>
        <w:ind w:left="432" w:hanging="432"/>
        <w:textAlignment w:val="baseline"/>
        <w:rPr>
          <w:rFonts w:asciiTheme="minorHAnsi" w:hAnsiTheme="minorHAnsi" w:cstheme="minorHAnsi"/>
          <w:sz w:val="22"/>
          <w:szCs w:val="22"/>
        </w:rPr>
      </w:pPr>
      <w:r w:rsidRPr="00460680">
        <w:rPr>
          <w:rFonts w:asciiTheme="minorHAnsi" w:hAnsiTheme="minorHAnsi" w:cstheme="minorHAnsi"/>
          <w:sz w:val="22"/>
          <w:szCs w:val="22"/>
        </w:rPr>
        <w:t>Joseph Rowntree Foundation (2014) An explanation of Joesph Rowntree’s definition of poverty and the terms used in it.</w:t>
      </w:r>
    </w:p>
    <w:p w14:paraId="1A386740" w14:textId="146E55C2" w:rsidR="00A06A7B" w:rsidRPr="00E27DAB" w:rsidRDefault="00A06A7B" w:rsidP="00E27DAB">
      <w:pPr>
        <w:spacing w:line="480" w:lineRule="auto"/>
        <w:rPr>
          <w:rFonts w:cstheme="minorHAnsi"/>
          <w:highlight w:val="yellow"/>
        </w:rPr>
      </w:pPr>
      <w:r w:rsidRPr="00E27DAB">
        <w:rPr>
          <w:rFonts w:cstheme="minorHAnsi"/>
        </w:rPr>
        <w:t xml:space="preserve">JRF. (2019). </w:t>
      </w:r>
      <w:r w:rsidRPr="00E27DAB">
        <w:rPr>
          <w:rFonts w:cstheme="minorHAnsi"/>
          <w:i/>
          <w:iCs/>
        </w:rPr>
        <w:t>A definition of poverty</w:t>
      </w:r>
      <w:r w:rsidRPr="00E27DAB">
        <w:rPr>
          <w:rFonts w:cstheme="minorHAnsi"/>
        </w:rPr>
        <w:t>. [online] Available at: https://www.jrf.org.uk/report/definition-poverty [Accessed 24 Apr. 2019].</w:t>
      </w:r>
    </w:p>
    <w:p w14:paraId="51FB2821" w14:textId="1C293436" w:rsidR="00517CC0" w:rsidRPr="00E27DAB" w:rsidRDefault="00517CC0" w:rsidP="00E27DAB">
      <w:pPr>
        <w:spacing w:line="480" w:lineRule="auto"/>
        <w:rPr>
          <w:rFonts w:cstheme="minorHAnsi"/>
        </w:rPr>
      </w:pPr>
      <w:r w:rsidRPr="00E27DAB">
        <w:rPr>
          <w:rFonts w:cstheme="minorHAnsi"/>
        </w:rPr>
        <w:t>Kintrea, K., St Clair, R. and Houston, M. (2011) The influence of parents, places and poverty on educational attitudes and aspirations. York: Joseph Rowntree Foundation</w:t>
      </w:r>
      <w:r w:rsidR="009D405D" w:rsidRPr="00E27DAB">
        <w:rPr>
          <w:rFonts w:cstheme="minorHAnsi"/>
        </w:rPr>
        <w:t>.</w:t>
      </w:r>
    </w:p>
    <w:p w14:paraId="73C4AA5F" w14:textId="42061016" w:rsidR="00217820" w:rsidRPr="00E27DAB" w:rsidRDefault="00217820" w:rsidP="00E27DAB">
      <w:pPr>
        <w:spacing w:line="480" w:lineRule="auto"/>
        <w:rPr>
          <w:rFonts w:cstheme="minorHAnsi"/>
        </w:rPr>
      </w:pPr>
      <w:r w:rsidRPr="00E27DAB">
        <w:rPr>
          <w:rFonts w:cstheme="minorHAnsi"/>
        </w:rPr>
        <w:t>Learning.gov.wales. (2019). [online] Available at: https://learning.gov.wales/docs/learningwales/publications/131016-sen-code-of-practice-for-wales-en.pdf [Accessed 24 Apr. 2019].</w:t>
      </w:r>
    </w:p>
    <w:p w14:paraId="7DA3FC46" w14:textId="69F8870F" w:rsidR="009053A6" w:rsidRPr="00E27DAB" w:rsidRDefault="009053A6" w:rsidP="00E27DAB">
      <w:pPr>
        <w:spacing w:line="480" w:lineRule="auto"/>
        <w:rPr>
          <w:rFonts w:cstheme="minorHAnsi"/>
        </w:rPr>
      </w:pPr>
      <w:r w:rsidRPr="00E27DAB">
        <w:rPr>
          <w:rFonts w:cstheme="minorHAnsi"/>
        </w:rPr>
        <w:t>Learning.gov.wales. (2019). [online] Available at: https://learning.gov.wales/docs/learningwales/publications/140512-what-really-works-en.pdf [Accessed 24 Apr. 2019].</w:t>
      </w:r>
    </w:p>
    <w:p w14:paraId="7E622C4D" w14:textId="28238728" w:rsidR="000C58E2" w:rsidRPr="00E27DAB" w:rsidRDefault="000C58E2" w:rsidP="00E27DAB">
      <w:pPr>
        <w:spacing w:line="480" w:lineRule="auto"/>
        <w:rPr>
          <w:rFonts w:cstheme="minorHAnsi"/>
        </w:rPr>
      </w:pPr>
      <w:r w:rsidRPr="00E27DAB">
        <w:rPr>
          <w:rFonts w:cstheme="minorHAnsi"/>
        </w:rPr>
        <w:t>Learning.gov.wales. (2019). [online] Available at: https://learning.gov.wales/docs/learningwales/publications/160712-face-toolkit-main-en.pdf [Accessed 25 Apr. 2019].</w:t>
      </w:r>
    </w:p>
    <w:p w14:paraId="2DFA28E5" w14:textId="2044D73C" w:rsidR="002D0F73" w:rsidRPr="00E27DAB" w:rsidRDefault="002D0F73" w:rsidP="00E27DAB">
      <w:pPr>
        <w:spacing w:line="480" w:lineRule="auto"/>
        <w:rPr>
          <w:rFonts w:cstheme="minorHAnsi"/>
        </w:rPr>
      </w:pPr>
      <w:r w:rsidRPr="00E27DAB">
        <w:rPr>
          <w:rFonts w:cstheme="minorHAnsi"/>
        </w:rPr>
        <w:t xml:space="preserve">Legislation.gov.uk. (2019). </w:t>
      </w:r>
      <w:r w:rsidRPr="00E27DAB">
        <w:rPr>
          <w:rFonts w:cstheme="minorHAnsi"/>
          <w:i/>
          <w:iCs/>
        </w:rPr>
        <w:t>The Child Poverty Strategy (Wales) Regulations 2011</w:t>
      </w:r>
      <w:r w:rsidRPr="00E27DAB">
        <w:rPr>
          <w:rFonts w:cstheme="minorHAnsi"/>
        </w:rPr>
        <w:t>. [online] Available at: http://www.legislation.gov.uk/wsi/2011/675/contents/made [Accessed 24 Apr. 2019].</w:t>
      </w:r>
    </w:p>
    <w:p w14:paraId="0C01D531" w14:textId="394E7392" w:rsidR="0080186A" w:rsidRPr="00E27DAB" w:rsidRDefault="0080186A" w:rsidP="00E27DAB">
      <w:pPr>
        <w:spacing w:line="480" w:lineRule="auto"/>
        <w:rPr>
          <w:rFonts w:cstheme="minorHAnsi"/>
        </w:rPr>
      </w:pPr>
      <w:r w:rsidRPr="00E27DAB">
        <w:rPr>
          <w:rFonts w:cstheme="minorHAnsi"/>
        </w:rPr>
        <w:t xml:space="preserve">Legislation.gov.uk. (2019). </w:t>
      </w:r>
      <w:r w:rsidRPr="00E27DAB">
        <w:rPr>
          <w:rFonts w:cstheme="minorHAnsi"/>
          <w:i/>
          <w:iCs/>
        </w:rPr>
        <w:t>Well-being of Future Generations (Wales) Act 2015</w:t>
      </w:r>
      <w:r w:rsidRPr="00E27DAB">
        <w:rPr>
          <w:rFonts w:cstheme="minorHAnsi"/>
        </w:rPr>
        <w:t>. [online] Available at: http://www.legislation.gov.uk/anaw/2015/2/contents/enacted [Accessed 24 Apr. 2019].</w:t>
      </w:r>
    </w:p>
    <w:p w14:paraId="11B481BB" w14:textId="6BD24A29" w:rsidR="0080186A" w:rsidRPr="00E27DAB" w:rsidRDefault="0080186A" w:rsidP="00E27DAB">
      <w:pPr>
        <w:spacing w:line="480" w:lineRule="auto"/>
        <w:rPr>
          <w:rFonts w:cstheme="minorHAnsi"/>
        </w:rPr>
      </w:pPr>
      <w:r w:rsidRPr="00E27DAB">
        <w:rPr>
          <w:rFonts w:cstheme="minorHAnsi"/>
        </w:rPr>
        <w:t xml:space="preserve">Legislation.gov.uk. (2019). </w:t>
      </w:r>
      <w:r w:rsidRPr="00E27DAB">
        <w:rPr>
          <w:rFonts w:cstheme="minorHAnsi"/>
          <w:i/>
          <w:iCs/>
        </w:rPr>
        <w:t>Rights of Children and Young Persons (Wales) Measure 2011</w:t>
      </w:r>
      <w:r w:rsidRPr="00E27DAB">
        <w:rPr>
          <w:rFonts w:cstheme="minorHAnsi"/>
        </w:rPr>
        <w:t>. [online] Available at: http://www.legislation.gov.uk/mwa/2011/2/contents [Accessed 24 Apr. 2019].</w:t>
      </w:r>
    </w:p>
    <w:p w14:paraId="1A9F887C" w14:textId="79E23BD8" w:rsidR="009D405D" w:rsidRPr="00E27DAB" w:rsidRDefault="009D405D" w:rsidP="00E27DAB">
      <w:pPr>
        <w:spacing w:line="480" w:lineRule="auto"/>
        <w:rPr>
          <w:rFonts w:cstheme="minorHAnsi"/>
        </w:rPr>
      </w:pPr>
      <w:r w:rsidRPr="00E27DAB">
        <w:rPr>
          <w:rFonts w:cstheme="minorHAnsi"/>
        </w:rPr>
        <w:t xml:space="preserve">Lipman, P., </w:t>
      </w:r>
      <w:r w:rsidR="00024DA3">
        <w:rPr>
          <w:rFonts w:cstheme="minorHAnsi"/>
        </w:rPr>
        <w:t>(</w:t>
      </w:r>
      <w:r w:rsidRPr="00E27DAB">
        <w:rPr>
          <w:rFonts w:cstheme="minorHAnsi"/>
        </w:rPr>
        <w:t>2004</w:t>
      </w:r>
      <w:r w:rsidR="00024DA3">
        <w:rPr>
          <w:rFonts w:cstheme="minorHAnsi"/>
        </w:rPr>
        <w:t>)</w:t>
      </w:r>
      <w:r w:rsidRPr="00E27DAB">
        <w:rPr>
          <w:rFonts w:cstheme="minorHAnsi"/>
        </w:rPr>
        <w:t xml:space="preserve"> Education accountability and repression of democracy post-9/11. </w:t>
      </w:r>
      <w:r w:rsidRPr="00E27DAB">
        <w:rPr>
          <w:rFonts w:cstheme="minorHAnsi"/>
          <w:i/>
          <w:iCs/>
        </w:rPr>
        <w:t>Journal for Critical Education Policy Studies</w:t>
      </w:r>
      <w:r w:rsidRPr="00E27DAB">
        <w:rPr>
          <w:rFonts w:cstheme="minorHAnsi"/>
        </w:rPr>
        <w:t xml:space="preserve">, </w:t>
      </w:r>
      <w:r w:rsidRPr="00E27DAB">
        <w:rPr>
          <w:rFonts w:cstheme="minorHAnsi"/>
          <w:i/>
          <w:iCs/>
        </w:rPr>
        <w:t>2</w:t>
      </w:r>
      <w:r w:rsidRPr="00E27DAB">
        <w:rPr>
          <w:rFonts w:cstheme="minorHAnsi"/>
        </w:rPr>
        <w:t>(1), pp.52-72.</w:t>
      </w:r>
    </w:p>
    <w:p w14:paraId="7FB75636" w14:textId="25555F35" w:rsidR="00B90FF3" w:rsidRPr="00E27DAB" w:rsidRDefault="007F21B2" w:rsidP="00E27DAB">
      <w:pPr>
        <w:spacing w:line="480" w:lineRule="auto"/>
        <w:rPr>
          <w:rFonts w:cstheme="minorHAnsi"/>
        </w:rPr>
      </w:pPr>
      <w:r w:rsidRPr="00E27DAB">
        <w:rPr>
          <w:rFonts w:cstheme="minorHAnsi"/>
        </w:rPr>
        <w:t xml:space="preserve">Luby, J., Belden, A., Botteron, K., Marrus, N., Harms, M.P., Babb, C., Nishino, T. and Barch, D., </w:t>
      </w:r>
      <w:r w:rsidR="00024DA3">
        <w:rPr>
          <w:rFonts w:cstheme="minorHAnsi"/>
        </w:rPr>
        <w:t>(</w:t>
      </w:r>
      <w:r w:rsidRPr="00E27DAB">
        <w:rPr>
          <w:rFonts w:cstheme="minorHAnsi"/>
        </w:rPr>
        <w:t>2013</w:t>
      </w:r>
      <w:r w:rsidR="00024DA3">
        <w:rPr>
          <w:rFonts w:cstheme="minorHAnsi"/>
        </w:rPr>
        <w:t>)</w:t>
      </w:r>
      <w:r w:rsidRPr="00E27DAB">
        <w:rPr>
          <w:rFonts w:cstheme="minorHAnsi"/>
        </w:rPr>
        <w:t xml:space="preserve"> The effects of poverty on childhood brain development: the mediating effect of caregiving and stressful life events. </w:t>
      </w:r>
      <w:r w:rsidRPr="00E27DAB">
        <w:rPr>
          <w:rFonts w:cstheme="minorHAnsi"/>
          <w:i/>
          <w:iCs/>
        </w:rPr>
        <w:t>JAMA pediatrics</w:t>
      </w:r>
      <w:r w:rsidRPr="00E27DAB">
        <w:rPr>
          <w:rFonts w:cstheme="minorHAnsi"/>
        </w:rPr>
        <w:t xml:space="preserve">, </w:t>
      </w:r>
      <w:r w:rsidRPr="00E27DAB">
        <w:rPr>
          <w:rFonts w:cstheme="minorHAnsi"/>
          <w:i/>
          <w:iCs/>
        </w:rPr>
        <w:t>167</w:t>
      </w:r>
      <w:r w:rsidRPr="00E27DAB">
        <w:rPr>
          <w:rFonts w:cstheme="minorHAnsi"/>
        </w:rPr>
        <w:t>(12), pp.1135-1142.</w:t>
      </w:r>
      <w:r w:rsidR="00B90FF3" w:rsidRPr="00E27DAB">
        <w:rPr>
          <w:rFonts w:cstheme="minorHAnsi"/>
        </w:rPr>
        <w:t xml:space="preserve"> </w:t>
      </w:r>
    </w:p>
    <w:p w14:paraId="5C1E4BE3" w14:textId="37735512" w:rsidR="007F21B2" w:rsidRPr="00E27DAB" w:rsidRDefault="00B90FF3" w:rsidP="00E27DAB">
      <w:pPr>
        <w:spacing w:line="480" w:lineRule="auto"/>
        <w:rPr>
          <w:rFonts w:cstheme="minorHAnsi"/>
        </w:rPr>
      </w:pPr>
      <w:r w:rsidRPr="00E27DAB">
        <w:rPr>
          <w:rFonts w:cstheme="minorHAnsi"/>
        </w:rPr>
        <w:t xml:space="preserve">Lumen.instructure.com. (2019). </w:t>
      </w:r>
      <w:r w:rsidRPr="00E27DAB">
        <w:rPr>
          <w:rFonts w:cstheme="minorHAnsi"/>
          <w:i/>
          <w:iCs/>
        </w:rPr>
        <w:t>Nature vs Nurture in Intelligence: Intro to Psychology</w:t>
      </w:r>
      <w:r w:rsidRPr="00E27DAB">
        <w:rPr>
          <w:rFonts w:cstheme="minorHAnsi"/>
        </w:rPr>
        <w:t>. [online] Available at: https://lumen.instructure.com/courses/170090/pages/nature-vs-nurture-in-intelligence [Accessed 14 Apr. 2019].</w:t>
      </w:r>
    </w:p>
    <w:p w14:paraId="4FB88879" w14:textId="2D19709E" w:rsidR="00A55D9F" w:rsidRPr="00E27DAB" w:rsidRDefault="00A55D9F" w:rsidP="00E27DAB">
      <w:pPr>
        <w:spacing w:line="480" w:lineRule="auto"/>
        <w:rPr>
          <w:rFonts w:cstheme="minorHAnsi"/>
        </w:rPr>
      </w:pPr>
      <w:r w:rsidRPr="00E27DAB">
        <w:rPr>
          <w:rFonts w:cstheme="minorHAnsi"/>
        </w:rPr>
        <w:t xml:space="preserve">Mack, J. and Lansley, S., </w:t>
      </w:r>
      <w:r w:rsidR="00024DA3">
        <w:rPr>
          <w:rFonts w:cstheme="minorHAnsi"/>
        </w:rPr>
        <w:t>(</w:t>
      </w:r>
      <w:r w:rsidRPr="00E27DAB">
        <w:rPr>
          <w:rFonts w:cstheme="minorHAnsi"/>
        </w:rPr>
        <w:t>1985</w:t>
      </w:r>
      <w:r w:rsidR="00024DA3">
        <w:rPr>
          <w:rFonts w:cstheme="minorHAnsi"/>
        </w:rPr>
        <w:t>)</w:t>
      </w:r>
      <w:r w:rsidRPr="00E27DAB">
        <w:rPr>
          <w:rFonts w:cstheme="minorHAnsi"/>
        </w:rPr>
        <w:t xml:space="preserve"> </w:t>
      </w:r>
      <w:r w:rsidRPr="00E27DAB">
        <w:rPr>
          <w:rFonts w:cstheme="minorHAnsi"/>
          <w:i/>
          <w:iCs/>
        </w:rPr>
        <w:t>Poor britain</w:t>
      </w:r>
      <w:r w:rsidRPr="00E27DAB">
        <w:rPr>
          <w:rFonts w:cstheme="minorHAnsi"/>
        </w:rPr>
        <w:t>. London: Allen &amp; Unwin.</w:t>
      </w:r>
    </w:p>
    <w:p w14:paraId="1967FE3F" w14:textId="7EBAEB2D" w:rsidR="004B49EF" w:rsidRPr="00E27DAB" w:rsidRDefault="004B49EF" w:rsidP="00E27DAB">
      <w:pPr>
        <w:spacing w:line="480" w:lineRule="auto"/>
        <w:rPr>
          <w:rFonts w:cstheme="minorHAnsi"/>
          <w:highlight w:val="yellow"/>
        </w:rPr>
      </w:pPr>
      <w:r w:rsidRPr="00E27DAB">
        <w:rPr>
          <w:rFonts w:cstheme="minorHAnsi"/>
        </w:rPr>
        <w:t xml:space="preserve">Maguire, M., </w:t>
      </w:r>
      <w:r w:rsidR="00024DA3">
        <w:rPr>
          <w:rFonts w:cstheme="minorHAnsi"/>
        </w:rPr>
        <w:t>(</w:t>
      </w:r>
      <w:r w:rsidRPr="00E27DAB">
        <w:rPr>
          <w:rFonts w:cstheme="minorHAnsi"/>
        </w:rPr>
        <w:t>2006</w:t>
      </w:r>
      <w:r w:rsidR="00024DA3">
        <w:rPr>
          <w:rFonts w:cstheme="minorHAnsi"/>
        </w:rPr>
        <w:t>)</w:t>
      </w:r>
      <w:r w:rsidRPr="00E27DAB">
        <w:rPr>
          <w:rFonts w:cstheme="minorHAnsi"/>
        </w:rPr>
        <w:t xml:space="preserve"> March. Education and poverty: a matter of complexity. In </w:t>
      </w:r>
      <w:r w:rsidRPr="00E27DAB">
        <w:rPr>
          <w:rFonts w:cstheme="minorHAnsi"/>
          <w:i/>
          <w:iCs/>
        </w:rPr>
        <w:t>University of Manchester International Seminar on Education and Poverty, Manchester</w:t>
      </w:r>
      <w:r w:rsidRPr="00E27DAB">
        <w:rPr>
          <w:rFonts w:cstheme="minorHAnsi"/>
        </w:rPr>
        <w:t>.</w:t>
      </w:r>
    </w:p>
    <w:p w14:paraId="260AB6C7" w14:textId="1FF47D4C" w:rsidR="000E133D" w:rsidRPr="00E27DAB" w:rsidRDefault="000E133D" w:rsidP="00E27DAB">
      <w:pPr>
        <w:spacing w:line="480" w:lineRule="auto"/>
        <w:rPr>
          <w:rFonts w:cstheme="minorHAnsi"/>
        </w:rPr>
      </w:pPr>
      <w:r w:rsidRPr="00E27DAB">
        <w:rPr>
          <w:rFonts w:cstheme="minorHAnsi"/>
        </w:rPr>
        <w:t xml:space="preserve">Mangels, J.A., Butterfield, B., Lamb, J., Good, C. and Dweck, C.S., </w:t>
      </w:r>
      <w:r w:rsidR="00024DA3">
        <w:rPr>
          <w:rFonts w:cstheme="minorHAnsi"/>
        </w:rPr>
        <w:t>(</w:t>
      </w:r>
      <w:r w:rsidRPr="00E27DAB">
        <w:rPr>
          <w:rFonts w:cstheme="minorHAnsi"/>
        </w:rPr>
        <w:t>2006</w:t>
      </w:r>
      <w:r w:rsidR="00024DA3">
        <w:rPr>
          <w:rFonts w:cstheme="minorHAnsi"/>
        </w:rPr>
        <w:t>)</w:t>
      </w:r>
      <w:r w:rsidRPr="00E27DAB">
        <w:rPr>
          <w:rFonts w:cstheme="minorHAnsi"/>
        </w:rPr>
        <w:t xml:space="preserve"> Why do beliefs about intelligence influence learning success? A social cognitive neuroscience model. </w:t>
      </w:r>
      <w:r w:rsidRPr="00E27DAB">
        <w:rPr>
          <w:rFonts w:cstheme="minorHAnsi"/>
          <w:i/>
          <w:iCs/>
        </w:rPr>
        <w:t>Social cognitive and affective neuroscience</w:t>
      </w:r>
      <w:r w:rsidRPr="00E27DAB">
        <w:rPr>
          <w:rFonts w:cstheme="minorHAnsi"/>
        </w:rPr>
        <w:t xml:space="preserve">, </w:t>
      </w:r>
      <w:r w:rsidRPr="00E27DAB">
        <w:rPr>
          <w:rFonts w:cstheme="minorHAnsi"/>
          <w:i/>
          <w:iCs/>
        </w:rPr>
        <w:t>1</w:t>
      </w:r>
      <w:r w:rsidRPr="00E27DAB">
        <w:rPr>
          <w:rFonts w:cstheme="minorHAnsi"/>
        </w:rPr>
        <w:t>(2), pp.75-86.</w:t>
      </w:r>
    </w:p>
    <w:p w14:paraId="141A1CF9" w14:textId="3A3CC090" w:rsidR="001167AD" w:rsidRPr="00E27DAB" w:rsidRDefault="001167AD" w:rsidP="00E27DAB">
      <w:pPr>
        <w:spacing w:line="480" w:lineRule="auto"/>
        <w:rPr>
          <w:rFonts w:cstheme="minorHAnsi"/>
        </w:rPr>
      </w:pPr>
      <w:r w:rsidRPr="00E27DAB">
        <w:rPr>
          <w:rFonts w:cstheme="minorHAnsi"/>
        </w:rPr>
        <w:t xml:space="preserve">Mani, A., Mullainathan, S., Shafir, E. and Zhao, J., </w:t>
      </w:r>
      <w:r w:rsidR="00024DA3">
        <w:rPr>
          <w:rFonts w:cstheme="minorHAnsi"/>
        </w:rPr>
        <w:t>(</w:t>
      </w:r>
      <w:r w:rsidRPr="00E27DAB">
        <w:rPr>
          <w:rFonts w:cstheme="minorHAnsi"/>
        </w:rPr>
        <w:t>2013</w:t>
      </w:r>
      <w:r w:rsidR="00024DA3">
        <w:rPr>
          <w:rFonts w:cstheme="minorHAnsi"/>
        </w:rPr>
        <w:t>)</w:t>
      </w:r>
      <w:r w:rsidRPr="00E27DAB">
        <w:rPr>
          <w:rFonts w:cstheme="minorHAnsi"/>
        </w:rPr>
        <w:t xml:space="preserve"> Poverty impedes cognitive function. </w:t>
      </w:r>
      <w:r w:rsidRPr="00E27DAB">
        <w:rPr>
          <w:rFonts w:cstheme="minorHAnsi"/>
          <w:i/>
          <w:iCs/>
        </w:rPr>
        <w:t>science</w:t>
      </w:r>
      <w:r w:rsidRPr="00E27DAB">
        <w:rPr>
          <w:rFonts w:cstheme="minorHAnsi"/>
        </w:rPr>
        <w:t xml:space="preserve">, </w:t>
      </w:r>
      <w:r w:rsidRPr="00E27DAB">
        <w:rPr>
          <w:rFonts w:cstheme="minorHAnsi"/>
          <w:i/>
          <w:iCs/>
        </w:rPr>
        <w:t>341</w:t>
      </w:r>
      <w:r w:rsidRPr="00E27DAB">
        <w:rPr>
          <w:rFonts w:cstheme="minorHAnsi"/>
        </w:rPr>
        <w:t>(6149), pp.976-980.</w:t>
      </w:r>
    </w:p>
    <w:p w14:paraId="0C51CB35" w14:textId="71577D01" w:rsidR="003577CB" w:rsidRPr="00E27DAB" w:rsidRDefault="003577CB" w:rsidP="00E27DAB">
      <w:pPr>
        <w:spacing w:line="480" w:lineRule="auto"/>
        <w:rPr>
          <w:rFonts w:cstheme="minorHAnsi"/>
        </w:rPr>
      </w:pPr>
      <w:r w:rsidRPr="00E27DAB">
        <w:rPr>
          <w:rFonts w:cstheme="minorHAnsi"/>
        </w:rPr>
        <w:t xml:space="preserve">McDonald, L. and Fitzroy, S., </w:t>
      </w:r>
      <w:r w:rsidR="00024DA3">
        <w:rPr>
          <w:rFonts w:cstheme="minorHAnsi"/>
        </w:rPr>
        <w:t>(</w:t>
      </w:r>
      <w:r w:rsidRPr="00E27DAB">
        <w:rPr>
          <w:rFonts w:cstheme="minorHAnsi"/>
        </w:rPr>
        <w:t>2010</w:t>
      </w:r>
      <w:r w:rsidR="00024DA3">
        <w:rPr>
          <w:rFonts w:cstheme="minorHAnsi"/>
        </w:rPr>
        <w:t>)</w:t>
      </w:r>
      <w:r w:rsidRPr="00E27DAB">
        <w:rPr>
          <w:rFonts w:cstheme="minorHAnsi"/>
        </w:rPr>
        <w:t xml:space="preserve"> Families and Schools Together (FAST) Aggregate FASTUK Evaluation Report of 15 Schools in 15 Local Education Authorities (LEAs) across the UK.</w:t>
      </w:r>
    </w:p>
    <w:p w14:paraId="627EBE89" w14:textId="564D67A8" w:rsidR="00B03811" w:rsidRPr="00E27DAB" w:rsidRDefault="00B03811" w:rsidP="00E27DAB">
      <w:pPr>
        <w:spacing w:line="480" w:lineRule="auto"/>
        <w:rPr>
          <w:rFonts w:cstheme="minorHAnsi"/>
        </w:rPr>
      </w:pPr>
      <w:r w:rsidRPr="00E27DAB">
        <w:rPr>
          <w:rFonts w:cstheme="minorHAnsi"/>
        </w:rPr>
        <w:t xml:space="preserve">Mcleod, S. (2019). </w:t>
      </w:r>
      <w:r w:rsidRPr="00E27DAB">
        <w:rPr>
          <w:rFonts w:cstheme="minorHAnsi"/>
          <w:i/>
          <w:iCs/>
        </w:rPr>
        <w:t>Nature Nurture in Psychology | Simply Psychology</w:t>
      </w:r>
      <w:r w:rsidRPr="00E27DAB">
        <w:rPr>
          <w:rFonts w:cstheme="minorHAnsi"/>
        </w:rPr>
        <w:t>. [online] Simplypsychology.org. Available at: https://www.simplypsychology.org/naturevsnurture.html [Accessed 15 Apr. 2019].</w:t>
      </w:r>
    </w:p>
    <w:p w14:paraId="6E3005C7" w14:textId="6B80CF2D" w:rsidR="007020DD" w:rsidRPr="00E27DAB" w:rsidRDefault="007020DD" w:rsidP="00E27DAB">
      <w:pPr>
        <w:spacing w:line="480" w:lineRule="auto"/>
        <w:rPr>
          <w:rFonts w:cstheme="minorHAnsi"/>
          <w:shd w:val="clear" w:color="auto" w:fill="FFFFFF"/>
        </w:rPr>
      </w:pPr>
      <w:r w:rsidRPr="00E27DAB">
        <w:rPr>
          <w:rFonts w:cstheme="minorHAnsi"/>
          <w:shd w:val="clear" w:color="auto" w:fill="FFFFFF"/>
        </w:rPr>
        <w:t xml:space="preserve">Mindroom.org. (2019). </w:t>
      </w:r>
      <w:r w:rsidRPr="00E27DAB">
        <w:rPr>
          <w:rFonts w:cstheme="minorHAnsi"/>
          <w:i/>
          <w:iCs/>
        </w:rPr>
        <w:t>Learning difficulty or Learning disability? | The Salvesen Mindroom Centre - supporting people affected by learning difficulties</w:t>
      </w:r>
      <w:r w:rsidRPr="00E27DAB">
        <w:rPr>
          <w:rFonts w:cstheme="minorHAnsi"/>
          <w:shd w:val="clear" w:color="auto" w:fill="FFFFFF"/>
        </w:rPr>
        <w:t>. [online] Available at: http://www.mindroom.org/index.php/learning_difficulties/what_are_learning_difficulties/learning_difficulty_or_learning_disability/ [Accessed 9 Apr. 2019].</w:t>
      </w:r>
    </w:p>
    <w:p w14:paraId="18A782A3" w14:textId="36D64741" w:rsidR="004B49EF" w:rsidRPr="00E27DAB" w:rsidRDefault="004B49EF" w:rsidP="00E27DAB">
      <w:pPr>
        <w:spacing w:line="480" w:lineRule="auto"/>
        <w:rPr>
          <w:rFonts w:cstheme="minorHAnsi"/>
        </w:rPr>
      </w:pPr>
      <w:r w:rsidRPr="00E27DAB">
        <w:rPr>
          <w:rFonts w:cstheme="minorHAnsi"/>
        </w:rPr>
        <w:t xml:space="preserve">Murray, C., </w:t>
      </w:r>
      <w:r w:rsidR="00024DA3">
        <w:rPr>
          <w:rFonts w:cstheme="minorHAnsi"/>
        </w:rPr>
        <w:t>(</w:t>
      </w:r>
      <w:r w:rsidRPr="00E27DAB">
        <w:rPr>
          <w:rFonts w:cstheme="minorHAnsi"/>
        </w:rPr>
        <w:t>2005</w:t>
      </w:r>
      <w:r w:rsidR="00024DA3">
        <w:rPr>
          <w:rFonts w:cstheme="minorHAnsi"/>
        </w:rPr>
        <w:t>)</w:t>
      </w:r>
      <w:r w:rsidRPr="00E27DAB">
        <w:rPr>
          <w:rFonts w:cstheme="minorHAnsi"/>
        </w:rPr>
        <w:t xml:space="preserve"> The underclass. </w:t>
      </w:r>
      <w:r w:rsidRPr="00E27DAB">
        <w:rPr>
          <w:rFonts w:cstheme="minorHAnsi"/>
          <w:i/>
          <w:iCs/>
        </w:rPr>
        <w:t>Criminological perspectives: Essential readings</w:t>
      </w:r>
      <w:r w:rsidRPr="00E27DAB">
        <w:rPr>
          <w:rFonts w:cstheme="minorHAnsi"/>
        </w:rPr>
        <w:t>, pp.127-141.</w:t>
      </w:r>
    </w:p>
    <w:p w14:paraId="13D16310" w14:textId="6736374C" w:rsidR="005E46C7" w:rsidRPr="00E27DAB" w:rsidRDefault="005E46C7" w:rsidP="00E27DAB">
      <w:pPr>
        <w:spacing w:line="480" w:lineRule="auto"/>
        <w:rPr>
          <w:rFonts w:cstheme="minorHAnsi"/>
          <w:shd w:val="clear" w:color="auto" w:fill="FFFFFF"/>
        </w:rPr>
      </w:pPr>
      <w:r w:rsidRPr="00E27DAB">
        <w:rPr>
          <w:rFonts w:cstheme="minorHAnsi"/>
        </w:rPr>
        <w:t xml:space="preserve">Parsons, T. and Halsey, A.H., </w:t>
      </w:r>
      <w:r w:rsidR="00024DA3">
        <w:rPr>
          <w:rFonts w:cstheme="minorHAnsi"/>
        </w:rPr>
        <w:t>(</w:t>
      </w:r>
      <w:r w:rsidRPr="00E27DAB">
        <w:rPr>
          <w:rFonts w:cstheme="minorHAnsi"/>
        </w:rPr>
        <w:t>1959</w:t>
      </w:r>
      <w:r w:rsidR="00024DA3">
        <w:rPr>
          <w:rFonts w:cstheme="minorHAnsi"/>
        </w:rPr>
        <w:t>)</w:t>
      </w:r>
      <w:r w:rsidRPr="00E27DAB">
        <w:rPr>
          <w:rFonts w:cstheme="minorHAnsi"/>
        </w:rPr>
        <w:t xml:space="preserve"> The school class as a social system. </w:t>
      </w:r>
      <w:r w:rsidRPr="00E27DAB">
        <w:rPr>
          <w:rFonts w:cstheme="minorHAnsi"/>
          <w:i/>
          <w:iCs/>
        </w:rPr>
        <w:t>Schools and society: A sociological approach to education</w:t>
      </w:r>
      <w:r w:rsidRPr="00E27DAB">
        <w:rPr>
          <w:rFonts w:cstheme="minorHAnsi"/>
        </w:rPr>
        <w:t>, pp.32-40.</w:t>
      </w:r>
      <w:r w:rsidR="007740FB" w:rsidRPr="00E27DAB">
        <w:rPr>
          <w:rFonts w:cstheme="minorHAnsi"/>
        </w:rPr>
        <w:t xml:space="preserve">sylva </w:t>
      </w:r>
    </w:p>
    <w:p w14:paraId="4DF96766" w14:textId="215E8469" w:rsidR="0072684F" w:rsidRPr="00E27DAB" w:rsidRDefault="0072684F" w:rsidP="00E27DAB">
      <w:pPr>
        <w:spacing w:line="480" w:lineRule="auto"/>
        <w:rPr>
          <w:rFonts w:cstheme="minorHAnsi"/>
          <w:shd w:val="clear" w:color="auto" w:fill="FFFFFF"/>
        </w:rPr>
      </w:pPr>
      <w:r w:rsidRPr="00E27DAB">
        <w:rPr>
          <w:rFonts w:cstheme="minorHAnsi"/>
        </w:rPr>
        <w:t>Payne, C.M. and Ortiz, C.M.,</w:t>
      </w:r>
      <w:r w:rsidR="00024DA3">
        <w:rPr>
          <w:rFonts w:cstheme="minorHAnsi"/>
        </w:rPr>
        <w:t>(</w:t>
      </w:r>
      <w:r w:rsidRPr="00E27DAB">
        <w:rPr>
          <w:rFonts w:cstheme="minorHAnsi"/>
        </w:rPr>
        <w:t>2017</w:t>
      </w:r>
      <w:r w:rsidR="00024DA3">
        <w:rPr>
          <w:rFonts w:cstheme="minorHAnsi"/>
        </w:rPr>
        <w:t>)</w:t>
      </w:r>
      <w:r w:rsidRPr="00E27DAB">
        <w:rPr>
          <w:rFonts w:cstheme="minorHAnsi"/>
        </w:rPr>
        <w:t xml:space="preserve"> Doing the impossible: The limits of schooling, the power of poverty. </w:t>
      </w:r>
      <w:r w:rsidRPr="00E27DAB">
        <w:rPr>
          <w:rFonts w:cstheme="minorHAnsi"/>
          <w:i/>
          <w:iCs/>
        </w:rPr>
        <w:t>The ANNALS of the American Academy of Political and Social Science</w:t>
      </w:r>
      <w:r w:rsidRPr="00E27DAB">
        <w:rPr>
          <w:rFonts w:cstheme="minorHAnsi"/>
        </w:rPr>
        <w:t xml:space="preserve">, </w:t>
      </w:r>
      <w:r w:rsidRPr="00E27DAB">
        <w:rPr>
          <w:rFonts w:cstheme="minorHAnsi"/>
          <w:i/>
          <w:iCs/>
        </w:rPr>
        <w:t>673</w:t>
      </w:r>
      <w:r w:rsidRPr="00E27DAB">
        <w:rPr>
          <w:rFonts w:cstheme="minorHAnsi"/>
        </w:rPr>
        <w:t>(1), pp.32-59.</w:t>
      </w:r>
    </w:p>
    <w:p w14:paraId="77C85D18" w14:textId="2B84E32E" w:rsidR="004A2E97" w:rsidRPr="00E27DAB" w:rsidRDefault="004A2E97" w:rsidP="00E27DAB">
      <w:pPr>
        <w:spacing w:line="480" w:lineRule="auto"/>
        <w:rPr>
          <w:rFonts w:cstheme="minorHAnsi"/>
          <w:shd w:val="clear" w:color="auto" w:fill="FFFFFF"/>
        </w:rPr>
      </w:pPr>
      <w:r w:rsidRPr="00E27DAB">
        <w:rPr>
          <w:rFonts w:cstheme="minorHAnsi"/>
        </w:rPr>
        <w:t xml:space="preserve">Piachaud, D., </w:t>
      </w:r>
      <w:r w:rsidR="00024DA3">
        <w:rPr>
          <w:rFonts w:cstheme="minorHAnsi"/>
        </w:rPr>
        <w:t>(</w:t>
      </w:r>
      <w:r w:rsidRPr="00E27DAB">
        <w:rPr>
          <w:rFonts w:cstheme="minorHAnsi"/>
        </w:rPr>
        <w:t>1987</w:t>
      </w:r>
      <w:r w:rsidR="00024DA3">
        <w:rPr>
          <w:rFonts w:cstheme="minorHAnsi"/>
        </w:rPr>
        <w:t>)</w:t>
      </w:r>
      <w:r w:rsidRPr="00E27DAB">
        <w:rPr>
          <w:rFonts w:cstheme="minorHAnsi"/>
        </w:rPr>
        <w:t xml:space="preserve"> Problems in the Definition and Measurement of Poverty. </w:t>
      </w:r>
      <w:r w:rsidRPr="00E27DAB">
        <w:rPr>
          <w:rFonts w:cstheme="minorHAnsi"/>
          <w:i/>
          <w:iCs/>
        </w:rPr>
        <w:t>Journal of Social Policy</w:t>
      </w:r>
      <w:r w:rsidRPr="00E27DAB">
        <w:rPr>
          <w:rFonts w:cstheme="minorHAnsi"/>
        </w:rPr>
        <w:t xml:space="preserve">, </w:t>
      </w:r>
      <w:r w:rsidRPr="00E27DAB">
        <w:rPr>
          <w:rFonts w:cstheme="minorHAnsi"/>
          <w:i/>
          <w:iCs/>
        </w:rPr>
        <w:t>16</w:t>
      </w:r>
      <w:r w:rsidRPr="00E27DAB">
        <w:rPr>
          <w:rFonts w:cstheme="minorHAnsi"/>
        </w:rPr>
        <w:t>(2), pp.147-164.</w:t>
      </w:r>
    </w:p>
    <w:p w14:paraId="06E8B902" w14:textId="19C92494" w:rsidR="00B667D7" w:rsidRPr="00E27DAB" w:rsidRDefault="00067047" w:rsidP="00E27DAB">
      <w:pPr>
        <w:spacing w:line="480" w:lineRule="auto"/>
        <w:rPr>
          <w:rFonts w:cstheme="minorHAnsi"/>
        </w:rPr>
      </w:pPr>
      <w:r w:rsidRPr="00E27DAB">
        <w:rPr>
          <w:rFonts w:cstheme="minorHAnsi"/>
        </w:rPr>
        <w:t xml:space="preserve">Poverty.ac.uk. (2019). </w:t>
      </w:r>
      <w:r w:rsidRPr="00E27DAB">
        <w:rPr>
          <w:rFonts w:cstheme="minorHAnsi"/>
          <w:i/>
          <w:iCs/>
        </w:rPr>
        <w:t>Wales has worst child poverty in UK | Poverty and Social Exclusion</w:t>
      </w:r>
      <w:r w:rsidRPr="00E27DAB">
        <w:rPr>
          <w:rFonts w:cstheme="minorHAnsi"/>
        </w:rPr>
        <w:t>. [online] Available at: http://www.poverty.ac.uk/report-wales-child-poverty/wales-has-worst-child-poverty-uk [Accessed 14 Apr. 2019].</w:t>
      </w:r>
    </w:p>
    <w:p w14:paraId="548D0127" w14:textId="778DC716" w:rsidR="009349DB" w:rsidRPr="00E27DAB" w:rsidRDefault="009349DB" w:rsidP="00E27DAB">
      <w:pPr>
        <w:spacing w:line="480" w:lineRule="auto"/>
        <w:rPr>
          <w:rFonts w:cstheme="minorHAnsi"/>
        </w:rPr>
      </w:pPr>
      <w:r w:rsidRPr="00E27DAB">
        <w:rPr>
          <w:rFonts w:cstheme="minorHAnsi"/>
        </w:rPr>
        <w:t xml:space="preserve">Raffo, C., Dyson, A., Gunter, H., Hall, D., Jones, L. and Kalambouka, A., </w:t>
      </w:r>
      <w:r w:rsidR="00024DA3">
        <w:rPr>
          <w:rFonts w:cstheme="minorHAnsi"/>
        </w:rPr>
        <w:t>(</w:t>
      </w:r>
      <w:r w:rsidRPr="00E27DAB">
        <w:rPr>
          <w:rFonts w:cstheme="minorHAnsi"/>
        </w:rPr>
        <w:t>2007</w:t>
      </w:r>
      <w:r w:rsidR="00024DA3">
        <w:rPr>
          <w:rFonts w:cstheme="minorHAnsi"/>
        </w:rPr>
        <w:t>)</w:t>
      </w:r>
      <w:r w:rsidRPr="00E27DAB">
        <w:rPr>
          <w:rFonts w:cstheme="minorHAnsi"/>
        </w:rPr>
        <w:t xml:space="preserve"> Education and poverty. </w:t>
      </w:r>
      <w:r w:rsidRPr="00E27DAB">
        <w:rPr>
          <w:rFonts w:cstheme="minorHAnsi"/>
          <w:i/>
          <w:iCs/>
        </w:rPr>
        <w:t>A critical review of theory, policy and practice</w:t>
      </w:r>
      <w:r w:rsidRPr="00E27DAB">
        <w:rPr>
          <w:rFonts w:cstheme="minorHAnsi"/>
        </w:rPr>
        <w:t>.</w:t>
      </w:r>
    </w:p>
    <w:p w14:paraId="7C8A9518" w14:textId="31FD1946" w:rsidR="00296ECA" w:rsidRPr="00E27DAB" w:rsidRDefault="00296ECA" w:rsidP="00E27DAB">
      <w:pPr>
        <w:spacing w:line="480" w:lineRule="auto"/>
        <w:rPr>
          <w:rFonts w:cstheme="minorHAnsi"/>
        </w:rPr>
      </w:pPr>
      <w:r w:rsidRPr="003836B3">
        <w:rPr>
          <w:rFonts w:cstheme="minorHAnsi"/>
        </w:rPr>
        <w:t xml:space="preserve">Regulation, P., </w:t>
      </w:r>
      <w:r w:rsidR="00024DA3" w:rsidRPr="003836B3">
        <w:rPr>
          <w:rFonts w:cstheme="minorHAnsi"/>
        </w:rPr>
        <w:t>(</w:t>
      </w:r>
      <w:r w:rsidRPr="003836B3">
        <w:rPr>
          <w:rFonts w:cstheme="minorHAnsi"/>
        </w:rPr>
        <w:t>2018</w:t>
      </w:r>
      <w:r w:rsidR="00024DA3" w:rsidRPr="003836B3">
        <w:rPr>
          <w:rFonts w:cstheme="minorHAnsi"/>
        </w:rPr>
        <w:t xml:space="preserve">) </w:t>
      </w:r>
      <w:r w:rsidRPr="003836B3">
        <w:rPr>
          <w:rFonts w:cstheme="minorHAnsi"/>
        </w:rPr>
        <w:t xml:space="preserve">General data protection regulation. </w:t>
      </w:r>
      <w:r w:rsidRPr="003836B3">
        <w:rPr>
          <w:rFonts w:cstheme="minorHAnsi"/>
          <w:i/>
          <w:iCs/>
        </w:rPr>
        <w:t>INTOUCH</w:t>
      </w:r>
      <w:r w:rsidRPr="003836B3">
        <w:rPr>
          <w:rFonts w:cstheme="minorHAnsi"/>
        </w:rPr>
        <w:t>.</w:t>
      </w:r>
    </w:p>
    <w:p w14:paraId="649DE5DA" w14:textId="14574433" w:rsidR="00EE1DEC" w:rsidRPr="00E27DAB" w:rsidRDefault="00EE1DEC" w:rsidP="00E27DAB">
      <w:pPr>
        <w:spacing w:line="480" w:lineRule="auto"/>
        <w:rPr>
          <w:rFonts w:cstheme="minorHAnsi"/>
        </w:rPr>
      </w:pPr>
      <w:r w:rsidRPr="00E27DAB">
        <w:rPr>
          <w:rFonts w:cstheme="minorHAnsi"/>
        </w:rPr>
        <w:t xml:space="preserve">Reja, U., Manfreda, K.L., Hlebec, V. and Vehovar, V., </w:t>
      </w:r>
      <w:r w:rsidR="00024DA3">
        <w:rPr>
          <w:rFonts w:cstheme="minorHAnsi"/>
        </w:rPr>
        <w:t>(</w:t>
      </w:r>
      <w:r w:rsidRPr="00E27DAB">
        <w:rPr>
          <w:rFonts w:cstheme="minorHAnsi"/>
        </w:rPr>
        <w:t>2003</w:t>
      </w:r>
      <w:r w:rsidR="00024DA3">
        <w:rPr>
          <w:rFonts w:cstheme="minorHAnsi"/>
        </w:rPr>
        <w:t>)</w:t>
      </w:r>
      <w:r w:rsidRPr="00E27DAB">
        <w:rPr>
          <w:rFonts w:cstheme="minorHAnsi"/>
        </w:rPr>
        <w:t xml:space="preserve"> Open-ended vs. close-ended questions in web questionnaires. </w:t>
      </w:r>
      <w:r w:rsidRPr="00E27DAB">
        <w:rPr>
          <w:rFonts w:cstheme="minorHAnsi"/>
          <w:i/>
          <w:iCs/>
        </w:rPr>
        <w:t>Developments in applied statistics</w:t>
      </w:r>
      <w:r w:rsidRPr="00E27DAB">
        <w:rPr>
          <w:rFonts w:cstheme="minorHAnsi"/>
        </w:rPr>
        <w:t xml:space="preserve">, </w:t>
      </w:r>
      <w:r w:rsidRPr="00E27DAB">
        <w:rPr>
          <w:rFonts w:cstheme="minorHAnsi"/>
          <w:i/>
          <w:iCs/>
        </w:rPr>
        <w:t>19</w:t>
      </w:r>
      <w:r w:rsidRPr="00E27DAB">
        <w:rPr>
          <w:rFonts w:cstheme="minorHAnsi"/>
        </w:rPr>
        <w:t>(1), pp.159-177.</w:t>
      </w:r>
    </w:p>
    <w:p w14:paraId="66911D4A" w14:textId="66B4EE02" w:rsidR="00C45204" w:rsidRPr="00E27DAB" w:rsidRDefault="00C45204" w:rsidP="00E27DAB">
      <w:pPr>
        <w:spacing w:line="480" w:lineRule="auto"/>
        <w:rPr>
          <w:rFonts w:cstheme="minorHAnsi"/>
        </w:rPr>
      </w:pPr>
      <w:r w:rsidRPr="00E27DAB">
        <w:rPr>
          <w:rFonts w:cstheme="minorHAnsi"/>
        </w:rPr>
        <w:t xml:space="preserve">Rose, D. and O'Reilly, K., </w:t>
      </w:r>
      <w:r w:rsidR="00024DA3">
        <w:rPr>
          <w:rFonts w:cstheme="minorHAnsi"/>
        </w:rPr>
        <w:t>(</w:t>
      </w:r>
      <w:r w:rsidRPr="00E27DAB">
        <w:rPr>
          <w:rFonts w:cstheme="minorHAnsi"/>
        </w:rPr>
        <w:t>1998</w:t>
      </w:r>
      <w:r w:rsidR="00024DA3">
        <w:rPr>
          <w:rFonts w:cstheme="minorHAnsi"/>
        </w:rPr>
        <w:t>)</w:t>
      </w:r>
      <w:r w:rsidRPr="00E27DAB">
        <w:rPr>
          <w:rFonts w:cstheme="minorHAnsi"/>
        </w:rPr>
        <w:t xml:space="preserve"> </w:t>
      </w:r>
      <w:r w:rsidRPr="00E27DAB">
        <w:rPr>
          <w:rFonts w:cstheme="minorHAnsi"/>
          <w:i/>
          <w:iCs/>
        </w:rPr>
        <w:t>The ESRC review of government social classification</w:t>
      </w:r>
      <w:r w:rsidRPr="00E27DAB">
        <w:rPr>
          <w:rFonts w:cstheme="minorHAnsi"/>
        </w:rPr>
        <w:t>. London: Office for National Statistics.</w:t>
      </w:r>
    </w:p>
    <w:p w14:paraId="1289A996" w14:textId="14EF42E2" w:rsidR="007B78B9" w:rsidRPr="00E27DAB" w:rsidRDefault="007B78B9" w:rsidP="00E27DAB">
      <w:pPr>
        <w:spacing w:line="480" w:lineRule="auto"/>
        <w:rPr>
          <w:rFonts w:cstheme="minorHAnsi"/>
        </w:rPr>
      </w:pPr>
      <w:r w:rsidRPr="00E27DAB">
        <w:rPr>
          <w:rFonts w:cstheme="minorHAnsi"/>
        </w:rPr>
        <w:t xml:space="preserve">Saudino, K.J., </w:t>
      </w:r>
      <w:r w:rsidR="00024DA3">
        <w:rPr>
          <w:rFonts w:cstheme="minorHAnsi"/>
        </w:rPr>
        <w:t>(</w:t>
      </w:r>
      <w:r w:rsidRPr="00E27DAB">
        <w:rPr>
          <w:rFonts w:cstheme="minorHAnsi"/>
        </w:rPr>
        <w:t>2005</w:t>
      </w:r>
      <w:r w:rsidR="00024DA3">
        <w:rPr>
          <w:rFonts w:cstheme="minorHAnsi"/>
        </w:rPr>
        <w:t>)</w:t>
      </w:r>
      <w:r w:rsidRPr="00E27DAB">
        <w:rPr>
          <w:rFonts w:cstheme="minorHAnsi"/>
        </w:rPr>
        <w:t xml:space="preserve"> Behavioral genetics and child temperament. </w:t>
      </w:r>
      <w:r w:rsidRPr="00E27DAB">
        <w:rPr>
          <w:rFonts w:cstheme="minorHAnsi"/>
          <w:i/>
          <w:iCs/>
        </w:rPr>
        <w:t>Journal of developmental and behavioral pediatrics: JDBP</w:t>
      </w:r>
      <w:r w:rsidRPr="00E27DAB">
        <w:rPr>
          <w:rFonts w:cstheme="minorHAnsi"/>
        </w:rPr>
        <w:t xml:space="preserve">, </w:t>
      </w:r>
      <w:r w:rsidRPr="00E27DAB">
        <w:rPr>
          <w:rFonts w:cstheme="minorHAnsi"/>
          <w:i/>
          <w:iCs/>
        </w:rPr>
        <w:t>26</w:t>
      </w:r>
      <w:r w:rsidRPr="00E27DAB">
        <w:rPr>
          <w:rFonts w:cstheme="minorHAnsi"/>
        </w:rPr>
        <w:t>(3), p.214.</w:t>
      </w:r>
    </w:p>
    <w:p w14:paraId="7F3938DE" w14:textId="7C6FE8B8" w:rsidR="00A93C5B" w:rsidRPr="00E27DAB" w:rsidRDefault="00A93C5B" w:rsidP="00E27DAB">
      <w:pPr>
        <w:spacing w:line="480" w:lineRule="auto"/>
        <w:rPr>
          <w:rFonts w:eastAsia="MS PGothic" w:cstheme="minorHAnsi"/>
          <w:i/>
          <w:iCs/>
          <w:kern w:val="24"/>
        </w:rPr>
      </w:pPr>
      <w:r w:rsidRPr="00E27DAB">
        <w:rPr>
          <w:rFonts w:eastAsia="MS PGothic" w:cstheme="minorHAnsi"/>
          <w:kern w:val="24"/>
        </w:rPr>
        <w:t xml:space="preserve">Save the Children (2012) </w:t>
      </w:r>
      <w:r w:rsidRPr="00E27DAB">
        <w:rPr>
          <w:rFonts w:eastAsia="MS PGothic" w:cstheme="minorHAnsi"/>
          <w:i/>
          <w:iCs/>
          <w:kern w:val="24"/>
        </w:rPr>
        <w:t>Child Poverty Snapshots – The Local Picture in Wales</w:t>
      </w:r>
      <w:r w:rsidR="00B90FF3" w:rsidRPr="00E27DAB">
        <w:rPr>
          <w:rFonts w:eastAsia="MS PGothic" w:cstheme="minorHAnsi"/>
          <w:i/>
          <w:iCs/>
          <w:kern w:val="24"/>
        </w:rPr>
        <w:t xml:space="preserve"> </w:t>
      </w:r>
    </w:p>
    <w:p w14:paraId="6C3FDCC4" w14:textId="025C6C31" w:rsidR="00B90FF3" w:rsidRPr="00E27DAB" w:rsidRDefault="00B90FF3" w:rsidP="00E27DAB">
      <w:pPr>
        <w:spacing w:line="480" w:lineRule="auto"/>
        <w:rPr>
          <w:rFonts w:cstheme="minorHAnsi"/>
        </w:rPr>
      </w:pPr>
      <w:r w:rsidRPr="00E27DAB">
        <w:rPr>
          <w:rFonts w:cstheme="minorHAnsi"/>
        </w:rPr>
        <w:t xml:space="preserve">ScienceDaily. (2019). </w:t>
      </w:r>
      <w:r w:rsidRPr="00E27DAB">
        <w:rPr>
          <w:rFonts w:cstheme="minorHAnsi"/>
          <w:i/>
          <w:iCs/>
        </w:rPr>
        <w:t>UCLA Team Maps How Genes Affect Brain Structure, Intelligence; Dramatic Images Shed Light On Brain Diseases, Personality Differences</w:t>
      </w:r>
      <w:r w:rsidRPr="00E27DAB">
        <w:rPr>
          <w:rFonts w:cstheme="minorHAnsi"/>
        </w:rPr>
        <w:t>. [online] Available at: https://www.sciencedaily.com/releases/2001/11/011105073104.htm [Accessed 24 Apr. 2019].</w:t>
      </w:r>
    </w:p>
    <w:p w14:paraId="435A98DB" w14:textId="1414786E" w:rsidR="00FD018E" w:rsidRPr="00E27DAB" w:rsidRDefault="00FD018E" w:rsidP="00E27DAB">
      <w:pPr>
        <w:spacing w:line="480" w:lineRule="auto"/>
        <w:rPr>
          <w:rFonts w:cstheme="minorHAnsi"/>
        </w:rPr>
      </w:pPr>
      <w:r w:rsidRPr="00E27DAB">
        <w:rPr>
          <w:rFonts w:cstheme="minorHAnsi"/>
        </w:rPr>
        <w:t xml:space="preserve">S-cool.co.uk. (2019). </w:t>
      </w:r>
      <w:r w:rsidRPr="00E27DAB">
        <w:rPr>
          <w:rFonts w:cstheme="minorHAnsi"/>
          <w:i/>
          <w:iCs/>
        </w:rPr>
        <w:t>Relative poverty | S-cool, the revision website</w:t>
      </w:r>
      <w:r w:rsidRPr="00E27DAB">
        <w:rPr>
          <w:rFonts w:cstheme="minorHAnsi"/>
        </w:rPr>
        <w:t>. [online] Available at: https://www.s-cool.co.uk/a-level/sociology/poverty/revise-it/relative-poverty [Accessed 12 Apr. 2019].</w:t>
      </w:r>
      <w:r w:rsidR="00B90FF3" w:rsidRPr="00E27DAB">
        <w:rPr>
          <w:rFonts w:cstheme="minorHAnsi"/>
        </w:rPr>
        <w:t xml:space="preserve"> </w:t>
      </w:r>
    </w:p>
    <w:p w14:paraId="705CD1C6" w14:textId="2C53BD44" w:rsidR="00B90FF3" w:rsidRPr="00E27DAB" w:rsidRDefault="00B90FF3" w:rsidP="00E27DAB">
      <w:pPr>
        <w:spacing w:line="480" w:lineRule="auto"/>
        <w:rPr>
          <w:rFonts w:cstheme="minorHAnsi"/>
        </w:rPr>
      </w:pPr>
      <w:r w:rsidRPr="00E27DAB">
        <w:rPr>
          <w:rFonts w:cstheme="minorHAnsi"/>
        </w:rPr>
        <w:t xml:space="preserve">Sills, S.J. and Song, C., </w:t>
      </w:r>
      <w:r w:rsidR="00024DA3">
        <w:rPr>
          <w:rFonts w:cstheme="minorHAnsi"/>
        </w:rPr>
        <w:t>(</w:t>
      </w:r>
      <w:r w:rsidRPr="00E27DAB">
        <w:rPr>
          <w:rFonts w:cstheme="minorHAnsi"/>
        </w:rPr>
        <w:t>2002</w:t>
      </w:r>
      <w:r w:rsidR="00024DA3">
        <w:rPr>
          <w:rFonts w:cstheme="minorHAnsi"/>
        </w:rPr>
        <w:t>)</w:t>
      </w:r>
      <w:r w:rsidRPr="00E27DAB">
        <w:rPr>
          <w:rFonts w:cstheme="minorHAnsi"/>
        </w:rPr>
        <w:t xml:space="preserve"> Innovations in survey research: An application of web-based surveys. </w:t>
      </w:r>
      <w:r w:rsidRPr="00E27DAB">
        <w:rPr>
          <w:rFonts w:cstheme="minorHAnsi"/>
          <w:i/>
          <w:iCs/>
        </w:rPr>
        <w:t>Social science computer review</w:t>
      </w:r>
      <w:r w:rsidRPr="00E27DAB">
        <w:rPr>
          <w:rFonts w:cstheme="minorHAnsi"/>
        </w:rPr>
        <w:t xml:space="preserve">, </w:t>
      </w:r>
      <w:r w:rsidRPr="00E27DAB">
        <w:rPr>
          <w:rFonts w:cstheme="minorHAnsi"/>
          <w:i/>
          <w:iCs/>
        </w:rPr>
        <w:t>20</w:t>
      </w:r>
      <w:r w:rsidRPr="00E27DAB">
        <w:rPr>
          <w:rFonts w:cstheme="minorHAnsi"/>
        </w:rPr>
        <w:t>(1), pp.22-30.</w:t>
      </w:r>
    </w:p>
    <w:p w14:paraId="4A9F39F8" w14:textId="77777777" w:rsidR="00B90FF3" w:rsidRPr="00E27DAB" w:rsidRDefault="00B90FF3" w:rsidP="00E27DAB">
      <w:pPr>
        <w:tabs>
          <w:tab w:val="left" w:pos="948"/>
        </w:tabs>
        <w:spacing w:line="480" w:lineRule="auto"/>
        <w:rPr>
          <w:rFonts w:cstheme="minorHAnsi"/>
          <w:lang w:val="en-GB"/>
        </w:rPr>
      </w:pPr>
      <w:r w:rsidRPr="00E27DAB">
        <w:rPr>
          <w:rFonts w:cstheme="minorHAnsi"/>
        </w:rPr>
        <w:t xml:space="preserve">Sociologywithcandee.blogspot.com. (2019). </w:t>
      </w:r>
      <w:r w:rsidRPr="00E27DAB">
        <w:rPr>
          <w:rFonts w:cstheme="minorHAnsi"/>
          <w:i/>
          <w:iCs/>
        </w:rPr>
        <w:t>AS LEVEL: Nature VS Nurture debate</w:t>
      </w:r>
      <w:r w:rsidRPr="00E27DAB">
        <w:rPr>
          <w:rFonts w:cstheme="minorHAnsi"/>
        </w:rPr>
        <w:t>. [online] Available at: https://sociologywithcandee.blogspot.com/2012/10/as-level-nature-vs-nurture-debate.html [Accessed 24 Apr. 2019].</w:t>
      </w:r>
    </w:p>
    <w:p w14:paraId="14ECB382" w14:textId="1C4E2B60" w:rsidR="00775E13" w:rsidRPr="00E27DAB" w:rsidRDefault="00775E13" w:rsidP="00E27DAB">
      <w:pPr>
        <w:spacing w:line="480" w:lineRule="auto"/>
        <w:rPr>
          <w:rFonts w:cstheme="minorHAnsi"/>
        </w:rPr>
      </w:pPr>
      <w:r w:rsidRPr="00E27DAB">
        <w:rPr>
          <w:rFonts w:cstheme="minorHAnsi"/>
        </w:rPr>
        <w:t xml:space="preserve">Small, R., </w:t>
      </w:r>
      <w:r w:rsidR="00024DA3">
        <w:rPr>
          <w:rFonts w:cstheme="minorHAnsi"/>
        </w:rPr>
        <w:t>(</w:t>
      </w:r>
      <w:r w:rsidRPr="00E27DAB">
        <w:rPr>
          <w:rFonts w:cstheme="minorHAnsi"/>
        </w:rPr>
        <w:t>2017</w:t>
      </w:r>
      <w:r w:rsidR="00024DA3">
        <w:rPr>
          <w:rFonts w:cstheme="minorHAnsi"/>
        </w:rPr>
        <w:t>)</w:t>
      </w:r>
      <w:r w:rsidRPr="00E27DAB">
        <w:rPr>
          <w:rFonts w:cstheme="minorHAnsi"/>
        </w:rPr>
        <w:t xml:space="preserve"> </w:t>
      </w:r>
      <w:r w:rsidRPr="00E27DAB">
        <w:rPr>
          <w:rFonts w:cstheme="minorHAnsi"/>
          <w:i/>
          <w:iCs/>
        </w:rPr>
        <w:t>Marx and education</w:t>
      </w:r>
      <w:r w:rsidRPr="00E27DAB">
        <w:rPr>
          <w:rFonts w:cstheme="minorHAnsi"/>
        </w:rPr>
        <w:t>. Routledge.</w:t>
      </w:r>
    </w:p>
    <w:p w14:paraId="5688A9E6" w14:textId="3F01D2FA" w:rsidR="00B90FF3" w:rsidRPr="00E27DAB" w:rsidRDefault="00B90FF3" w:rsidP="00E27DAB">
      <w:pPr>
        <w:spacing w:line="480" w:lineRule="auto"/>
        <w:rPr>
          <w:rFonts w:cstheme="minorHAnsi"/>
        </w:rPr>
      </w:pPr>
      <w:r w:rsidRPr="00E27DAB">
        <w:rPr>
          <w:rFonts w:cstheme="minorHAnsi"/>
        </w:rPr>
        <w:t>S</w:t>
      </w:r>
      <w:r w:rsidR="003836B3">
        <w:rPr>
          <w:rFonts w:cstheme="minorHAnsi"/>
        </w:rPr>
        <w:t xml:space="preserve">mith, A. and Townsend, B., P </w:t>
      </w:r>
      <w:r w:rsidRPr="00E27DAB">
        <w:rPr>
          <w:rFonts w:cstheme="minorHAnsi"/>
        </w:rPr>
        <w:t xml:space="preserve">(1965). </w:t>
      </w:r>
      <w:r w:rsidRPr="00E27DAB">
        <w:rPr>
          <w:rFonts w:cstheme="minorHAnsi"/>
          <w:i/>
          <w:iCs/>
        </w:rPr>
        <w:t>The Poor and the Poorest</w:t>
      </w:r>
      <w:r w:rsidRPr="00E27DAB">
        <w:rPr>
          <w:rFonts w:cstheme="minorHAnsi"/>
        </w:rPr>
        <w:t>.</w:t>
      </w:r>
    </w:p>
    <w:p w14:paraId="5A8FA7F7" w14:textId="2BCBC15B" w:rsidR="00970113" w:rsidRPr="00E27DAB" w:rsidRDefault="00970113" w:rsidP="00E27DAB">
      <w:pPr>
        <w:spacing w:line="480" w:lineRule="auto"/>
        <w:rPr>
          <w:rFonts w:cstheme="minorHAnsi"/>
        </w:rPr>
      </w:pPr>
      <w:r w:rsidRPr="00E27DAB">
        <w:rPr>
          <w:rFonts w:cstheme="minorHAnsi"/>
        </w:rPr>
        <w:t>Smith, T and Noble, M.(1995) Education Divides Poverty and Schooling in the 1990s.</w:t>
      </w:r>
      <w:r w:rsidR="00AF7F57" w:rsidRPr="00E27DAB">
        <w:rPr>
          <w:rFonts w:cstheme="minorHAnsi"/>
        </w:rPr>
        <w:t xml:space="preserve"> </w:t>
      </w:r>
      <w:r w:rsidRPr="00E27DAB">
        <w:rPr>
          <w:rFonts w:cstheme="minorHAnsi"/>
        </w:rPr>
        <w:t>Child Poverty Action Group: Oxford</w:t>
      </w:r>
      <w:r w:rsidR="00AF7F57" w:rsidRPr="00E27DAB">
        <w:rPr>
          <w:rFonts w:cstheme="minorHAnsi"/>
        </w:rPr>
        <w:t>.</w:t>
      </w:r>
    </w:p>
    <w:p w14:paraId="705DE2AD" w14:textId="79C58F20" w:rsidR="00FD0C8B" w:rsidRPr="00E27DAB" w:rsidRDefault="00FD0C8B" w:rsidP="00E27DAB">
      <w:pPr>
        <w:spacing w:line="480" w:lineRule="auto"/>
        <w:rPr>
          <w:rFonts w:cstheme="minorHAnsi"/>
        </w:rPr>
      </w:pPr>
      <w:r w:rsidRPr="00E27DAB">
        <w:rPr>
          <w:rFonts w:cstheme="minorHAnsi"/>
        </w:rPr>
        <w:t>Statswales.gov.wales. (2019). [online] Available at: https://statswales.gov.wales/Catalogue/Education-and-Skills/Schools-and-Teachers/Examinations-and-Assessments/Key-Stage-2/results-by-freeschoolmealentitlement-gender [Accessed 24 Apr. 2019].</w:t>
      </w:r>
    </w:p>
    <w:p w14:paraId="71BCE83E" w14:textId="2546AA55" w:rsidR="003860A7" w:rsidRPr="00E27DAB" w:rsidRDefault="003860A7" w:rsidP="00E27DAB">
      <w:pPr>
        <w:spacing w:line="480" w:lineRule="auto"/>
        <w:rPr>
          <w:rFonts w:cstheme="minorHAnsi"/>
          <w:lang w:val="en-GB"/>
        </w:rPr>
      </w:pPr>
      <w:r w:rsidRPr="00E27DAB">
        <w:rPr>
          <w:rFonts w:cstheme="minorHAnsi"/>
        </w:rPr>
        <w:t>Suttontrust.com. (2019). [online] Available at: https://www.suttontrust.com/wp-content/uploads/2009/05/Attainment_deprived_schools_full.pdf [Accessed 20 Apr. 2019].</w:t>
      </w:r>
      <w:r w:rsidR="00B90FF3" w:rsidRPr="00E27DAB">
        <w:rPr>
          <w:rFonts w:cstheme="minorHAnsi"/>
        </w:rPr>
        <w:t xml:space="preserve"> </w:t>
      </w:r>
    </w:p>
    <w:p w14:paraId="3FE14949" w14:textId="7A7C64E1" w:rsidR="00696889" w:rsidRPr="00E27DAB" w:rsidRDefault="008D3CFD" w:rsidP="00E27DAB">
      <w:pPr>
        <w:spacing w:line="480" w:lineRule="auto"/>
        <w:rPr>
          <w:rFonts w:cstheme="minorHAnsi"/>
        </w:rPr>
      </w:pPr>
      <w:r w:rsidRPr="00024DA3">
        <w:rPr>
          <w:rFonts w:cstheme="minorHAnsi"/>
          <w:lang w:val="en-GB"/>
        </w:rPr>
        <w:t xml:space="preserve">Taki, Y., Hashizume, H., Sassa, Y., Takeuchi, H., Asano, M., Asano, K. and Kawashima, R., </w:t>
      </w:r>
      <w:r w:rsidR="00024DA3">
        <w:rPr>
          <w:rFonts w:cstheme="minorHAnsi"/>
          <w:lang w:val="en-GB"/>
        </w:rPr>
        <w:t>(</w:t>
      </w:r>
      <w:r w:rsidRPr="00024DA3">
        <w:rPr>
          <w:rFonts w:cstheme="minorHAnsi"/>
          <w:lang w:val="en-GB"/>
        </w:rPr>
        <w:t>2010</w:t>
      </w:r>
      <w:r w:rsidR="00024DA3">
        <w:rPr>
          <w:rFonts w:cstheme="minorHAnsi"/>
          <w:lang w:val="en-GB"/>
        </w:rPr>
        <w:t xml:space="preserve">) </w:t>
      </w:r>
      <w:r w:rsidRPr="00E27DAB">
        <w:rPr>
          <w:rFonts w:cstheme="minorHAnsi"/>
        </w:rPr>
        <w:t xml:space="preserve">Breakfast staple types affect brain gray matter volume and cognitive function in healthy children. </w:t>
      </w:r>
      <w:r w:rsidRPr="00E27DAB">
        <w:rPr>
          <w:rFonts w:cstheme="minorHAnsi"/>
          <w:i/>
          <w:iCs/>
        </w:rPr>
        <w:t>PLoS One</w:t>
      </w:r>
      <w:r w:rsidRPr="00E27DAB">
        <w:rPr>
          <w:rFonts w:cstheme="minorHAnsi"/>
        </w:rPr>
        <w:t xml:space="preserve">, </w:t>
      </w:r>
      <w:r w:rsidRPr="00E27DAB">
        <w:rPr>
          <w:rFonts w:cstheme="minorHAnsi"/>
          <w:i/>
          <w:iCs/>
        </w:rPr>
        <w:t>5</w:t>
      </w:r>
      <w:r w:rsidRPr="00E27DAB">
        <w:rPr>
          <w:rFonts w:cstheme="minorHAnsi"/>
        </w:rPr>
        <w:t>(12), p.e15213.</w:t>
      </w:r>
    </w:p>
    <w:p w14:paraId="3A4E0EA5" w14:textId="4B10D4E4" w:rsidR="00EE1DEC" w:rsidRPr="00E27DAB" w:rsidRDefault="00EE1DEC" w:rsidP="00E27DAB">
      <w:pPr>
        <w:spacing w:line="480" w:lineRule="auto"/>
        <w:rPr>
          <w:rFonts w:cstheme="minorHAnsi"/>
        </w:rPr>
      </w:pPr>
      <w:r w:rsidRPr="00E27DAB">
        <w:rPr>
          <w:rFonts w:cstheme="minorHAnsi"/>
        </w:rPr>
        <w:t>Thesciencenetwork.org. (2019). [online] Available at: http://thesciencenetwork.org/docs/BrainsRUs/Effetcs%20of%20Poverty_Jensen.pdf [Accessed 14 Apr. 2019].</w:t>
      </w:r>
    </w:p>
    <w:p w14:paraId="35A2CABF" w14:textId="1D95840A" w:rsidR="00437684" w:rsidRPr="00E27DAB" w:rsidRDefault="00437684" w:rsidP="00E27DAB">
      <w:pPr>
        <w:spacing w:line="480" w:lineRule="auto"/>
        <w:rPr>
          <w:rFonts w:cstheme="minorHAnsi"/>
        </w:rPr>
      </w:pPr>
      <w:r w:rsidRPr="00E27DAB">
        <w:rPr>
          <w:rFonts w:cstheme="minorHAnsi"/>
        </w:rPr>
        <w:t xml:space="preserve">Tongco, M.D.C., </w:t>
      </w:r>
      <w:r w:rsidR="00024DA3">
        <w:rPr>
          <w:rFonts w:cstheme="minorHAnsi"/>
        </w:rPr>
        <w:t>(</w:t>
      </w:r>
      <w:r w:rsidRPr="00E27DAB">
        <w:rPr>
          <w:rFonts w:cstheme="minorHAnsi"/>
        </w:rPr>
        <w:t>2007</w:t>
      </w:r>
      <w:r w:rsidR="00024DA3">
        <w:rPr>
          <w:rFonts w:cstheme="minorHAnsi"/>
        </w:rPr>
        <w:t>)</w:t>
      </w:r>
      <w:r w:rsidRPr="00E27DAB">
        <w:rPr>
          <w:rFonts w:cstheme="minorHAnsi"/>
        </w:rPr>
        <w:t xml:space="preserve"> Purposive sampling as a tool for informant selection. </w:t>
      </w:r>
      <w:r w:rsidRPr="00E27DAB">
        <w:rPr>
          <w:rFonts w:cstheme="minorHAnsi"/>
          <w:i/>
          <w:iCs/>
        </w:rPr>
        <w:t>Ethnobotany Research and applications</w:t>
      </w:r>
      <w:r w:rsidRPr="00E27DAB">
        <w:rPr>
          <w:rFonts w:cstheme="minorHAnsi"/>
        </w:rPr>
        <w:t xml:space="preserve">, </w:t>
      </w:r>
      <w:r w:rsidRPr="00E27DAB">
        <w:rPr>
          <w:rFonts w:cstheme="minorHAnsi"/>
          <w:i/>
          <w:iCs/>
        </w:rPr>
        <w:t>5</w:t>
      </w:r>
      <w:r w:rsidRPr="00E27DAB">
        <w:rPr>
          <w:rFonts w:cstheme="minorHAnsi"/>
        </w:rPr>
        <w:t>, pp.147-158.</w:t>
      </w:r>
    </w:p>
    <w:p w14:paraId="1E6798E3" w14:textId="35692F9A" w:rsidR="000A3261" w:rsidRPr="00E27DAB" w:rsidRDefault="000A3261" w:rsidP="00E27DAB">
      <w:pPr>
        <w:spacing w:line="480" w:lineRule="auto"/>
        <w:rPr>
          <w:rFonts w:cstheme="minorHAnsi"/>
        </w:rPr>
      </w:pPr>
      <w:r w:rsidRPr="00E27DAB">
        <w:rPr>
          <w:rFonts w:cstheme="minorHAnsi"/>
        </w:rPr>
        <w:t xml:space="preserve">Townsend, P., </w:t>
      </w:r>
      <w:r w:rsidR="00024DA3">
        <w:rPr>
          <w:rFonts w:cstheme="minorHAnsi"/>
        </w:rPr>
        <w:t>(</w:t>
      </w:r>
      <w:r w:rsidRPr="00E27DAB">
        <w:rPr>
          <w:rFonts w:cstheme="minorHAnsi"/>
        </w:rPr>
        <w:t>1979</w:t>
      </w:r>
      <w:r w:rsidR="00024DA3">
        <w:rPr>
          <w:rFonts w:cstheme="minorHAnsi"/>
        </w:rPr>
        <w:t>)0</w:t>
      </w:r>
      <w:r w:rsidRPr="00E27DAB">
        <w:rPr>
          <w:rFonts w:cstheme="minorHAnsi"/>
        </w:rPr>
        <w:t xml:space="preserve"> </w:t>
      </w:r>
      <w:r w:rsidRPr="00E27DAB">
        <w:rPr>
          <w:rFonts w:cstheme="minorHAnsi"/>
          <w:i/>
          <w:iCs/>
        </w:rPr>
        <w:t>Poverty in the United Kingdom: a survey of household resources and standards of living</w:t>
      </w:r>
      <w:r w:rsidRPr="00E27DAB">
        <w:rPr>
          <w:rFonts w:cstheme="minorHAnsi"/>
        </w:rPr>
        <w:t>. Univ of California Press.</w:t>
      </w:r>
    </w:p>
    <w:p w14:paraId="2EE839A6" w14:textId="555DC87E" w:rsidR="0001534A" w:rsidRPr="00E27DAB" w:rsidRDefault="0001534A" w:rsidP="00E27DAB">
      <w:pPr>
        <w:spacing w:line="480" w:lineRule="auto"/>
        <w:rPr>
          <w:rFonts w:cstheme="minorHAnsi"/>
        </w:rPr>
      </w:pPr>
      <w:r w:rsidRPr="00E27DAB">
        <w:rPr>
          <w:rFonts w:cstheme="minorHAnsi"/>
        </w:rPr>
        <w:t xml:space="preserve">United Nations </w:t>
      </w:r>
      <w:r w:rsidR="00024DA3">
        <w:rPr>
          <w:rFonts w:cstheme="minorHAnsi"/>
        </w:rPr>
        <w:t>(</w:t>
      </w:r>
      <w:r w:rsidRPr="00E27DAB">
        <w:rPr>
          <w:rFonts w:cstheme="minorHAnsi"/>
        </w:rPr>
        <w:t>1989</w:t>
      </w:r>
      <w:r w:rsidR="00024DA3">
        <w:rPr>
          <w:rFonts w:cstheme="minorHAnsi"/>
        </w:rPr>
        <w:t>)</w:t>
      </w:r>
      <w:r w:rsidRPr="00E27DAB">
        <w:rPr>
          <w:rFonts w:cstheme="minorHAnsi"/>
        </w:rPr>
        <w:t xml:space="preserve"> Convention on the Rights of the Child, New York: UNICEF.</w:t>
      </w:r>
    </w:p>
    <w:p w14:paraId="0C31BE70" w14:textId="0B3FF0F5" w:rsidR="00024DA3" w:rsidRPr="00024DA3" w:rsidRDefault="00024DA3" w:rsidP="00024DA3">
      <w:pPr>
        <w:spacing w:line="480" w:lineRule="auto"/>
        <w:rPr>
          <w:rFonts w:cs="Arial"/>
          <w:color w:val="000000"/>
        </w:rPr>
      </w:pPr>
      <w:r w:rsidRPr="003836B3">
        <w:rPr>
          <w:rFonts w:cs="Arial"/>
          <w:color w:val="000000"/>
        </w:rPr>
        <w:t xml:space="preserve">Unicef (2005) Children living in </w:t>
      </w:r>
      <w:r w:rsidR="003836B3" w:rsidRPr="003836B3">
        <w:rPr>
          <w:rFonts w:cs="Arial"/>
          <w:color w:val="000000"/>
        </w:rPr>
        <w:t>poverty:</w:t>
      </w:r>
      <w:r w:rsidRPr="003836B3">
        <w:rPr>
          <w:rFonts w:cs="Arial"/>
          <w:color w:val="000000"/>
        </w:rPr>
        <w:t xml:space="preserve"> A review of child poverty definitions, measurements, and policies.</w:t>
      </w:r>
      <w:r w:rsidRPr="00024DA3">
        <w:rPr>
          <w:rFonts w:cs="Arial"/>
          <w:color w:val="000000"/>
        </w:rPr>
        <w:t xml:space="preserve"> Graduate Program in International Affairs New School University. New York. </w:t>
      </w:r>
    </w:p>
    <w:p w14:paraId="40A10915" w14:textId="663B365A" w:rsidR="00B90FF3" w:rsidRPr="00E27DAB" w:rsidRDefault="00B90FF3" w:rsidP="00024DA3">
      <w:pPr>
        <w:spacing w:line="480" w:lineRule="auto"/>
        <w:rPr>
          <w:rFonts w:cstheme="minorHAnsi"/>
        </w:rPr>
      </w:pPr>
      <w:r w:rsidRPr="00E27DAB">
        <w:rPr>
          <w:rFonts w:cstheme="minorHAnsi"/>
        </w:rPr>
        <w:t>Wagle, U.,</w:t>
      </w:r>
      <w:r w:rsidR="00024DA3">
        <w:rPr>
          <w:rFonts w:cstheme="minorHAnsi"/>
        </w:rPr>
        <w:t xml:space="preserve"> (</w:t>
      </w:r>
      <w:r w:rsidRPr="00E27DAB">
        <w:rPr>
          <w:rFonts w:cstheme="minorHAnsi"/>
        </w:rPr>
        <w:t>2002</w:t>
      </w:r>
      <w:r w:rsidR="00024DA3">
        <w:rPr>
          <w:rFonts w:cstheme="minorHAnsi"/>
        </w:rPr>
        <w:t xml:space="preserve">) </w:t>
      </w:r>
      <w:r w:rsidRPr="00E27DAB">
        <w:rPr>
          <w:rFonts w:cstheme="minorHAnsi"/>
        </w:rPr>
        <w:t xml:space="preserve">Rethinking poverty: definition and measurement. </w:t>
      </w:r>
      <w:r w:rsidRPr="00E27DAB">
        <w:rPr>
          <w:rFonts w:cstheme="minorHAnsi"/>
          <w:i/>
          <w:iCs/>
        </w:rPr>
        <w:t>International Social Science Journal</w:t>
      </w:r>
      <w:r w:rsidRPr="00E27DAB">
        <w:rPr>
          <w:rFonts w:cstheme="minorHAnsi"/>
        </w:rPr>
        <w:t xml:space="preserve">, </w:t>
      </w:r>
      <w:r w:rsidRPr="00E27DAB">
        <w:rPr>
          <w:rFonts w:cstheme="minorHAnsi"/>
          <w:i/>
          <w:iCs/>
        </w:rPr>
        <w:t>54</w:t>
      </w:r>
      <w:r w:rsidRPr="00E27DAB">
        <w:rPr>
          <w:rFonts w:cstheme="minorHAnsi"/>
        </w:rPr>
        <w:t>(171), pp.155-165.</w:t>
      </w:r>
    </w:p>
    <w:p w14:paraId="6CDB2B7A" w14:textId="77777777" w:rsidR="00B90FF3" w:rsidRPr="00E27DAB" w:rsidRDefault="00AC200A" w:rsidP="00E27DAB">
      <w:pPr>
        <w:spacing w:line="480" w:lineRule="auto"/>
        <w:rPr>
          <w:rFonts w:cstheme="minorHAnsi"/>
        </w:rPr>
      </w:pPr>
      <w:r w:rsidRPr="00E27DAB">
        <w:rPr>
          <w:rFonts w:cstheme="minorHAnsi"/>
        </w:rPr>
        <w:t>Wales Online (2019). Poorest pupils in one council area have 'half the chance' of achieving good GCSE grades as their more prosperous classmates, new figures reveal. [online] Available at: https://www.walesonline.co.uk/news/local-news/attainment-gap-between-wales-richest-8602468 [Accessed 21 Apr. 2019].</w:t>
      </w:r>
      <w:r w:rsidR="00B90FF3" w:rsidRPr="00E27DAB">
        <w:rPr>
          <w:rFonts w:cstheme="minorHAnsi"/>
        </w:rPr>
        <w:t xml:space="preserve"> </w:t>
      </w:r>
    </w:p>
    <w:p w14:paraId="460A3E6F" w14:textId="2F1FEBDF" w:rsidR="00AC200A" w:rsidRPr="00E27DAB" w:rsidRDefault="00B90FF3" w:rsidP="00E27DAB">
      <w:pPr>
        <w:spacing w:line="480" w:lineRule="auto"/>
        <w:rPr>
          <w:rFonts w:cstheme="minorHAnsi"/>
        </w:rPr>
      </w:pPr>
      <w:r w:rsidRPr="003836B3">
        <w:rPr>
          <w:rFonts w:cstheme="minorHAnsi"/>
        </w:rPr>
        <w:t>Welsh Government (2012) School Effectiveness Grant and Pupil Deprivation Grant: Guidance. Cardiff: Welsh Government</w:t>
      </w:r>
    </w:p>
    <w:p w14:paraId="22EE6319" w14:textId="6547ADBA" w:rsidR="00B90FF3" w:rsidRPr="00E27DAB" w:rsidRDefault="00B90FF3" w:rsidP="00E27DAB">
      <w:pPr>
        <w:spacing w:line="480" w:lineRule="auto"/>
        <w:rPr>
          <w:rFonts w:cstheme="minorHAnsi"/>
        </w:rPr>
      </w:pPr>
      <w:r w:rsidRPr="003836B3">
        <w:rPr>
          <w:rFonts w:cstheme="minorHAnsi"/>
        </w:rPr>
        <w:t>Welsh Government (2015) Child Poverty Strategy for Wales. Cardiff : WAG</w:t>
      </w:r>
    </w:p>
    <w:p w14:paraId="1BFD8CEF" w14:textId="69DFF284" w:rsidR="00C43C91" w:rsidRPr="00E27DAB" w:rsidRDefault="00C43C91" w:rsidP="00E27DAB">
      <w:pPr>
        <w:spacing w:line="480" w:lineRule="auto"/>
        <w:rPr>
          <w:rFonts w:cstheme="minorHAnsi"/>
        </w:rPr>
      </w:pPr>
      <w:r w:rsidRPr="00E27DAB">
        <w:rPr>
          <w:rFonts w:cstheme="minorHAnsi"/>
        </w:rPr>
        <w:t xml:space="preserve">Wiliam, D., </w:t>
      </w:r>
      <w:r w:rsidR="00024DA3">
        <w:rPr>
          <w:rFonts w:cstheme="minorHAnsi"/>
        </w:rPr>
        <w:t>(</w:t>
      </w:r>
      <w:r w:rsidRPr="00E27DAB">
        <w:rPr>
          <w:rFonts w:cstheme="minorHAnsi"/>
        </w:rPr>
        <w:t>2016</w:t>
      </w:r>
      <w:r w:rsidR="00024DA3">
        <w:rPr>
          <w:rFonts w:cstheme="minorHAnsi"/>
        </w:rPr>
        <w:t>)</w:t>
      </w:r>
      <w:r w:rsidRPr="00E27DAB">
        <w:rPr>
          <w:rFonts w:cstheme="minorHAnsi"/>
        </w:rPr>
        <w:t xml:space="preserve"> </w:t>
      </w:r>
      <w:r w:rsidRPr="00E27DAB">
        <w:rPr>
          <w:rFonts w:cstheme="minorHAnsi"/>
          <w:i/>
          <w:iCs/>
        </w:rPr>
        <w:t>Leadership for teacher learning</w:t>
      </w:r>
      <w:r w:rsidRPr="00E27DAB">
        <w:rPr>
          <w:rFonts w:cstheme="minorHAnsi"/>
        </w:rPr>
        <w:t>. West Palm Beach, FL: Learning Sciences International.</w:t>
      </w:r>
    </w:p>
    <w:p w14:paraId="77C477A0" w14:textId="5BEDF705" w:rsidR="001B235A" w:rsidRPr="00E27DAB" w:rsidRDefault="001B235A" w:rsidP="00E27DAB">
      <w:pPr>
        <w:spacing w:line="480" w:lineRule="auto"/>
        <w:rPr>
          <w:rFonts w:cstheme="minorHAnsi"/>
        </w:rPr>
      </w:pPr>
      <w:r w:rsidRPr="00E27DAB">
        <w:rPr>
          <w:rFonts w:cstheme="minorHAnsi"/>
        </w:rPr>
        <w:t>WILLIS, PAUL (1977) Learning to Labour-How Working Class Kids Get Working Class Jobs (Farnborough, Saxon Hou</w:t>
      </w:r>
      <w:r w:rsidR="007709DC" w:rsidRPr="00E27DAB">
        <w:rPr>
          <w:rFonts w:cstheme="minorHAnsi"/>
        </w:rPr>
        <w:t xml:space="preserve">se </w:t>
      </w:r>
    </w:p>
    <w:p w14:paraId="5EE17A03" w14:textId="44101C71" w:rsidR="00067047" w:rsidRPr="00E27DAB" w:rsidRDefault="00067047" w:rsidP="00E27DAB">
      <w:pPr>
        <w:spacing w:line="480" w:lineRule="auto"/>
        <w:rPr>
          <w:rFonts w:cstheme="minorHAnsi"/>
        </w:rPr>
      </w:pPr>
      <w:r w:rsidRPr="00E27DAB">
        <w:rPr>
          <w:rFonts w:cstheme="minorHAnsi"/>
        </w:rPr>
        <w:t xml:space="preserve">WISERD. (2019). </w:t>
      </w:r>
      <w:r w:rsidRPr="00E27DAB">
        <w:rPr>
          <w:rFonts w:cstheme="minorHAnsi"/>
          <w:i/>
          <w:iCs/>
        </w:rPr>
        <w:t>Poverty in Wales: are we getting the full picture?</w:t>
      </w:r>
      <w:r w:rsidRPr="00E27DAB">
        <w:rPr>
          <w:rFonts w:cstheme="minorHAnsi"/>
        </w:rPr>
        <w:t>. [online] Available at: https://wiserd.ac.uk/news/poverty-wales-are-we-getting-full-picture [Accessed 14 Apr. 2019].</w:t>
      </w:r>
    </w:p>
    <w:p w14:paraId="2869D5C0" w14:textId="353BE334" w:rsidR="00103000" w:rsidRPr="00E27DAB" w:rsidRDefault="00103000" w:rsidP="00E27DAB">
      <w:pPr>
        <w:spacing w:line="480" w:lineRule="auto"/>
        <w:rPr>
          <w:rFonts w:cstheme="minorHAnsi"/>
        </w:rPr>
      </w:pPr>
    </w:p>
    <w:p w14:paraId="5E29F6F2" w14:textId="65FE2335" w:rsidR="00BC1F4B" w:rsidRPr="00E27DAB" w:rsidRDefault="00BC1F4B" w:rsidP="00E27DAB">
      <w:pPr>
        <w:pStyle w:val="NormalWeb"/>
        <w:spacing w:before="120" w:beforeAutospacing="0" w:after="0" w:afterAutospacing="0" w:line="480" w:lineRule="auto"/>
        <w:ind w:left="432" w:hanging="432"/>
        <w:textAlignment w:val="baseline"/>
        <w:rPr>
          <w:rFonts w:asciiTheme="minorHAnsi" w:hAnsiTheme="minorHAnsi" w:cstheme="minorHAnsi"/>
          <w:sz w:val="22"/>
          <w:szCs w:val="22"/>
        </w:rPr>
      </w:pPr>
      <w:r w:rsidRPr="00E27DAB">
        <w:rPr>
          <w:rFonts w:asciiTheme="minorHAnsi" w:eastAsia="MS PGothic" w:hAnsiTheme="minorHAnsi" w:cstheme="minorHAnsi"/>
          <w:kern w:val="24"/>
          <w:sz w:val="22"/>
          <w:szCs w:val="22"/>
          <w:lang w:val="en-US"/>
        </w:rPr>
        <w:tab/>
      </w:r>
    </w:p>
    <w:p w14:paraId="2586AFB3" w14:textId="4A2B25CB" w:rsidR="00BC1F4B" w:rsidRPr="00E27DAB" w:rsidRDefault="00BC1F4B" w:rsidP="00E27DAB">
      <w:pPr>
        <w:pStyle w:val="NormalWeb"/>
        <w:spacing w:before="120" w:beforeAutospacing="0" w:after="0" w:afterAutospacing="0" w:line="480" w:lineRule="auto"/>
        <w:ind w:left="432" w:hanging="432"/>
        <w:textAlignment w:val="baseline"/>
        <w:rPr>
          <w:rFonts w:asciiTheme="minorHAnsi" w:hAnsiTheme="minorHAnsi" w:cstheme="minorHAnsi"/>
          <w:sz w:val="22"/>
          <w:szCs w:val="22"/>
        </w:rPr>
      </w:pPr>
      <w:r w:rsidRPr="00E27DAB">
        <w:rPr>
          <w:rFonts w:asciiTheme="minorHAnsi" w:eastAsia="MS PGothic" w:hAnsiTheme="minorHAnsi" w:cstheme="minorHAnsi"/>
          <w:kern w:val="24"/>
          <w:sz w:val="22"/>
          <w:szCs w:val="22"/>
          <w:lang w:val="en-US"/>
        </w:rPr>
        <w:tab/>
      </w:r>
      <w:r w:rsidRPr="00E27DAB">
        <w:rPr>
          <w:rFonts w:asciiTheme="minorHAnsi" w:eastAsia="MS PGothic" w:hAnsiTheme="minorHAnsi" w:cstheme="minorHAnsi"/>
          <w:i/>
          <w:iCs/>
          <w:kern w:val="24"/>
          <w:sz w:val="22"/>
          <w:szCs w:val="22"/>
          <w:lang w:val="en-US"/>
        </w:rPr>
        <w:t xml:space="preserve"> </w:t>
      </w:r>
    </w:p>
    <w:p w14:paraId="75E3882A" w14:textId="77777777" w:rsidR="00B53048" w:rsidRPr="00E27DAB" w:rsidRDefault="00B53048" w:rsidP="00E27DAB">
      <w:pPr>
        <w:spacing w:line="480" w:lineRule="auto"/>
        <w:rPr>
          <w:rFonts w:cstheme="minorHAnsi"/>
          <w:u w:val="single"/>
          <w:lang w:val="en-GB"/>
        </w:rPr>
      </w:pPr>
    </w:p>
    <w:p w14:paraId="50E06C95" w14:textId="77777777" w:rsidR="00B53048" w:rsidRPr="00E27DAB" w:rsidRDefault="00B53048" w:rsidP="00E27DAB">
      <w:pPr>
        <w:spacing w:line="480" w:lineRule="auto"/>
        <w:rPr>
          <w:rFonts w:cstheme="minorHAnsi"/>
          <w:u w:val="single"/>
          <w:lang w:val="en-GB"/>
        </w:rPr>
      </w:pPr>
    </w:p>
    <w:p w14:paraId="749DB4FE" w14:textId="77777777" w:rsidR="00B53048" w:rsidRPr="00E27DAB" w:rsidRDefault="00B53048" w:rsidP="00E27DAB">
      <w:pPr>
        <w:spacing w:line="480" w:lineRule="auto"/>
        <w:rPr>
          <w:rFonts w:cstheme="minorHAnsi"/>
          <w:u w:val="single"/>
          <w:lang w:val="en-GB"/>
        </w:rPr>
      </w:pPr>
    </w:p>
    <w:p w14:paraId="5BFB8FE5" w14:textId="77777777" w:rsidR="00B53048" w:rsidRPr="00E27DAB" w:rsidRDefault="00B53048" w:rsidP="00E27DAB">
      <w:pPr>
        <w:spacing w:line="480" w:lineRule="auto"/>
        <w:rPr>
          <w:rFonts w:cstheme="minorHAnsi"/>
          <w:u w:val="single"/>
          <w:lang w:val="en-GB"/>
        </w:rPr>
      </w:pPr>
    </w:p>
    <w:p w14:paraId="1C834DF6" w14:textId="77777777" w:rsidR="00405321" w:rsidRPr="00E27DAB" w:rsidRDefault="00405321" w:rsidP="00E27DAB">
      <w:pPr>
        <w:spacing w:line="480" w:lineRule="auto"/>
        <w:rPr>
          <w:rFonts w:cstheme="minorHAnsi"/>
          <w:u w:val="single"/>
          <w:lang w:val="en-GB"/>
        </w:rPr>
      </w:pPr>
    </w:p>
    <w:p w14:paraId="2002D82D" w14:textId="77777777" w:rsidR="00405321" w:rsidRPr="00E27DAB" w:rsidRDefault="00405321" w:rsidP="00E27DAB">
      <w:pPr>
        <w:spacing w:line="480" w:lineRule="auto"/>
        <w:rPr>
          <w:rFonts w:cstheme="minorHAnsi"/>
          <w:u w:val="single"/>
          <w:lang w:val="en-GB"/>
        </w:rPr>
      </w:pPr>
    </w:p>
    <w:p w14:paraId="374E99FB" w14:textId="77777777" w:rsidR="00405321" w:rsidRPr="00E27DAB" w:rsidRDefault="00405321" w:rsidP="00E27DAB">
      <w:pPr>
        <w:spacing w:line="480" w:lineRule="auto"/>
        <w:rPr>
          <w:rFonts w:cstheme="minorHAnsi"/>
          <w:u w:val="single"/>
          <w:lang w:val="en-GB"/>
        </w:rPr>
      </w:pPr>
    </w:p>
    <w:p w14:paraId="13E35D6D" w14:textId="77777777" w:rsidR="00405321" w:rsidRPr="00E27DAB" w:rsidRDefault="00405321" w:rsidP="00E27DAB">
      <w:pPr>
        <w:spacing w:line="480" w:lineRule="auto"/>
        <w:rPr>
          <w:rFonts w:cstheme="minorHAnsi"/>
          <w:u w:val="single"/>
          <w:lang w:val="en-GB"/>
        </w:rPr>
      </w:pPr>
    </w:p>
    <w:p w14:paraId="1FC2F8B7" w14:textId="77777777" w:rsidR="00405321" w:rsidRPr="00E27DAB" w:rsidRDefault="00405321" w:rsidP="00E27DAB">
      <w:pPr>
        <w:spacing w:line="480" w:lineRule="auto"/>
        <w:rPr>
          <w:rFonts w:cstheme="minorHAnsi"/>
          <w:u w:val="single"/>
          <w:lang w:val="en-GB"/>
        </w:rPr>
      </w:pPr>
    </w:p>
    <w:p w14:paraId="01CEF548" w14:textId="4A07E8C3" w:rsidR="00B14670" w:rsidRPr="00E27DAB" w:rsidRDefault="00B14670" w:rsidP="00B14670">
      <w:pPr>
        <w:rPr>
          <w:rFonts w:cstheme="minorHAnsi"/>
          <w:noProof/>
          <w:lang w:val="fr-FR"/>
        </w:rPr>
      </w:pPr>
    </w:p>
    <w:p w14:paraId="7E929955" w14:textId="544689A1" w:rsidR="00987809" w:rsidRPr="00E27DAB" w:rsidRDefault="00987809" w:rsidP="006D7EF8">
      <w:pPr>
        <w:tabs>
          <w:tab w:val="left" w:pos="3252"/>
        </w:tabs>
        <w:rPr>
          <w:rFonts w:cstheme="minorHAnsi"/>
          <w:noProof/>
          <w:lang w:val="fr-FR"/>
        </w:rPr>
      </w:pPr>
    </w:p>
    <w:p w14:paraId="0994F539" w14:textId="329041F5" w:rsidR="00987809" w:rsidRPr="00E27DAB" w:rsidRDefault="00987809" w:rsidP="00987809">
      <w:pPr>
        <w:rPr>
          <w:rFonts w:cstheme="minorHAnsi"/>
          <w:lang w:val="fr-FR"/>
        </w:rPr>
      </w:pPr>
    </w:p>
    <w:p w14:paraId="633F1AF6" w14:textId="06FA29BC" w:rsidR="00987809" w:rsidRPr="00E27DAB" w:rsidRDefault="00987809" w:rsidP="00987809">
      <w:pPr>
        <w:rPr>
          <w:rFonts w:cstheme="minorHAnsi"/>
          <w:lang w:val="fr-FR"/>
        </w:rPr>
      </w:pPr>
    </w:p>
    <w:p w14:paraId="461FC705" w14:textId="4C22EDB9" w:rsidR="00987809" w:rsidRPr="00E27DAB" w:rsidRDefault="00987809" w:rsidP="00987809">
      <w:pPr>
        <w:rPr>
          <w:rFonts w:cstheme="minorHAnsi"/>
          <w:lang w:val="fr-FR"/>
        </w:rPr>
      </w:pPr>
    </w:p>
    <w:p w14:paraId="7306A30D" w14:textId="60AA298C" w:rsidR="00987809" w:rsidRPr="00E27DAB" w:rsidRDefault="00987809" w:rsidP="00987809">
      <w:pPr>
        <w:rPr>
          <w:rFonts w:cstheme="minorHAnsi"/>
          <w:lang w:val="fr-FR"/>
        </w:rPr>
      </w:pPr>
    </w:p>
    <w:p w14:paraId="7B08DB90" w14:textId="1DDC1F3F" w:rsidR="00987809" w:rsidRPr="00E27DAB" w:rsidRDefault="00987809" w:rsidP="00987809">
      <w:pPr>
        <w:rPr>
          <w:rFonts w:cstheme="minorHAnsi"/>
          <w:lang w:val="fr-FR"/>
        </w:rPr>
      </w:pPr>
    </w:p>
    <w:p w14:paraId="20A77826" w14:textId="53B90F7D" w:rsidR="00987809" w:rsidRPr="00E27DAB" w:rsidRDefault="00987809" w:rsidP="00987809">
      <w:pPr>
        <w:rPr>
          <w:rFonts w:cstheme="minorHAnsi"/>
          <w:noProof/>
          <w:lang w:val="fr-FR"/>
        </w:rPr>
      </w:pPr>
    </w:p>
    <w:p w14:paraId="7D940566" w14:textId="74F24F13" w:rsidR="00987809" w:rsidRPr="00E27DAB" w:rsidRDefault="00987809" w:rsidP="00987809">
      <w:pPr>
        <w:tabs>
          <w:tab w:val="left" w:pos="948"/>
        </w:tabs>
        <w:rPr>
          <w:rFonts w:cstheme="minorHAnsi"/>
          <w:lang w:val="fr-FR"/>
        </w:rPr>
      </w:pPr>
      <w:r w:rsidRPr="00E27DAB">
        <w:rPr>
          <w:rFonts w:cstheme="minorHAnsi"/>
          <w:lang w:val="fr-FR"/>
        </w:rPr>
        <w:tab/>
      </w:r>
    </w:p>
    <w:p w14:paraId="224722BB" w14:textId="1F090379" w:rsidR="00825554" w:rsidRPr="00E27DAB" w:rsidRDefault="00825554" w:rsidP="00987809">
      <w:pPr>
        <w:tabs>
          <w:tab w:val="left" w:pos="948"/>
        </w:tabs>
        <w:rPr>
          <w:rFonts w:cstheme="minorHAnsi"/>
          <w:lang w:val="en-GB"/>
        </w:rPr>
      </w:pPr>
    </w:p>
    <w:sectPr w:rsidR="00825554" w:rsidRPr="00E27DA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D05BA" w14:textId="77777777" w:rsidR="0004138F" w:rsidRDefault="0004138F" w:rsidP="003D29BB">
      <w:pPr>
        <w:spacing w:after="0" w:line="240" w:lineRule="auto"/>
      </w:pPr>
      <w:r>
        <w:separator/>
      </w:r>
    </w:p>
  </w:endnote>
  <w:endnote w:type="continuationSeparator" w:id="0">
    <w:p w14:paraId="192E6E78" w14:textId="77777777" w:rsidR="0004138F" w:rsidRDefault="0004138F" w:rsidP="003D29BB">
      <w:pPr>
        <w:spacing w:after="0" w:line="240" w:lineRule="auto"/>
      </w:pPr>
      <w:r>
        <w:continuationSeparator/>
      </w:r>
    </w:p>
  </w:endnote>
  <w:endnote w:type="continuationNotice" w:id="1">
    <w:p w14:paraId="246BB799" w14:textId="77777777" w:rsidR="0004138F" w:rsidRDefault="000413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526B7" w14:textId="2EF2BC6B" w:rsidR="00194997" w:rsidRDefault="0019499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42EFA">
      <w:rPr>
        <w:caps/>
        <w:noProof/>
        <w:color w:val="4472C4" w:themeColor="accent1"/>
      </w:rPr>
      <w:t>2</w:t>
    </w:r>
    <w:r>
      <w:rPr>
        <w:caps/>
        <w:noProof/>
        <w:color w:val="4472C4" w:themeColor="accent1"/>
      </w:rPr>
      <w:fldChar w:fldCharType="end"/>
    </w:r>
  </w:p>
  <w:p w14:paraId="5B40CF0C" w14:textId="6394253C" w:rsidR="00194997" w:rsidRDefault="00194997">
    <w:pPr>
      <w:pStyle w:val="Footer"/>
    </w:pPr>
    <w:r>
      <w:t>Harry Corish (1701741)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6AC7D" w14:textId="77777777" w:rsidR="0004138F" w:rsidRDefault="0004138F" w:rsidP="003D29BB">
      <w:pPr>
        <w:spacing w:after="0" w:line="240" w:lineRule="auto"/>
      </w:pPr>
      <w:r>
        <w:separator/>
      </w:r>
    </w:p>
  </w:footnote>
  <w:footnote w:type="continuationSeparator" w:id="0">
    <w:p w14:paraId="781EC574" w14:textId="77777777" w:rsidR="0004138F" w:rsidRDefault="0004138F" w:rsidP="003D29BB">
      <w:pPr>
        <w:spacing w:after="0" w:line="240" w:lineRule="auto"/>
      </w:pPr>
      <w:r>
        <w:continuationSeparator/>
      </w:r>
    </w:p>
  </w:footnote>
  <w:footnote w:type="continuationNotice" w:id="1">
    <w:p w14:paraId="7A96E54C" w14:textId="77777777" w:rsidR="0004138F" w:rsidRDefault="0004138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A5A38"/>
    <w:multiLevelType w:val="multilevel"/>
    <w:tmpl w:val="DDB2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51617"/>
    <w:multiLevelType w:val="hybridMultilevel"/>
    <w:tmpl w:val="2D5EDDAA"/>
    <w:lvl w:ilvl="0" w:tplc="47202804">
      <w:start w:val="1"/>
      <w:numFmt w:val="bullet"/>
      <w:lvlText w:val=""/>
      <w:lvlJc w:val="left"/>
      <w:pPr>
        <w:tabs>
          <w:tab w:val="num" w:pos="720"/>
        </w:tabs>
        <w:ind w:left="720" w:hanging="360"/>
      </w:pPr>
      <w:rPr>
        <w:rFonts w:ascii="Wingdings" w:hAnsi="Wingdings" w:hint="default"/>
      </w:rPr>
    </w:lvl>
    <w:lvl w:ilvl="1" w:tplc="9D9AB560" w:tentative="1">
      <w:start w:val="1"/>
      <w:numFmt w:val="bullet"/>
      <w:lvlText w:val=""/>
      <w:lvlJc w:val="left"/>
      <w:pPr>
        <w:tabs>
          <w:tab w:val="num" w:pos="1440"/>
        </w:tabs>
        <w:ind w:left="1440" w:hanging="360"/>
      </w:pPr>
      <w:rPr>
        <w:rFonts w:ascii="Wingdings" w:hAnsi="Wingdings" w:hint="default"/>
      </w:rPr>
    </w:lvl>
    <w:lvl w:ilvl="2" w:tplc="BA027A82" w:tentative="1">
      <w:start w:val="1"/>
      <w:numFmt w:val="bullet"/>
      <w:lvlText w:val=""/>
      <w:lvlJc w:val="left"/>
      <w:pPr>
        <w:tabs>
          <w:tab w:val="num" w:pos="2160"/>
        </w:tabs>
        <w:ind w:left="2160" w:hanging="360"/>
      </w:pPr>
      <w:rPr>
        <w:rFonts w:ascii="Wingdings" w:hAnsi="Wingdings" w:hint="default"/>
      </w:rPr>
    </w:lvl>
    <w:lvl w:ilvl="3" w:tplc="64741A30" w:tentative="1">
      <w:start w:val="1"/>
      <w:numFmt w:val="bullet"/>
      <w:lvlText w:val=""/>
      <w:lvlJc w:val="left"/>
      <w:pPr>
        <w:tabs>
          <w:tab w:val="num" w:pos="2880"/>
        </w:tabs>
        <w:ind w:left="2880" w:hanging="360"/>
      </w:pPr>
      <w:rPr>
        <w:rFonts w:ascii="Wingdings" w:hAnsi="Wingdings" w:hint="default"/>
      </w:rPr>
    </w:lvl>
    <w:lvl w:ilvl="4" w:tplc="09E874CC" w:tentative="1">
      <w:start w:val="1"/>
      <w:numFmt w:val="bullet"/>
      <w:lvlText w:val=""/>
      <w:lvlJc w:val="left"/>
      <w:pPr>
        <w:tabs>
          <w:tab w:val="num" w:pos="3600"/>
        </w:tabs>
        <w:ind w:left="3600" w:hanging="360"/>
      </w:pPr>
      <w:rPr>
        <w:rFonts w:ascii="Wingdings" w:hAnsi="Wingdings" w:hint="default"/>
      </w:rPr>
    </w:lvl>
    <w:lvl w:ilvl="5" w:tplc="4460734C" w:tentative="1">
      <w:start w:val="1"/>
      <w:numFmt w:val="bullet"/>
      <w:lvlText w:val=""/>
      <w:lvlJc w:val="left"/>
      <w:pPr>
        <w:tabs>
          <w:tab w:val="num" w:pos="4320"/>
        </w:tabs>
        <w:ind w:left="4320" w:hanging="360"/>
      </w:pPr>
      <w:rPr>
        <w:rFonts w:ascii="Wingdings" w:hAnsi="Wingdings" w:hint="default"/>
      </w:rPr>
    </w:lvl>
    <w:lvl w:ilvl="6" w:tplc="AEDA6B86" w:tentative="1">
      <w:start w:val="1"/>
      <w:numFmt w:val="bullet"/>
      <w:lvlText w:val=""/>
      <w:lvlJc w:val="left"/>
      <w:pPr>
        <w:tabs>
          <w:tab w:val="num" w:pos="5040"/>
        </w:tabs>
        <w:ind w:left="5040" w:hanging="360"/>
      </w:pPr>
      <w:rPr>
        <w:rFonts w:ascii="Wingdings" w:hAnsi="Wingdings" w:hint="default"/>
      </w:rPr>
    </w:lvl>
    <w:lvl w:ilvl="7" w:tplc="84EA69B2" w:tentative="1">
      <w:start w:val="1"/>
      <w:numFmt w:val="bullet"/>
      <w:lvlText w:val=""/>
      <w:lvlJc w:val="left"/>
      <w:pPr>
        <w:tabs>
          <w:tab w:val="num" w:pos="5760"/>
        </w:tabs>
        <w:ind w:left="5760" w:hanging="360"/>
      </w:pPr>
      <w:rPr>
        <w:rFonts w:ascii="Wingdings" w:hAnsi="Wingdings" w:hint="default"/>
      </w:rPr>
    </w:lvl>
    <w:lvl w:ilvl="8" w:tplc="2AA2E2E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FB2247"/>
    <w:multiLevelType w:val="multilevel"/>
    <w:tmpl w:val="5180F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B16E34"/>
    <w:multiLevelType w:val="hybridMultilevel"/>
    <w:tmpl w:val="03843680"/>
    <w:lvl w:ilvl="0" w:tplc="58EE3376">
      <w:start w:val="1"/>
      <w:numFmt w:val="bullet"/>
      <w:lvlText w:val=""/>
      <w:lvlJc w:val="left"/>
      <w:pPr>
        <w:tabs>
          <w:tab w:val="num" w:pos="720"/>
        </w:tabs>
        <w:ind w:left="720" w:hanging="360"/>
      </w:pPr>
      <w:rPr>
        <w:rFonts w:ascii="Wingdings" w:hAnsi="Wingdings" w:hint="default"/>
      </w:rPr>
    </w:lvl>
    <w:lvl w:ilvl="1" w:tplc="94FCEC6A" w:tentative="1">
      <w:start w:val="1"/>
      <w:numFmt w:val="bullet"/>
      <w:lvlText w:val=""/>
      <w:lvlJc w:val="left"/>
      <w:pPr>
        <w:tabs>
          <w:tab w:val="num" w:pos="1440"/>
        </w:tabs>
        <w:ind w:left="1440" w:hanging="360"/>
      </w:pPr>
      <w:rPr>
        <w:rFonts w:ascii="Wingdings" w:hAnsi="Wingdings" w:hint="default"/>
      </w:rPr>
    </w:lvl>
    <w:lvl w:ilvl="2" w:tplc="27E01D30" w:tentative="1">
      <w:start w:val="1"/>
      <w:numFmt w:val="bullet"/>
      <w:lvlText w:val=""/>
      <w:lvlJc w:val="left"/>
      <w:pPr>
        <w:tabs>
          <w:tab w:val="num" w:pos="2160"/>
        </w:tabs>
        <w:ind w:left="2160" w:hanging="360"/>
      </w:pPr>
      <w:rPr>
        <w:rFonts w:ascii="Wingdings" w:hAnsi="Wingdings" w:hint="default"/>
      </w:rPr>
    </w:lvl>
    <w:lvl w:ilvl="3" w:tplc="29A28D12" w:tentative="1">
      <w:start w:val="1"/>
      <w:numFmt w:val="bullet"/>
      <w:lvlText w:val=""/>
      <w:lvlJc w:val="left"/>
      <w:pPr>
        <w:tabs>
          <w:tab w:val="num" w:pos="2880"/>
        </w:tabs>
        <w:ind w:left="2880" w:hanging="360"/>
      </w:pPr>
      <w:rPr>
        <w:rFonts w:ascii="Wingdings" w:hAnsi="Wingdings" w:hint="default"/>
      </w:rPr>
    </w:lvl>
    <w:lvl w:ilvl="4" w:tplc="6A107B28" w:tentative="1">
      <w:start w:val="1"/>
      <w:numFmt w:val="bullet"/>
      <w:lvlText w:val=""/>
      <w:lvlJc w:val="left"/>
      <w:pPr>
        <w:tabs>
          <w:tab w:val="num" w:pos="3600"/>
        </w:tabs>
        <w:ind w:left="3600" w:hanging="360"/>
      </w:pPr>
      <w:rPr>
        <w:rFonts w:ascii="Wingdings" w:hAnsi="Wingdings" w:hint="default"/>
      </w:rPr>
    </w:lvl>
    <w:lvl w:ilvl="5" w:tplc="3CE8F472" w:tentative="1">
      <w:start w:val="1"/>
      <w:numFmt w:val="bullet"/>
      <w:lvlText w:val=""/>
      <w:lvlJc w:val="left"/>
      <w:pPr>
        <w:tabs>
          <w:tab w:val="num" w:pos="4320"/>
        </w:tabs>
        <w:ind w:left="4320" w:hanging="360"/>
      </w:pPr>
      <w:rPr>
        <w:rFonts w:ascii="Wingdings" w:hAnsi="Wingdings" w:hint="default"/>
      </w:rPr>
    </w:lvl>
    <w:lvl w:ilvl="6" w:tplc="3C7843C2" w:tentative="1">
      <w:start w:val="1"/>
      <w:numFmt w:val="bullet"/>
      <w:lvlText w:val=""/>
      <w:lvlJc w:val="left"/>
      <w:pPr>
        <w:tabs>
          <w:tab w:val="num" w:pos="5040"/>
        </w:tabs>
        <w:ind w:left="5040" w:hanging="360"/>
      </w:pPr>
      <w:rPr>
        <w:rFonts w:ascii="Wingdings" w:hAnsi="Wingdings" w:hint="default"/>
      </w:rPr>
    </w:lvl>
    <w:lvl w:ilvl="7" w:tplc="F49C857E" w:tentative="1">
      <w:start w:val="1"/>
      <w:numFmt w:val="bullet"/>
      <w:lvlText w:val=""/>
      <w:lvlJc w:val="left"/>
      <w:pPr>
        <w:tabs>
          <w:tab w:val="num" w:pos="5760"/>
        </w:tabs>
        <w:ind w:left="5760" w:hanging="360"/>
      </w:pPr>
      <w:rPr>
        <w:rFonts w:ascii="Wingdings" w:hAnsi="Wingdings" w:hint="default"/>
      </w:rPr>
    </w:lvl>
    <w:lvl w:ilvl="8" w:tplc="A814B22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DC5D84"/>
    <w:multiLevelType w:val="multilevel"/>
    <w:tmpl w:val="BDC6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9602C"/>
    <w:multiLevelType w:val="multilevel"/>
    <w:tmpl w:val="8392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570CD8"/>
    <w:multiLevelType w:val="multilevel"/>
    <w:tmpl w:val="FF0E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7C0F66"/>
    <w:multiLevelType w:val="multilevel"/>
    <w:tmpl w:val="0324F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4"/>
  </w:num>
  <w:num w:numId="5">
    <w:abstractNumId w:val="1"/>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4097">
      <o:colormru v:ext="edit" colors="#ead5f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F31"/>
    <w:rsid w:val="00001854"/>
    <w:rsid w:val="00005604"/>
    <w:rsid w:val="000078C2"/>
    <w:rsid w:val="00012C74"/>
    <w:rsid w:val="000135D1"/>
    <w:rsid w:val="00013AAC"/>
    <w:rsid w:val="0001534A"/>
    <w:rsid w:val="000175D2"/>
    <w:rsid w:val="00020A1C"/>
    <w:rsid w:val="0002186E"/>
    <w:rsid w:val="00024DA3"/>
    <w:rsid w:val="000259E5"/>
    <w:rsid w:val="000324B4"/>
    <w:rsid w:val="00034A2D"/>
    <w:rsid w:val="00034CD2"/>
    <w:rsid w:val="00040B3C"/>
    <w:rsid w:val="0004138F"/>
    <w:rsid w:val="0004144C"/>
    <w:rsid w:val="000417EA"/>
    <w:rsid w:val="0004568B"/>
    <w:rsid w:val="000464BA"/>
    <w:rsid w:val="00047F81"/>
    <w:rsid w:val="0005200D"/>
    <w:rsid w:val="0005569F"/>
    <w:rsid w:val="00056C99"/>
    <w:rsid w:val="0006172F"/>
    <w:rsid w:val="00061811"/>
    <w:rsid w:val="00067047"/>
    <w:rsid w:val="00067603"/>
    <w:rsid w:val="00071BF9"/>
    <w:rsid w:val="00072857"/>
    <w:rsid w:val="00075731"/>
    <w:rsid w:val="000813A2"/>
    <w:rsid w:val="00084006"/>
    <w:rsid w:val="0008404F"/>
    <w:rsid w:val="000859FE"/>
    <w:rsid w:val="00094725"/>
    <w:rsid w:val="00095A03"/>
    <w:rsid w:val="00097E43"/>
    <w:rsid w:val="000A0E5F"/>
    <w:rsid w:val="000A15FE"/>
    <w:rsid w:val="000A3261"/>
    <w:rsid w:val="000B0A58"/>
    <w:rsid w:val="000B1D21"/>
    <w:rsid w:val="000B608C"/>
    <w:rsid w:val="000B6F71"/>
    <w:rsid w:val="000C58E2"/>
    <w:rsid w:val="000C619B"/>
    <w:rsid w:val="000C69E3"/>
    <w:rsid w:val="000D4F02"/>
    <w:rsid w:val="000D7DE2"/>
    <w:rsid w:val="000E133D"/>
    <w:rsid w:val="000E625B"/>
    <w:rsid w:val="000F18F6"/>
    <w:rsid w:val="000F3589"/>
    <w:rsid w:val="000F46E9"/>
    <w:rsid w:val="000F6342"/>
    <w:rsid w:val="00103000"/>
    <w:rsid w:val="00103490"/>
    <w:rsid w:val="00105873"/>
    <w:rsid w:val="00106BE8"/>
    <w:rsid w:val="001167AD"/>
    <w:rsid w:val="00123850"/>
    <w:rsid w:val="001239F9"/>
    <w:rsid w:val="001253E6"/>
    <w:rsid w:val="00126AB6"/>
    <w:rsid w:val="001354AF"/>
    <w:rsid w:val="001378C3"/>
    <w:rsid w:val="00143DD0"/>
    <w:rsid w:val="001443DD"/>
    <w:rsid w:val="00145E39"/>
    <w:rsid w:val="001531A4"/>
    <w:rsid w:val="00155FC4"/>
    <w:rsid w:val="00162C3D"/>
    <w:rsid w:val="00164662"/>
    <w:rsid w:val="001657BD"/>
    <w:rsid w:val="00166AFE"/>
    <w:rsid w:val="00166F5B"/>
    <w:rsid w:val="00172924"/>
    <w:rsid w:val="00174BC4"/>
    <w:rsid w:val="00180A3C"/>
    <w:rsid w:val="001814CF"/>
    <w:rsid w:val="00182BBB"/>
    <w:rsid w:val="00186774"/>
    <w:rsid w:val="00190939"/>
    <w:rsid w:val="00190AAA"/>
    <w:rsid w:val="00193C72"/>
    <w:rsid w:val="00194997"/>
    <w:rsid w:val="001A28DE"/>
    <w:rsid w:val="001A419B"/>
    <w:rsid w:val="001A7D48"/>
    <w:rsid w:val="001B235A"/>
    <w:rsid w:val="001B2CAD"/>
    <w:rsid w:val="001B74A4"/>
    <w:rsid w:val="001B7EEB"/>
    <w:rsid w:val="001C27AF"/>
    <w:rsid w:val="001D4FFB"/>
    <w:rsid w:val="001D6781"/>
    <w:rsid w:val="001D6D24"/>
    <w:rsid w:val="001E6549"/>
    <w:rsid w:val="001E674F"/>
    <w:rsid w:val="001E7C55"/>
    <w:rsid w:val="001F1247"/>
    <w:rsid w:val="001F30A0"/>
    <w:rsid w:val="001F57C9"/>
    <w:rsid w:val="001F5AA1"/>
    <w:rsid w:val="002026ED"/>
    <w:rsid w:val="00205485"/>
    <w:rsid w:val="00205F55"/>
    <w:rsid w:val="00206440"/>
    <w:rsid w:val="00217820"/>
    <w:rsid w:val="00217F46"/>
    <w:rsid w:val="00220615"/>
    <w:rsid w:val="002207B9"/>
    <w:rsid w:val="00220BE1"/>
    <w:rsid w:val="00221CFB"/>
    <w:rsid w:val="00225175"/>
    <w:rsid w:val="00225A9D"/>
    <w:rsid w:val="00226D21"/>
    <w:rsid w:val="00227819"/>
    <w:rsid w:val="0023169C"/>
    <w:rsid w:val="00234035"/>
    <w:rsid w:val="00246B40"/>
    <w:rsid w:val="00250722"/>
    <w:rsid w:val="002575E6"/>
    <w:rsid w:val="002612F9"/>
    <w:rsid w:val="002613EB"/>
    <w:rsid w:val="00266885"/>
    <w:rsid w:val="002756C5"/>
    <w:rsid w:val="00275CF1"/>
    <w:rsid w:val="0028598C"/>
    <w:rsid w:val="0028729D"/>
    <w:rsid w:val="0029345E"/>
    <w:rsid w:val="00296ECA"/>
    <w:rsid w:val="002A2292"/>
    <w:rsid w:val="002A4797"/>
    <w:rsid w:val="002A5356"/>
    <w:rsid w:val="002A55A5"/>
    <w:rsid w:val="002A686D"/>
    <w:rsid w:val="002A6E3A"/>
    <w:rsid w:val="002A7376"/>
    <w:rsid w:val="002B5C16"/>
    <w:rsid w:val="002B7234"/>
    <w:rsid w:val="002D0F73"/>
    <w:rsid w:val="002D40C4"/>
    <w:rsid w:val="002D4E65"/>
    <w:rsid w:val="002D6A28"/>
    <w:rsid w:val="002D72BA"/>
    <w:rsid w:val="002E0C9F"/>
    <w:rsid w:val="002E6EF3"/>
    <w:rsid w:val="002E7441"/>
    <w:rsid w:val="002F20A6"/>
    <w:rsid w:val="002F3468"/>
    <w:rsid w:val="002F438A"/>
    <w:rsid w:val="0030291F"/>
    <w:rsid w:val="00303793"/>
    <w:rsid w:val="00304189"/>
    <w:rsid w:val="003042AB"/>
    <w:rsid w:val="00305075"/>
    <w:rsid w:val="00306132"/>
    <w:rsid w:val="00306364"/>
    <w:rsid w:val="00311A41"/>
    <w:rsid w:val="0031253D"/>
    <w:rsid w:val="003156ED"/>
    <w:rsid w:val="003215EE"/>
    <w:rsid w:val="00321E72"/>
    <w:rsid w:val="00322DE5"/>
    <w:rsid w:val="0032618B"/>
    <w:rsid w:val="003278CC"/>
    <w:rsid w:val="00331A60"/>
    <w:rsid w:val="003325BF"/>
    <w:rsid w:val="00334F87"/>
    <w:rsid w:val="00337FC0"/>
    <w:rsid w:val="00341D0B"/>
    <w:rsid w:val="003428E3"/>
    <w:rsid w:val="003446F2"/>
    <w:rsid w:val="00347B43"/>
    <w:rsid w:val="0035512C"/>
    <w:rsid w:val="00356FF7"/>
    <w:rsid w:val="003577CB"/>
    <w:rsid w:val="00360022"/>
    <w:rsid w:val="00364EAA"/>
    <w:rsid w:val="00370502"/>
    <w:rsid w:val="00372957"/>
    <w:rsid w:val="00372B81"/>
    <w:rsid w:val="0037786F"/>
    <w:rsid w:val="00377969"/>
    <w:rsid w:val="00380619"/>
    <w:rsid w:val="003823E3"/>
    <w:rsid w:val="003831C0"/>
    <w:rsid w:val="003836B3"/>
    <w:rsid w:val="0038380D"/>
    <w:rsid w:val="003860A7"/>
    <w:rsid w:val="003902F2"/>
    <w:rsid w:val="0039589E"/>
    <w:rsid w:val="003A09B6"/>
    <w:rsid w:val="003A2854"/>
    <w:rsid w:val="003A60B2"/>
    <w:rsid w:val="003A7A69"/>
    <w:rsid w:val="003B230B"/>
    <w:rsid w:val="003B3207"/>
    <w:rsid w:val="003C1AD9"/>
    <w:rsid w:val="003C6EA7"/>
    <w:rsid w:val="003C72D3"/>
    <w:rsid w:val="003D1170"/>
    <w:rsid w:val="003D29BB"/>
    <w:rsid w:val="003D5B3B"/>
    <w:rsid w:val="003D7963"/>
    <w:rsid w:val="003E3B8D"/>
    <w:rsid w:val="003E4000"/>
    <w:rsid w:val="003E401E"/>
    <w:rsid w:val="003E4B8B"/>
    <w:rsid w:val="003E4DEB"/>
    <w:rsid w:val="003F00D2"/>
    <w:rsid w:val="003F410A"/>
    <w:rsid w:val="003F69B3"/>
    <w:rsid w:val="003F767F"/>
    <w:rsid w:val="0040450E"/>
    <w:rsid w:val="00405321"/>
    <w:rsid w:val="004139A6"/>
    <w:rsid w:val="00415BDD"/>
    <w:rsid w:val="00415F87"/>
    <w:rsid w:val="004267A9"/>
    <w:rsid w:val="00431B13"/>
    <w:rsid w:val="00431C82"/>
    <w:rsid w:val="00436450"/>
    <w:rsid w:val="004366C1"/>
    <w:rsid w:val="00437684"/>
    <w:rsid w:val="00442EE4"/>
    <w:rsid w:val="004503F4"/>
    <w:rsid w:val="004508FF"/>
    <w:rsid w:val="00451A3A"/>
    <w:rsid w:val="00452E13"/>
    <w:rsid w:val="00453519"/>
    <w:rsid w:val="00454B12"/>
    <w:rsid w:val="00457086"/>
    <w:rsid w:val="00460680"/>
    <w:rsid w:val="0047036D"/>
    <w:rsid w:val="0047448F"/>
    <w:rsid w:val="00474CBA"/>
    <w:rsid w:val="00480BA5"/>
    <w:rsid w:val="004814CB"/>
    <w:rsid w:val="0048343B"/>
    <w:rsid w:val="00486537"/>
    <w:rsid w:val="00486B52"/>
    <w:rsid w:val="00486EE2"/>
    <w:rsid w:val="00487DEA"/>
    <w:rsid w:val="00490C84"/>
    <w:rsid w:val="004920C6"/>
    <w:rsid w:val="00495247"/>
    <w:rsid w:val="004968FE"/>
    <w:rsid w:val="004A0532"/>
    <w:rsid w:val="004A2E97"/>
    <w:rsid w:val="004A67AE"/>
    <w:rsid w:val="004A715D"/>
    <w:rsid w:val="004A7F27"/>
    <w:rsid w:val="004B040F"/>
    <w:rsid w:val="004B49EF"/>
    <w:rsid w:val="004B51E5"/>
    <w:rsid w:val="004B66BB"/>
    <w:rsid w:val="004B7A0F"/>
    <w:rsid w:val="004C005B"/>
    <w:rsid w:val="004C48BF"/>
    <w:rsid w:val="004C5E6E"/>
    <w:rsid w:val="004C5FD0"/>
    <w:rsid w:val="004C7586"/>
    <w:rsid w:val="004D09D2"/>
    <w:rsid w:val="004D2258"/>
    <w:rsid w:val="004D5DF2"/>
    <w:rsid w:val="004E13E0"/>
    <w:rsid w:val="004E14C3"/>
    <w:rsid w:val="004E1ADD"/>
    <w:rsid w:val="004E220E"/>
    <w:rsid w:val="004E3B0D"/>
    <w:rsid w:val="004E51E8"/>
    <w:rsid w:val="004F21B8"/>
    <w:rsid w:val="004F22F8"/>
    <w:rsid w:val="004F35CB"/>
    <w:rsid w:val="004F5585"/>
    <w:rsid w:val="004F6494"/>
    <w:rsid w:val="004F747A"/>
    <w:rsid w:val="005073F3"/>
    <w:rsid w:val="005112E4"/>
    <w:rsid w:val="00511480"/>
    <w:rsid w:val="005134D2"/>
    <w:rsid w:val="005149E7"/>
    <w:rsid w:val="00517CC0"/>
    <w:rsid w:val="00522718"/>
    <w:rsid w:val="00522A1F"/>
    <w:rsid w:val="0052331D"/>
    <w:rsid w:val="00526522"/>
    <w:rsid w:val="00527F4A"/>
    <w:rsid w:val="00532932"/>
    <w:rsid w:val="005371E5"/>
    <w:rsid w:val="005414E4"/>
    <w:rsid w:val="0054196F"/>
    <w:rsid w:val="00542EFA"/>
    <w:rsid w:val="00555D85"/>
    <w:rsid w:val="00556756"/>
    <w:rsid w:val="00556FA8"/>
    <w:rsid w:val="0057000A"/>
    <w:rsid w:val="00570FCA"/>
    <w:rsid w:val="00571718"/>
    <w:rsid w:val="0057235D"/>
    <w:rsid w:val="0057275B"/>
    <w:rsid w:val="0057312C"/>
    <w:rsid w:val="00573444"/>
    <w:rsid w:val="00574075"/>
    <w:rsid w:val="00576A32"/>
    <w:rsid w:val="00577F21"/>
    <w:rsid w:val="0058015F"/>
    <w:rsid w:val="00580662"/>
    <w:rsid w:val="00581016"/>
    <w:rsid w:val="00583674"/>
    <w:rsid w:val="005865FA"/>
    <w:rsid w:val="00587CFB"/>
    <w:rsid w:val="00593C1A"/>
    <w:rsid w:val="005957FB"/>
    <w:rsid w:val="00597AD2"/>
    <w:rsid w:val="005A0815"/>
    <w:rsid w:val="005A14A1"/>
    <w:rsid w:val="005B1107"/>
    <w:rsid w:val="005B4E89"/>
    <w:rsid w:val="005B6B9A"/>
    <w:rsid w:val="005C474E"/>
    <w:rsid w:val="005C5F13"/>
    <w:rsid w:val="005C611B"/>
    <w:rsid w:val="005C7887"/>
    <w:rsid w:val="005D039F"/>
    <w:rsid w:val="005D2A65"/>
    <w:rsid w:val="005D2CC8"/>
    <w:rsid w:val="005D2EFF"/>
    <w:rsid w:val="005D3612"/>
    <w:rsid w:val="005D5540"/>
    <w:rsid w:val="005D79B2"/>
    <w:rsid w:val="005E0915"/>
    <w:rsid w:val="005E1BAA"/>
    <w:rsid w:val="005E39A5"/>
    <w:rsid w:val="005E3B83"/>
    <w:rsid w:val="005E3E32"/>
    <w:rsid w:val="005E414D"/>
    <w:rsid w:val="005E46C7"/>
    <w:rsid w:val="005E7B0E"/>
    <w:rsid w:val="005F00B0"/>
    <w:rsid w:val="005F17BE"/>
    <w:rsid w:val="005F1EBF"/>
    <w:rsid w:val="005F1F9F"/>
    <w:rsid w:val="005F2A56"/>
    <w:rsid w:val="005F4008"/>
    <w:rsid w:val="005F61B0"/>
    <w:rsid w:val="00604763"/>
    <w:rsid w:val="0060604B"/>
    <w:rsid w:val="006065C0"/>
    <w:rsid w:val="0061028B"/>
    <w:rsid w:val="0061727D"/>
    <w:rsid w:val="0062666F"/>
    <w:rsid w:val="00626C7A"/>
    <w:rsid w:val="0063019E"/>
    <w:rsid w:val="00633873"/>
    <w:rsid w:val="0063725B"/>
    <w:rsid w:val="00640575"/>
    <w:rsid w:val="00642646"/>
    <w:rsid w:val="00643AB0"/>
    <w:rsid w:val="00645ECE"/>
    <w:rsid w:val="006479A2"/>
    <w:rsid w:val="00650089"/>
    <w:rsid w:val="00653C94"/>
    <w:rsid w:val="00656D43"/>
    <w:rsid w:val="00661B23"/>
    <w:rsid w:val="00663403"/>
    <w:rsid w:val="006647A8"/>
    <w:rsid w:val="00665DE7"/>
    <w:rsid w:val="00666707"/>
    <w:rsid w:val="00666CF3"/>
    <w:rsid w:val="006804DD"/>
    <w:rsid w:val="0068243C"/>
    <w:rsid w:val="006824A0"/>
    <w:rsid w:val="0068287D"/>
    <w:rsid w:val="00682988"/>
    <w:rsid w:val="00682E23"/>
    <w:rsid w:val="00683C86"/>
    <w:rsid w:val="0068530C"/>
    <w:rsid w:val="006919B5"/>
    <w:rsid w:val="00692B39"/>
    <w:rsid w:val="0069545D"/>
    <w:rsid w:val="00696889"/>
    <w:rsid w:val="006974DD"/>
    <w:rsid w:val="0069754D"/>
    <w:rsid w:val="006A2813"/>
    <w:rsid w:val="006A64C9"/>
    <w:rsid w:val="006B10AA"/>
    <w:rsid w:val="006B57AB"/>
    <w:rsid w:val="006C0C6A"/>
    <w:rsid w:val="006C16E8"/>
    <w:rsid w:val="006C2668"/>
    <w:rsid w:val="006C3B2F"/>
    <w:rsid w:val="006C4CDF"/>
    <w:rsid w:val="006C5EFA"/>
    <w:rsid w:val="006C76A1"/>
    <w:rsid w:val="006D007F"/>
    <w:rsid w:val="006D06E7"/>
    <w:rsid w:val="006D21F8"/>
    <w:rsid w:val="006D7EF8"/>
    <w:rsid w:val="006E0679"/>
    <w:rsid w:val="006E0DD0"/>
    <w:rsid w:val="006E2F9D"/>
    <w:rsid w:val="006E39DB"/>
    <w:rsid w:val="006E4318"/>
    <w:rsid w:val="006F1A45"/>
    <w:rsid w:val="006F27F8"/>
    <w:rsid w:val="006F5E7C"/>
    <w:rsid w:val="006F637E"/>
    <w:rsid w:val="006F7CBB"/>
    <w:rsid w:val="0070198E"/>
    <w:rsid w:val="007020DD"/>
    <w:rsid w:val="00703420"/>
    <w:rsid w:val="00703AFD"/>
    <w:rsid w:val="007055EC"/>
    <w:rsid w:val="00706928"/>
    <w:rsid w:val="00713E52"/>
    <w:rsid w:val="0071684B"/>
    <w:rsid w:val="00721591"/>
    <w:rsid w:val="007219AA"/>
    <w:rsid w:val="00721DC3"/>
    <w:rsid w:val="0072295D"/>
    <w:rsid w:val="00722D7D"/>
    <w:rsid w:val="00724D3A"/>
    <w:rsid w:val="0072656E"/>
    <w:rsid w:val="00726610"/>
    <w:rsid w:val="0072684F"/>
    <w:rsid w:val="00730185"/>
    <w:rsid w:val="007309F1"/>
    <w:rsid w:val="00730B32"/>
    <w:rsid w:val="00731D53"/>
    <w:rsid w:val="007346BD"/>
    <w:rsid w:val="00734AD9"/>
    <w:rsid w:val="00743481"/>
    <w:rsid w:val="00743EE2"/>
    <w:rsid w:val="007459C4"/>
    <w:rsid w:val="0074600E"/>
    <w:rsid w:val="007475B2"/>
    <w:rsid w:val="0074769F"/>
    <w:rsid w:val="00747C05"/>
    <w:rsid w:val="00751B77"/>
    <w:rsid w:val="00753605"/>
    <w:rsid w:val="00754A83"/>
    <w:rsid w:val="00756EDA"/>
    <w:rsid w:val="00762965"/>
    <w:rsid w:val="007631BA"/>
    <w:rsid w:val="00764F14"/>
    <w:rsid w:val="0076595C"/>
    <w:rsid w:val="00767078"/>
    <w:rsid w:val="00767C73"/>
    <w:rsid w:val="007702E0"/>
    <w:rsid w:val="007709DC"/>
    <w:rsid w:val="007709FD"/>
    <w:rsid w:val="00771782"/>
    <w:rsid w:val="007740FB"/>
    <w:rsid w:val="00775E13"/>
    <w:rsid w:val="00781013"/>
    <w:rsid w:val="00784016"/>
    <w:rsid w:val="00790D09"/>
    <w:rsid w:val="00791414"/>
    <w:rsid w:val="00797F2F"/>
    <w:rsid w:val="007A08D8"/>
    <w:rsid w:val="007A39A1"/>
    <w:rsid w:val="007A6521"/>
    <w:rsid w:val="007B0D20"/>
    <w:rsid w:val="007B1C75"/>
    <w:rsid w:val="007B78B9"/>
    <w:rsid w:val="007C6A6B"/>
    <w:rsid w:val="007D2DBA"/>
    <w:rsid w:val="007D43B6"/>
    <w:rsid w:val="007D7FD0"/>
    <w:rsid w:val="007E1679"/>
    <w:rsid w:val="007E28D8"/>
    <w:rsid w:val="007F18FE"/>
    <w:rsid w:val="007F21B2"/>
    <w:rsid w:val="007F3478"/>
    <w:rsid w:val="0080186A"/>
    <w:rsid w:val="00801939"/>
    <w:rsid w:val="00803503"/>
    <w:rsid w:val="008036D7"/>
    <w:rsid w:val="00805C27"/>
    <w:rsid w:val="00806027"/>
    <w:rsid w:val="008076B9"/>
    <w:rsid w:val="00812043"/>
    <w:rsid w:val="008143D8"/>
    <w:rsid w:val="0081532F"/>
    <w:rsid w:val="00820C48"/>
    <w:rsid w:val="008221BB"/>
    <w:rsid w:val="00823668"/>
    <w:rsid w:val="00825554"/>
    <w:rsid w:val="008274F5"/>
    <w:rsid w:val="00830C28"/>
    <w:rsid w:val="00832A9D"/>
    <w:rsid w:val="0083545E"/>
    <w:rsid w:val="00841C90"/>
    <w:rsid w:val="00842C2C"/>
    <w:rsid w:val="00844AC7"/>
    <w:rsid w:val="008456F8"/>
    <w:rsid w:val="0084714B"/>
    <w:rsid w:val="008521DE"/>
    <w:rsid w:val="008605B1"/>
    <w:rsid w:val="00860BB2"/>
    <w:rsid w:val="008614FF"/>
    <w:rsid w:val="00861890"/>
    <w:rsid w:val="00864480"/>
    <w:rsid w:val="00865BA9"/>
    <w:rsid w:val="0087307C"/>
    <w:rsid w:val="008803A7"/>
    <w:rsid w:val="00885ABF"/>
    <w:rsid w:val="00886347"/>
    <w:rsid w:val="008939B8"/>
    <w:rsid w:val="00893D42"/>
    <w:rsid w:val="00893FCB"/>
    <w:rsid w:val="0089561D"/>
    <w:rsid w:val="008959B3"/>
    <w:rsid w:val="0089624A"/>
    <w:rsid w:val="00897020"/>
    <w:rsid w:val="008A000C"/>
    <w:rsid w:val="008A0338"/>
    <w:rsid w:val="008A4C74"/>
    <w:rsid w:val="008A69CB"/>
    <w:rsid w:val="008B0CAD"/>
    <w:rsid w:val="008B2E9A"/>
    <w:rsid w:val="008C414D"/>
    <w:rsid w:val="008C519A"/>
    <w:rsid w:val="008D3CFD"/>
    <w:rsid w:val="008D5236"/>
    <w:rsid w:val="008E0320"/>
    <w:rsid w:val="008E0E98"/>
    <w:rsid w:val="008E2D49"/>
    <w:rsid w:val="008E5325"/>
    <w:rsid w:val="008E59B4"/>
    <w:rsid w:val="008E6D43"/>
    <w:rsid w:val="008F3CA3"/>
    <w:rsid w:val="009053A6"/>
    <w:rsid w:val="0091014A"/>
    <w:rsid w:val="009115D8"/>
    <w:rsid w:val="00911EE8"/>
    <w:rsid w:val="00913F2B"/>
    <w:rsid w:val="00915BDF"/>
    <w:rsid w:val="00917946"/>
    <w:rsid w:val="00917C48"/>
    <w:rsid w:val="00921E07"/>
    <w:rsid w:val="00922077"/>
    <w:rsid w:val="009279FF"/>
    <w:rsid w:val="00930E6F"/>
    <w:rsid w:val="00931444"/>
    <w:rsid w:val="009349DB"/>
    <w:rsid w:val="0093526E"/>
    <w:rsid w:val="0093598D"/>
    <w:rsid w:val="00936B77"/>
    <w:rsid w:val="009419AC"/>
    <w:rsid w:val="0094304F"/>
    <w:rsid w:val="00944A93"/>
    <w:rsid w:val="00945614"/>
    <w:rsid w:val="0094763E"/>
    <w:rsid w:val="009508D6"/>
    <w:rsid w:val="00953223"/>
    <w:rsid w:val="009624A5"/>
    <w:rsid w:val="009641CD"/>
    <w:rsid w:val="00966067"/>
    <w:rsid w:val="00967587"/>
    <w:rsid w:val="00970113"/>
    <w:rsid w:val="00970382"/>
    <w:rsid w:val="00976CA6"/>
    <w:rsid w:val="00980799"/>
    <w:rsid w:val="00980FEB"/>
    <w:rsid w:val="00981B78"/>
    <w:rsid w:val="00982E10"/>
    <w:rsid w:val="00983B9A"/>
    <w:rsid w:val="0098518B"/>
    <w:rsid w:val="00985B39"/>
    <w:rsid w:val="00987274"/>
    <w:rsid w:val="00987809"/>
    <w:rsid w:val="00992ACB"/>
    <w:rsid w:val="00993F37"/>
    <w:rsid w:val="009A5101"/>
    <w:rsid w:val="009A60DE"/>
    <w:rsid w:val="009B1CC4"/>
    <w:rsid w:val="009B1DE7"/>
    <w:rsid w:val="009B2556"/>
    <w:rsid w:val="009B389D"/>
    <w:rsid w:val="009B6EBB"/>
    <w:rsid w:val="009B7A46"/>
    <w:rsid w:val="009C27ED"/>
    <w:rsid w:val="009C2D53"/>
    <w:rsid w:val="009D27FA"/>
    <w:rsid w:val="009D405D"/>
    <w:rsid w:val="009D77BC"/>
    <w:rsid w:val="009E2258"/>
    <w:rsid w:val="009F0293"/>
    <w:rsid w:val="009F1B9A"/>
    <w:rsid w:val="009F4247"/>
    <w:rsid w:val="009F74AE"/>
    <w:rsid w:val="00A016EF"/>
    <w:rsid w:val="00A04145"/>
    <w:rsid w:val="00A06764"/>
    <w:rsid w:val="00A06A7B"/>
    <w:rsid w:val="00A11B49"/>
    <w:rsid w:val="00A11FF7"/>
    <w:rsid w:val="00A15B06"/>
    <w:rsid w:val="00A15C06"/>
    <w:rsid w:val="00A17A32"/>
    <w:rsid w:val="00A21B3F"/>
    <w:rsid w:val="00A2294D"/>
    <w:rsid w:val="00A23877"/>
    <w:rsid w:val="00A263F8"/>
    <w:rsid w:val="00A30DB2"/>
    <w:rsid w:val="00A32D0C"/>
    <w:rsid w:val="00A522AE"/>
    <w:rsid w:val="00A5457F"/>
    <w:rsid w:val="00A55933"/>
    <w:rsid w:val="00A55D9F"/>
    <w:rsid w:val="00A60FDD"/>
    <w:rsid w:val="00A725CF"/>
    <w:rsid w:val="00A732AB"/>
    <w:rsid w:val="00A75F0F"/>
    <w:rsid w:val="00A76A88"/>
    <w:rsid w:val="00A77D29"/>
    <w:rsid w:val="00A80E34"/>
    <w:rsid w:val="00A83AF1"/>
    <w:rsid w:val="00A85D6E"/>
    <w:rsid w:val="00A85E09"/>
    <w:rsid w:val="00A93C5B"/>
    <w:rsid w:val="00AA108A"/>
    <w:rsid w:val="00AA2ECE"/>
    <w:rsid w:val="00AA391D"/>
    <w:rsid w:val="00AA60BD"/>
    <w:rsid w:val="00AA65BA"/>
    <w:rsid w:val="00AA6A3B"/>
    <w:rsid w:val="00AA6D7D"/>
    <w:rsid w:val="00AB0675"/>
    <w:rsid w:val="00AB2165"/>
    <w:rsid w:val="00AB4FBB"/>
    <w:rsid w:val="00AC01E2"/>
    <w:rsid w:val="00AC200A"/>
    <w:rsid w:val="00AC406D"/>
    <w:rsid w:val="00AC55C9"/>
    <w:rsid w:val="00AC5B21"/>
    <w:rsid w:val="00AC5F35"/>
    <w:rsid w:val="00AD49F0"/>
    <w:rsid w:val="00AD4B23"/>
    <w:rsid w:val="00AD55A7"/>
    <w:rsid w:val="00AE027A"/>
    <w:rsid w:val="00AE1ED2"/>
    <w:rsid w:val="00AE4094"/>
    <w:rsid w:val="00AE44EE"/>
    <w:rsid w:val="00AE51EA"/>
    <w:rsid w:val="00AE542E"/>
    <w:rsid w:val="00AE54B2"/>
    <w:rsid w:val="00AE7740"/>
    <w:rsid w:val="00AF72FB"/>
    <w:rsid w:val="00AF7F57"/>
    <w:rsid w:val="00B0156E"/>
    <w:rsid w:val="00B01D13"/>
    <w:rsid w:val="00B03811"/>
    <w:rsid w:val="00B0449C"/>
    <w:rsid w:val="00B05ABC"/>
    <w:rsid w:val="00B07A7F"/>
    <w:rsid w:val="00B11224"/>
    <w:rsid w:val="00B11A51"/>
    <w:rsid w:val="00B11FBE"/>
    <w:rsid w:val="00B14670"/>
    <w:rsid w:val="00B14BD0"/>
    <w:rsid w:val="00B15FF0"/>
    <w:rsid w:val="00B30264"/>
    <w:rsid w:val="00B34F31"/>
    <w:rsid w:val="00B402E7"/>
    <w:rsid w:val="00B50911"/>
    <w:rsid w:val="00B53048"/>
    <w:rsid w:val="00B60B25"/>
    <w:rsid w:val="00B61188"/>
    <w:rsid w:val="00B6259E"/>
    <w:rsid w:val="00B63A10"/>
    <w:rsid w:val="00B63CFA"/>
    <w:rsid w:val="00B65DAB"/>
    <w:rsid w:val="00B667D7"/>
    <w:rsid w:val="00B66A87"/>
    <w:rsid w:val="00B67C29"/>
    <w:rsid w:val="00B70F3B"/>
    <w:rsid w:val="00B77DF6"/>
    <w:rsid w:val="00B8010E"/>
    <w:rsid w:val="00B86E8B"/>
    <w:rsid w:val="00B90FF3"/>
    <w:rsid w:val="00B93FD3"/>
    <w:rsid w:val="00B94EF9"/>
    <w:rsid w:val="00B95070"/>
    <w:rsid w:val="00B96820"/>
    <w:rsid w:val="00BA139E"/>
    <w:rsid w:val="00BA302E"/>
    <w:rsid w:val="00BA39BC"/>
    <w:rsid w:val="00BB239E"/>
    <w:rsid w:val="00BB3928"/>
    <w:rsid w:val="00BB3CF7"/>
    <w:rsid w:val="00BB65A9"/>
    <w:rsid w:val="00BC010E"/>
    <w:rsid w:val="00BC16F1"/>
    <w:rsid w:val="00BC1F4B"/>
    <w:rsid w:val="00BC5671"/>
    <w:rsid w:val="00BC6E8A"/>
    <w:rsid w:val="00BD2982"/>
    <w:rsid w:val="00BD3293"/>
    <w:rsid w:val="00BE08CB"/>
    <w:rsid w:val="00BE2CE9"/>
    <w:rsid w:val="00BE6154"/>
    <w:rsid w:val="00BF27AA"/>
    <w:rsid w:val="00BF53E1"/>
    <w:rsid w:val="00C01361"/>
    <w:rsid w:val="00C1480E"/>
    <w:rsid w:val="00C160CF"/>
    <w:rsid w:val="00C168B6"/>
    <w:rsid w:val="00C20B41"/>
    <w:rsid w:val="00C216A9"/>
    <w:rsid w:val="00C2415C"/>
    <w:rsid w:val="00C26899"/>
    <w:rsid w:val="00C361F6"/>
    <w:rsid w:val="00C36573"/>
    <w:rsid w:val="00C37010"/>
    <w:rsid w:val="00C40EE1"/>
    <w:rsid w:val="00C41881"/>
    <w:rsid w:val="00C43BCB"/>
    <w:rsid w:val="00C43C91"/>
    <w:rsid w:val="00C4412B"/>
    <w:rsid w:val="00C44929"/>
    <w:rsid w:val="00C45204"/>
    <w:rsid w:val="00C46AF7"/>
    <w:rsid w:val="00C5071E"/>
    <w:rsid w:val="00C55B43"/>
    <w:rsid w:val="00C5612E"/>
    <w:rsid w:val="00C66066"/>
    <w:rsid w:val="00C66BED"/>
    <w:rsid w:val="00C6743B"/>
    <w:rsid w:val="00C707F2"/>
    <w:rsid w:val="00C75131"/>
    <w:rsid w:val="00C8254B"/>
    <w:rsid w:val="00C85F24"/>
    <w:rsid w:val="00C90560"/>
    <w:rsid w:val="00C94C99"/>
    <w:rsid w:val="00C952BC"/>
    <w:rsid w:val="00CA162F"/>
    <w:rsid w:val="00CA4CB3"/>
    <w:rsid w:val="00CB000D"/>
    <w:rsid w:val="00CB13D1"/>
    <w:rsid w:val="00CB43A6"/>
    <w:rsid w:val="00CD01DD"/>
    <w:rsid w:val="00CD2AE8"/>
    <w:rsid w:val="00CD2E13"/>
    <w:rsid w:val="00CD4EB8"/>
    <w:rsid w:val="00CD655F"/>
    <w:rsid w:val="00CD6D1F"/>
    <w:rsid w:val="00CD752E"/>
    <w:rsid w:val="00CE1A8C"/>
    <w:rsid w:val="00CE7C00"/>
    <w:rsid w:val="00CF10C3"/>
    <w:rsid w:val="00CF363A"/>
    <w:rsid w:val="00CF51EC"/>
    <w:rsid w:val="00CF5EF0"/>
    <w:rsid w:val="00D01787"/>
    <w:rsid w:val="00D0218E"/>
    <w:rsid w:val="00D04A14"/>
    <w:rsid w:val="00D105DB"/>
    <w:rsid w:val="00D1133F"/>
    <w:rsid w:val="00D168AB"/>
    <w:rsid w:val="00D16F4F"/>
    <w:rsid w:val="00D2682D"/>
    <w:rsid w:val="00D26EE6"/>
    <w:rsid w:val="00D27D44"/>
    <w:rsid w:val="00D318B8"/>
    <w:rsid w:val="00D35478"/>
    <w:rsid w:val="00D35C6B"/>
    <w:rsid w:val="00D369A1"/>
    <w:rsid w:val="00D377B9"/>
    <w:rsid w:val="00D378FF"/>
    <w:rsid w:val="00D40D35"/>
    <w:rsid w:val="00D4107B"/>
    <w:rsid w:val="00D4184D"/>
    <w:rsid w:val="00D429A0"/>
    <w:rsid w:val="00D43F1F"/>
    <w:rsid w:val="00D47A17"/>
    <w:rsid w:val="00D507F9"/>
    <w:rsid w:val="00D52999"/>
    <w:rsid w:val="00D60389"/>
    <w:rsid w:val="00D6161A"/>
    <w:rsid w:val="00D6223A"/>
    <w:rsid w:val="00D62A1F"/>
    <w:rsid w:val="00D70CAD"/>
    <w:rsid w:val="00D714E0"/>
    <w:rsid w:val="00D721D0"/>
    <w:rsid w:val="00D7378C"/>
    <w:rsid w:val="00D73D45"/>
    <w:rsid w:val="00D74371"/>
    <w:rsid w:val="00D8027D"/>
    <w:rsid w:val="00D805FA"/>
    <w:rsid w:val="00D815D5"/>
    <w:rsid w:val="00D8364B"/>
    <w:rsid w:val="00D83A55"/>
    <w:rsid w:val="00D84CFC"/>
    <w:rsid w:val="00D84D78"/>
    <w:rsid w:val="00D85D73"/>
    <w:rsid w:val="00D9059E"/>
    <w:rsid w:val="00D90809"/>
    <w:rsid w:val="00D92204"/>
    <w:rsid w:val="00D93BF5"/>
    <w:rsid w:val="00D94165"/>
    <w:rsid w:val="00D95057"/>
    <w:rsid w:val="00D967D6"/>
    <w:rsid w:val="00DA132F"/>
    <w:rsid w:val="00DA139C"/>
    <w:rsid w:val="00DA63EF"/>
    <w:rsid w:val="00DB1661"/>
    <w:rsid w:val="00DB2D3B"/>
    <w:rsid w:val="00DB3E9D"/>
    <w:rsid w:val="00DB43A9"/>
    <w:rsid w:val="00DB55C9"/>
    <w:rsid w:val="00DC22A1"/>
    <w:rsid w:val="00DC66E6"/>
    <w:rsid w:val="00DD0823"/>
    <w:rsid w:val="00DD6CAA"/>
    <w:rsid w:val="00DE11F2"/>
    <w:rsid w:val="00DE16C4"/>
    <w:rsid w:val="00DE1BD6"/>
    <w:rsid w:val="00DE1E96"/>
    <w:rsid w:val="00DF1683"/>
    <w:rsid w:val="00DF6A10"/>
    <w:rsid w:val="00E03005"/>
    <w:rsid w:val="00E0651F"/>
    <w:rsid w:val="00E105BC"/>
    <w:rsid w:val="00E10E9C"/>
    <w:rsid w:val="00E15100"/>
    <w:rsid w:val="00E15F38"/>
    <w:rsid w:val="00E166EE"/>
    <w:rsid w:val="00E16DCA"/>
    <w:rsid w:val="00E17D95"/>
    <w:rsid w:val="00E17DB8"/>
    <w:rsid w:val="00E206F6"/>
    <w:rsid w:val="00E2323F"/>
    <w:rsid w:val="00E27762"/>
    <w:rsid w:val="00E27DAB"/>
    <w:rsid w:val="00E27F98"/>
    <w:rsid w:val="00E30027"/>
    <w:rsid w:val="00E33EC1"/>
    <w:rsid w:val="00E33F77"/>
    <w:rsid w:val="00E417FF"/>
    <w:rsid w:val="00E52BB4"/>
    <w:rsid w:val="00E53099"/>
    <w:rsid w:val="00E563CE"/>
    <w:rsid w:val="00E5710A"/>
    <w:rsid w:val="00E5787E"/>
    <w:rsid w:val="00E601A2"/>
    <w:rsid w:val="00E60AB3"/>
    <w:rsid w:val="00E63141"/>
    <w:rsid w:val="00E649DB"/>
    <w:rsid w:val="00E65F2F"/>
    <w:rsid w:val="00E664BC"/>
    <w:rsid w:val="00E7157B"/>
    <w:rsid w:val="00E72DD2"/>
    <w:rsid w:val="00E72E2E"/>
    <w:rsid w:val="00E72F2F"/>
    <w:rsid w:val="00E759A5"/>
    <w:rsid w:val="00E75D93"/>
    <w:rsid w:val="00E811CB"/>
    <w:rsid w:val="00E82CBA"/>
    <w:rsid w:val="00E82D4E"/>
    <w:rsid w:val="00E86E05"/>
    <w:rsid w:val="00E87038"/>
    <w:rsid w:val="00E9001C"/>
    <w:rsid w:val="00E92464"/>
    <w:rsid w:val="00EA07BC"/>
    <w:rsid w:val="00EA27F9"/>
    <w:rsid w:val="00EA725F"/>
    <w:rsid w:val="00EA749B"/>
    <w:rsid w:val="00EA7F76"/>
    <w:rsid w:val="00EB34A4"/>
    <w:rsid w:val="00EB3CE4"/>
    <w:rsid w:val="00EB5DCC"/>
    <w:rsid w:val="00EB6C08"/>
    <w:rsid w:val="00EC2FAA"/>
    <w:rsid w:val="00EC3844"/>
    <w:rsid w:val="00EC639A"/>
    <w:rsid w:val="00EC678E"/>
    <w:rsid w:val="00ED1C88"/>
    <w:rsid w:val="00EE1DEC"/>
    <w:rsid w:val="00EE41D6"/>
    <w:rsid w:val="00EE63E8"/>
    <w:rsid w:val="00EE6C46"/>
    <w:rsid w:val="00EF10A2"/>
    <w:rsid w:val="00F00A11"/>
    <w:rsid w:val="00F00F98"/>
    <w:rsid w:val="00F0138D"/>
    <w:rsid w:val="00F0139D"/>
    <w:rsid w:val="00F04100"/>
    <w:rsid w:val="00F07F5E"/>
    <w:rsid w:val="00F12607"/>
    <w:rsid w:val="00F12AE8"/>
    <w:rsid w:val="00F13E39"/>
    <w:rsid w:val="00F1423C"/>
    <w:rsid w:val="00F16C76"/>
    <w:rsid w:val="00F203DF"/>
    <w:rsid w:val="00F219F4"/>
    <w:rsid w:val="00F22325"/>
    <w:rsid w:val="00F2474F"/>
    <w:rsid w:val="00F3137A"/>
    <w:rsid w:val="00F407FC"/>
    <w:rsid w:val="00F419E6"/>
    <w:rsid w:val="00F46764"/>
    <w:rsid w:val="00F47F0A"/>
    <w:rsid w:val="00F620C8"/>
    <w:rsid w:val="00F620DE"/>
    <w:rsid w:val="00F62A19"/>
    <w:rsid w:val="00F63CF0"/>
    <w:rsid w:val="00F70655"/>
    <w:rsid w:val="00F71C02"/>
    <w:rsid w:val="00F74220"/>
    <w:rsid w:val="00F825F7"/>
    <w:rsid w:val="00F8388B"/>
    <w:rsid w:val="00F87BF7"/>
    <w:rsid w:val="00F93567"/>
    <w:rsid w:val="00F95A19"/>
    <w:rsid w:val="00FA0984"/>
    <w:rsid w:val="00FA0EDF"/>
    <w:rsid w:val="00FA1098"/>
    <w:rsid w:val="00FA29B1"/>
    <w:rsid w:val="00FA6652"/>
    <w:rsid w:val="00FB2C31"/>
    <w:rsid w:val="00FB3500"/>
    <w:rsid w:val="00FC06B6"/>
    <w:rsid w:val="00FC2EE4"/>
    <w:rsid w:val="00FC4DF6"/>
    <w:rsid w:val="00FC7C2B"/>
    <w:rsid w:val="00FD018E"/>
    <w:rsid w:val="00FD0C8B"/>
    <w:rsid w:val="00FD53A3"/>
    <w:rsid w:val="00FE039B"/>
    <w:rsid w:val="65FBB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ead5ff"/>
    </o:shapedefaults>
    <o:shapelayout v:ext="edit">
      <o:idmap v:ext="edit" data="1"/>
    </o:shapelayout>
  </w:shapeDefaults>
  <w:decimalSymbol w:val="."/>
  <w:listSeparator w:val=","/>
  <w14:docId w14:val="2A44950C"/>
  <w15:chartTrackingRefBased/>
  <w15:docId w15:val="{C7B161A4-5141-4359-91D9-3DAC51929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A17"/>
    <w:rPr>
      <w:color w:val="0000FF"/>
      <w:u w:val="single"/>
    </w:rPr>
  </w:style>
  <w:style w:type="character" w:customStyle="1" w:styleId="element-invisible">
    <w:name w:val="element-invisible"/>
    <w:basedOn w:val="DefaultParagraphFont"/>
    <w:rsid w:val="00D47A17"/>
  </w:style>
  <w:style w:type="character" w:styleId="Strong">
    <w:name w:val="Strong"/>
    <w:basedOn w:val="DefaultParagraphFont"/>
    <w:uiPriority w:val="22"/>
    <w:qFormat/>
    <w:rsid w:val="00D377B9"/>
    <w:rPr>
      <w:b/>
      <w:bCs/>
    </w:rPr>
  </w:style>
  <w:style w:type="paragraph" w:styleId="NormalWeb">
    <w:name w:val="Normal (Web)"/>
    <w:basedOn w:val="Normal"/>
    <w:uiPriority w:val="99"/>
    <w:unhideWhenUsed/>
    <w:rsid w:val="00BC1F4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70198E"/>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C418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81"/>
    <w:rPr>
      <w:rFonts w:ascii="Segoe UI" w:hAnsi="Segoe UI" w:cs="Segoe UI"/>
      <w:sz w:val="18"/>
      <w:szCs w:val="18"/>
    </w:rPr>
  </w:style>
  <w:style w:type="paragraph" w:styleId="Header">
    <w:name w:val="header"/>
    <w:basedOn w:val="Normal"/>
    <w:link w:val="HeaderChar"/>
    <w:uiPriority w:val="99"/>
    <w:unhideWhenUsed/>
    <w:rsid w:val="003D2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9BB"/>
  </w:style>
  <w:style w:type="paragraph" w:styleId="Footer">
    <w:name w:val="footer"/>
    <w:basedOn w:val="Normal"/>
    <w:link w:val="FooterChar"/>
    <w:uiPriority w:val="99"/>
    <w:unhideWhenUsed/>
    <w:rsid w:val="003D2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9BB"/>
  </w:style>
  <w:style w:type="character" w:styleId="Emphasis">
    <w:name w:val="Emphasis"/>
    <w:basedOn w:val="DefaultParagraphFont"/>
    <w:uiPriority w:val="20"/>
    <w:qFormat/>
    <w:rsid w:val="009B389D"/>
    <w:rPr>
      <w:i/>
      <w:iCs/>
    </w:rPr>
  </w:style>
  <w:style w:type="character" w:customStyle="1" w:styleId="UnresolvedMention">
    <w:name w:val="Unresolved Mention"/>
    <w:basedOn w:val="DefaultParagraphFont"/>
    <w:uiPriority w:val="99"/>
    <w:semiHidden/>
    <w:unhideWhenUsed/>
    <w:rsid w:val="00B90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0594">
      <w:bodyDiv w:val="1"/>
      <w:marLeft w:val="0"/>
      <w:marRight w:val="0"/>
      <w:marTop w:val="0"/>
      <w:marBottom w:val="0"/>
      <w:divBdr>
        <w:top w:val="none" w:sz="0" w:space="0" w:color="auto"/>
        <w:left w:val="none" w:sz="0" w:space="0" w:color="auto"/>
        <w:bottom w:val="none" w:sz="0" w:space="0" w:color="auto"/>
        <w:right w:val="none" w:sz="0" w:space="0" w:color="auto"/>
      </w:divBdr>
      <w:divsChild>
        <w:div w:id="2020965446">
          <w:marLeft w:val="432"/>
          <w:marRight w:val="0"/>
          <w:marTop w:val="120"/>
          <w:marBottom w:val="0"/>
          <w:divBdr>
            <w:top w:val="none" w:sz="0" w:space="0" w:color="auto"/>
            <w:left w:val="none" w:sz="0" w:space="0" w:color="auto"/>
            <w:bottom w:val="none" w:sz="0" w:space="0" w:color="auto"/>
            <w:right w:val="none" w:sz="0" w:space="0" w:color="auto"/>
          </w:divBdr>
        </w:div>
        <w:div w:id="1259754414">
          <w:marLeft w:val="432"/>
          <w:marRight w:val="0"/>
          <w:marTop w:val="120"/>
          <w:marBottom w:val="0"/>
          <w:divBdr>
            <w:top w:val="none" w:sz="0" w:space="0" w:color="auto"/>
            <w:left w:val="none" w:sz="0" w:space="0" w:color="auto"/>
            <w:bottom w:val="none" w:sz="0" w:space="0" w:color="auto"/>
            <w:right w:val="none" w:sz="0" w:space="0" w:color="auto"/>
          </w:divBdr>
        </w:div>
        <w:div w:id="1281837781">
          <w:marLeft w:val="432"/>
          <w:marRight w:val="0"/>
          <w:marTop w:val="120"/>
          <w:marBottom w:val="0"/>
          <w:divBdr>
            <w:top w:val="none" w:sz="0" w:space="0" w:color="auto"/>
            <w:left w:val="none" w:sz="0" w:space="0" w:color="auto"/>
            <w:bottom w:val="none" w:sz="0" w:space="0" w:color="auto"/>
            <w:right w:val="none" w:sz="0" w:space="0" w:color="auto"/>
          </w:divBdr>
        </w:div>
        <w:div w:id="1434742069">
          <w:marLeft w:val="432"/>
          <w:marRight w:val="0"/>
          <w:marTop w:val="120"/>
          <w:marBottom w:val="0"/>
          <w:divBdr>
            <w:top w:val="none" w:sz="0" w:space="0" w:color="auto"/>
            <w:left w:val="none" w:sz="0" w:space="0" w:color="auto"/>
            <w:bottom w:val="none" w:sz="0" w:space="0" w:color="auto"/>
            <w:right w:val="none" w:sz="0" w:space="0" w:color="auto"/>
          </w:divBdr>
        </w:div>
        <w:div w:id="950550929">
          <w:marLeft w:val="432"/>
          <w:marRight w:val="0"/>
          <w:marTop w:val="120"/>
          <w:marBottom w:val="0"/>
          <w:divBdr>
            <w:top w:val="none" w:sz="0" w:space="0" w:color="auto"/>
            <w:left w:val="none" w:sz="0" w:space="0" w:color="auto"/>
            <w:bottom w:val="none" w:sz="0" w:space="0" w:color="auto"/>
            <w:right w:val="none" w:sz="0" w:space="0" w:color="auto"/>
          </w:divBdr>
        </w:div>
        <w:div w:id="342822199">
          <w:marLeft w:val="432"/>
          <w:marRight w:val="0"/>
          <w:marTop w:val="120"/>
          <w:marBottom w:val="0"/>
          <w:divBdr>
            <w:top w:val="none" w:sz="0" w:space="0" w:color="auto"/>
            <w:left w:val="none" w:sz="0" w:space="0" w:color="auto"/>
            <w:bottom w:val="none" w:sz="0" w:space="0" w:color="auto"/>
            <w:right w:val="none" w:sz="0" w:space="0" w:color="auto"/>
          </w:divBdr>
        </w:div>
      </w:divsChild>
    </w:div>
    <w:div w:id="71048682">
      <w:bodyDiv w:val="1"/>
      <w:marLeft w:val="0"/>
      <w:marRight w:val="0"/>
      <w:marTop w:val="0"/>
      <w:marBottom w:val="0"/>
      <w:divBdr>
        <w:top w:val="none" w:sz="0" w:space="0" w:color="auto"/>
        <w:left w:val="none" w:sz="0" w:space="0" w:color="auto"/>
        <w:bottom w:val="none" w:sz="0" w:space="0" w:color="auto"/>
        <w:right w:val="none" w:sz="0" w:space="0" w:color="auto"/>
      </w:divBdr>
    </w:div>
    <w:div w:id="423066375">
      <w:bodyDiv w:val="1"/>
      <w:marLeft w:val="0"/>
      <w:marRight w:val="0"/>
      <w:marTop w:val="0"/>
      <w:marBottom w:val="0"/>
      <w:divBdr>
        <w:top w:val="none" w:sz="0" w:space="0" w:color="auto"/>
        <w:left w:val="none" w:sz="0" w:space="0" w:color="auto"/>
        <w:bottom w:val="none" w:sz="0" w:space="0" w:color="auto"/>
        <w:right w:val="none" w:sz="0" w:space="0" w:color="auto"/>
      </w:divBdr>
    </w:div>
    <w:div w:id="439109234">
      <w:bodyDiv w:val="1"/>
      <w:marLeft w:val="0"/>
      <w:marRight w:val="0"/>
      <w:marTop w:val="0"/>
      <w:marBottom w:val="0"/>
      <w:divBdr>
        <w:top w:val="none" w:sz="0" w:space="0" w:color="auto"/>
        <w:left w:val="none" w:sz="0" w:space="0" w:color="auto"/>
        <w:bottom w:val="none" w:sz="0" w:space="0" w:color="auto"/>
        <w:right w:val="none" w:sz="0" w:space="0" w:color="auto"/>
      </w:divBdr>
    </w:div>
    <w:div w:id="523523671">
      <w:bodyDiv w:val="1"/>
      <w:marLeft w:val="0"/>
      <w:marRight w:val="0"/>
      <w:marTop w:val="0"/>
      <w:marBottom w:val="0"/>
      <w:divBdr>
        <w:top w:val="none" w:sz="0" w:space="0" w:color="auto"/>
        <w:left w:val="none" w:sz="0" w:space="0" w:color="auto"/>
        <w:bottom w:val="none" w:sz="0" w:space="0" w:color="auto"/>
        <w:right w:val="none" w:sz="0" w:space="0" w:color="auto"/>
      </w:divBdr>
    </w:div>
    <w:div w:id="637222439">
      <w:bodyDiv w:val="1"/>
      <w:marLeft w:val="0"/>
      <w:marRight w:val="0"/>
      <w:marTop w:val="0"/>
      <w:marBottom w:val="0"/>
      <w:divBdr>
        <w:top w:val="none" w:sz="0" w:space="0" w:color="auto"/>
        <w:left w:val="none" w:sz="0" w:space="0" w:color="auto"/>
        <w:bottom w:val="none" w:sz="0" w:space="0" w:color="auto"/>
        <w:right w:val="none" w:sz="0" w:space="0" w:color="auto"/>
      </w:divBdr>
    </w:div>
    <w:div w:id="826551814">
      <w:bodyDiv w:val="1"/>
      <w:marLeft w:val="0"/>
      <w:marRight w:val="0"/>
      <w:marTop w:val="0"/>
      <w:marBottom w:val="0"/>
      <w:divBdr>
        <w:top w:val="none" w:sz="0" w:space="0" w:color="auto"/>
        <w:left w:val="none" w:sz="0" w:space="0" w:color="auto"/>
        <w:bottom w:val="none" w:sz="0" w:space="0" w:color="auto"/>
        <w:right w:val="none" w:sz="0" w:space="0" w:color="auto"/>
      </w:divBdr>
    </w:div>
    <w:div w:id="870997216">
      <w:bodyDiv w:val="1"/>
      <w:marLeft w:val="0"/>
      <w:marRight w:val="0"/>
      <w:marTop w:val="0"/>
      <w:marBottom w:val="0"/>
      <w:divBdr>
        <w:top w:val="none" w:sz="0" w:space="0" w:color="auto"/>
        <w:left w:val="none" w:sz="0" w:space="0" w:color="auto"/>
        <w:bottom w:val="none" w:sz="0" w:space="0" w:color="auto"/>
        <w:right w:val="none" w:sz="0" w:space="0" w:color="auto"/>
      </w:divBdr>
      <w:divsChild>
        <w:div w:id="1366951768">
          <w:marLeft w:val="0"/>
          <w:marRight w:val="0"/>
          <w:marTop w:val="0"/>
          <w:marBottom w:val="0"/>
          <w:divBdr>
            <w:top w:val="none" w:sz="0" w:space="0" w:color="auto"/>
            <w:left w:val="none" w:sz="0" w:space="0" w:color="auto"/>
            <w:bottom w:val="none" w:sz="0" w:space="0" w:color="auto"/>
            <w:right w:val="none" w:sz="0" w:space="0" w:color="auto"/>
          </w:divBdr>
        </w:div>
      </w:divsChild>
    </w:div>
    <w:div w:id="969163943">
      <w:bodyDiv w:val="1"/>
      <w:marLeft w:val="0"/>
      <w:marRight w:val="0"/>
      <w:marTop w:val="0"/>
      <w:marBottom w:val="0"/>
      <w:divBdr>
        <w:top w:val="none" w:sz="0" w:space="0" w:color="auto"/>
        <w:left w:val="none" w:sz="0" w:space="0" w:color="auto"/>
        <w:bottom w:val="none" w:sz="0" w:space="0" w:color="auto"/>
        <w:right w:val="none" w:sz="0" w:space="0" w:color="auto"/>
      </w:divBdr>
      <w:divsChild>
        <w:div w:id="1691641763">
          <w:marLeft w:val="0"/>
          <w:marRight w:val="0"/>
          <w:marTop w:val="0"/>
          <w:marBottom w:val="0"/>
          <w:divBdr>
            <w:top w:val="none" w:sz="0" w:space="0" w:color="auto"/>
            <w:left w:val="none" w:sz="0" w:space="0" w:color="auto"/>
            <w:bottom w:val="none" w:sz="0" w:space="0" w:color="auto"/>
            <w:right w:val="none" w:sz="0" w:space="0" w:color="auto"/>
          </w:divBdr>
          <w:divsChild>
            <w:div w:id="331448295">
              <w:marLeft w:val="0"/>
              <w:marRight w:val="120"/>
              <w:marTop w:val="120"/>
              <w:marBottom w:val="480"/>
              <w:divBdr>
                <w:top w:val="none" w:sz="0" w:space="0" w:color="auto"/>
                <w:left w:val="none" w:sz="0" w:space="0" w:color="auto"/>
                <w:bottom w:val="none" w:sz="0" w:space="0" w:color="auto"/>
                <w:right w:val="none" w:sz="0" w:space="0" w:color="auto"/>
              </w:divBdr>
            </w:div>
          </w:divsChild>
        </w:div>
        <w:div w:id="294485953">
          <w:marLeft w:val="0"/>
          <w:marRight w:val="0"/>
          <w:marTop w:val="0"/>
          <w:marBottom w:val="0"/>
          <w:divBdr>
            <w:top w:val="none" w:sz="0" w:space="0" w:color="auto"/>
            <w:left w:val="none" w:sz="0" w:space="0" w:color="auto"/>
            <w:bottom w:val="none" w:sz="0" w:space="0" w:color="auto"/>
            <w:right w:val="none" w:sz="0" w:space="0" w:color="auto"/>
          </w:divBdr>
          <w:divsChild>
            <w:div w:id="361978086">
              <w:marLeft w:val="0"/>
              <w:marRight w:val="0"/>
              <w:marTop w:val="0"/>
              <w:marBottom w:val="0"/>
              <w:divBdr>
                <w:top w:val="none" w:sz="0" w:space="0" w:color="auto"/>
                <w:left w:val="none" w:sz="0" w:space="0" w:color="auto"/>
                <w:bottom w:val="none" w:sz="0" w:space="0" w:color="auto"/>
                <w:right w:val="none" w:sz="0" w:space="0" w:color="auto"/>
              </w:divBdr>
              <w:divsChild>
                <w:div w:id="25972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198437">
      <w:bodyDiv w:val="1"/>
      <w:marLeft w:val="0"/>
      <w:marRight w:val="0"/>
      <w:marTop w:val="0"/>
      <w:marBottom w:val="0"/>
      <w:divBdr>
        <w:top w:val="none" w:sz="0" w:space="0" w:color="auto"/>
        <w:left w:val="none" w:sz="0" w:space="0" w:color="auto"/>
        <w:bottom w:val="none" w:sz="0" w:space="0" w:color="auto"/>
        <w:right w:val="none" w:sz="0" w:space="0" w:color="auto"/>
      </w:divBdr>
    </w:div>
    <w:div w:id="1280911115">
      <w:bodyDiv w:val="1"/>
      <w:marLeft w:val="0"/>
      <w:marRight w:val="0"/>
      <w:marTop w:val="0"/>
      <w:marBottom w:val="0"/>
      <w:divBdr>
        <w:top w:val="none" w:sz="0" w:space="0" w:color="auto"/>
        <w:left w:val="none" w:sz="0" w:space="0" w:color="auto"/>
        <w:bottom w:val="none" w:sz="0" w:space="0" w:color="auto"/>
        <w:right w:val="none" w:sz="0" w:space="0" w:color="auto"/>
      </w:divBdr>
    </w:div>
    <w:div w:id="1385981292">
      <w:bodyDiv w:val="1"/>
      <w:marLeft w:val="0"/>
      <w:marRight w:val="0"/>
      <w:marTop w:val="0"/>
      <w:marBottom w:val="0"/>
      <w:divBdr>
        <w:top w:val="none" w:sz="0" w:space="0" w:color="auto"/>
        <w:left w:val="none" w:sz="0" w:space="0" w:color="auto"/>
        <w:bottom w:val="none" w:sz="0" w:space="0" w:color="auto"/>
        <w:right w:val="none" w:sz="0" w:space="0" w:color="auto"/>
      </w:divBdr>
      <w:divsChild>
        <w:div w:id="1235625466">
          <w:marLeft w:val="432"/>
          <w:marRight w:val="0"/>
          <w:marTop w:val="120"/>
          <w:marBottom w:val="0"/>
          <w:divBdr>
            <w:top w:val="none" w:sz="0" w:space="0" w:color="auto"/>
            <w:left w:val="none" w:sz="0" w:space="0" w:color="auto"/>
            <w:bottom w:val="none" w:sz="0" w:space="0" w:color="auto"/>
            <w:right w:val="none" w:sz="0" w:space="0" w:color="auto"/>
          </w:divBdr>
        </w:div>
        <w:div w:id="175732453">
          <w:marLeft w:val="432"/>
          <w:marRight w:val="0"/>
          <w:marTop w:val="120"/>
          <w:marBottom w:val="0"/>
          <w:divBdr>
            <w:top w:val="none" w:sz="0" w:space="0" w:color="auto"/>
            <w:left w:val="none" w:sz="0" w:space="0" w:color="auto"/>
            <w:bottom w:val="none" w:sz="0" w:space="0" w:color="auto"/>
            <w:right w:val="none" w:sz="0" w:space="0" w:color="auto"/>
          </w:divBdr>
        </w:div>
        <w:div w:id="290286862">
          <w:marLeft w:val="432"/>
          <w:marRight w:val="0"/>
          <w:marTop w:val="120"/>
          <w:marBottom w:val="0"/>
          <w:divBdr>
            <w:top w:val="none" w:sz="0" w:space="0" w:color="auto"/>
            <w:left w:val="none" w:sz="0" w:space="0" w:color="auto"/>
            <w:bottom w:val="none" w:sz="0" w:space="0" w:color="auto"/>
            <w:right w:val="none" w:sz="0" w:space="0" w:color="auto"/>
          </w:divBdr>
        </w:div>
        <w:div w:id="827356882">
          <w:marLeft w:val="432"/>
          <w:marRight w:val="0"/>
          <w:marTop w:val="120"/>
          <w:marBottom w:val="0"/>
          <w:divBdr>
            <w:top w:val="none" w:sz="0" w:space="0" w:color="auto"/>
            <w:left w:val="none" w:sz="0" w:space="0" w:color="auto"/>
            <w:bottom w:val="none" w:sz="0" w:space="0" w:color="auto"/>
            <w:right w:val="none" w:sz="0" w:space="0" w:color="auto"/>
          </w:divBdr>
        </w:div>
        <w:div w:id="96171922">
          <w:marLeft w:val="432"/>
          <w:marRight w:val="0"/>
          <w:marTop w:val="120"/>
          <w:marBottom w:val="0"/>
          <w:divBdr>
            <w:top w:val="none" w:sz="0" w:space="0" w:color="auto"/>
            <w:left w:val="none" w:sz="0" w:space="0" w:color="auto"/>
            <w:bottom w:val="none" w:sz="0" w:space="0" w:color="auto"/>
            <w:right w:val="none" w:sz="0" w:space="0" w:color="auto"/>
          </w:divBdr>
        </w:div>
      </w:divsChild>
    </w:div>
    <w:div w:id="1538935248">
      <w:bodyDiv w:val="1"/>
      <w:marLeft w:val="0"/>
      <w:marRight w:val="0"/>
      <w:marTop w:val="0"/>
      <w:marBottom w:val="0"/>
      <w:divBdr>
        <w:top w:val="none" w:sz="0" w:space="0" w:color="auto"/>
        <w:left w:val="none" w:sz="0" w:space="0" w:color="auto"/>
        <w:bottom w:val="none" w:sz="0" w:space="0" w:color="auto"/>
        <w:right w:val="none" w:sz="0" w:space="0" w:color="auto"/>
      </w:divBdr>
    </w:div>
    <w:div w:id="1764573401">
      <w:bodyDiv w:val="1"/>
      <w:marLeft w:val="0"/>
      <w:marRight w:val="0"/>
      <w:marTop w:val="0"/>
      <w:marBottom w:val="0"/>
      <w:divBdr>
        <w:top w:val="none" w:sz="0" w:space="0" w:color="auto"/>
        <w:left w:val="none" w:sz="0" w:space="0" w:color="auto"/>
        <w:bottom w:val="none" w:sz="0" w:space="0" w:color="auto"/>
        <w:right w:val="none" w:sz="0" w:space="0" w:color="auto"/>
      </w:divBdr>
    </w:div>
    <w:div w:id="1854220599">
      <w:bodyDiv w:val="1"/>
      <w:marLeft w:val="0"/>
      <w:marRight w:val="0"/>
      <w:marTop w:val="0"/>
      <w:marBottom w:val="0"/>
      <w:divBdr>
        <w:top w:val="none" w:sz="0" w:space="0" w:color="auto"/>
        <w:left w:val="none" w:sz="0" w:space="0" w:color="auto"/>
        <w:bottom w:val="none" w:sz="0" w:space="0" w:color="auto"/>
        <w:right w:val="none" w:sz="0" w:space="0" w:color="auto"/>
      </w:divBdr>
    </w:div>
    <w:div w:id="2120640240">
      <w:bodyDiv w:val="1"/>
      <w:marLeft w:val="0"/>
      <w:marRight w:val="0"/>
      <w:marTop w:val="0"/>
      <w:marBottom w:val="0"/>
      <w:divBdr>
        <w:top w:val="none" w:sz="0" w:space="0" w:color="auto"/>
        <w:left w:val="none" w:sz="0" w:space="0" w:color="auto"/>
        <w:bottom w:val="none" w:sz="0" w:space="0" w:color="auto"/>
        <w:right w:val="none" w:sz="0" w:space="0" w:color="auto"/>
      </w:divBdr>
      <w:divsChild>
        <w:div w:id="548885499">
          <w:marLeft w:val="0"/>
          <w:marRight w:val="0"/>
          <w:marTop w:val="0"/>
          <w:marBottom w:val="0"/>
          <w:divBdr>
            <w:top w:val="none" w:sz="0" w:space="0" w:color="auto"/>
            <w:left w:val="none" w:sz="0" w:space="0" w:color="auto"/>
            <w:bottom w:val="none" w:sz="0" w:space="0" w:color="auto"/>
            <w:right w:val="none" w:sz="0" w:space="0" w:color="auto"/>
          </w:divBdr>
          <w:divsChild>
            <w:div w:id="1991015169">
              <w:marLeft w:val="0"/>
              <w:marRight w:val="0"/>
              <w:marTop w:val="0"/>
              <w:marBottom w:val="0"/>
              <w:divBdr>
                <w:top w:val="none" w:sz="0" w:space="0" w:color="auto"/>
                <w:left w:val="none" w:sz="0" w:space="0" w:color="auto"/>
                <w:bottom w:val="none" w:sz="0" w:space="0" w:color="auto"/>
                <w:right w:val="none" w:sz="0" w:space="0" w:color="auto"/>
              </w:divBdr>
              <w:divsChild>
                <w:div w:id="1439452143">
                  <w:marLeft w:val="0"/>
                  <w:marRight w:val="0"/>
                  <w:marTop w:val="0"/>
                  <w:marBottom w:val="0"/>
                  <w:divBdr>
                    <w:top w:val="none" w:sz="0" w:space="0" w:color="auto"/>
                    <w:left w:val="none" w:sz="0" w:space="0" w:color="auto"/>
                    <w:bottom w:val="none" w:sz="0" w:space="0" w:color="auto"/>
                    <w:right w:val="none" w:sz="0" w:space="0" w:color="auto"/>
                  </w:divBdr>
                </w:div>
                <w:div w:id="55135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98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123test.com/is-intelligence-hereditar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rebeccaallen.co.uk/tag/pupil-premi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educationendowmentfoundation.org.uk/evidence-summaries/teaching-learning-toolkit/"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'Form Responses 1'!$G$14</c:f>
              <c:strCache>
                <c:ptCount val="1"/>
                <c:pt idx="0">
                  <c:v>3. How would you define poverty?</c:v>
                </c:pt>
              </c:strCache>
            </c:strRef>
          </c:tx>
          <c:spPr>
            <a:solidFill>
              <a:schemeClr val="accent1"/>
            </a:solidFill>
            <a:ln>
              <a:noFill/>
            </a:ln>
            <a:effectLst/>
          </c:spPr>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1-7798-4945-A0B8-8F23989A5C1B}"/>
              </c:ext>
            </c:extLst>
          </c:dPt>
          <c:dPt>
            <c:idx val="1"/>
            <c:invertIfNegative val="0"/>
            <c:bubble3D val="0"/>
            <c:spPr>
              <a:solidFill>
                <a:srgbClr val="FF0000"/>
              </a:solidFill>
              <a:ln>
                <a:noFill/>
              </a:ln>
              <a:effectLst/>
            </c:spPr>
            <c:extLst>
              <c:ext xmlns:c16="http://schemas.microsoft.com/office/drawing/2014/chart" uri="{C3380CC4-5D6E-409C-BE32-E72D297353CC}">
                <c16:uniqueId val="{00000003-7798-4945-A0B8-8F23989A5C1B}"/>
              </c:ext>
            </c:extLst>
          </c:dPt>
          <c:cat>
            <c:strRef>
              <c:f>'Form Responses 1'!$F$15:$F$17</c:f>
              <c:strCache>
                <c:ptCount val="3"/>
                <c:pt idx="0">
                  <c:v>Material deprivation </c:v>
                </c:pt>
                <c:pt idx="1">
                  <c:v>Social and emotional requirments</c:v>
                </c:pt>
                <c:pt idx="2">
                  <c:v>Absolute poverty </c:v>
                </c:pt>
              </c:strCache>
            </c:strRef>
          </c:cat>
          <c:val>
            <c:numRef>
              <c:f>'Form Responses 1'!$G$15:$G$17</c:f>
              <c:numCache>
                <c:formatCode>General</c:formatCode>
                <c:ptCount val="3"/>
                <c:pt idx="0">
                  <c:v>5</c:v>
                </c:pt>
                <c:pt idx="1">
                  <c:v>2</c:v>
                </c:pt>
                <c:pt idx="2">
                  <c:v>0</c:v>
                </c:pt>
              </c:numCache>
            </c:numRef>
          </c:val>
          <c:extLst>
            <c:ext xmlns:c16="http://schemas.microsoft.com/office/drawing/2014/chart" uri="{C3380CC4-5D6E-409C-BE32-E72D297353CC}">
              <c16:uniqueId val="{00000004-7798-4945-A0B8-8F23989A5C1B}"/>
            </c:ext>
          </c:extLst>
        </c:ser>
        <c:dLbls>
          <c:showLegendKey val="0"/>
          <c:showVal val="0"/>
          <c:showCatName val="0"/>
          <c:showSerName val="0"/>
          <c:showPercent val="0"/>
          <c:showBubbleSize val="0"/>
        </c:dLbls>
        <c:gapWidth val="182"/>
        <c:axId val="483848376"/>
        <c:axId val="516634624"/>
      </c:barChart>
      <c:catAx>
        <c:axId val="4838483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Types</a:t>
                </a:r>
                <a:r>
                  <a:rPr lang="en-GB" baseline="0"/>
                  <a:t> of poverty</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634624"/>
        <c:crosses val="autoZero"/>
        <c:auto val="1"/>
        <c:lblAlgn val="ctr"/>
        <c:lblOffset val="100"/>
        <c:noMultiLvlLbl val="0"/>
      </c:catAx>
      <c:valAx>
        <c:axId val="516634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848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[Questionnaire  (Responses) - with tables.xlsx]Sheet11!PivotTable16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Q17. Is</a:t>
            </a:r>
            <a:r>
              <a:rPr lang="en-GB" baseline="0"/>
              <a:t> the attainmnet gap caused by poverty?</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00B0F0"/>
          </a:solidFill>
          <a:ln>
            <a:noFill/>
          </a:ln>
          <a:effectLst/>
        </c:spPr>
      </c:pivotFmt>
      <c:pivotFmt>
        <c:idx val="2"/>
        <c:spPr>
          <a:solidFill>
            <a:srgbClr val="FF0000"/>
          </a:solidFill>
          <a:ln>
            <a:noFill/>
          </a:ln>
          <a:effectLst/>
        </c:spPr>
      </c:pivotFmt>
      <c:pivotFmt>
        <c:idx val="3"/>
        <c:spPr>
          <a:solidFill>
            <a:srgbClr val="00B050"/>
          </a:solidFill>
          <a:ln>
            <a:noFill/>
          </a:ln>
          <a:effectLst/>
        </c:spPr>
      </c:pivotFmt>
      <c:pivotFmt>
        <c:idx val="4"/>
        <c:spPr>
          <a:solidFill>
            <a:srgbClr val="FFC000"/>
          </a:solidFill>
          <a:ln>
            <a:noFill/>
          </a:ln>
          <a:effectLst/>
        </c:spPr>
      </c:pivotFmt>
      <c:pivotFmt>
        <c:idx val="5"/>
        <c:spPr>
          <a:solidFill>
            <a:srgbClr val="EF41E3"/>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00B0F0"/>
          </a:solidFill>
          <a:ln>
            <a:noFill/>
          </a:ln>
          <a:effectLst/>
        </c:spPr>
      </c:pivotFmt>
      <c:pivotFmt>
        <c:idx val="8"/>
        <c:spPr>
          <a:solidFill>
            <a:srgbClr val="FF0000"/>
          </a:solidFill>
          <a:ln>
            <a:noFill/>
          </a:ln>
          <a:effectLst/>
        </c:spPr>
      </c:pivotFmt>
      <c:pivotFmt>
        <c:idx val="9"/>
        <c:spPr>
          <a:solidFill>
            <a:srgbClr val="00B050"/>
          </a:solidFill>
          <a:ln>
            <a:noFill/>
          </a:ln>
          <a:effectLst/>
        </c:spPr>
      </c:pivotFmt>
      <c:pivotFmt>
        <c:idx val="10"/>
        <c:spPr>
          <a:solidFill>
            <a:srgbClr val="FFC000"/>
          </a:solidFill>
          <a:ln>
            <a:noFill/>
          </a:ln>
          <a:effectLst/>
        </c:spPr>
      </c:pivotFmt>
      <c:pivotFmt>
        <c:idx val="11"/>
        <c:spPr>
          <a:solidFill>
            <a:srgbClr val="EF41E3"/>
          </a:solidFill>
          <a:ln>
            <a:noFill/>
          </a:ln>
          <a:effectLst/>
        </c:spPr>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rgbClr val="00B0F0"/>
          </a:solidFill>
          <a:ln>
            <a:noFill/>
          </a:ln>
          <a:effectLst/>
        </c:spPr>
      </c:pivotFmt>
      <c:pivotFmt>
        <c:idx val="14"/>
        <c:spPr>
          <a:solidFill>
            <a:srgbClr val="FF0000"/>
          </a:solidFill>
          <a:ln>
            <a:noFill/>
          </a:ln>
          <a:effectLst/>
        </c:spPr>
      </c:pivotFmt>
      <c:pivotFmt>
        <c:idx val="15"/>
        <c:spPr>
          <a:solidFill>
            <a:srgbClr val="00B050"/>
          </a:solidFill>
          <a:ln>
            <a:noFill/>
          </a:ln>
          <a:effectLst/>
        </c:spPr>
      </c:pivotFmt>
      <c:pivotFmt>
        <c:idx val="16"/>
        <c:spPr>
          <a:solidFill>
            <a:srgbClr val="FFC000"/>
          </a:solidFill>
          <a:ln>
            <a:noFill/>
          </a:ln>
          <a:effectLst/>
        </c:spPr>
      </c:pivotFmt>
      <c:pivotFmt>
        <c:idx val="17"/>
        <c:spPr>
          <a:solidFill>
            <a:srgbClr val="EF41E3"/>
          </a:solidFill>
          <a:ln>
            <a:noFill/>
          </a:ln>
          <a:effectLst/>
        </c:spPr>
      </c:pivotFmt>
    </c:pivotFmts>
    <c:plotArea>
      <c:layout/>
      <c:barChart>
        <c:barDir val="col"/>
        <c:grouping val="clustered"/>
        <c:varyColors val="0"/>
        <c:ser>
          <c:idx val="0"/>
          <c:order val="0"/>
          <c:tx>
            <c:strRef>
              <c:f>Sheet11!$B$3</c:f>
              <c:strCache>
                <c:ptCount val="1"/>
                <c:pt idx="0">
                  <c:v>Total</c:v>
                </c:pt>
              </c:strCache>
            </c:strRef>
          </c:tx>
          <c:spPr>
            <a:solidFill>
              <a:schemeClr val="accent1"/>
            </a:solidFill>
            <a:ln>
              <a:noFill/>
            </a:ln>
            <a:effectLst/>
          </c:spPr>
          <c:invertIfNegative val="0"/>
          <c:dPt>
            <c:idx val="0"/>
            <c:invertIfNegative val="0"/>
            <c:bubble3D val="0"/>
            <c:spPr>
              <a:solidFill>
                <a:srgbClr val="00B0F0"/>
              </a:solidFill>
              <a:ln>
                <a:noFill/>
              </a:ln>
              <a:effectLst/>
            </c:spPr>
            <c:extLst>
              <c:ext xmlns:c16="http://schemas.microsoft.com/office/drawing/2014/chart" uri="{C3380CC4-5D6E-409C-BE32-E72D297353CC}">
                <c16:uniqueId val="{00000001-44A4-4640-991F-92556DE6CCCB}"/>
              </c:ext>
            </c:extLst>
          </c:dPt>
          <c:dPt>
            <c:idx val="1"/>
            <c:invertIfNegative val="0"/>
            <c:bubble3D val="0"/>
            <c:spPr>
              <a:solidFill>
                <a:srgbClr val="FF0000"/>
              </a:solidFill>
              <a:ln>
                <a:noFill/>
              </a:ln>
              <a:effectLst/>
            </c:spPr>
            <c:extLst>
              <c:ext xmlns:c16="http://schemas.microsoft.com/office/drawing/2014/chart" uri="{C3380CC4-5D6E-409C-BE32-E72D297353CC}">
                <c16:uniqueId val="{00000003-44A4-4640-991F-92556DE6CCCB}"/>
              </c:ext>
            </c:extLst>
          </c:dPt>
          <c:dPt>
            <c:idx val="2"/>
            <c:invertIfNegative val="0"/>
            <c:bubble3D val="0"/>
            <c:spPr>
              <a:solidFill>
                <a:srgbClr val="00B050"/>
              </a:solidFill>
              <a:ln>
                <a:noFill/>
              </a:ln>
              <a:effectLst/>
            </c:spPr>
            <c:extLst>
              <c:ext xmlns:c16="http://schemas.microsoft.com/office/drawing/2014/chart" uri="{C3380CC4-5D6E-409C-BE32-E72D297353CC}">
                <c16:uniqueId val="{00000005-44A4-4640-991F-92556DE6CCCB}"/>
              </c:ext>
            </c:extLst>
          </c:dPt>
          <c:dPt>
            <c:idx val="3"/>
            <c:invertIfNegative val="0"/>
            <c:bubble3D val="0"/>
            <c:spPr>
              <a:solidFill>
                <a:srgbClr val="FFC000"/>
              </a:solidFill>
              <a:ln>
                <a:noFill/>
              </a:ln>
              <a:effectLst/>
            </c:spPr>
            <c:extLst>
              <c:ext xmlns:c16="http://schemas.microsoft.com/office/drawing/2014/chart" uri="{C3380CC4-5D6E-409C-BE32-E72D297353CC}">
                <c16:uniqueId val="{00000007-44A4-4640-991F-92556DE6CCCB}"/>
              </c:ext>
            </c:extLst>
          </c:dPt>
          <c:dPt>
            <c:idx val="4"/>
            <c:invertIfNegative val="0"/>
            <c:bubble3D val="0"/>
            <c:spPr>
              <a:solidFill>
                <a:srgbClr val="EF41E3"/>
              </a:solidFill>
              <a:ln>
                <a:noFill/>
              </a:ln>
              <a:effectLst/>
            </c:spPr>
            <c:extLst>
              <c:ext xmlns:c16="http://schemas.microsoft.com/office/drawing/2014/chart" uri="{C3380CC4-5D6E-409C-BE32-E72D297353CC}">
                <c16:uniqueId val="{00000009-44A4-4640-991F-92556DE6CCCB}"/>
              </c:ext>
            </c:extLst>
          </c:dPt>
          <c:cat>
            <c:strRef>
              <c:f>Sheet11!$A$4:$A$8</c:f>
              <c:strCache>
                <c:ptCount val="5"/>
                <c:pt idx="0">
                  <c:v>Agree</c:v>
                </c:pt>
                <c:pt idx="1">
                  <c:v>Disagree</c:v>
                </c:pt>
                <c:pt idx="2">
                  <c:v>Neither agree nor disagree</c:v>
                </c:pt>
                <c:pt idx="3">
                  <c:v>Strongly agree</c:v>
                </c:pt>
                <c:pt idx="4">
                  <c:v>Strongly disagree</c:v>
                </c:pt>
              </c:strCache>
            </c:strRef>
          </c:cat>
          <c:val>
            <c:numRef>
              <c:f>Sheet11!$B$4:$B$8</c:f>
              <c:numCache>
                <c:formatCode>General</c:formatCode>
                <c:ptCount val="5"/>
                <c:pt idx="0">
                  <c:v>1</c:v>
                </c:pt>
                <c:pt idx="1">
                  <c:v>1</c:v>
                </c:pt>
                <c:pt idx="2">
                  <c:v>1</c:v>
                </c:pt>
                <c:pt idx="3">
                  <c:v>3</c:v>
                </c:pt>
                <c:pt idx="4">
                  <c:v>2</c:v>
                </c:pt>
              </c:numCache>
            </c:numRef>
          </c:val>
          <c:extLst>
            <c:ext xmlns:c16="http://schemas.microsoft.com/office/drawing/2014/chart" uri="{C3380CC4-5D6E-409C-BE32-E72D297353CC}">
              <c16:uniqueId val="{0000000A-44A4-4640-991F-92556DE6CCCB}"/>
            </c:ext>
          </c:extLst>
        </c:ser>
        <c:dLbls>
          <c:showLegendKey val="0"/>
          <c:showVal val="0"/>
          <c:showCatName val="0"/>
          <c:showSerName val="0"/>
          <c:showPercent val="0"/>
          <c:showBubbleSize val="0"/>
        </c:dLbls>
        <c:gapWidth val="219"/>
        <c:overlap val="-27"/>
        <c:axId val="596436632"/>
        <c:axId val="596430728"/>
      </c:barChart>
      <c:catAx>
        <c:axId val="596436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430728"/>
        <c:crosses val="autoZero"/>
        <c:auto val="1"/>
        <c:lblAlgn val="ctr"/>
        <c:lblOffset val="100"/>
        <c:noMultiLvlLbl val="0"/>
      </c:catAx>
      <c:valAx>
        <c:axId val="596430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436632"/>
        <c:crosses val="autoZero"/>
        <c:crossBetween val="between"/>
        <c:majorUnit val="1"/>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[Questionnaire  (Responses) - with tables.xlsx]Sheet4!PivotTable38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Is</a:t>
            </a:r>
            <a:r>
              <a:rPr lang="en-US" baseline="0"/>
              <a:t> there a link between educational attainment and deprivation</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F41E3"/>
          </a:solidFill>
          <a:ln>
            <a:noFill/>
          </a:ln>
          <a:effectLst/>
        </c:spPr>
      </c:pivotFmt>
      <c:pivotFmt>
        <c:idx val="2"/>
        <c:spPr>
          <a:solidFill>
            <a:srgbClr val="7030A0"/>
          </a:solidFill>
          <a:ln>
            <a:noFill/>
          </a:ln>
          <a:effectLst/>
        </c:spPr>
      </c:pivotFmt>
      <c:pivotFmt>
        <c:idx val="3"/>
        <c:spPr>
          <a:solidFill>
            <a:srgbClr val="00B0F0"/>
          </a:solidFill>
          <a:ln>
            <a:noFill/>
          </a:ln>
          <a:effectLst/>
        </c:spPr>
      </c:pivotFmt>
      <c:pivotFmt>
        <c:idx val="4"/>
        <c:spPr>
          <a:solidFill>
            <a:srgbClr val="00B050"/>
          </a:solidFill>
          <a:ln>
            <a:noFill/>
          </a:ln>
          <a:effectLst/>
        </c:spPr>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rgbClr val="EF41E3"/>
          </a:solidFill>
          <a:ln>
            <a:noFill/>
          </a:ln>
          <a:effectLst/>
        </c:spPr>
      </c:pivotFmt>
      <c:pivotFmt>
        <c:idx val="7"/>
        <c:spPr>
          <a:solidFill>
            <a:srgbClr val="7030A0"/>
          </a:solidFill>
          <a:ln>
            <a:noFill/>
          </a:ln>
          <a:effectLst/>
        </c:spPr>
      </c:pivotFmt>
      <c:pivotFmt>
        <c:idx val="8"/>
        <c:spPr>
          <a:solidFill>
            <a:srgbClr val="00B0F0"/>
          </a:solidFill>
          <a:ln>
            <a:noFill/>
          </a:ln>
          <a:effectLst/>
        </c:spPr>
      </c:pivotFmt>
      <c:pivotFmt>
        <c:idx val="9"/>
        <c:spPr>
          <a:solidFill>
            <a:srgbClr val="00B050"/>
          </a:solidFill>
          <a:ln>
            <a:noFill/>
          </a:ln>
          <a:effectLst/>
        </c:spPr>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rgbClr val="EF41E3"/>
          </a:solidFill>
          <a:ln>
            <a:noFill/>
          </a:ln>
          <a:effectLst/>
        </c:spPr>
      </c:pivotFmt>
      <c:pivotFmt>
        <c:idx val="12"/>
        <c:spPr>
          <a:solidFill>
            <a:srgbClr val="7030A0"/>
          </a:solidFill>
          <a:ln>
            <a:noFill/>
          </a:ln>
          <a:effectLst/>
        </c:spPr>
      </c:pivotFmt>
      <c:pivotFmt>
        <c:idx val="13"/>
        <c:spPr>
          <a:solidFill>
            <a:srgbClr val="00B0F0"/>
          </a:solidFill>
          <a:ln>
            <a:noFill/>
          </a:ln>
          <a:effectLst/>
        </c:spPr>
      </c:pivotFmt>
      <c:pivotFmt>
        <c:idx val="14"/>
        <c:spPr>
          <a:solidFill>
            <a:srgbClr val="00B050"/>
          </a:solidFill>
          <a:ln>
            <a:noFill/>
          </a:ln>
          <a:effectLst/>
        </c:spPr>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dPt>
            <c:idx val="0"/>
            <c:invertIfNegative val="0"/>
            <c:bubble3D val="0"/>
            <c:spPr>
              <a:solidFill>
                <a:srgbClr val="EF41E3"/>
              </a:solidFill>
              <a:ln>
                <a:noFill/>
              </a:ln>
              <a:effectLst/>
            </c:spPr>
            <c:extLst>
              <c:ext xmlns:c16="http://schemas.microsoft.com/office/drawing/2014/chart" uri="{C3380CC4-5D6E-409C-BE32-E72D297353CC}">
                <c16:uniqueId val="{00000001-1169-438F-B533-D0E28CC74AA4}"/>
              </c:ext>
            </c:extLst>
          </c:dPt>
          <c:dPt>
            <c:idx val="1"/>
            <c:invertIfNegative val="0"/>
            <c:bubble3D val="0"/>
            <c:spPr>
              <a:solidFill>
                <a:srgbClr val="7030A0"/>
              </a:solidFill>
              <a:ln>
                <a:noFill/>
              </a:ln>
              <a:effectLst/>
            </c:spPr>
            <c:extLst>
              <c:ext xmlns:c16="http://schemas.microsoft.com/office/drawing/2014/chart" uri="{C3380CC4-5D6E-409C-BE32-E72D297353CC}">
                <c16:uniqueId val="{00000003-1169-438F-B533-D0E28CC74AA4}"/>
              </c:ext>
            </c:extLst>
          </c:dPt>
          <c:dPt>
            <c:idx val="2"/>
            <c:invertIfNegative val="0"/>
            <c:bubble3D val="0"/>
            <c:spPr>
              <a:solidFill>
                <a:srgbClr val="00B0F0"/>
              </a:solidFill>
              <a:ln>
                <a:noFill/>
              </a:ln>
              <a:effectLst/>
            </c:spPr>
            <c:extLst>
              <c:ext xmlns:c16="http://schemas.microsoft.com/office/drawing/2014/chart" uri="{C3380CC4-5D6E-409C-BE32-E72D297353CC}">
                <c16:uniqueId val="{00000005-1169-438F-B533-D0E28CC74AA4}"/>
              </c:ext>
            </c:extLst>
          </c:dPt>
          <c:dPt>
            <c:idx val="3"/>
            <c:invertIfNegative val="0"/>
            <c:bubble3D val="0"/>
            <c:spPr>
              <a:solidFill>
                <a:srgbClr val="00B050"/>
              </a:solidFill>
              <a:ln>
                <a:noFill/>
              </a:ln>
              <a:effectLst/>
            </c:spPr>
            <c:extLst>
              <c:ext xmlns:c16="http://schemas.microsoft.com/office/drawing/2014/chart" uri="{C3380CC4-5D6E-409C-BE32-E72D297353CC}">
                <c16:uniqueId val="{00000007-1169-438F-B533-D0E28CC74AA4}"/>
              </c:ext>
            </c:extLst>
          </c:dPt>
          <c:cat>
            <c:strRef>
              <c:f>Sheet4!$A$4:$A$7</c:f>
              <c:strCache>
                <c:ptCount val="4"/>
                <c:pt idx="0">
                  <c:v>Agree</c:v>
                </c:pt>
                <c:pt idx="1">
                  <c:v>Disagree</c:v>
                </c:pt>
                <c:pt idx="2">
                  <c:v>Strongly agree</c:v>
                </c:pt>
                <c:pt idx="3">
                  <c:v>Strongly Disagree</c:v>
                </c:pt>
              </c:strCache>
            </c:strRef>
          </c:cat>
          <c:val>
            <c:numRef>
              <c:f>Sheet4!$B$4:$B$7</c:f>
              <c:numCache>
                <c:formatCode>General</c:formatCode>
                <c:ptCount val="4"/>
                <c:pt idx="0">
                  <c:v>3</c:v>
                </c:pt>
                <c:pt idx="1">
                  <c:v>1</c:v>
                </c:pt>
                <c:pt idx="2">
                  <c:v>3</c:v>
                </c:pt>
                <c:pt idx="3">
                  <c:v>1</c:v>
                </c:pt>
              </c:numCache>
            </c:numRef>
          </c:val>
          <c:extLst>
            <c:ext xmlns:c16="http://schemas.microsoft.com/office/drawing/2014/chart" uri="{C3380CC4-5D6E-409C-BE32-E72D297353CC}">
              <c16:uniqueId val="{00000008-1169-438F-B533-D0E28CC74AA4}"/>
            </c:ext>
          </c:extLst>
        </c:ser>
        <c:dLbls>
          <c:showLegendKey val="0"/>
          <c:showVal val="0"/>
          <c:showCatName val="0"/>
          <c:showSerName val="0"/>
          <c:showPercent val="0"/>
          <c:showBubbleSize val="0"/>
        </c:dLbls>
        <c:gapWidth val="219"/>
        <c:overlap val="-27"/>
        <c:axId val="480514928"/>
        <c:axId val="480513288"/>
      </c:barChart>
      <c:catAx>
        <c:axId val="480514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513288"/>
        <c:crosses val="autoZero"/>
        <c:auto val="1"/>
        <c:lblAlgn val="ctr"/>
        <c:lblOffset val="100"/>
        <c:noMultiLvlLbl val="0"/>
      </c:catAx>
      <c:valAx>
        <c:axId val="480513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514928"/>
        <c:crosses val="autoZero"/>
        <c:crossBetween val="between"/>
        <c:majorUnit val="1"/>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'Form Responses 1'!$U$15</c:f>
              <c:strCache>
                <c:ptCount val="1"/>
                <c:pt idx="0">
                  <c:v>16. Which of the following educational barriers, or challenges, impact pupils from a low economic background within the class?</c:v>
                </c:pt>
              </c:strCache>
            </c:strRef>
          </c:tx>
          <c:spPr>
            <a:solidFill>
              <a:schemeClr val="accent1"/>
            </a:solidFill>
            <a:ln>
              <a:noFill/>
            </a:ln>
            <a:effectLst/>
          </c:spPr>
          <c:invertIfNegative val="0"/>
          <c:dPt>
            <c:idx val="0"/>
            <c:invertIfNegative val="0"/>
            <c:bubble3D val="0"/>
            <c:spPr>
              <a:solidFill>
                <a:srgbClr val="00B0F0"/>
              </a:solidFill>
              <a:ln>
                <a:noFill/>
              </a:ln>
              <a:effectLst/>
            </c:spPr>
            <c:extLst>
              <c:ext xmlns:c16="http://schemas.microsoft.com/office/drawing/2014/chart" uri="{C3380CC4-5D6E-409C-BE32-E72D297353CC}">
                <c16:uniqueId val="{00000001-9BF5-4DDF-9A3C-999033D1F8C3}"/>
              </c:ext>
            </c:extLst>
          </c:dPt>
          <c:dPt>
            <c:idx val="1"/>
            <c:invertIfNegative val="0"/>
            <c:bubble3D val="0"/>
            <c:spPr>
              <a:solidFill>
                <a:srgbClr val="FFFF00"/>
              </a:solidFill>
              <a:ln>
                <a:noFill/>
              </a:ln>
              <a:effectLst/>
            </c:spPr>
            <c:extLst>
              <c:ext xmlns:c16="http://schemas.microsoft.com/office/drawing/2014/chart" uri="{C3380CC4-5D6E-409C-BE32-E72D297353CC}">
                <c16:uniqueId val="{00000003-9BF5-4DDF-9A3C-999033D1F8C3}"/>
              </c:ext>
            </c:extLst>
          </c:dPt>
          <c:dPt>
            <c:idx val="2"/>
            <c:invertIfNegative val="0"/>
            <c:bubble3D val="0"/>
            <c:spPr>
              <a:solidFill>
                <a:srgbClr val="7030A0"/>
              </a:solidFill>
              <a:ln>
                <a:noFill/>
              </a:ln>
              <a:effectLst/>
            </c:spPr>
            <c:extLst>
              <c:ext xmlns:c16="http://schemas.microsoft.com/office/drawing/2014/chart" uri="{C3380CC4-5D6E-409C-BE32-E72D297353CC}">
                <c16:uniqueId val="{00000005-9BF5-4DDF-9A3C-999033D1F8C3}"/>
              </c:ext>
            </c:extLst>
          </c:dPt>
          <c:dPt>
            <c:idx val="3"/>
            <c:invertIfNegative val="0"/>
            <c:bubble3D val="0"/>
            <c:spPr>
              <a:solidFill>
                <a:srgbClr val="002060"/>
              </a:solidFill>
              <a:ln>
                <a:noFill/>
              </a:ln>
              <a:effectLst/>
            </c:spPr>
            <c:extLst>
              <c:ext xmlns:c16="http://schemas.microsoft.com/office/drawing/2014/chart" uri="{C3380CC4-5D6E-409C-BE32-E72D297353CC}">
                <c16:uniqueId val="{00000007-9BF5-4DDF-9A3C-999033D1F8C3}"/>
              </c:ext>
            </c:extLst>
          </c:dPt>
          <c:dPt>
            <c:idx val="4"/>
            <c:invertIfNegative val="0"/>
            <c:bubble3D val="0"/>
            <c:spPr>
              <a:solidFill>
                <a:srgbClr val="FFC000"/>
              </a:solidFill>
              <a:ln>
                <a:noFill/>
              </a:ln>
              <a:effectLst/>
            </c:spPr>
            <c:extLst>
              <c:ext xmlns:c16="http://schemas.microsoft.com/office/drawing/2014/chart" uri="{C3380CC4-5D6E-409C-BE32-E72D297353CC}">
                <c16:uniqueId val="{00000009-9BF5-4DDF-9A3C-999033D1F8C3}"/>
              </c:ext>
            </c:extLst>
          </c:dPt>
          <c:dPt>
            <c:idx val="5"/>
            <c:invertIfNegative val="0"/>
            <c:bubble3D val="0"/>
            <c:spPr>
              <a:solidFill>
                <a:srgbClr val="00B050"/>
              </a:solidFill>
              <a:ln>
                <a:noFill/>
              </a:ln>
              <a:effectLst/>
            </c:spPr>
            <c:extLst>
              <c:ext xmlns:c16="http://schemas.microsoft.com/office/drawing/2014/chart" uri="{C3380CC4-5D6E-409C-BE32-E72D297353CC}">
                <c16:uniqueId val="{0000000B-9BF5-4DDF-9A3C-999033D1F8C3}"/>
              </c:ext>
            </c:extLst>
          </c:dPt>
          <c:dPt>
            <c:idx val="6"/>
            <c:invertIfNegative val="0"/>
            <c:bubble3D val="0"/>
            <c:spPr>
              <a:solidFill>
                <a:srgbClr val="EF41E3"/>
              </a:solidFill>
              <a:ln>
                <a:noFill/>
              </a:ln>
              <a:effectLst/>
            </c:spPr>
            <c:extLst>
              <c:ext xmlns:c16="http://schemas.microsoft.com/office/drawing/2014/chart" uri="{C3380CC4-5D6E-409C-BE32-E72D297353CC}">
                <c16:uniqueId val="{0000000D-9BF5-4DDF-9A3C-999033D1F8C3}"/>
              </c:ext>
            </c:extLst>
          </c:dPt>
          <c:dPt>
            <c:idx val="8"/>
            <c:invertIfNegative val="0"/>
            <c:bubble3D val="0"/>
            <c:spPr>
              <a:solidFill>
                <a:srgbClr val="FF0000"/>
              </a:solidFill>
              <a:ln>
                <a:noFill/>
              </a:ln>
              <a:effectLst/>
            </c:spPr>
            <c:extLst>
              <c:ext xmlns:c16="http://schemas.microsoft.com/office/drawing/2014/chart" uri="{C3380CC4-5D6E-409C-BE32-E72D297353CC}">
                <c16:uniqueId val="{0000000F-9BF5-4DDF-9A3C-999033D1F8C3}"/>
              </c:ext>
            </c:extLst>
          </c:dPt>
          <c:cat>
            <c:strRef>
              <c:f>'Form Responses 1'!$T$16:$T$24</c:f>
              <c:strCache>
                <c:ptCount val="9"/>
                <c:pt idx="0">
                  <c:v>Low attendence </c:v>
                </c:pt>
                <c:pt idx="1">
                  <c:v>Nutritional health</c:v>
                </c:pt>
                <c:pt idx="2">
                  <c:v>Language development </c:v>
                </c:pt>
                <c:pt idx="3">
                  <c:v>Emotional concerns</c:v>
                </c:pt>
                <c:pt idx="4">
                  <c:v>Social skills </c:v>
                </c:pt>
                <c:pt idx="5">
                  <c:v>Lack of parental involvement </c:v>
                </c:pt>
                <c:pt idx="6">
                  <c:v>Achievement gaps </c:v>
                </c:pt>
                <c:pt idx="7">
                  <c:v>Behavioural issues </c:v>
                </c:pt>
                <c:pt idx="8">
                  <c:v>Other</c:v>
                </c:pt>
              </c:strCache>
            </c:strRef>
          </c:cat>
          <c:val>
            <c:numRef>
              <c:f>'Form Responses 1'!$U$16:$U$24</c:f>
              <c:numCache>
                <c:formatCode>General</c:formatCode>
                <c:ptCount val="9"/>
                <c:pt idx="0">
                  <c:v>6</c:v>
                </c:pt>
                <c:pt idx="1">
                  <c:v>5</c:v>
                </c:pt>
                <c:pt idx="2">
                  <c:v>7</c:v>
                </c:pt>
                <c:pt idx="3">
                  <c:v>7</c:v>
                </c:pt>
                <c:pt idx="4">
                  <c:v>5</c:v>
                </c:pt>
                <c:pt idx="5">
                  <c:v>8</c:v>
                </c:pt>
                <c:pt idx="6">
                  <c:v>3</c:v>
                </c:pt>
                <c:pt idx="7">
                  <c:v>5</c:v>
                </c:pt>
                <c:pt idx="8">
                  <c:v>2</c:v>
                </c:pt>
              </c:numCache>
            </c:numRef>
          </c:val>
          <c:extLst>
            <c:ext xmlns:c16="http://schemas.microsoft.com/office/drawing/2014/chart" uri="{C3380CC4-5D6E-409C-BE32-E72D297353CC}">
              <c16:uniqueId val="{00000010-9BF5-4DDF-9A3C-999033D1F8C3}"/>
            </c:ext>
          </c:extLst>
        </c:ser>
        <c:dLbls>
          <c:showLegendKey val="0"/>
          <c:showVal val="0"/>
          <c:showCatName val="0"/>
          <c:showSerName val="0"/>
          <c:showPercent val="0"/>
          <c:showBubbleSize val="0"/>
        </c:dLbls>
        <c:gapWidth val="182"/>
        <c:axId val="596424824"/>
        <c:axId val="596426464"/>
      </c:barChart>
      <c:catAx>
        <c:axId val="59642482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Types</a:t>
                </a:r>
                <a:r>
                  <a:rPr lang="en-GB" baseline="0"/>
                  <a:t> of educational barriers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426464"/>
        <c:crosses val="autoZero"/>
        <c:auto val="1"/>
        <c:lblAlgn val="ctr"/>
        <c:lblOffset val="100"/>
        <c:noMultiLvlLbl val="0"/>
      </c:catAx>
      <c:valAx>
        <c:axId val="596426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424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 'There is</a:t>
            </a:r>
            <a:r>
              <a:rPr lang="en-US" baseline="0"/>
              <a:t> </a:t>
            </a:r>
            <a:r>
              <a:rPr lang="en-US"/>
              <a:t>considerable evidence of a link between areas with high levels of deprivation and lower levels of educational attainment.' (Horgan, 2007).</a:t>
            </a:r>
            <a:r>
              <a:rPr lang="en-US" baseline="0"/>
              <a:t> </a:t>
            </a:r>
            <a:r>
              <a:rPr lang="en-US"/>
              <a:t>To what extent do you agree with this statement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Sheet15!$D$2</c:f>
              <c:strCache>
                <c:ptCount val="1"/>
                <c:pt idx="0">
                  <c:v>15. 'There is considerable evidence of a link between areas with high levels of deprivation and lower levels of educational attainment.' (Horgan, 2007)                                                         To what extent do you agree with this statement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52-4C98-B353-E160BAE86B0F}"/>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3A52-4C98-B353-E160BAE86B0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52-4C98-B353-E160BAE86B0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52-4C98-B353-E160BAE86B0F}"/>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3A52-4C98-B353-E160BAE86B0F}"/>
              </c:ext>
            </c:extLst>
          </c:dPt>
          <c:dLbls>
            <c:dLbl>
              <c:idx val="0"/>
              <c:layout/>
              <c:tx>
                <c:rich>
                  <a:bodyPr/>
                  <a:lstStyle/>
                  <a:p>
                    <a:r>
                      <a:rPr lang="en-US"/>
                      <a:t>37.5%</a:t>
                    </a:r>
                  </a:p>
                </c:rich>
              </c:tx>
              <c:dLblPos val="inEnd"/>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3A52-4C98-B353-E160BAE86B0F}"/>
                </c:ext>
              </c:extLst>
            </c:dLbl>
            <c:dLbl>
              <c:idx val="1"/>
              <c:layout/>
              <c:tx>
                <c:rich>
                  <a:bodyPr/>
                  <a:lstStyle/>
                  <a:p>
                    <a:r>
                      <a:rPr lang="en-US"/>
                      <a:t>37.5%</a:t>
                    </a:r>
                  </a:p>
                </c:rich>
              </c:tx>
              <c:dLblPos val="inEnd"/>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3A52-4C98-B353-E160BAE86B0F}"/>
                </c:ext>
              </c:extLst>
            </c:dLbl>
            <c:dLbl>
              <c:idx val="2"/>
              <c:delete val="1"/>
              <c:extLst>
                <c:ext xmlns:c15="http://schemas.microsoft.com/office/drawing/2012/chart" uri="{CE6537A1-D6FC-4f65-9D91-7224C49458BB}"/>
                <c:ext xmlns:c16="http://schemas.microsoft.com/office/drawing/2014/chart" uri="{C3380CC4-5D6E-409C-BE32-E72D297353CC}">
                  <c16:uniqueId val="{00000005-3A52-4C98-B353-E160BAE86B0F}"/>
                </c:ext>
              </c:extLst>
            </c:dLbl>
            <c:dLbl>
              <c:idx val="3"/>
              <c:layout/>
              <c:tx>
                <c:rich>
                  <a:bodyPr/>
                  <a:lstStyle/>
                  <a:p>
                    <a:r>
                      <a:rPr lang="en-US"/>
                      <a:t>12.5%</a:t>
                    </a:r>
                  </a:p>
                </c:rich>
              </c:tx>
              <c:dLblPos val="inEnd"/>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3A52-4C98-B353-E160BAE86B0F}"/>
                </c:ext>
              </c:extLst>
            </c:dLbl>
            <c:dLbl>
              <c:idx val="4"/>
              <c:layout/>
              <c:tx>
                <c:rich>
                  <a:bodyPr/>
                  <a:lstStyle/>
                  <a:p>
                    <a:r>
                      <a:rPr lang="en-US"/>
                      <a:t>12.5%</a:t>
                    </a:r>
                  </a:p>
                </c:rich>
              </c:tx>
              <c:dLblPos val="inEnd"/>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9-3A52-4C98-B353-E160BAE86B0F}"/>
                </c:ext>
              </c:extLst>
            </c:dLbl>
            <c:numFmt formatCode="\10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Sheet15!$C$3:$C$7</c:f>
              <c:strCache>
                <c:ptCount val="5"/>
                <c:pt idx="0">
                  <c:v>Strongly agree</c:v>
                </c:pt>
                <c:pt idx="1">
                  <c:v>Agree</c:v>
                </c:pt>
                <c:pt idx="2">
                  <c:v>Neither agree or disagree </c:v>
                </c:pt>
                <c:pt idx="3">
                  <c:v>Disagree </c:v>
                </c:pt>
                <c:pt idx="4">
                  <c:v>Strongly disagree </c:v>
                </c:pt>
              </c:strCache>
            </c:strRef>
          </c:cat>
          <c:val>
            <c:numRef>
              <c:f>Sheet15!$D$3:$D$7</c:f>
              <c:numCache>
                <c:formatCode>General</c:formatCode>
                <c:ptCount val="5"/>
                <c:pt idx="0">
                  <c:v>3</c:v>
                </c:pt>
                <c:pt idx="1">
                  <c:v>3</c:v>
                </c:pt>
                <c:pt idx="2">
                  <c:v>0</c:v>
                </c:pt>
                <c:pt idx="3">
                  <c:v>1</c:v>
                </c:pt>
                <c:pt idx="4">
                  <c:v>1</c:v>
                </c:pt>
              </c:numCache>
            </c:numRef>
          </c:val>
          <c:extLst>
            <c:ext xmlns:c16="http://schemas.microsoft.com/office/drawing/2014/chart" uri="{C3380CC4-5D6E-409C-BE32-E72D297353CC}">
              <c16:uniqueId val="{0000000A-3A52-4C98-B353-E160BAE86B0F}"/>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Sheet12!$B$1</c:f>
              <c:strCache>
                <c:ptCount val="1"/>
                <c:pt idx="0">
                  <c:v>11. Do you receive any funding from the Pupil Development Grant? </c:v>
                </c:pt>
              </c:strCache>
            </c:strRef>
          </c:tx>
          <c:spPr>
            <a:solidFill>
              <a:srgbClr val="FF0000"/>
            </a:solidFill>
            <a:ln>
              <a:noFill/>
            </a:ln>
            <a:effectLst/>
          </c:spPr>
          <c:invertIfNegative val="0"/>
          <c:cat>
            <c:strRef>
              <c:f>Sheet12!$A$2:$A$3</c:f>
              <c:strCache>
                <c:ptCount val="2"/>
                <c:pt idx="0">
                  <c:v>Yes </c:v>
                </c:pt>
                <c:pt idx="1">
                  <c:v>No</c:v>
                </c:pt>
              </c:strCache>
            </c:strRef>
          </c:cat>
          <c:val>
            <c:numRef>
              <c:f>Sheet12!$B$2:$B$3</c:f>
              <c:numCache>
                <c:formatCode>General</c:formatCode>
                <c:ptCount val="2"/>
                <c:pt idx="0">
                  <c:v>8</c:v>
                </c:pt>
                <c:pt idx="1">
                  <c:v>0</c:v>
                </c:pt>
              </c:numCache>
            </c:numRef>
          </c:val>
          <c:extLst>
            <c:ext xmlns:c16="http://schemas.microsoft.com/office/drawing/2014/chart" uri="{C3380CC4-5D6E-409C-BE32-E72D297353CC}">
              <c16:uniqueId val="{00000000-3125-43F9-B5CB-CDFA7CA1BF6B}"/>
            </c:ext>
          </c:extLst>
        </c:ser>
        <c:dLbls>
          <c:showLegendKey val="0"/>
          <c:showVal val="0"/>
          <c:showCatName val="0"/>
          <c:showSerName val="0"/>
          <c:showPercent val="0"/>
          <c:showBubbleSize val="0"/>
        </c:dLbls>
        <c:gapWidth val="219"/>
        <c:overlap val="-27"/>
        <c:axId val="639472008"/>
        <c:axId val="639475616"/>
      </c:barChart>
      <c:catAx>
        <c:axId val="639472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75616"/>
        <c:crosses val="autoZero"/>
        <c:auto val="1"/>
        <c:lblAlgn val="ctr"/>
        <c:lblOffset val="100"/>
        <c:noMultiLvlLbl val="0"/>
      </c:catAx>
      <c:valAx>
        <c:axId val="639475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72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0621522309711286"/>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'Form Responses 1'!$Q$14</c:f>
              <c:strCache>
                <c:ptCount val="1"/>
                <c:pt idx="0">
                  <c:v>13. Are these grants used specifically for children from a low economic background?</c:v>
                </c:pt>
              </c:strCache>
            </c:strRef>
          </c:tx>
          <c:spPr>
            <a:solidFill>
              <a:schemeClr val="accent1"/>
            </a:solidFill>
            <a:ln>
              <a:noFill/>
            </a:ln>
            <a:effectLst/>
          </c:spPr>
          <c:invertIfNegative val="0"/>
          <c:dPt>
            <c:idx val="0"/>
            <c:invertIfNegative val="0"/>
            <c:bubble3D val="0"/>
            <c:spPr>
              <a:solidFill>
                <a:srgbClr val="FF0000"/>
              </a:solidFill>
              <a:ln w="19050" cap="flat">
                <a:gradFill>
                  <a:gsLst>
                    <a:gs pos="44178">
                      <a:srgbClr val="D0E2F3"/>
                    </a:gs>
                    <a:gs pos="0">
                      <a:schemeClr val="accent1">
                        <a:lumMod val="5000"/>
                        <a:lumOff val="95000"/>
                      </a:schemeClr>
                    </a:gs>
                    <a:gs pos="22707">
                      <a:srgbClr val="FFC000"/>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extLst>
              <c:ext xmlns:c16="http://schemas.microsoft.com/office/drawing/2014/chart" uri="{C3380CC4-5D6E-409C-BE32-E72D297353CC}">
                <c16:uniqueId val="{00000001-00E1-4F23-B0C3-F2270189864F}"/>
              </c:ext>
            </c:extLst>
          </c:dPt>
          <c:dPt>
            <c:idx val="1"/>
            <c:invertIfNegative val="0"/>
            <c:bubble3D val="0"/>
            <c:spPr>
              <a:solidFill>
                <a:srgbClr val="00B0F0"/>
              </a:solidFill>
              <a:ln w="12700">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effectLst/>
            </c:spPr>
            <c:extLst>
              <c:ext xmlns:c16="http://schemas.microsoft.com/office/drawing/2014/chart" uri="{C3380CC4-5D6E-409C-BE32-E72D297353CC}">
                <c16:uniqueId val="{00000003-00E1-4F23-B0C3-F2270189864F}"/>
              </c:ext>
            </c:extLst>
          </c:dPt>
          <c:cat>
            <c:strRef>
              <c:f>'Form Responses 1'!$P$15:$P$17</c:f>
              <c:strCache>
                <c:ptCount val="3"/>
                <c:pt idx="0">
                  <c:v>Always</c:v>
                </c:pt>
                <c:pt idx="1">
                  <c:v>Occasionally</c:v>
                </c:pt>
                <c:pt idx="2">
                  <c:v>Never</c:v>
                </c:pt>
              </c:strCache>
            </c:strRef>
          </c:cat>
          <c:val>
            <c:numRef>
              <c:f>'Form Responses 1'!$Q$15:$Q$17</c:f>
              <c:numCache>
                <c:formatCode>General</c:formatCode>
                <c:ptCount val="3"/>
                <c:pt idx="0">
                  <c:v>7</c:v>
                </c:pt>
                <c:pt idx="1">
                  <c:v>1</c:v>
                </c:pt>
                <c:pt idx="2">
                  <c:v>0</c:v>
                </c:pt>
              </c:numCache>
            </c:numRef>
          </c:val>
          <c:extLst>
            <c:ext xmlns:c16="http://schemas.microsoft.com/office/drawing/2014/chart" uri="{C3380CC4-5D6E-409C-BE32-E72D297353CC}">
              <c16:uniqueId val="{00000004-00E1-4F23-B0C3-F2270189864F}"/>
            </c:ext>
          </c:extLst>
        </c:ser>
        <c:dLbls>
          <c:showLegendKey val="0"/>
          <c:showVal val="0"/>
          <c:showCatName val="0"/>
          <c:showSerName val="0"/>
          <c:showPercent val="0"/>
          <c:showBubbleSize val="0"/>
        </c:dLbls>
        <c:gapWidth val="219"/>
        <c:overlap val="-27"/>
        <c:axId val="548083016"/>
        <c:axId val="548086624"/>
      </c:barChart>
      <c:catAx>
        <c:axId val="548083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086624"/>
        <c:crosses val="autoZero"/>
        <c:auto val="1"/>
        <c:lblAlgn val="ctr"/>
        <c:lblOffset val="100"/>
        <c:noMultiLvlLbl val="0"/>
      </c:catAx>
      <c:valAx>
        <c:axId val="548086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083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[Questionnaire  (Responses) - with tables.xlsx]Sheet7!PivotTable14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8. To what extent do you agree children from a low economic background are included within the classroom/school?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F41E3"/>
          </a:solidFill>
          <a:ln>
            <a:noFill/>
          </a:ln>
          <a:effectLst/>
        </c:spPr>
      </c:pivotFmt>
      <c:pivotFmt>
        <c:idx val="2"/>
        <c:spPr>
          <a:solidFill>
            <a:srgbClr val="00B050"/>
          </a:solidFill>
          <a:ln>
            <a:noFill/>
          </a:ln>
          <a:effectLst/>
        </c:spP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00B050"/>
          </a:solidFill>
          <a:ln>
            <a:noFill/>
          </a:ln>
          <a:effectLst/>
        </c:spPr>
      </c:pivotFmt>
      <c:pivotFmt>
        <c:idx val="5"/>
        <c:spPr>
          <a:solidFill>
            <a:srgbClr val="EF41E3"/>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00B050"/>
          </a:solidFill>
          <a:ln>
            <a:noFill/>
          </a:ln>
          <a:effectLst/>
        </c:spPr>
      </c:pivotFmt>
      <c:pivotFmt>
        <c:idx val="8"/>
        <c:spPr>
          <a:solidFill>
            <a:srgbClr val="EF41E3"/>
          </a:solidFill>
          <a:ln>
            <a:noFill/>
          </a:ln>
          <a:effectLst/>
        </c:spPr>
      </c:pivotFmt>
    </c:pivotFmts>
    <c:plotArea>
      <c:layout/>
      <c:barChart>
        <c:barDir val="col"/>
        <c:grouping val="clustered"/>
        <c:varyColors val="0"/>
        <c:ser>
          <c:idx val="0"/>
          <c:order val="0"/>
          <c:tx>
            <c:strRef>
              <c:f>Sheet7!$B$3</c:f>
              <c:strCache>
                <c:ptCount val="1"/>
                <c:pt idx="0">
                  <c:v>Total</c:v>
                </c:pt>
              </c:strCache>
            </c:strRef>
          </c:tx>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09FE-4281-9016-27443905AEF7}"/>
              </c:ext>
            </c:extLst>
          </c:dPt>
          <c:dPt>
            <c:idx val="1"/>
            <c:invertIfNegative val="0"/>
            <c:bubble3D val="0"/>
            <c:spPr>
              <a:solidFill>
                <a:srgbClr val="EF41E3"/>
              </a:solidFill>
              <a:ln>
                <a:noFill/>
              </a:ln>
              <a:effectLst/>
            </c:spPr>
            <c:extLst>
              <c:ext xmlns:c16="http://schemas.microsoft.com/office/drawing/2014/chart" uri="{C3380CC4-5D6E-409C-BE32-E72D297353CC}">
                <c16:uniqueId val="{00000003-09FE-4281-9016-27443905AEF7}"/>
              </c:ext>
            </c:extLst>
          </c:dPt>
          <c:cat>
            <c:strRef>
              <c:f>Sheet7!$A$4:$A$5</c:f>
              <c:strCache>
                <c:ptCount val="2"/>
                <c:pt idx="0">
                  <c:v>Agree</c:v>
                </c:pt>
                <c:pt idx="1">
                  <c:v>Strongly agree</c:v>
                </c:pt>
              </c:strCache>
            </c:strRef>
          </c:cat>
          <c:val>
            <c:numRef>
              <c:f>Sheet7!$B$4:$B$5</c:f>
              <c:numCache>
                <c:formatCode>General</c:formatCode>
                <c:ptCount val="2"/>
                <c:pt idx="0">
                  <c:v>1</c:v>
                </c:pt>
                <c:pt idx="1">
                  <c:v>7</c:v>
                </c:pt>
              </c:numCache>
            </c:numRef>
          </c:val>
          <c:extLst>
            <c:ext xmlns:c16="http://schemas.microsoft.com/office/drawing/2014/chart" uri="{C3380CC4-5D6E-409C-BE32-E72D297353CC}">
              <c16:uniqueId val="{00000004-09FE-4281-9016-27443905AEF7}"/>
            </c:ext>
          </c:extLst>
        </c:ser>
        <c:dLbls>
          <c:showLegendKey val="0"/>
          <c:showVal val="0"/>
          <c:showCatName val="0"/>
          <c:showSerName val="0"/>
          <c:showPercent val="0"/>
          <c:showBubbleSize val="0"/>
        </c:dLbls>
        <c:gapWidth val="219"/>
        <c:overlap val="-27"/>
        <c:axId val="476839360"/>
        <c:axId val="480513616"/>
      </c:barChart>
      <c:catAx>
        <c:axId val="476839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513616"/>
        <c:crosses val="autoZero"/>
        <c:auto val="1"/>
        <c:lblAlgn val="ctr"/>
        <c:lblOffset val="100"/>
        <c:noMultiLvlLbl val="0"/>
      </c:catAx>
      <c:valAx>
        <c:axId val="480513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839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Sheet8!$B$1</c:f>
              <c:strCache>
                <c:ptCount val="1"/>
                <c:pt idx="0">
                  <c:v>9. What methods of inclusion do you use in the class for children from low economic background? </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spPr>
              <a:solidFill>
                <a:srgbClr val="FFFF00">
                  <a:alpha val="85000"/>
                </a:srgbClr>
              </a:solidFill>
              <a:ln w="9525" cap="flat" cmpd="sng" algn="ctr">
                <a:solidFill>
                  <a:schemeClr val="lt1">
                    <a:alpha val="50000"/>
                  </a:schemeClr>
                </a:solidFill>
                <a:round/>
              </a:ln>
              <a:effectLst/>
            </c:spPr>
            <c:extLst>
              <c:ext xmlns:c16="http://schemas.microsoft.com/office/drawing/2014/chart" uri="{C3380CC4-5D6E-409C-BE32-E72D297353CC}">
                <c16:uniqueId val="{00000001-AA06-46D7-BC1B-62D3E908BC84}"/>
              </c:ext>
            </c:extLst>
          </c:dPt>
          <c:dPt>
            <c:idx val="1"/>
            <c:invertIfNegative val="0"/>
            <c:bubble3D val="0"/>
            <c:spPr>
              <a:solidFill>
                <a:srgbClr val="7030A0">
                  <a:alpha val="85000"/>
                </a:srgbClr>
              </a:solidFill>
              <a:ln w="9525" cap="flat" cmpd="sng" algn="ctr">
                <a:solidFill>
                  <a:schemeClr val="lt1">
                    <a:alpha val="50000"/>
                  </a:schemeClr>
                </a:solidFill>
                <a:round/>
              </a:ln>
              <a:effectLst/>
            </c:spPr>
            <c:extLst>
              <c:ext xmlns:c16="http://schemas.microsoft.com/office/drawing/2014/chart" uri="{C3380CC4-5D6E-409C-BE32-E72D297353CC}">
                <c16:uniqueId val="{00000003-AA06-46D7-BC1B-62D3E908BC84}"/>
              </c:ext>
            </c:extLst>
          </c:dPt>
          <c:dPt>
            <c:idx val="2"/>
            <c:invertIfNegative val="0"/>
            <c:bubble3D val="0"/>
            <c:spPr>
              <a:solidFill>
                <a:srgbClr val="002060">
                  <a:alpha val="85000"/>
                </a:srgbClr>
              </a:solidFill>
              <a:ln w="9525" cap="flat" cmpd="sng" algn="ctr">
                <a:solidFill>
                  <a:schemeClr val="lt1">
                    <a:alpha val="50000"/>
                  </a:schemeClr>
                </a:solidFill>
                <a:round/>
              </a:ln>
              <a:effectLst/>
            </c:spPr>
            <c:extLst>
              <c:ext xmlns:c16="http://schemas.microsoft.com/office/drawing/2014/chart" uri="{C3380CC4-5D6E-409C-BE32-E72D297353CC}">
                <c16:uniqueId val="{00000005-AA06-46D7-BC1B-62D3E908BC84}"/>
              </c:ext>
            </c:extLst>
          </c:dPt>
          <c:dPt>
            <c:idx val="3"/>
            <c:invertIfNegative val="0"/>
            <c:bubble3D val="0"/>
            <c:spPr>
              <a:solidFill>
                <a:srgbClr val="00B050">
                  <a:alpha val="85000"/>
                </a:srgbClr>
              </a:solidFill>
              <a:ln w="9525" cap="flat" cmpd="sng" algn="ctr">
                <a:solidFill>
                  <a:schemeClr val="lt1">
                    <a:alpha val="50000"/>
                  </a:schemeClr>
                </a:solidFill>
                <a:round/>
              </a:ln>
              <a:effectLst/>
            </c:spPr>
            <c:extLst>
              <c:ext xmlns:c16="http://schemas.microsoft.com/office/drawing/2014/chart" uri="{C3380CC4-5D6E-409C-BE32-E72D297353CC}">
                <c16:uniqueId val="{00000007-AA06-46D7-BC1B-62D3E908BC84}"/>
              </c:ext>
            </c:extLst>
          </c:dPt>
          <c:dPt>
            <c:idx val="4"/>
            <c:invertIfNegative val="0"/>
            <c:bubble3D val="0"/>
            <c:spPr>
              <a:solidFill>
                <a:srgbClr val="EF41E3">
                  <a:alpha val="85000"/>
                </a:srgbClr>
              </a:solidFill>
              <a:ln w="9525" cap="flat" cmpd="sng" algn="ctr">
                <a:solidFill>
                  <a:schemeClr val="lt1">
                    <a:alpha val="50000"/>
                  </a:schemeClr>
                </a:solidFill>
                <a:round/>
              </a:ln>
              <a:effectLst/>
            </c:spPr>
            <c:extLst>
              <c:ext xmlns:c16="http://schemas.microsoft.com/office/drawing/2014/chart" uri="{C3380CC4-5D6E-409C-BE32-E72D297353CC}">
                <c16:uniqueId val="{00000009-AA06-46D7-BC1B-62D3E908BC84}"/>
              </c:ext>
            </c:extLst>
          </c:dPt>
          <c:dPt>
            <c:idx val="6"/>
            <c:invertIfNegative val="0"/>
            <c:bubble3D val="0"/>
            <c:spPr>
              <a:solidFill>
                <a:srgbClr val="FF0000">
                  <a:alpha val="85000"/>
                </a:srgbClr>
              </a:solidFill>
              <a:ln w="9525" cap="flat" cmpd="sng" algn="ctr">
                <a:solidFill>
                  <a:schemeClr val="lt1">
                    <a:alpha val="50000"/>
                  </a:schemeClr>
                </a:solidFill>
                <a:round/>
              </a:ln>
              <a:effectLst/>
            </c:spPr>
            <c:extLst>
              <c:ext xmlns:c16="http://schemas.microsoft.com/office/drawing/2014/chart" uri="{C3380CC4-5D6E-409C-BE32-E72D297353CC}">
                <c16:uniqueId val="{0000000B-AA06-46D7-BC1B-62D3E908BC8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Sheet8!$A$2:$A$8</c:f>
              <c:strCache>
                <c:ptCount val="7"/>
                <c:pt idx="0">
                  <c:v>Provide PE kit/swimming costume</c:v>
                </c:pt>
                <c:pt idx="1">
                  <c:v>Free snacks</c:v>
                </c:pt>
                <c:pt idx="2">
                  <c:v>Rain coats</c:v>
                </c:pt>
                <c:pt idx="3">
                  <c:v>Wellies</c:v>
                </c:pt>
                <c:pt idx="4">
                  <c:v>Provide school uniforms</c:v>
                </c:pt>
                <c:pt idx="5">
                  <c:v>In class support</c:v>
                </c:pt>
                <c:pt idx="6">
                  <c:v>Reading recovery</c:v>
                </c:pt>
              </c:strCache>
            </c:strRef>
          </c:cat>
          <c:val>
            <c:numRef>
              <c:f>Sheet8!$B$2:$B$8</c:f>
              <c:numCache>
                <c:formatCode>General</c:formatCode>
                <c:ptCount val="7"/>
                <c:pt idx="0">
                  <c:v>5</c:v>
                </c:pt>
                <c:pt idx="1">
                  <c:v>3</c:v>
                </c:pt>
                <c:pt idx="2">
                  <c:v>4</c:v>
                </c:pt>
                <c:pt idx="3">
                  <c:v>5</c:v>
                </c:pt>
                <c:pt idx="4">
                  <c:v>3</c:v>
                </c:pt>
                <c:pt idx="5">
                  <c:v>6</c:v>
                </c:pt>
                <c:pt idx="6">
                  <c:v>6</c:v>
                </c:pt>
              </c:numCache>
            </c:numRef>
          </c:val>
          <c:extLst>
            <c:ext xmlns:c16="http://schemas.microsoft.com/office/drawing/2014/chart" uri="{C3380CC4-5D6E-409C-BE32-E72D297353CC}">
              <c16:uniqueId val="{0000000C-AA06-46D7-BC1B-62D3E908BC84}"/>
            </c:ext>
          </c:extLst>
        </c:ser>
        <c:dLbls>
          <c:dLblPos val="inEnd"/>
          <c:showLegendKey val="0"/>
          <c:showVal val="1"/>
          <c:showCatName val="0"/>
          <c:showSerName val="0"/>
          <c:showPercent val="0"/>
          <c:showBubbleSize val="0"/>
        </c:dLbls>
        <c:gapWidth val="65"/>
        <c:axId val="488104048"/>
        <c:axId val="331913456"/>
      </c:barChart>
      <c:catAx>
        <c:axId val="48810404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Method</a:t>
                </a:r>
                <a:r>
                  <a:rPr lang="en-GB" baseline="0"/>
                  <a:t> of inclusion </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31913456"/>
        <c:crosses val="autoZero"/>
        <c:auto val="1"/>
        <c:lblAlgn val="ctr"/>
        <c:lblOffset val="100"/>
        <c:noMultiLvlLbl val="0"/>
      </c:catAx>
      <c:valAx>
        <c:axId val="33191345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8810404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[Questionnaire  (Responses) - with tables.xlsx]Sheet3!PivotTable15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2. Please tick your job title: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FF0000"/>
          </a:solidFill>
          <a:ln>
            <a:noFill/>
          </a:ln>
          <a:effectLst/>
        </c:spPr>
      </c:pivotFmt>
      <c:pivotFmt>
        <c:idx val="2"/>
        <c:spPr>
          <a:solidFill>
            <a:srgbClr val="00B0F0"/>
          </a:solidFill>
          <a:ln>
            <a:noFill/>
          </a:ln>
          <a:effectLst/>
        </c:spPr>
      </c:pivotFmt>
      <c:pivotFmt>
        <c:idx val="3"/>
        <c:spPr>
          <a:solidFill>
            <a:srgbClr val="00B050"/>
          </a:solidFill>
          <a:ln>
            <a:noFill/>
          </a:ln>
          <a:effectLst/>
        </c:spPr>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rgbClr val="00B050"/>
          </a:solidFill>
          <a:ln>
            <a:noFill/>
          </a:ln>
          <a:effectLst/>
        </c:spPr>
      </c:pivotFmt>
      <c:pivotFmt>
        <c:idx val="6"/>
        <c:spPr>
          <a:solidFill>
            <a:srgbClr val="00B0F0"/>
          </a:solidFill>
          <a:ln>
            <a:noFill/>
          </a:ln>
          <a:effectLst/>
        </c:spPr>
      </c:pivotFmt>
      <c:pivotFmt>
        <c:idx val="7"/>
        <c:spPr>
          <a:solidFill>
            <a:srgbClr val="FF0000"/>
          </a:solidFill>
          <a:ln>
            <a:noFill/>
          </a:ln>
          <a:effectLst/>
        </c:spPr>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rgbClr val="00B050"/>
          </a:solidFill>
          <a:ln>
            <a:noFill/>
          </a:ln>
          <a:effectLst/>
        </c:spPr>
      </c:pivotFmt>
      <c:pivotFmt>
        <c:idx val="10"/>
        <c:spPr>
          <a:solidFill>
            <a:srgbClr val="00B0F0"/>
          </a:solidFill>
          <a:ln>
            <a:noFill/>
          </a:ln>
          <a:effectLst/>
        </c:spPr>
      </c:pivotFmt>
      <c:pivotFmt>
        <c:idx val="11"/>
        <c:spPr>
          <a:solidFill>
            <a:srgbClr val="FF0000"/>
          </a:solidFill>
          <a:ln>
            <a:noFill/>
          </a:ln>
          <a:effectLst/>
        </c:spPr>
      </c:pivotFmt>
    </c:pivotFmts>
    <c:plotArea>
      <c:layout/>
      <c:barChart>
        <c:barDir val="col"/>
        <c:grouping val="clustered"/>
        <c:varyColors val="0"/>
        <c:ser>
          <c:idx val="0"/>
          <c:order val="0"/>
          <c:tx>
            <c:strRef>
              <c:f>Sheet3!$B$3</c:f>
              <c:strCache>
                <c:ptCount val="1"/>
                <c:pt idx="0">
                  <c:v>Total</c:v>
                </c:pt>
              </c:strCache>
            </c:strRef>
          </c:tx>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DFEB-4116-9CDF-2AB4A7D28F35}"/>
              </c:ext>
            </c:extLst>
          </c:dPt>
          <c:dPt>
            <c:idx val="1"/>
            <c:invertIfNegative val="0"/>
            <c:bubble3D val="0"/>
            <c:spPr>
              <a:solidFill>
                <a:srgbClr val="00B0F0"/>
              </a:solidFill>
              <a:ln>
                <a:noFill/>
              </a:ln>
              <a:effectLst/>
            </c:spPr>
            <c:extLst>
              <c:ext xmlns:c16="http://schemas.microsoft.com/office/drawing/2014/chart" uri="{C3380CC4-5D6E-409C-BE32-E72D297353CC}">
                <c16:uniqueId val="{00000003-DFEB-4116-9CDF-2AB4A7D28F35}"/>
              </c:ext>
            </c:extLst>
          </c:dPt>
          <c:dPt>
            <c:idx val="2"/>
            <c:invertIfNegative val="0"/>
            <c:bubble3D val="0"/>
            <c:spPr>
              <a:solidFill>
                <a:srgbClr val="FF0000"/>
              </a:solidFill>
              <a:ln>
                <a:noFill/>
              </a:ln>
              <a:effectLst/>
            </c:spPr>
            <c:extLst>
              <c:ext xmlns:c16="http://schemas.microsoft.com/office/drawing/2014/chart" uri="{C3380CC4-5D6E-409C-BE32-E72D297353CC}">
                <c16:uniqueId val="{00000005-DFEB-4116-9CDF-2AB4A7D28F35}"/>
              </c:ext>
            </c:extLst>
          </c:dPt>
          <c:cat>
            <c:strRef>
              <c:f>Sheet3!$A$4:$A$6</c:f>
              <c:strCache>
                <c:ptCount val="3"/>
                <c:pt idx="0">
                  <c:v>Headteacher</c:v>
                </c:pt>
                <c:pt idx="1">
                  <c:v>Other</c:v>
                </c:pt>
                <c:pt idx="2">
                  <c:v>Teacher</c:v>
                </c:pt>
              </c:strCache>
            </c:strRef>
          </c:cat>
          <c:val>
            <c:numRef>
              <c:f>Sheet3!$B$4:$B$6</c:f>
              <c:numCache>
                <c:formatCode>General</c:formatCode>
                <c:ptCount val="3"/>
                <c:pt idx="0">
                  <c:v>5</c:v>
                </c:pt>
                <c:pt idx="1">
                  <c:v>1</c:v>
                </c:pt>
                <c:pt idx="2">
                  <c:v>2</c:v>
                </c:pt>
              </c:numCache>
            </c:numRef>
          </c:val>
          <c:extLst>
            <c:ext xmlns:c16="http://schemas.microsoft.com/office/drawing/2014/chart" uri="{C3380CC4-5D6E-409C-BE32-E72D297353CC}">
              <c16:uniqueId val="{00000006-DFEB-4116-9CDF-2AB4A7D28F35}"/>
            </c:ext>
          </c:extLst>
        </c:ser>
        <c:dLbls>
          <c:showLegendKey val="0"/>
          <c:showVal val="0"/>
          <c:showCatName val="0"/>
          <c:showSerName val="0"/>
          <c:showPercent val="0"/>
          <c:showBubbleSize val="0"/>
        </c:dLbls>
        <c:gapWidth val="219"/>
        <c:overlap val="-27"/>
        <c:axId val="623106248"/>
        <c:axId val="508746256"/>
      </c:barChart>
      <c:catAx>
        <c:axId val="623106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Job</a:t>
                </a:r>
                <a:r>
                  <a:rPr lang="en-GB" baseline="0"/>
                  <a:t> title</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746256"/>
        <c:crosses val="autoZero"/>
        <c:auto val="1"/>
        <c:lblAlgn val="ctr"/>
        <c:lblOffset val="100"/>
        <c:noMultiLvlLbl val="0"/>
      </c:catAx>
      <c:valAx>
        <c:axId val="508746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106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50413-87EA-4C39-8E3B-1390CBCE4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7036</Words>
  <Characters>40107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(1701741)</Company>
  <LinksUpToDate>false</LinksUpToDate>
  <CharactersWithSpaces>47049</CharactersWithSpaces>
  <SharedDoc>false</SharedDoc>
  <HLinks>
    <vt:vector size="18" baseType="variant">
      <vt:variant>
        <vt:i4>1572889</vt:i4>
      </vt:variant>
      <vt:variant>
        <vt:i4>6</vt:i4>
      </vt:variant>
      <vt:variant>
        <vt:i4>0</vt:i4>
      </vt:variant>
      <vt:variant>
        <vt:i4>5</vt:i4>
      </vt:variant>
      <vt:variant>
        <vt:lpwstr>http://www.suttontrust.com/about-us/</vt:lpwstr>
      </vt:variant>
      <vt:variant>
        <vt:lpwstr/>
      </vt:variant>
      <vt:variant>
        <vt:i4>6553714</vt:i4>
      </vt:variant>
      <vt:variant>
        <vt:i4>3</vt:i4>
      </vt:variant>
      <vt:variant>
        <vt:i4>0</vt:i4>
      </vt:variant>
      <vt:variant>
        <vt:i4>5</vt:i4>
      </vt:variant>
      <vt:variant>
        <vt:lpwstr>https://www.boundless.com/psychology/definition/cognitive-development/</vt:lpwstr>
      </vt:variant>
      <vt:variant>
        <vt:lpwstr/>
      </vt:variant>
      <vt:variant>
        <vt:i4>6815768</vt:i4>
      </vt:variant>
      <vt:variant>
        <vt:i4>0</vt:i4>
      </vt:variant>
      <vt:variant>
        <vt:i4>0</vt:i4>
      </vt:variant>
      <vt:variant>
        <vt:i4>5</vt:i4>
      </vt:variant>
      <vt:variant>
        <vt:lpwstr>https://www.gov.uk/government/uploads/system/uploads/attachment_data/file/600091/households-below-average-income-1994-1995-2015-2016.pdf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Harry Corish (1701741)</cp:lastModifiedBy>
  <cp:revision>3</cp:revision>
  <dcterms:created xsi:type="dcterms:W3CDTF">2019-04-29T17:39:00Z</dcterms:created>
  <dcterms:modified xsi:type="dcterms:W3CDTF">2019-04-29T17:39:00Z</dcterms:modified>
</cp:coreProperties>
</file>