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E8E13" w14:textId="708805CD" w:rsidR="00585E11" w:rsidRDefault="00366B0D" w:rsidP="00366B0D">
      <w:pPr>
        <w:rPr>
          <w:rFonts w:ascii="Times New Roman" w:hAnsi="Times New Roman" w:cs="Times New Roman"/>
          <w:b/>
          <w:sz w:val="32"/>
          <w:szCs w:val="32"/>
        </w:rPr>
      </w:pPr>
      <w:bookmarkStart w:id="0" w:name="_Toc214624152"/>
      <w:bookmarkStart w:id="1" w:name="_Toc214624191"/>
      <w:r w:rsidRPr="00366B0D">
        <w:rPr>
          <w:rStyle w:val="Heading1Char"/>
          <w:rFonts w:ascii="Times New Roman" w:hAnsi="Times New Roman" w:cs="Times New Roman"/>
          <w:sz w:val="32"/>
          <w:szCs w:val="32"/>
        </w:rPr>
        <w:t>PROGRAMME:</w:t>
      </w:r>
      <w:bookmarkEnd w:id="0"/>
      <w:bookmarkEnd w:id="1"/>
      <w:r w:rsidRPr="00366B0D">
        <w:rPr>
          <w:rFonts w:ascii="Times New Roman" w:hAnsi="Times New Roman" w:cs="Times New Roman"/>
          <w:sz w:val="32"/>
          <w:szCs w:val="32"/>
        </w:rPr>
        <w:t xml:space="preserve"> </w:t>
      </w:r>
      <w:r w:rsidRPr="00366B0D">
        <w:rPr>
          <w:rStyle w:val="Heading2Char"/>
          <w:rFonts w:ascii="Times New Roman" w:hAnsi="Times New Roman" w:cs="Times New Roman"/>
        </w:rPr>
        <w:t>BA (Hons) Leadership and Management Skills for the Workplace</w:t>
      </w:r>
      <w:r w:rsidRPr="00366B0D">
        <w:rPr>
          <w:rFonts w:ascii="Times New Roman" w:hAnsi="Times New Roman" w:cs="Times New Roman"/>
          <w:b/>
          <w:sz w:val="32"/>
          <w:szCs w:val="32"/>
        </w:rPr>
        <w:t xml:space="preserve">  </w:t>
      </w:r>
    </w:p>
    <w:p w14:paraId="237B619D" w14:textId="1B82A0E7" w:rsidR="00366B0D" w:rsidRPr="00366B0D" w:rsidRDefault="00366B0D" w:rsidP="00366B0D">
      <w:pPr>
        <w:widowControl w:val="0"/>
        <w:spacing w:after="0" w:line="240" w:lineRule="auto"/>
        <w:rPr>
          <w:rFonts w:ascii="Times New Roman" w:eastAsia="Arial" w:hAnsi="Times New Roman" w:cs="Times New Roman"/>
          <w:bCs/>
          <w:kern w:val="0"/>
          <w:sz w:val="28"/>
          <w:szCs w:val="28"/>
          <w14:ligatures w14:val="none"/>
        </w:rPr>
      </w:pPr>
      <w:r w:rsidRPr="00366B0D">
        <w:rPr>
          <w:rFonts w:ascii="Times New Roman" w:eastAsia="Arial" w:hAnsi="Times New Roman" w:cs="Times New Roman"/>
          <w:kern w:val="0"/>
          <w:sz w:val="28"/>
          <w:szCs w:val="28"/>
          <w14:ligatures w14:val="none"/>
        </w:rPr>
        <w:t xml:space="preserve">Module: </w:t>
      </w:r>
      <w:r w:rsidRPr="00366B0D">
        <w:rPr>
          <w:rFonts w:ascii="Times New Roman" w:eastAsia="Times New Roman" w:hAnsi="Times New Roman" w:cs="Times New Roman"/>
          <w:bCs/>
          <w:kern w:val="0"/>
          <w:sz w:val="28"/>
          <w:szCs w:val="28"/>
          <w14:ligatures w14:val="none"/>
        </w:rPr>
        <w:t xml:space="preserve">Developing Emotional Intelligence Skills  </w:t>
      </w:r>
    </w:p>
    <w:p w14:paraId="4F5C7DE1" w14:textId="77777777" w:rsidR="00366B0D" w:rsidRPr="00366B0D" w:rsidRDefault="00366B0D" w:rsidP="00366B0D">
      <w:pPr>
        <w:widowControl w:val="0"/>
        <w:spacing w:after="0" w:line="240" w:lineRule="auto"/>
        <w:rPr>
          <w:rFonts w:ascii="Times New Roman" w:eastAsia="Arial" w:hAnsi="Times New Roman" w:cs="Times New Roman"/>
          <w:bCs/>
          <w:kern w:val="0"/>
          <w:sz w:val="28"/>
          <w:szCs w:val="28"/>
          <w14:ligatures w14:val="none"/>
        </w:rPr>
      </w:pPr>
    </w:p>
    <w:p w14:paraId="2A560345" w14:textId="015E0E99" w:rsidR="00366B0D" w:rsidRPr="00366B0D" w:rsidRDefault="00366B0D" w:rsidP="00366B0D">
      <w:pPr>
        <w:widowControl w:val="0"/>
        <w:spacing w:after="0" w:line="240" w:lineRule="auto"/>
        <w:rPr>
          <w:rFonts w:ascii="Times New Roman" w:eastAsia="Arial" w:hAnsi="Times New Roman" w:cs="Times New Roman"/>
          <w:kern w:val="0"/>
          <w:sz w:val="28"/>
          <w:szCs w:val="28"/>
          <w14:ligatures w14:val="none"/>
        </w:rPr>
      </w:pPr>
      <w:r w:rsidRPr="00366B0D">
        <w:rPr>
          <w:rFonts w:ascii="Times New Roman" w:eastAsia="Arial" w:hAnsi="Times New Roman" w:cs="Times New Roman"/>
          <w:kern w:val="0"/>
          <w:sz w:val="28"/>
          <w:szCs w:val="28"/>
          <w14:ligatures w14:val="none"/>
        </w:rPr>
        <w:t>Module code: LCLM 500</w:t>
      </w:r>
      <w:r w:rsidRPr="00366B0D">
        <w:rPr>
          <w:rFonts w:ascii="Times New Roman" w:eastAsia="Arial" w:hAnsi="Times New Roman" w:cs="Times New Roman"/>
          <w:kern w:val="0"/>
          <w:sz w:val="28"/>
          <w:szCs w:val="28"/>
          <w14:ligatures w14:val="none"/>
        </w:rPr>
        <w:t>6</w:t>
      </w:r>
    </w:p>
    <w:p w14:paraId="40C84270" w14:textId="77777777" w:rsidR="00366B0D" w:rsidRPr="00366B0D" w:rsidRDefault="00366B0D" w:rsidP="00366B0D">
      <w:pPr>
        <w:widowControl w:val="0"/>
        <w:spacing w:after="0" w:line="240" w:lineRule="auto"/>
        <w:rPr>
          <w:rFonts w:ascii="Times New Roman" w:eastAsia="Arial" w:hAnsi="Times New Roman" w:cs="Times New Roman"/>
          <w:kern w:val="0"/>
          <w:sz w:val="28"/>
          <w:szCs w:val="28"/>
          <w14:ligatures w14:val="none"/>
        </w:rPr>
      </w:pPr>
    </w:p>
    <w:p w14:paraId="0DE32F18" w14:textId="7733153A" w:rsidR="00366B0D" w:rsidRPr="00366B0D" w:rsidRDefault="00366B0D" w:rsidP="00366B0D">
      <w:pPr>
        <w:spacing w:after="98" w:line="256" w:lineRule="auto"/>
        <w:ind w:left="2"/>
        <w:rPr>
          <w:sz w:val="28"/>
          <w:szCs w:val="28"/>
        </w:rPr>
      </w:pPr>
      <w:r w:rsidRPr="00366B0D">
        <w:rPr>
          <w:rFonts w:ascii="Times New Roman" w:eastAsia="Arial" w:hAnsi="Times New Roman" w:cs="Times New Roman"/>
          <w:kern w:val="0"/>
          <w:sz w:val="28"/>
          <w:szCs w:val="28"/>
          <w14:ligatures w14:val="none"/>
        </w:rPr>
        <w:t xml:space="preserve">Module Leader: </w:t>
      </w:r>
      <w:r w:rsidRPr="00366B0D">
        <w:rPr>
          <w:rFonts w:ascii="Times New Roman" w:hAnsi="Times New Roman" w:cs="Times New Roman"/>
          <w:sz w:val="28"/>
          <w:szCs w:val="28"/>
        </w:rPr>
        <w:t xml:space="preserve">Nishi Ramsurrun  </w:t>
      </w:r>
      <w:r w:rsidRPr="00366B0D">
        <w:rPr>
          <w:rFonts w:ascii="Times New Roman" w:hAnsi="Times New Roman" w:cs="Times New Roman"/>
          <w:kern w:val="0"/>
          <w:sz w:val="28"/>
          <w:szCs w:val="28"/>
          <w14:ligatures w14:val="none"/>
        </w:rPr>
        <w:t>Abdallah Naser</w:t>
      </w:r>
    </w:p>
    <w:p w14:paraId="0D89B238" w14:textId="77777777" w:rsidR="00366B0D" w:rsidRPr="00366B0D" w:rsidRDefault="00366B0D" w:rsidP="00366B0D">
      <w:pPr>
        <w:widowControl w:val="0"/>
        <w:spacing w:after="0" w:line="240" w:lineRule="auto"/>
        <w:rPr>
          <w:rFonts w:ascii="Times New Roman" w:eastAsia="Arial" w:hAnsi="Times New Roman" w:cs="Times New Roman"/>
          <w:kern w:val="0"/>
          <w:sz w:val="28"/>
          <w:szCs w:val="28"/>
          <w14:ligatures w14:val="none"/>
        </w:rPr>
      </w:pPr>
    </w:p>
    <w:p w14:paraId="56EB64C3" w14:textId="64E8B50D" w:rsidR="00366B0D" w:rsidRDefault="00366B0D" w:rsidP="00366B0D">
      <w:pPr>
        <w:rPr>
          <w:rFonts w:ascii="Times New Roman" w:eastAsia="Arial" w:hAnsi="Times New Roman" w:cs="Times New Roman"/>
          <w:kern w:val="0"/>
          <w:sz w:val="28"/>
          <w:szCs w:val="28"/>
          <w14:ligatures w14:val="none"/>
        </w:rPr>
      </w:pPr>
      <w:r w:rsidRPr="00366B0D">
        <w:rPr>
          <w:rFonts w:ascii="Times New Roman" w:eastAsia="Arial" w:hAnsi="Times New Roman" w:cs="Times New Roman"/>
          <w:kern w:val="0"/>
          <w:sz w:val="28"/>
          <w:szCs w:val="28"/>
          <w14:ligatures w14:val="none"/>
        </w:rPr>
        <w:t>Made by:</w:t>
      </w:r>
      <w:r w:rsidRPr="00366B0D">
        <w:rPr>
          <w:rFonts w:ascii="Times New Roman" w:eastAsia="Arial" w:hAnsi="Times New Roman" w:cs="Times New Roman"/>
          <w:kern w:val="0"/>
          <w:sz w:val="28"/>
          <w:szCs w:val="28"/>
          <w14:ligatures w14:val="none"/>
        </w:rPr>
        <w:t xml:space="preserve"> Ariana-Gabriela Bonea 2314969</w:t>
      </w:r>
    </w:p>
    <w:p w14:paraId="3D918842" w14:textId="77777777" w:rsidR="00366B0D" w:rsidRDefault="00366B0D" w:rsidP="00366B0D">
      <w:pPr>
        <w:rPr>
          <w:rFonts w:ascii="Times New Roman" w:eastAsia="Arial" w:hAnsi="Times New Roman" w:cs="Times New Roman"/>
          <w:kern w:val="0"/>
          <w:sz w:val="28"/>
          <w:szCs w:val="28"/>
          <w14:ligatures w14:val="none"/>
        </w:rPr>
      </w:pPr>
    </w:p>
    <w:p w14:paraId="0FB33C6F" w14:textId="77777777" w:rsidR="00366B0D" w:rsidRDefault="00366B0D" w:rsidP="00366B0D">
      <w:pPr>
        <w:rPr>
          <w:rFonts w:ascii="Times New Roman" w:eastAsia="Arial" w:hAnsi="Times New Roman" w:cs="Times New Roman"/>
          <w:kern w:val="0"/>
          <w:sz w:val="28"/>
          <w:szCs w:val="28"/>
          <w14:ligatures w14:val="none"/>
        </w:rPr>
      </w:pPr>
    </w:p>
    <w:p w14:paraId="3AE4C23B" w14:textId="77777777" w:rsidR="00366B0D" w:rsidRDefault="00366B0D" w:rsidP="00366B0D">
      <w:pPr>
        <w:rPr>
          <w:rFonts w:ascii="Times New Roman" w:eastAsia="Arial" w:hAnsi="Times New Roman" w:cs="Times New Roman"/>
          <w:kern w:val="0"/>
          <w:sz w:val="28"/>
          <w:szCs w:val="28"/>
          <w14:ligatures w14:val="none"/>
        </w:rPr>
      </w:pPr>
    </w:p>
    <w:p w14:paraId="088AF450" w14:textId="77777777" w:rsidR="00366B0D" w:rsidRDefault="00366B0D" w:rsidP="00366B0D">
      <w:pPr>
        <w:rPr>
          <w:rFonts w:ascii="Times New Roman" w:eastAsia="Arial" w:hAnsi="Times New Roman" w:cs="Times New Roman"/>
          <w:kern w:val="0"/>
          <w:sz w:val="28"/>
          <w:szCs w:val="28"/>
          <w14:ligatures w14:val="none"/>
        </w:rPr>
      </w:pPr>
    </w:p>
    <w:p w14:paraId="755179F9" w14:textId="77777777" w:rsidR="00366B0D" w:rsidRDefault="00366B0D" w:rsidP="00366B0D">
      <w:pPr>
        <w:rPr>
          <w:rFonts w:ascii="Times New Roman" w:eastAsia="Arial" w:hAnsi="Times New Roman" w:cs="Times New Roman"/>
          <w:kern w:val="0"/>
          <w:sz w:val="28"/>
          <w:szCs w:val="28"/>
          <w14:ligatures w14:val="none"/>
        </w:rPr>
      </w:pPr>
    </w:p>
    <w:p w14:paraId="7D9781C7" w14:textId="77777777" w:rsidR="00366B0D" w:rsidRDefault="00366B0D" w:rsidP="00366B0D">
      <w:pPr>
        <w:rPr>
          <w:rFonts w:ascii="Times New Roman" w:eastAsia="Arial" w:hAnsi="Times New Roman" w:cs="Times New Roman"/>
          <w:kern w:val="0"/>
          <w:sz w:val="28"/>
          <w:szCs w:val="28"/>
          <w14:ligatures w14:val="none"/>
        </w:rPr>
      </w:pPr>
    </w:p>
    <w:p w14:paraId="091CD78C" w14:textId="77777777" w:rsidR="00366B0D" w:rsidRDefault="00366B0D" w:rsidP="00366B0D">
      <w:pPr>
        <w:rPr>
          <w:rFonts w:ascii="Times New Roman" w:eastAsia="Arial" w:hAnsi="Times New Roman" w:cs="Times New Roman"/>
          <w:kern w:val="0"/>
          <w:sz w:val="28"/>
          <w:szCs w:val="28"/>
          <w14:ligatures w14:val="none"/>
        </w:rPr>
      </w:pPr>
    </w:p>
    <w:p w14:paraId="50FCE040" w14:textId="77777777" w:rsidR="00366B0D" w:rsidRDefault="00366B0D" w:rsidP="00366B0D">
      <w:pPr>
        <w:rPr>
          <w:rFonts w:ascii="Times New Roman" w:eastAsia="Arial" w:hAnsi="Times New Roman" w:cs="Times New Roman"/>
          <w:kern w:val="0"/>
          <w:sz w:val="28"/>
          <w:szCs w:val="28"/>
          <w14:ligatures w14:val="none"/>
        </w:rPr>
      </w:pPr>
    </w:p>
    <w:p w14:paraId="305C0058" w14:textId="77777777" w:rsidR="00366B0D" w:rsidRDefault="00366B0D" w:rsidP="00366B0D">
      <w:pPr>
        <w:rPr>
          <w:rFonts w:ascii="Times New Roman" w:eastAsia="Arial" w:hAnsi="Times New Roman" w:cs="Times New Roman"/>
          <w:kern w:val="0"/>
          <w:sz w:val="28"/>
          <w:szCs w:val="28"/>
          <w14:ligatures w14:val="none"/>
        </w:rPr>
      </w:pPr>
    </w:p>
    <w:p w14:paraId="35F3B335" w14:textId="77777777" w:rsidR="00366B0D" w:rsidRDefault="00366B0D" w:rsidP="00366B0D">
      <w:pPr>
        <w:rPr>
          <w:rFonts w:ascii="Times New Roman" w:eastAsia="Arial" w:hAnsi="Times New Roman" w:cs="Times New Roman"/>
          <w:kern w:val="0"/>
          <w:sz w:val="28"/>
          <w:szCs w:val="28"/>
          <w14:ligatures w14:val="none"/>
        </w:rPr>
      </w:pPr>
    </w:p>
    <w:p w14:paraId="5B0B223A" w14:textId="77777777" w:rsidR="00366B0D" w:rsidRDefault="00366B0D" w:rsidP="00366B0D">
      <w:pPr>
        <w:rPr>
          <w:rFonts w:ascii="Times New Roman" w:eastAsia="Arial" w:hAnsi="Times New Roman" w:cs="Times New Roman"/>
          <w:kern w:val="0"/>
          <w:sz w:val="28"/>
          <w:szCs w:val="28"/>
          <w14:ligatures w14:val="none"/>
        </w:rPr>
      </w:pPr>
    </w:p>
    <w:p w14:paraId="391C9060" w14:textId="77777777" w:rsidR="00366B0D" w:rsidRDefault="00366B0D" w:rsidP="00366B0D">
      <w:pPr>
        <w:rPr>
          <w:rFonts w:ascii="Times New Roman" w:eastAsia="Arial" w:hAnsi="Times New Roman" w:cs="Times New Roman"/>
          <w:kern w:val="0"/>
          <w:sz w:val="28"/>
          <w:szCs w:val="28"/>
          <w14:ligatures w14:val="none"/>
        </w:rPr>
      </w:pPr>
    </w:p>
    <w:p w14:paraId="59901E3C" w14:textId="77777777" w:rsidR="00366B0D" w:rsidRDefault="00366B0D" w:rsidP="00366B0D">
      <w:pPr>
        <w:rPr>
          <w:rFonts w:ascii="Times New Roman" w:eastAsia="Arial" w:hAnsi="Times New Roman" w:cs="Times New Roman"/>
          <w:kern w:val="0"/>
          <w:sz w:val="28"/>
          <w:szCs w:val="28"/>
          <w14:ligatures w14:val="none"/>
        </w:rPr>
      </w:pPr>
    </w:p>
    <w:p w14:paraId="4A0F8A9A" w14:textId="77777777" w:rsidR="00366B0D" w:rsidRDefault="00366B0D" w:rsidP="00366B0D">
      <w:pPr>
        <w:rPr>
          <w:rFonts w:ascii="Times New Roman" w:eastAsia="Arial" w:hAnsi="Times New Roman" w:cs="Times New Roman"/>
          <w:kern w:val="0"/>
          <w:sz w:val="28"/>
          <w:szCs w:val="28"/>
          <w14:ligatures w14:val="none"/>
        </w:rPr>
      </w:pPr>
    </w:p>
    <w:p w14:paraId="62E2B386" w14:textId="77777777" w:rsidR="00366B0D" w:rsidRDefault="00366B0D" w:rsidP="00366B0D">
      <w:pPr>
        <w:rPr>
          <w:rFonts w:ascii="Times New Roman" w:eastAsia="Arial" w:hAnsi="Times New Roman" w:cs="Times New Roman"/>
          <w:kern w:val="0"/>
          <w:sz w:val="28"/>
          <w:szCs w:val="28"/>
          <w14:ligatures w14:val="none"/>
        </w:rPr>
      </w:pPr>
    </w:p>
    <w:p w14:paraId="6BC9BBDF" w14:textId="77777777" w:rsidR="00366B0D" w:rsidRDefault="00366B0D" w:rsidP="00366B0D">
      <w:pPr>
        <w:rPr>
          <w:rFonts w:ascii="Times New Roman" w:eastAsia="Arial" w:hAnsi="Times New Roman" w:cs="Times New Roman"/>
          <w:kern w:val="0"/>
          <w:sz w:val="28"/>
          <w:szCs w:val="28"/>
          <w14:ligatures w14:val="none"/>
        </w:rPr>
      </w:pPr>
    </w:p>
    <w:p w14:paraId="6F6FD964" w14:textId="77777777" w:rsidR="00366B0D" w:rsidRDefault="00366B0D" w:rsidP="00366B0D">
      <w:pPr>
        <w:rPr>
          <w:rFonts w:ascii="Times New Roman" w:eastAsia="Arial" w:hAnsi="Times New Roman" w:cs="Times New Roman"/>
          <w:kern w:val="0"/>
          <w:sz w:val="28"/>
          <w:szCs w:val="28"/>
          <w14:ligatures w14:val="none"/>
        </w:rPr>
      </w:pPr>
    </w:p>
    <w:p w14:paraId="10A0EF6F" w14:textId="77777777" w:rsidR="00366B0D" w:rsidRDefault="00366B0D" w:rsidP="00366B0D">
      <w:pPr>
        <w:rPr>
          <w:rFonts w:ascii="Times New Roman" w:eastAsia="Arial" w:hAnsi="Times New Roman" w:cs="Times New Roman"/>
          <w:kern w:val="0"/>
          <w:sz w:val="28"/>
          <w:szCs w:val="28"/>
          <w14:ligatures w14:val="none"/>
        </w:rPr>
      </w:pPr>
    </w:p>
    <w:p w14:paraId="02790D08" w14:textId="77777777" w:rsidR="00366B0D" w:rsidRDefault="00366B0D" w:rsidP="00366B0D">
      <w:pPr>
        <w:rPr>
          <w:rFonts w:ascii="Times New Roman" w:eastAsia="Arial" w:hAnsi="Times New Roman" w:cs="Times New Roman"/>
          <w:kern w:val="0"/>
          <w:sz w:val="28"/>
          <w:szCs w:val="28"/>
          <w14:ligatures w14:val="none"/>
        </w:rPr>
      </w:pPr>
    </w:p>
    <w:sdt>
      <w:sdtPr>
        <w:id w:val="133951050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F80ACC1" w14:textId="65026511" w:rsidR="00A14625" w:rsidRDefault="00A14625">
          <w:pPr>
            <w:pStyle w:val="TOCHeading"/>
          </w:pPr>
          <w:r>
            <w:t>Contents</w:t>
          </w:r>
        </w:p>
        <w:p w14:paraId="30012A6D" w14:textId="7D8FE793" w:rsidR="00A14625" w:rsidRDefault="00A146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624191" w:history="1">
            <w:r w:rsidRPr="00AB7749">
              <w:rPr>
                <w:rStyle w:val="Hyperlink"/>
                <w:rFonts w:ascii="Times New Roman" w:hAnsi="Times New Roman" w:cs="Times New Roman"/>
                <w:noProof/>
              </w:rPr>
              <w:t>PROGRAMME:</w:t>
            </w:r>
            <w:r>
              <w:rPr>
                <w:noProof/>
                <w:webHidden/>
              </w:rPr>
              <w:tab/>
            </w:r>
            <w:r>
              <w:rPr>
                <w:noProof/>
                <w:webHidden/>
              </w:rPr>
              <w:fldChar w:fldCharType="begin"/>
            </w:r>
            <w:r>
              <w:rPr>
                <w:noProof/>
                <w:webHidden/>
              </w:rPr>
              <w:instrText xml:space="preserve"> PAGEREF _Toc214624191 \h </w:instrText>
            </w:r>
            <w:r>
              <w:rPr>
                <w:noProof/>
                <w:webHidden/>
              </w:rPr>
            </w:r>
            <w:r>
              <w:rPr>
                <w:noProof/>
                <w:webHidden/>
              </w:rPr>
              <w:fldChar w:fldCharType="separate"/>
            </w:r>
            <w:r>
              <w:rPr>
                <w:noProof/>
                <w:webHidden/>
              </w:rPr>
              <w:t>1</w:t>
            </w:r>
            <w:r>
              <w:rPr>
                <w:noProof/>
                <w:webHidden/>
              </w:rPr>
              <w:fldChar w:fldCharType="end"/>
            </w:r>
          </w:hyperlink>
        </w:p>
        <w:p w14:paraId="37C55D6F" w14:textId="54D6C86B" w:rsidR="00A14625" w:rsidRDefault="00A14625">
          <w:pPr>
            <w:pStyle w:val="TOC2"/>
            <w:tabs>
              <w:tab w:val="right" w:leader="dot" w:pos="9016"/>
            </w:tabs>
            <w:rPr>
              <w:rFonts w:eastAsiaTheme="minorEastAsia"/>
              <w:noProof/>
              <w:lang w:eastAsia="en-GB"/>
            </w:rPr>
          </w:pPr>
          <w:hyperlink w:anchor="_Toc214624192" w:history="1">
            <w:r w:rsidRPr="00AB7749">
              <w:rPr>
                <w:rStyle w:val="Hyperlink"/>
                <w:rFonts w:eastAsia="Arial"/>
                <w:noProof/>
              </w:rPr>
              <w:t>Introduction</w:t>
            </w:r>
            <w:r>
              <w:rPr>
                <w:noProof/>
                <w:webHidden/>
              </w:rPr>
              <w:tab/>
            </w:r>
            <w:r>
              <w:rPr>
                <w:noProof/>
                <w:webHidden/>
              </w:rPr>
              <w:fldChar w:fldCharType="begin"/>
            </w:r>
            <w:r>
              <w:rPr>
                <w:noProof/>
                <w:webHidden/>
              </w:rPr>
              <w:instrText xml:space="preserve"> PAGEREF _Toc214624192 \h </w:instrText>
            </w:r>
            <w:r>
              <w:rPr>
                <w:noProof/>
                <w:webHidden/>
              </w:rPr>
            </w:r>
            <w:r>
              <w:rPr>
                <w:noProof/>
                <w:webHidden/>
              </w:rPr>
              <w:fldChar w:fldCharType="separate"/>
            </w:r>
            <w:r>
              <w:rPr>
                <w:noProof/>
                <w:webHidden/>
              </w:rPr>
              <w:t>3</w:t>
            </w:r>
            <w:r>
              <w:rPr>
                <w:noProof/>
                <w:webHidden/>
              </w:rPr>
              <w:fldChar w:fldCharType="end"/>
            </w:r>
          </w:hyperlink>
        </w:p>
        <w:p w14:paraId="299E29E4" w14:textId="26ECFDBA" w:rsidR="00A14625" w:rsidRDefault="00A14625">
          <w:pPr>
            <w:pStyle w:val="TOC2"/>
            <w:tabs>
              <w:tab w:val="right" w:leader="dot" w:pos="9016"/>
            </w:tabs>
            <w:rPr>
              <w:rFonts w:eastAsiaTheme="minorEastAsia"/>
              <w:noProof/>
              <w:lang w:eastAsia="en-GB"/>
            </w:rPr>
          </w:pPr>
          <w:hyperlink w:anchor="_Toc214624193" w:history="1">
            <w:r w:rsidRPr="00AB7749">
              <w:rPr>
                <w:rStyle w:val="Hyperlink"/>
                <w:rFonts w:eastAsia="Times New Roman"/>
                <w:noProof/>
                <w:lang w:eastAsia="en-GB"/>
              </w:rPr>
              <w:t>Critical Evaluation: How Employees in the Workplace May Use Emotional Intelligence Components</w:t>
            </w:r>
            <w:r>
              <w:rPr>
                <w:noProof/>
                <w:webHidden/>
              </w:rPr>
              <w:tab/>
            </w:r>
            <w:r>
              <w:rPr>
                <w:noProof/>
                <w:webHidden/>
              </w:rPr>
              <w:fldChar w:fldCharType="begin"/>
            </w:r>
            <w:r>
              <w:rPr>
                <w:noProof/>
                <w:webHidden/>
              </w:rPr>
              <w:instrText xml:space="preserve"> PAGEREF _Toc214624193 \h </w:instrText>
            </w:r>
            <w:r>
              <w:rPr>
                <w:noProof/>
                <w:webHidden/>
              </w:rPr>
            </w:r>
            <w:r>
              <w:rPr>
                <w:noProof/>
                <w:webHidden/>
              </w:rPr>
              <w:fldChar w:fldCharType="separate"/>
            </w:r>
            <w:r>
              <w:rPr>
                <w:noProof/>
                <w:webHidden/>
              </w:rPr>
              <w:t>3</w:t>
            </w:r>
            <w:r>
              <w:rPr>
                <w:noProof/>
                <w:webHidden/>
              </w:rPr>
              <w:fldChar w:fldCharType="end"/>
            </w:r>
          </w:hyperlink>
        </w:p>
        <w:p w14:paraId="33B9DD01" w14:textId="4C5F1D28" w:rsidR="00A14625" w:rsidRDefault="00A14625">
          <w:pPr>
            <w:pStyle w:val="TOC3"/>
            <w:tabs>
              <w:tab w:val="right" w:leader="dot" w:pos="9016"/>
            </w:tabs>
            <w:rPr>
              <w:rFonts w:eastAsiaTheme="minorEastAsia"/>
              <w:noProof/>
              <w:lang w:eastAsia="en-GB"/>
            </w:rPr>
          </w:pPr>
          <w:hyperlink w:anchor="_Toc214624194" w:history="1">
            <w:r w:rsidRPr="00AB7749">
              <w:rPr>
                <w:rStyle w:val="Hyperlink"/>
                <w:rFonts w:ascii="Arial" w:eastAsia="Times New Roman" w:hAnsi="Arial" w:cs="Arial"/>
                <w:b/>
                <w:bCs/>
                <w:noProof/>
                <w:kern w:val="0"/>
                <w:lang w:eastAsia="en-GB"/>
                <w14:ligatures w14:val="none"/>
              </w:rPr>
              <w:t>Understanding Emotional Intelligence Models</w:t>
            </w:r>
            <w:r>
              <w:rPr>
                <w:noProof/>
                <w:webHidden/>
              </w:rPr>
              <w:tab/>
            </w:r>
            <w:r>
              <w:rPr>
                <w:noProof/>
                <w:webHidden/>
              </w:rPr>
              <w:fldChar w:fldCharType="begin"/>
            </w:r>
            <w:r>
              <w:rPr>
                <w:noProof/>
                <w:webHidden/>
              </w:rPr>
              <w:instrText xml:space="preserve"> PAGEREF _Toc214624194 \h </w:instrText>
            </w:r>
            <w:r>
              <w:rPr>
                <w:noProof/>
                <w:webHidden/>
              </w:rPr>
            </w:r>
            <w:r>
              <w:rPr>
                <w:noProof/>
                <w:webHidden/>
              </w:rPr>
              <w:fldChar w:fldCharType="separate"/>
            </w:r>
            <w:r>
              <w:rPr>
                <w:noProof/>
                <w:webHidden/>
              </w:rPr>
              <w:t>3</w:t>
            </w:r>
            <w:r>
              <w:rPr>
                <w:noProof/>
                <w:webHidden/>
              </w:rPr>
              <w:fldChar w:fldCharType="end"/>
            </w:r>
          </w:hyperlink>
        </w:p>
        <w:p w14:paraId="7C604CA5" w14:textId="0D769E12" w:rsidR="00A14625" w:rsidRDefault="00A14625">
          <w:pPr>
            <w:pStyle w:val="TOC2"/>
            <w:tabs>
              <w:tab w:val="right" w:leader="dot" w:pos="9016"/>
            </w:tabs>
            <w:rPr>
              <w:rFonts w:eastAsiaTheme="minorEastAsia"/>
              <w:noProof/>
              <w:lang w:eastAsia="en-GB"/>
            </w:rPr>
          </w:pPr>
          <w:hyperlink w:anchor="_Toc214624195" w:history="1">
            <w:r w:rsidRPr="00AB7749">
              <w:rPr>
                <w:rStyle w:val="Hyperlink"/>
                <w:rFonts w:eastAsia="Times New Roman"/>
                <w:noProof/>
                <w:lang w:eastAsia="en-GB"/>
              </w:rPr>
              <w:t>Critical Evaluation of EI in Workplace Contexts</w:t>
            </w:r>
            <w:r>
              <w:rPr>
                <w:noProof/>
                <w:webHidden/>
              </w:rPr>
              <w:tab/>
            </w:r>
            <w:r>
              <w:rPr>
                <w:noProof/>
                <w:webHidden/>
              </w:rPr>
              <w:fldChar w:fldCharType="begin"/>
            </w:r>
            <w:r>
              <w:rPr>
                <w:noProof/>
                <w:webHidden/>
              </w:rPr>
              <w:instrText xml:space="preserve"> PAGEREF _Toc214624195 \h </w:instrText>
            </w:r>
            <w:r>
              <w:rPr>
                <w:noProof/>
                <w:webHidden/>
              </w:rPr>
            </w:r>
            <w:r>
              <w:rPr>
                <w:noProof/>
                <w:webHidden/>
              </w:rPr>
              <w:fldChar w:fldCharType="separate"/>
            </w:r>
            <w:r>
              <w:rPr>
                <w:noProof/>
                <w:webHidden/>
              </w:rPr>
              <w:t>6</w:t>
            </w:r>
            <w:r>
              <w:rPr>
                <w:noProof/>
                <w:webHidden/>
              </w:rPr>
              <w:fldChar w:fldCharType="end"/>
            </w:r>
          </w:hyperlink>
        </w:p>
        <w:p w14:paraId="15695B9E" w14:textId="3DAE9CDA" w:rsidR="00A14625" w:rsidRDefault="00A14625">
          <w:pPr>
            <w:pStyle w:val="TOC3"/>
            <w:tabs>
              <w:tab w:val="right" w:leader="dot" w:pos="9016"/>
            </w:tabs>
            <w:rPr>
              <w:rFonts w:eastAsiaTheme="minorEastAsia"/>
              <w:noProof/>
              <w:lang w:eastAsia="en-GB"/>
            </w:rPr>
          </w:pPr>
          <w:hyperlink w:anchor="_Toc214624196" w:history="1">
            <w:r w:rsidRPr="00AB7749">
              <w:rPr>
                <w:rStyle w:val="Hyperlink"/>
                <w:rFonts w:ascii="Arial" w:eastAsia="Times New Roman" w:hAnsi="Arial" w:cs="Arial"/>
                <w:b/>
                <w:bCs/>
                <w:noProof/>
                <w:kern w:val="0"/>
                <w:lang w:eastAsia="en-GB"/>
                <w14:ligatures w14:val="none"/>
              </w:rPr>
              <w:t>Integrating EI into Organizational Practice</w:t>
            </w:r>
            <w:r>
              <w:rPr>
                <w:noProof/>
                <w:webHidden/>
              </w:rPr>
              <w:tab/>
            </w:r>
            <w:r>
              <w:rPr>
                <w:noProof/>
                <w:webHidden/>
              </w:rPr>
              <w:fldChar w:fldCharType="begin"/>
            </w:r>
            <w:r>
              <w:rPr>
                <w:noProof/>
                <w:webHidden/>
              </w:rPr>
              <w:instrText xml:space="preserve"> PAGEREF _Toc214624196 \h </w:instrText>
            </w:r>
            <w:r>
              <w:rPr>
                <w:noProof/>
                <w:webHidden/>
              </w:rPr>
            </w:r>
            <w:r>
              <w:rPr>
                <w:noProof/>
                <w:webHidden/>
              </w:rPr>
              <w:fldChar w:fldCharType="separate"/>
            </w:r>
            <w:r>
              <w:rPr>
                <w:noProof/>
                <w:webHidden/>
              </w:rPr>
              <w:t>6</w:t>
            </w:r>
            <w:r>
              <w:rPr>
                <w:noProof/>
                <w:webHidden/>
              </w:rPr>
              <w:fldChar w:fldCharType="end"/>
            </w:r>
          </w:hyperlink>
        </w:p>
        <w:p w14:paraId="05EC71AD" w14:textId="77CDB59C" w:rsidR="00A14625" w:rsidRDefault="00A14625">
          <w:pPr>
            <w:pStyle w:val="TOC2"/>
            <w:tabs>
              <w:tab w:val="right" w:leader="dot" w:pos="9016"/>
            </w:tabs>
            <w:rPr>
              <w:rFonts w:eastAsiaTheme="minorEastAsia"/>
              <w:noProof/>
              <w:lang w:eastAsia="en-GB"/>
            </w:rPr>
          </w:pPr>
          <w:hyperlink w:anchor="_Toc214624197" w:history="1">
            <w:r w:rsidRPr="00AB7749">
              <w:rPr>
                <w:rStyle w:val="Hyperlink"/>
                <w:rFonts w:eastAsia="Times New Roman"/>
                <w:noProof/>
                <w:lang w:eastAsia="en-GB"/>
              </w:rPr>
              <w:t>Unique Emotional Intelligence Characteristics Managers Should Consider When Recruiting Employees from Different Generations</w:t>
            </w:r>
            <w:r>
              <w:rPr>
                <w:noProof/>
                <w:webHidden/>
              </w:rPr>
              <w:tab/>
            </w:r>
            <w:r>
              <w:rPr>
                <w:noProof/>
                <w:webHidden/>
              </w:rPr>
              <w:fldChar w:fldCharType="begin"/>
            </w:r>
            <w:r>
              <w:rPr>
                <w:noProof/>
                <w:webHidden/>
              </w:rPr>
              <w:instrText xml:space="preserve"> PAGEREF _Toc214624197 \h </w:instrText>
            </w:r>
            <w:r>
              <w:rPr>
                <w:noProof/>
                <w:webHidden/>
              </w:rPr>
            </w:r>
            <w:r>
              <w:rPr>
                <w:noProof/>
                <w:webHidden/>
              </w:rPr>
              <w:fldChar w:fldCharType="separate"/>
            </w:r>
            <w:r>
              <w:rPr>
                <w:noProof/>
                <w:webHidden/>
              </w:rPr>
              <w:t>7</w:t>
            </w:r>
            <w:r>
              <w:rPr>
                <w:noProof/>
                <w:webHidden/>
              </w:rPr>
              <w:fldChar w:fldCharType="end"/>
            </w:r>
          </w:hyperlink>
        </w:p>
        <w:p w14:paraId="5AD1B2F1" w14:textId="5819DC80" w:rsidR="00A14625" w:rsidRDefault="00A14625">
          <w:pPr>
            <w:pStyle w:val="TOC2"/>
            <w:tabs>
              <w:tab w:val="right" w:leader="dot" w:pos="9016"/>
            </w:tabs>
            <w:rPr>
              <w:rFonts w:eastAsiaTheme="minorEastAsia"/>
              <w:noProof/>
              <w:lang w:eastAsia="en-GB"/>
            </w:rPr>
          </w:pPr>
          <w:hyperlink w:anchor="_Toc214624198" w:history="1">
            <w:r w:rsidRPr="00AB7749">
              <w:rPr>
                <w:rStyle w:val="Hyperlink"/>
                <w:rFonts w:eastAsia="Times New Roman"/>
                <w:noProof/>
                <w:lang w:eastAsia="en-GB"/>
              </w:rPr>
              <w:t>Comparative Insights for Recruitment</w:t>
            </w:r>
            <w:r>
              <w:rPr>
                <w:noProof/>
                <w:webHidden/>
              </w:rPr>
              <w:tab/>
            </w:r>
            <w:r>
              <w:rPr>
                <w:noProof/>
                <w:webHidden/>
              </w:rPr>
              <w:fldChar w:fldCharType="begin"/>
            </w:r>
            <w:r>
              <w:rPr>
                <w:noProof/>
                <w:webHidden/>
              </w:rPr>
              <w:instrText xml:space="preserve"> PAGEREF _Toc214624198 \h </w:instrText>
            </w:r>
            <w:r>
              <w:rPr>
                <w:noProof/>
                <w:webHidden/>
              </w:rPr>
            </w:r>
            <w:r>
              <w:rPr>
                <w:noProof/>
                <w:webHidden/>
              </w:rPr>
              <w:fldChar w:fldCharType="separate"/>
            </w:r>
            <w:r>
              <w:rPr>
                <w:noProof/>
                <w:webHidden/>
              </w:rPr>
              <w:t>9</w:t>
            </w:r>
            <w:r>
              <w:rPr>
                <w:noProof/>
                <w:webHidden/>
              </w:rPr>
              <w:fldChar w:fldCharType="end"/>
            </w:r>
          </w:hyperlink>
        </w:p>
        <w:p w14:paraId="39CAB120" w14:textId="1F95148C" w:rsidR="00A14625" w:rsidRDefault="00A14625">
          <w:pPr>
            <w:pStyle w:val="TOC2"/>
            <w:tabs>
              <w:tab w:val="right" w:leader="dot" w:pos="9016"/>
            </w:tabs>
            <w:rPr>
              <w:rFonts w:eastAsiaTheme="minorEastAsia"/>
              <w:noProof/>
              <w:lang w:eastAsia="en-GB"/>
            </w:rPr>
          </w:pPr>
          <w:hyperlink w:anchor="_Toc214624199" w:history="1">
            <w:r w:rsidRPr="00AB7749">
              <w:rPr>
                <w:rStyle w:val="Hyperlink"/>
                <w:rFonts w:eastAsia="Times New Roman"/>
                <w:noProof/>
                <w:lang w:eastAsia="en-GB"/>
              </w:rPr>
              <w:t>The Role of Emotional Intelligence in Inclusive Recruitment</w:t>
            </w:r>
            <w:r>
              <w:rPr>
                <w:noProof/>
                <w:webHidden/>
              </w:rPr>
              <w:tab/>
            </w:r>
            <w:r>
              <w:rPr>
                <w:noProof/>
                <w:webHidden/>
              </w:rPr>
              <w:fldChar w:fldCharType="begin"/>
            </w:r>
            <w:r>
              <w:rPr>
                <w:noProof/>
                <w:webHidden/>
              </w:rPr>
              <w:instrText xml:space="preserve"> PAGEREF _Toc214624199 \h </w:instrText>
            </w:r>
            <w:r>
              <w:rPr>
                <w:noProof/>
                <w:webHidden/>
              </w:rPr>
            </w:r>
            <w:r>
              <w:rPr>
                <w:noProof/>
                <w:webHidden/>
              </w:rPr>
              <w:fldChar w:fldCharType="separate"/>
            </w:r>
            <w:r>
              <w:rPr>
                <w:noProof/>
                <w:webHidden/>
              </w:rPr>
              <w:t>9</w:t>
            </w:r>
            <w:r>
              <w:rPr>
                <w:noProof/>
                <w:webHidden/>
              </w:rPr>
              <w:fldChar w:fldCharType="end"/>
            </w:r>
          </w:hyperlink>
        </w:p>
        <w:p w14:paraId="2FF9EFD8" w14:textId="3E67DA00" w:rsidR="00A14625" w:rsidRDefault="00A14625">
          <w:pPr>
            <w:pStyle w:val="TOC1"/>
            <w:tabs>
              <w:tab w:val="right" w:leader="dot" w:pos="9016"/>
            </w:tabs>
            <w:rPr>
              <w:rFonts w:eastAsiaTheme="minorEastAsia"/>
              <w:noProof/>
              <w:lang w:eastAsia="en-GB"/>
            </w:rPr>
          </w:pPr>
          <w:hyperlink w:anchor="_Toc214624200" w:history="1">
            <w:r w:rsidRPr="00AB7749">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_Toc214624200 \h </w:instrText>
            </w:r>
            <w:r>
              <w:rPr>
                <w:noProof/>
                <w:webHidden/>
              </w:rPr>
            </w:r>
            <w:r>
              <w:rPr>
                <w:noProof/>
                <w:webHidden/>
              </w:rPr>
              <w:fldChar w:fldCharType="separate"/>
            </w:r>
            <w:r>
              <w:rPr>
                <w:noProof/>
                <w:webHidden/>
              </w:rPr>
              <w:t>10</w:t>
            </w:r>
            <w:r>
              <w:rPr>
                <w:noProof/>
                <w:webHidden/>
              </w:rPr>
              <w:fldChar w:fldCharType="end"/>
            </w:r>
          </w:hyperlink>
        </w:p>
        <w:p w14:paraId="2272F56E" w14:textId="28000EFD" w:rsidR="00A14625" w:rsidRDefault="00A14625">
          <w:pPr>
            <w:pStyle w:val="TOC1"/>
            <w:tabs>
              <w:tab w:val="right" w:leader="dot" w:pos="9016"/>
            </w:tabs>
            <w:rPr>
              <w:rFonts w:eastAsiaTheme="minorEastAsia"/>
              <w:noProof/>
              <w:lang w:eastAsia="en-GB"/>
            </w:rPr>
          </w:pPr>
          <w:hyperlink w:anchor="_Toc214624201" w:history="1">
            <w:r w:rsidRPr="00AB7749">
              <w:rPr>
                <w:rStyle w:val="Hyperlink"/>
                <w:noProof/>
                <w:lang w:eastAsia="en-GB"/>
              </w:rPr>
              <w:t>Reference list</w:t>
            </w:r>
            <w:r>
              <w:rPr>
                <w:noProof/>
                <w:webHidden/>
              </w:rPr>
              <w:tab/>
            </w:r>
            <w:r>
              <w:rPr>
                <w:noProof/>
                <w:webHidden/>
              </w:rPr>
              <w:fldChar w:fldCharType="begin"/>
            </w:r>
            <w:r>
              <w:rPr>
                <w:noProof/>
                <w:webHidden/>
              </w:rPr>
              <w:instrText xml:space="preserve"> PAGEREF _Toc214624201 \h </w:instrText>
            </w:r>
            <w:r>
              <w:rPr>
                <w:noProof/>
                <w:webHidden/>
              </w:rPr>
            </w:r>
            <w:r>
              <w:rPr>
                <w:noProof/>
                <w:webHidden/>
              </w:rPr>
              <w:fldChar w:fldCharType="separate"/>
            </w:r>
            <w:r>
              <w:rPr>
                <w:noProof/>
                <w:webHidden/>
              </w:rPr>
              <w:t>12</w:t>
            </w:r>
            <w:r>
              <w:rPr>
                <w:noProof/>
                <w:webHidden/>
              </w:rPr>
              <w:fldChar w:fldCharType="end"/>
            </w:r>
          </w:hyperlink>
        </w:p>
        <w:p w14:paraId="26702BB3" w14:textId="254BB8EF" w:rsidR="00A14625" w:rsidRDefault="00A14625">
          <w:r>
            <w:rPr>
              <w:b/>
              <w:bCs/>
            </w:rPr>
            <w:fldChar w:fldCharType="end"/>
          </w:r>
        </w:p>
      </w:sdtContent>
    </w:sdt>
    <w:p w14:paraId="56B54669" w14:textId="2AC9EC72" w:rsidR="00A14625" w:rsidRDefault="00A14625"/>
    <w:p w14:paraId="6A63AE33" w14:textId="77777777" w:rsidR="00C4393A" w:rsidRDefault="00C4393A" w:rsidP="00366B0D">
      <w:pPr>
        <w:rPr>
          <w:rFonts w:ascii="Arial" w:eastAsia="Arial" w:hAnsi="Arial" w:cs="Arial"/>
          <w:kern w:val="0"/>
          <w:sz w:val="22"/>
          <w:szCs w:val="22"/>
          <w14:ligatures w14:val="none"/>
        </w:rPr>
      </w:pPr>
    </w:p>
    <w:p w14:paraId="71362692" w14:textId="77777777" w:rsidR="00C4393A" w:rsidRDefault="00C4393A" w:rsidP="00366B0D">
      <w:pPr>
        <w:rPr>
          <w:rFonts w:ascii="Arial" w:eastAsia="Arial" w:hAnsi="Arial" w:cs="Arial"/>
          <w:kern w:val="0"/>
          <w:sz w:val="22"/>
          <w:szCs w:val="22"/>
          <w14:ligatures w14:val="none"/>
        </w:rPr>
      </w:pPr>
    </w:p>
    <w:p w14:paraId="5C046BE8" w14:textId="77777777" w:rsidR="00C4393A" w:rsidRDefault="00C4393A" w:rsidP="00366B0D">
      <w:pPr>
        <w:rPr>
          <w:rFonts w:ascii="Arial" w:eastAsia="Arial" w:hAnsi="Arial" w:cs="Arial"/>
          <w:kern w:val="0"/>
          <w:sz w:val="22"/>
          <w:szCs w:val="22"/>
          <w14:ligatures w14:val="none"/>
        </w:rPr>
      </w:pPr>
    </w:p>
    <w:p w14:paraId="6673A6F9" w14:textId="77777777" w:rsidR="00C4393A" w:rsidRDefault="00C4393A" w:rsidP="00366B0D">
      <w:pPr>
        <w:rPr>
          <w:rFonts w:ascii="Arial" w:eastAsia="Arial" w:hAnsi="Arial" w:cs="Arial"/>
          <w:kern w:val="0"/>
          <w:sz w:val="22"/>
          <w:szCs w:val="22"/>
          <w14:ligatures w14:val="none"/>
        </w:rPr>
      </w:pPr>
    </w:p>
    <w:p w14:paraId="1C615C58" w14:textId="77777777" w:rsidR="00C4393A" w:rsidRDefault="00C4393A" w:rsidP="00366B0D">
      <w:pPr>
        <w:rPr>
          <w:rFonts w:ascii="Arial" w:eastAsia="Arial" w:hAnsi="Arial" w:cs="Arial"/>
          <w:kern w:val="0"/>
          <w:sz w:val="22"/>
          <w:szCs w:val="22"/>
          <w14:ligatures w14:val="none"/>
        </w:rPr>
      </w:pPr>
    </w:p>
    <w:p w14:paraId="181BDF85" w14:textId="77777777" w:rsidR="00C4393A" w:rsidRDefault="00C4393A" w:rsidP="00366B0D">
      <w:pPr>
        <w:rPr>
          <w:rFonts w:ascii="Arial" w:eastAsia="Arial" w:hAnsi="Arial" w:cs="Arial"/>
          <w:kern w:val="0"/>
          <w:sz w:val="22"/>
          <w:szCs w:val="22"/>
          <w14:ligatures w14:val="none"/>
        </w:rPr>
      </w:pPr>
    </w:p>
    <w:p w14:paraId="3350B050" w14:textId="77777777" w:rsidR="00C4393A" w:rsidRDefault="00C4393A" w:rsidP="00366B0D">
      <w:pPr>
        <w:rPr>
          <w:rFonts w:ascii="Arial" w:eastAsia="Arial" w:hAnsi="Arial" w:cs="Arial"/>
          <w:kern w:val="0"/>
          <w:sz w:val="22"/>
          <w:szCs w:val="22"/>
          <w14:ligatures w14:val="none"/>
        </w:rPr>
      </w:pPr>
    </w:p>
    <w:p w14:paraId="4C524DDC" w14:textId="77777777" w:rsidR="00C4393A" w:rsidRDefault="00C4393A" w:rsidP="00366B0D">
      <w:pPr>
        <w:rPr>
          <w:rFonts w:ascii="Arial" w:eastAsia="Arial" w:hAnsi="Arial" w:cs="Arial"/>
          <w:kern w:val="0"/>
          <w:sz w:val="22"/>
          <w:szCs w:val="22"/>
          <w14:ligatures w14:val="none"/>
        </w:rPr>
      </w:pPr>
    </w:p>
    <w:p w14:paraId="6A57EBFE" w14:textId="77777777" w:rsidR="00C4393A" w:rsidRDefault="00C4393A" w:rsidP="00366B0D">
      <w:pPr>
        <w:rPr>
          <w:rFonts w:ascii="Arial" w:eastAsia="Arial" w:hAnsi="Arial" w:cs="Arial"/>
          <w:kern w:val="0"/>
          <w:sz w:val="22"/>
          <w:szCs w:val="22"/>
          <w14:ligatures w14:val="none"/>
        </w:rPr>
      </w:pPr>
    </w:p>
    <w:p w14:paraId="4B08CA38" w14:textId="77777777" w:rsidR="00C4393A" w:rsidRDefault="00C4393A" w:rsidP="00366B0D">
      <w:pPr>
        <w:rPr>
          <w:rFonts w:ascii="Arial" w:eastAsia="Arial" w:hAnsi="Arial" w:cs="Arial"/>
          <w:kern w:val="0"/>
          <w:sz w:val="22"/>
          <w:szCs w:val="22"/>
          <w14:ligatures w14:val="none"/>
        </w:rPr>
      </w:pPr>
    </w:p>
    <w:p w14:paraId="378EEB29" w14:textId="77777777" w:rsidR="00C4393A" w:rsidRDefault="00C4393A" w:rsidP="00366B0D">
      <w:pPr>
        <w:rPr>
          <w:rFonts w:ascii="Arial" w:eastAsia="Arial" w:hAnsi="Arial" w:cs="Arial"/>
          <w:kern w:val="0"/>
          <w:sz w:val="22"/>
          <w:szCs w:val="22"/>
          <w14:ligatures w14:val="none"/>
        </w:rPr>
      </w:pPr>
    </w:p>
    <w:p w14:paraId="36E6B018" w14:textId="77777777" w:rsidR="00C4393A" w:rsidRDefault="00C4393A" w:rsidP="00366B0D">
      <w:pPr>
        <w:rPr>
          <w:rFonts w:ascii="Arial" w:eastAsia="Arial" w:hAnsi="Arial" w:cs="Arial"/>
          <w:kern w:val="0"/>
          <w:sz w:val="22"/>
          <w:szCs w:val="22"/>
          <w14:ligatures w14:val="none"/>
        </w:rPr>
      </w:pPr>
    </w:p>
    <w:p w14:paraId="1CF25B42" w14:textId="77777777" w:rsidR="00C4393A" w:rsidRDefault="00C4393A" w:rsidP="00366B0D">
      <w:pPr>
        <w:rPr>
          <w:rFonts w:ascii="Arial" w:eastAsia="Arial" w:hAnsi="Arial" w:cs="Arial"/>
          <w:kern w:val="0"/>
          <w:sz w:val="22"/>
          <w:szCs w:val="22"/>
          <w14:ligatures w14:val="none"/>
        </w:rPr>
      </w:pPr>
    </w:p>
    <w:p w14:paraId="5CBEF913" w14:textId="77777777" w:rsidR="00C4393A" w:rsidRDefault="00C4393A" w:rsidP="00366B0D">
      <w:pPr>
        <w:rPr>
          <w:rFonts w:ascii="Arial" w:eastAsia="Arial" w:hAnsi="Arial" w:cs="Arial"/>
          <w:kern w:val="0"/>
          <w:sz w:val="22"/>
          <w:szCs w:val="22"/>
          <w14:ligatures w14:val="none"/>
        </w:rPr>
      </w:pPr>
    </w:p>
    <w:p w14:paraId="5BECCBBC" w14:textId="77777777" w:rsidR="00C4393A" w:rsidRDefault="00C4393A" w:rsidP="00366B0D">
      <w:pPr>
        <w:rPr>
          <w:rFonts w:ascii="Arial" w:eastAsia="Arial" w:hAnsi="Arial" w:cs="Arial"/>
          <w:kern w:val="0"/>
          <w:sz w:val="22"/>
          <w:szCs w:val="22"/>
          <w14:ligatures w14:val="none"/>
        </w:rPr>
      </w:pPr>
    </w:p>
    <w:p w14:paraId="07C691EE" w14:textId="77777777" w:rsidR="00C4393A" w:rsidRDefault="00C4393A" w:rsidP="00366B0D">
      <w:pPr>
        <w:rPr>
          <w:rFonts w:ascii="Arial" w:eastAsia="Arial" w:hAnsi="Arial" w:cs="Arial"/>
          <w:kern w:val="0"/>
          <w:sz w:val="22"/>
          <w:szCs w:val="22"/>
          <w14:ligatures w14:val="none"/>
        </w:rPr>
      </w:pPr>
    </w:p>
    <w:p w14:paraId="0A0467B4" w14:textId="77777777" w:rsidR="00C4393A" w:rsidRDefault="00C4393A" w:rsidP="00366B0D">
      <w:pPr>
        <w:rPr>
          <w:rFonts w:ascii="Arial" w:eastAsia="Arial" w:hAnsi="Arial" w:cs="Arial"/>
          <w:kern w:val="0"/>
          <w:sz w:val="22"/>
          <w:szCs w:val="22"/>
          <w14:ligatures w14:val="none"/>
        </w:rPr>
      </w:pPr>
    </w:p>
    <w:p w14:paraId="524C1512" w14:textId="77777777" w:rsidR="00C4393A" w:rsidRDefault="00C4393A" w:rsidP="00366B0D">
      <w:pPr>
        <w:rPr>
          <w:rFonts w:ascii="Arial" w:eastAsia="Arial" w:hAnsi="Arial" w:cs="Arial"/>
          <w:kern w:val="0"/>
          <w:sz w:val="22"/>
          <w:szCs w:val="22"/>
          <w14:ligatures w14:val="none"/>
        </w:rPr>
      </w:pPr>
    </w:p>
    <w:p w14:paraId="335F0D0F" w14:textId="77777777" w:rsidR="00C4393A" w:rsidRDefault="00C4393A" w:rsidP="00366B0D">
      <w:pPr>
        <w:rPr>
          <w:rFonts w:ascii="Arial" w:eastAsia="Arial" w:hAnsi="Arial" w:cs="Arial"/>
          <w:kern w:val="0"/>
          <w:sz w:val="22"/>
          <w:szCs w:val="22"/>
          <w14:ligatures w14:val="none"/>
        </w:rPr>
      </w:pPr>
    </w:p>
    <w:p w14:paraId="5E76813D" w14:textId="77777777" w:rsidR="00C4393A" w:rsidRDefault="00C4393A" w:rsidP="00366B0D">
      <w:pPr>
        <w:rPr>
          <w:rFonts w:ascii="Arial" w:eastAsia="Arial" w:hAnsi="Arial" w:cs="Arial"/>
          <w:kern w:val="0"/>
          <w:sz w:val="22"/>
          <w:szCs w:val="22"/>
          <w14:ligatures w14:val="none"/>
        </w:rPr>
      </w:pPr>
    </w:p>
    <w:p w14:paraId="21700DD9" w14:textId="77777777" w:rsidR="00C4393A" w:rsidRDefault="00C4393A" w:rsidP="00366B0D">
      <w:pPr>
        <w:rPr>
          <w:rFonts w:ascii="Arial" w:eastAsia="Arial" w:hAnsi="Arial" w:cs="Arial"/>
          <w:kern w:val="0"/>
          <w:sz w:val="22"/>
          <w:szCs w:val="22"/>
          <w14:ligatures w14:val="none"/>
        </w:rPr>
      </w:pPr>
    </w:p>
    <w:p w14:paraId="62D8B94A" w14:textId="77777777" w:rsidR="00C4393A" w:rsidRDefault="00C4393A" w:rsidP="00366B0D">
      <w:pPr>
        <w:rPr>
          <w:rFonts w:ascii="Arial" w:eastAsia="Arial" w:hAnsi="Arial" w:cs="Arial"/>
          <w:kern w:val="0"/>
          <w:sz w:val="22"/>
          <w:szCs w:val="22"/>
          <w14:ligatures w14:val="none"/>
        </w:rPr>
      </w:pPr>
    </w:p>
    <w:p w14:paraId="261066AC" w14:textId="77777777" w:rsidR="00C4393A" w:rsidRDefault="00C4393A" w:rsidP="00366B0D">
      <w:pPr>
        <w:rPr>
          <w:rFonts w:ascii="Arial" w:eastAsia="Arial" w:hAnsi="Arial" w:cs="Arial"/>
          <w:kern w:val="0"/>
          <w:sz w:val="22"/>
          <w:szCs w:val="22"/>
          <w14:ligatures w14:val="none"/>
        </w:rPr>
      </w:pPr>
    </w:p>
    <w:p w14:paraId="4871E178" w14:textId="77777777" w:rsidR="00C4393A" w:rsidRDefault="00C4393A" w:rsidP="00366B0D">
      <w:pPr>
        <w:rPr>
          <w:rFonts w:ascii="Arial" w:eastAsia="Arial" w:hAnsi="Arial" w:cs="Arial"/>
          <w:kern w:val="0"/>
          <w:sz w:val="22"/>
          <w:szCs w:val="22"/>
          <w14:ligatures w14:val="none"/>
        </w:rPr>
      </w:pPr>
    </w:p>
    <w:p w14:paraId="5A0899EE" w14:textId="77777777" w:rsidR="00C4393A" w:rsidRDefault="00C4393A" w:rsidP="00366B0D">
      <w:pPr>
        <w:rPr>
          <w:rFonts w:ascii="Arial" w:eastAsia="Arial" w:hAnsi="Arial" w:cs="Arial"/>
          <w:kern w:val="0"/>
          <w:sz w:val="22"/>
          <w:szCs w:val="22"/>
          <w14:ligatures w14:val="none"/>
        </w:rPr>
      </w:pPr>
    </w:p>
    <w:p w14:paraId="611F23F8" w14:textId="77777777" w:rsidR="00C4393A" w:rsidRDefault="00C4393A" w:rsidP="00366B0D">
      <w:pPr>
        <w:rPr>
          <w:rFonts w:ascii="Arial" w:eastAsia="Arial" w:hAnsi="Arial" w:cs="Arial"/>
          <w:kern w:val="0"/>
          <w:sz w:val="22"/>
          <w:szCs w:val="22"/>
          <w14:ligatures w14:val="none"/>
        </w:rPr>
      </w:pPr>
    </w:p>
    <w:p w14:paraId="46BD95FA" w14:textId="77777777" w:rsidR="00C4393A" w:rsidRDefault="00C4393A" w:rsidP="00366B0D">
      <w:pPr>
        <w:rPr>
          <w:rFonts w:ascii="Arial" w:eastAsia="Arial" w:hAnsi="Arial" w:cs="Arial"/>
          <w:kern w:val="0"/>
          <w:sz w:val="22"/>
          <w:szCs w:val="22"/>
          <w14:ligatures w14:val="none"/>
        </w:rPr>
      </w:pPr>
    </w:p>
    <w:p w14:paraId="1F11A120" w14:textId="77777777" w:rsidR="00C4393A" w:rsidRDefault="00C4393A" w:rsidP="00366B0D">
      <w:pPr>
        <w:rPr>
          <w:rFonts w:ascii="Arial" w:eastAsia="Arial" w:hAnsi="Arial" w:cs="Arial"/>
          <w:kern w:val="0"/>
          <w:sz w:val="22"/>
          <w:szCs w:val="22"/>
          <w14:ligatures w14:val="none"/>
        </w:rPr>
      </w:pPr>
    </w:p>
    <w:p w14:paraId="1533127E" w14:textId="77777777" w:rsidR="00C4393A" w:rsidRDefault="00C4393A" w:rsidP="00366B0D">
      <w:pPr>
        <w:rPr>
          <w:rFonts w:ascii="Arial" w:eastAsia="Arial" w:hAnsi="Arial" w:cs="Arial"/>
          <w:kern w:val="0"/>
          <w:sz w:val="22"/>
          <w:szCs w:val="22"/>
          <w14:ligatures w14:val="none"/>
        </w:rPr>
      </w:pPr>
    </w:p>
    <w:p w14:paraId="70805B59" w14:textId="77777777" w:rsidR="00C4393A" w:rsidRDefault="00C4393A" w:rsidP="00366B0D">
      <w:pPr>
        <w:rPr>
          <w:rFonts w:ascii="Arial" w:eastAsia="Arial" w:hAnsi="Arial" w:cs="Arial"/>
          <w:kern w:val="0"/>
          <w:sz w:val="22"/>
          <w:szCs w:val="22"/>
          <w14:ligatures w14:val="none"/>
        </w:rPr>
      </w:pPr>
    </w:p>
    <w:p w14:paraId="58BDB27B" w14:textId="77777777" w:rsidR="00C4393A" w:rsidRDefault="00C4393A" w:rsidP="00366B0D">
      <w:pPr>
        <w:rPr>
          <w:rFonts w:ascii="Arial" w:eastAsia="Arial" w:hAnsi="Arial" w:cs="Arial"/>
          <w:kern w:val="0"/>
          <w:sz w:val="22"/>
          <w:szCs w:val="22"/>
          <w14:ligatures w14:val="none"/>
        </w:rPr>
      </w:pPr>
    </w:p>
    <w:p w14:paraId="20FBF6B1" w14:textId="77777777" w:rsidR="00C4393A" w:rsidRDefault="00C4393A" w:rsidP="00366B0D">
      <w:pPr>
        <w:rPr>
          <w:rFonts w:ascii="Arial" w:eastAsia="Arial" w:hAnsi="Arial" w:cs="Arial"/>
          <w:kern w:val="0"/>
          <w:sz w:val="22"/>
          <w:szCs w:val="22"/>
          <w14:ligatures w14:val="none"/>
        </w:rPr>
      </w:pPr>
    </w:p>
    <w:p w14:paraId="40C559C9" w14:textId="77777777" w:rsidR="00C4393A" w:rsidRDefault="00C4393A" w:rsidP="00366B0D">
      <w:pPr>
        <w:rPr>
          <w:rFonts w:ascii="Arial" w:eastAsia="Arial" w:hAnsi="Arial" w:cs="Arial"/>
          <w:kern w:val="0"/>
          <w:sz w:val="22"/>
          <w:szCs w:val="22"/>
          <w14:ligatures w14:val="none"/>
        </w:rPr>
      </w:pPr>
    </w:p>
    <w:p w14:paraId="4C78E2AB" w14:textId="77777777" w:rsidR="00C4393A" w:rsidRPr="00C4393A" w:rsidRDefault="00C4393A" w:rsidP="00366B0D">
      <w:pPr>
        <w:rPr>
          <w:rFonts w:ascii="Arial" w:eastAsia="Arial" w:hAnsi="Arial" w:cs="Arial"/>
          <w:kern w:val="0"/>
          <w:sz w:val="22"/>
          <w:szCs w:val="22"/>
          <w14:ligatures w14:val="none"/>
        </w:rPr>
      </w:pPr>
    </w:p>
    <w:p w14:paraId="2B219B07" w14:textId="77777777" w:rsidR="00C4393A" w:rsidRPr="00C4393A" w:rsidRDefault="00C4393A" w:rsidP="00C4393A">
      <w:pPr>
        <w:pStyle w:val="Heading2"/>
        <w:rPr>
          <w:rFonts w:eastAsia="Arial"/>
        </w:rPr>
      </w:pPr>
      <w:bookmarkStart w:id="2" w:name="_Toc214624154"/>
      <w:bookmarkStart w:id="3" w:name="_Toc214624192"/>
      <w:r w:rsidRPr="00C4393A">
        <w:rPr>
          <w:rFonts w:eastAsia="Arial"/>
        </w:rPr>
        <w:t>Introduction</w:t>
      </w:r>
      <w:bookmarkEnd w:id="2"/>
      <w:bookmarkEnd w:id="3"/>
    </w:p>
    <w:p w14:paraId="434523EC" w14:textId="77777777" w:rsidR="00C4393A" w:rsidRPr="00C4393A" w:rsidRDefault="00C4393A" w:rsidP="00C4393A">
      <w:pPr>
        <w:rPr>
          <w:rFonts w:ascii="Arial" w:eastAsia="Arial" w:hAnsi="Arial" w:cs="Arial"/>
          <w:kern w:val="0"/>
          <w:sz w:val="22"/>
          <w:szCs w:val="22"/>
          <w14:ligatures w14:val="none"/>
        </w:rPr>
      </w:pPr>
      <w:r w:rsidRPr="00C4393A">
        <w:rPr>
          <w:rFonts w:ascii="Arial" w:eastAsia="Arial" w:hAnsi="Arial" w:cs="Arial"/>
          <w:kern w:val="0"/>
          <w:sz w:val="22"/>
          <w:szCs w:val="22"/>
          <w14:ligatures w14:val="none"/>
        </w:rPr>
        <w:t>Emotional Intelligence (EI) has become a vital concept in modern organizational behaviour, influencing how employees and leaders communicate, collaborate, and perform. In today’s dynamic workplaces, where diversity, change, and digital transformation are constant, the ability to manage emotions effectively is just as important as technical expertise. According to Goleman (1995), emotional intelligence involves recognising, understanding, and managing one’s own emotions, while also being able to recognise and influence the emotions of others. This skill is central to fostering positive working relationships, managing stress, and promoting teamwork.</w:t>
      </w:r>
    </w:p>
    <w:p w14:paraId="4E800068" w14:textId="77777777" w:rsidR="00C4393A" w:rsidRPr="00C4393A" w:rsidRDefault="00C4393A" w:rsidP="00C4393A">
      <w:pPr>
        <w:rPr>
          <w:rFonts w:ascii="Arial" w:eastAsia="Arial" w:hAnsi="Arial" w:cs="Arial"/>
          <w:kern w:val="0"/>
          <w:sz w:val="22"/>
          <w:szCs w:val="22"/>
          <w14:ligatures w14:val="none"/>
        </w:rPr>
      </w:pPr>
      <w:r w:rsidRPr="00C4393A">
        <w:rPr>
          <w:rFonts w:ascii="Arial" w:eastAsia="Arial" w:hAnsi="Arial" w:cs="Arial"/>
          <w:kern w:val="0"/>
          <w:sz w:val="22"/>
          <w:szCs w:val="22"/>
          <w14:ligatures w14:val="none"/>
        </w:rPr>
        <w:t>The purpose of this report is to critically examine how employees use emotional intelligence components in the workplace, and to explore how managers can apply EI when recruiting across different generations such as Generation X, Y, and Z. By doing so, the report highlights how emotional intelligence supports effective communication, motivation, and leadership—core qualities that contribute to long-term organizational success.</w:t>
      </w:r>
    </w:p>
    <w:p w14:paraId="1BDBC13D" w14:textId="77777777" w:rsidR="00366B0D" w:rsidRDefault="00366B0D" w:rsidP="00366B0D">
      <w:pPr>
        <w:rPr>
          <w:rFonts w:ascii="Times New Roman" w:eastAsia="Arial" w:hAnsi="Times New Roman" w:cs="Times New Roman"/>
          <w:kern w:val="0"/>
          <w:sz w:val="28"/>
          <w:szCs w:val="28"/>
          <w14:ligatures w14:val="none"/>
        </w:rPr>
      </w:pPr>
    </w:p>
    <w:p w14:paraId="0C87D722" w14:textId="38879FC3" w:rsidR="00366B0D" w:rsidRPr="00366B0D" w:rsidRDefault="00366B0D" w:rsidP="00366B0D">
      <w:pPr>
        <w:pStyle w:val="Heading2"/>
        <w:rPr>
          <w:rFonts w:eastAsia="Times New Roman"/>
          <w:lang w:eastAsia="en-GB"/>
        </w:rPr>
      </w:pPr>
      <w:r w:rsidRPr="00366B0D">
        <w:rPr>
          <w:rFonts w:eastAsia="Times New Roman"/>
          <w:lang w:eastAsia="en-GB"/>
        </w:rPr>
        <w:lastRenderedPageBreak/>
        <w:t xml:space="preserve"> </w:t>
      </w:r>
      <w:bookmarkStart w:id="4" w:name="_Toc214624155"/>
      <w:bookmarkStart w:id="5" w:name="_Toc214624193"/>
      <w:r w:rsidRPr="00366B0D">
        <w:rPr>
          <w:rFonts w:eastAsia="Times New Roman"/>
          <w:lang w:eastAsia="en-GB"/>
        </w:rPr>
        <w:t>Critical Evaluation: How Employees in the Workplace May Use Emotional Intelligence Components</w:t>
      </w:r>
      <w:bookmarkEnd w:id="4"/>
      <w:bookmarkEnd w:id="5"/>
    </w:p>
    <w:p w14:paraId="6CF60E9E" w14:textId="205396D5" w:rsidR="008B55AE"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Emotional Intelligence (EI) has become a vital skill in modern workplaces, influencing how employees interact, communicate, and perform. Daniel Goleman (1995) described emotional intelligence as the ability to recognize, understand, and manage our own emotions while also being able to recognize and influence the emotions of others. In today’s dynamic organizational environment—where teamwork, adaptability, and leadership are essential—EI contributes significantly to employee effectiveness, motivation, and workplace harmony. This section critically evaluates how employees may use the main components of emotional intelligence in the workplace, drawing on key models such as Goleman’s Emotional Competence Framework and Mayer and Salovey’s Ability Model.</w:t>
      </w:r>
      <w:r w:rsidR="008B55AE" w:rsidRPr="008B55AE">
        <w:t xml:space="preserve"> </w:t>
      </w:r>
      <w:r w:rsidR="008B55AE" w:rsidRPr="008B55AE">
        <w:rPr>
          <w:rFonts w:ascii="Arial" w:eastAsia="Times New Roman" w:hAnsi="Arial" w:cs="Arial"/>
          <w:kern w:val="0"/>
          <w:sz w:val="22"/>
          <w:szCs w:val="22"/>
          <w:lang w:eastAsia="en-GB"/>
          <w14:ligatures w14:val="none"/>
        </w:rPr>
        <w:t>(Goleman,1995)</w:t>
      </w:r>
    </w:p>
    <w:p w14:paraId="1D7BAC73" w14:textId="77777777" w:rsidR="00366B0D" w:rsidRPr="00366B0D" w:rsidRDefault="00366B0D" w:rsidP="00366B0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6" w:name="_Toc214624156"/>
      <w:bookmarkStart w:id="7" w:name="_Toc214624194"/>
      <w:r w:rsidRPr="00366B0D">
        <w:rPr>
          <w:rFonts w:ascii="Arial" w:eastAsia="Times New Roman" w:hAnsi="Arial" w:cs="Arial"/>
          <w:b/>
          <w:bCs/>
          <w:kern w:val="0"/>
          <w:sz w:val="22"/>
          <w:szCs w:val="22"/>
          <w:lang w:eastAsia="en-GB"/>
          <w14:ligatures w14:val="none"/>
        </w:rPr>
        <w:t>Understanding Emotional Intelligence Models</w:t>
      </w:r>
      <w:bookmarkEnd w:id="6"/>
      <w:bookmarkEnd w:id="7"/>
    </w:p>
    <w:p w14:paraId="2C937BE4"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Two main models of emotional intelligence are commonly discussed: the Ability Model (Mayer &amp; Salovey, 1997) and Goleman’s Mixed Model (1995, 1998).</w:t>
      </w:r>
    </w:p>
    <w:p w14:paraId="31049193"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The Ability Model views EI as a form of intelligence that involves processing emotional information through four branches:</w:t>
      </w:r>
    </w:p>
    <w:p w14:paraId="175193A4" w14:textId="77777777" w:rsidR="00366B0D" w:rsidRPr="00366B0D" w:rsidRDefault="00366B0D" w:rsidP="00366B0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Perceiving emotions – recognizing emotions in oneself and others.</w:t>
      </w:r>
    </w:p>
    <w:p w14:paraId="2F99A8E3" w14:textId="77777777" w:rsidR="00366B0D" w:rsidRPr="00366B0D" w:rsidRDefault="00366B0D" w:rsidP="00366B0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Using emotions to facilitate thinking – using feelings to guide cognitive processes.</w:t>
      </w:r>
    </w:p>
    <w:p w14:paraId="34F0C9AF" w14:textId="77777777" w:rsidR="00366B0D" w:rsidRPr="00366B0D" w:rsidRDefault="00366B0D" w:rsidP="00366B0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Understanding emotions – interpreting complex emotional meanings and transitions.</w:t>
      </w:r>
    </w:p>
    <w:p w14:paraId="1476016A" w14:textId="77777777" w:rsidR="00366B0D" w:rsidRPr="00366B0D" w:rsidRDefault="00366B0D" w:rsidP="00366B0D">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Managing emotions – regulating emotions in oneself and others to promote personal growth and social competence.</w:t>
      </w:r>
    </w:p>
    <w:p w14:paraId="0E20F3E3" w14:textId="2A72039C"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On the other hand, Goleman’s Mixed Model extends the concept by linking emotional competencies to workplace performance. Goleman identifies five components of EI: self-awareness, self-regulation, motivation, empathy, and social skills. This model is especially relevant to organizational settings, as it emphasizes how emotional competencies translate into effective work behaviour and leadership.</w:t>
      </w:r>
      <w:r w:rsidR="008B55AE" w:rsidRPr="008B55AE">
        <w:t xml:space="preserve"> </w:t>
      </w:r>
      <w:r w:rsidR="008B55AE" w:rsidRPr="008B55AE">
        <w:rPr>
          <w:rFonts w:ascii="Arial" w:eastAsia="Times New Roman" w:hAnsi="Arial" w:cs="Arial"/>
          <w:kern w:val="0"/>
          <w:sz w:val="22"/>
          <w:szCs w:val="22"/>
          <w:lang w:eastAsia="en-GB"/>
          <w14:ligatures w14:val="none"/>
        </w:rPr>
        <w:t>(Mayer, Salovey and Caruso, 2004)</w:t>
      </w:r>
    </w:p>
    <w:p w14:paraId="2138FDAB" w14:textId="77777777" w:rsidR="00366B0D" w:rsidRPr="004815D2" w:rsidRDefault="00366B0D" w:rsidP="004815D2">
      <w:pPr>
        <w:rPr>
          <w:b/>
          <w:bCs/>
          <w:lang w:eastAsia="en-GB"/>
        </w:rPr>
      </w:pPr>
      <w:r w:rsidRPr="004815D2">
        <w:rPr>
          <w:b/>
          <w:bCs/>
          <w:lang w:eastAsia="en-GB"/>
        </w:rPr>
        <w:t>Applying Emotional Intelligence Components in the Workplace</w:t>
      </w:r>
    </w:p>
    <w:p w14:paraId="2268576C" w14:textId="77777777" w:rsidR="00366B0D" w:rsidRPr="00366B0D" w:rsidRDefault="00366B0D" w:rsidP="00366B0D">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366B0D">
        <w:rPr>
          <w:rFonts w:ascii="Arial" w:eastAsia="Times New Roman" w:hAnsi="Arial" w:cs="Arial"/>
          <w:b/>
          <w:bCs/>
          <w:kern w:val="0"/>
          <w:sz w:val="22"/>
          <w:szCs w:val="22"/>
          <w:lang w:eastAsia="en-GB"/>
          <w14:ligatures w14:val="none"/>
        </w:rPr>
        <w:t>1. Self-Awareness</w:t>
      </w:r>
    </w:p>
    <w:p w14:paraId="17EE9CF5"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Self-awareness is the foundation of EI, referring to the ability to recognize and understand one’s emotions and how they affect thoughts and behaviour. In the workplace, employees with strong self-awareness can identify their emotional triggers and understand how their mood influences their work and relationships.</w:t>
      </w:r>
    </w:p>
    <w:p w14:paraId="38082ADC" w14:textId="6CFBA49B"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For example, an employee who notices feelings of frustration before a team meeting might take steps to calm down or postpone discussions to avoid conflict. Self-aware employees also tend to accept feedback more constructively, as they can differentiate between criticism of their work and criticism of their character. This contributes to better performance reviews and stronger relationships with supervisors and peers.</w:t>
      </w:r>
      <w:r w:rsidR="008B55AE">
        <w:rPr>
          <w:rFonts w:ascii="Arial" w:eastAsia="Times New Roman" w:hAnsi="Arial" w:cs="Arial"/>
          <w:kern w:val="0"/>
          <w:sz w:val="22"/>
          <w:szCs w:val="22"/>
          <w:lang w:eastAsia="en-GB"/>
          <w14:ligatures w14:val="none"/>
        </w:rPr>
        <w:t xml:space="preserve"> </w:t>
      </w:r>
      <w:r w:rsidR="008B55AE" w:rsidRPr="008B55AE">
        <w:rPr>
          <w:rFonts w:ascii="Arial" w:eastAsia="Times New Roman" w:hAnsi="Arial" w:cs="Arial"/>
          <w:kern w:val="0"/>
          <w:sz w:val="22"/>
          <w:szCs w:val="22"/>
          <w:lang w:eastAsia="en-GB"/>
          <w14:ligatures w14:val="none"/>
        </w:rPr>
        <w:t>(Boyatzis, Goleman and Rhee, 2000)</w:t>
      </w:r>
    </w:p>
    <w:p w14:paraId="2C611B2E"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 xml:space="preserve">However, the absence of self-awareness can lead to miscommunication and emotional outbursts. Employees who are unaware of their emotions may react impulsively, damage workplace relationships, or fail to notice when stress is affecting their productivity. Goleman </w:t>
      </w:r>
      <w:r w:rsidRPr="00366B0D">
        <w:rPr>
          <w:rFonts w:ascii="Arial" w:eastAsia="Times New Roman" w:hAnsi="Arial" w:cs="Arial"/>
          <w:kern w:val="0"/>
          <w:sz w:val="22"/>
          <w:szCs w:val="22"/>
          <w:lang w:eastAsia="en-GB"/>
          <w14:ligatures w14:val="none"/>
        </w:rPr>
        <w:lastRenderedPageBreak/>
        <w:t>(1998) suggests that leaders who lack self-awareness often underestimate how their moods impact their team, which can lead to lower morale.</w:t>
      </w:r>
    </w:p>
    <w:p w14:paraId="245C84B6" w14:textId="77777777" w:rsidR="00366B0D" w:rsidRPr="00366B0D" w:rsidRDefault="00366B0D" w:rsidP="00366B0D">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366B0D">
        <w:rPr>
          <w:rFonts w:ascii="Arial" w:eastAsia="Times New Roman" w:hAnsi="Arial" w:cs="Arial"/>
          <w:b/>
          <w:bCs/>
          <w:kern w:val="0"/>
          <w:sz w:val="22"/>
          <w:szCs w:val="22"/>
          <w:lang w:eastAsia="en-GB"/>
          <w14:ligatures w14:val="none"/>
        </w:rPr>
        <w:t>2. Self-Regulation</w:t>
      </w:r>
    </w:p>
    <w:p w14:paraId="0C5BFB29"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Self-regulation refers to managing one’s emotions and impulses in appropriate ways. Employees use self-regulation to stay calm under pressure, adapt to changes, and respond to challenges with a positive attitude. For instance, during organizational change or conflict, emotionally intelligent employees are more likely to remain composed and solution-focused rather than defensive or resistant.</w:t>
      </w:r>
    </w:p>
    <w:p w14:paraId="3FBEFA7C"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In fast-paced environments such as customer service or healthcare, emotional regulation can reduce burnout and improve client satisfaction. Employees who manage stress effectively are less likely to experience emotional exhaustion and are better able to deliver consistent performance.</w:t>
      </w:r>
    </w:p>
    <w:p w14:paraId="1C9C2F6E" w14:textId="1BB001F3"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Nevertheless, over-regulation can sometimes suppress genuine emotion, leading to inauthentic communication. Therefore, emotional regulation should be balanced with transparency and empathy, allowing employees to express concerns in a constructive way rather than repressing them completely.</w:t>
      </w:r>
      <w:r w:rsidR="008B55AE" w:rsidRPr="008B55AE">
        <w:t xml:space="preserve"> </w:t>
      </w:r>
      <w:r w:rsidR="008B55AE">
        <w:t>(Goleman, 2001)</w:t>
      </w:r>
    </w:p>
    <w:p w14:paraId="2ED45445" w14:textId="77777777" w:rsidR="00366B0D" w:rsidRPr="00366B0D" w:rsidRDefault="00366B0D" w:rsidP="00366B0D">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366B0D">
        <w:rPr>
          <w:rFonts w:ascii="Arial" w:eastAsia="Times New Roman" w:hAnsi="Arial" w:cs="Arial"/>
          <w:b/>
          <w:bCs/>
          <w:kern w:val="0"/>
          <w:sz w:val="22"/>
          <w:szCs w:val="22"/>
          <w:lang w:eastAsia="en-GB"/>
          <w14:ligatures w14:val="none"/>
        </w:rPr>
        <w:t>3. Motivation</w:t>
      </w:r>
    </w:p>
    <w:p w14:paraId="22B1B595"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Goleman (1998) highlights motivation as a key driver of emotional intelligence, characterized by a passion to work for reasons beyond money or status. Emotionally intelligent employees demonstrate intrinsic motivation—they are guided by personal goals, values, and a sense of purpose.</w:t>
      </w:r>
    </w:p>
    <w:p w14:paraId="168FD8CB"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In practice, employees use emotional motivation to persist in the face of setbacks and to maintain optimism even during stressful situations. For instance, sales representatives who stay motivated after rejections or setbacks show resilience—a critical EI skill linked to productivity and satisfaction.</w:t>
      </w:r>
    </w:p>
    <w:p w14:paraId="277C980C" w14:textId="47F53BF2"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From a critical viewpoint, motivation may also vary depending on the organizational culture. In environments where rewards are strictly performance-based, extrinsic motivation may dominate, reducing emotional engagement. Therefore, managers should cultivate a workplace culture that supports intrinsic motivation, such as recognizing effort, providing growth opportunities, and aligning individual goals with organizational values.</w:t>
      </w:r>
      <w:r w:rsidR="008B55AE">
        <w:rPr>
          <w:rFonts w:ascii="Arial" w:eastAsia="Times New Roman" w:hAnsi="Arial" w:cs="Arial"/>
          <w:kern w:val="0"/>
          <w:sz w:val="22"/>
          <w:szCs w:val="22"/>
          <w:lang w:eastAsia="en-GB"/>
          <w14:ligatures w14:val="none"/>
        </w:rPr>
        <w:t xml:space="preserve"> </w:t>
      </w:r>
      <w:r w:rsidR="008B55AE">
        <w:t>(Goleman, 2006)</w:t>
      </w:r>
    </w:p>
    <w:p w14:paraId="71E1D5F4" w14:textId="77777777" w:rsidR="00366B0D" w:rsidRPr="00366B0D" w:rsidRDefault="00366B0D" w:rsidP="00366B0D">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366B0D">
        <w:rPr>
          <w:rFonts w:ascii="Arial" w:eastAsia="Times New Roman" w:hAnsi="Arial" w:cs="Arial"/>
          <w:b/>
          <w:bCs/>
          <w:kern w:val="0"/>
          <w:sz w:val="22"/>
          <w:szCs w:val="22"/>
          <w:lang w:eastAsia="en-GB"/>
          <w14:ligatures w14:val="none"/>
        </w:rPr>
        <w:t>4. Empathy</w:t>
      </w:r>
    </w:p>
    <w:p w14:paraId="7FD9EA6C"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Empathy—the ability to understand others’ emotions—is crucial for effective teamwork and communication. Employees who demonstrate empathy can interpret verbal and nonverbal cues, anticipate colleagues’ needs, and respond sensitively. In customer-facing roles, empathy enables employees to connect with clients, handle complaints diplomatically, and enhance service satisfaction.</w:t>
      </w:r>
    </w:p>
    <w:p w14:paraId="660329F1"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In team environments, empathy promotes inclusion and collaboration. For example, when a team member struggles with workload, an empathetic colleague might offer support or help redistribute tasks. This fosters trust and psychological safety, both of which are essential for innovation and open communication.</w:t>
      </w:r>
    </w:p>
    <w:p w14:paraId="226CF45E"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However, excessive empathy can sometimes lead to emotional fatigue or blurred boundaries, particularly in helping professions such as nursing or social work. Therefore, employees need to balance empathy with self-care to prevent compassion fatigue.</w:t>
      </w:r>
    </w:p>
    <w:p w14:paraId="48E7909E" w14:textId="77777777" w:rsidR="00366B0D" w:rsidRPr="00366B0D" w:rsidRDefault="00366B0D" w:rsidP="00366B0D">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366B0D">
        <w:rPr>
          <w:rFonts w:ascii="Arial" w:eastAsia="Times New Roman" w:hAnsi="Arial" w:cs="Arial"/>
          <w:b/>
          <w:bCs/>
          <w:kern w:val="0"/>
          <w:sz w:val="22"/>
          <w:szCs w:val="22"/>
          <w:lang w:eastAsia="en-GB"/>
          <w14:ligatures w14:val="none"/>
        </w:rPr>
        <w:t>5. Social Skills</w:t>
      </w:r>
    </w:p>
    <w:p w14:paraId="76A3C866"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Social skills refer to the ability to manage relationships effectively, influence others, and work well in teams. Employees with strong social skills can build rapport, negotiate, resolve conflicts, and communicate clearly. In today’s diverse workplaces, social skills are essential for collaboration across cultural and generational differences.</w:t>
      </w:r>
    </w:p>
    <w:p w14:paraId="044BEA71"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For instance, emotionally intelligent employees tend to use active listening and assertive communication, which reduces misunderstandings and enhances teamwork. They are also effective in leadership roles, as they can inspire and guide others toward shared goals.</w:t>
      </w:r>
    </w:p>
    <w:p w14:paraId="6F6DAE6A" w14:textId="6B2A6450"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Critically, while social skills are often seen as innate, they can be developed through training and practice. Organizations that invest in interpersonal skills development often see improvements in collaboration, morale, and employee retention.</w:t>
      </w:r>
      <w:r w:rsidR="008B55AE" w:rsidRPr="008B55AE">
        <w:t xml:space="preserve"> </w:t>
      </w:r>
      <w:r w:rsidR="008B55AE">
        <w:t>(Figley, 2002)</w:t>
      </w:r>
    </w:p>
    <w:p w14:paraId="5DC90FA4" w14:textId="77777777" w:rsidR="00366B0D" w:rsidRPr="00366B0D" w:rsidRDefault="00366B0D" w:rsidP="00A84B3E">
      <w:pPr>
        <w:pStyle w:val="Heading2"/>
        <w:rPr>
          <w:rFonts w:eastAsia="Times New Roman"/>
          <w:lang w:eastAsia="en-GB"/>
        </w:rPr>
      </w:pPr>
      <w:bookmarkStart w:id="8" w:name="_Toc214624157"/>
      <w:bookmarkStart w:id="9" w:name="_Toc214624195"/>
      <w:r w:rsidRPr="00366B0D">
        <w:rPr>
          <w:rFonts w:eastAsia="Times New Roman"/>
          <w:lang w:eastAsia="en-GB"/>
        </w:rPr>
        <w:lastRenderedPageBreak/>
        <w:t>Critical Evaluation of EI in Workplace Contexts</w:t>
      </w:r>
      <w:bookmarkEnd w:id="8"/>
      <w:bookmarkEnd w:id="9"/>
    </w:p>
    <w:p w14:paraId="0569FF97"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While EI offers significant advantages, it is not without limitations. Critics such as Locke (2005) argue that emotional intelligence overlaps with personality traits like agreeableness or emotional stability, questioning whether it is truly a separate form of intelligence. Additionally, measuring EI accurately remains a challenge, as self-report questionnaires can be biased by social desirability.</w:t>
      </w:r>
    </w:p>
    <w:p w14:paraId="4E7F04BE"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In practical terms, the impact of EI can also depend on the organizational culture. In supportive and open cultures, emotional intelligence tends to flourish, encouraging empathy, communication, and teamwork. However, in rigid or competitive environments, emotional expression may be discouraged, making it difficult for employees to apply EI effectively.</w:t>
      </w:r>
    </w:p>
    <w:p w14:paraId="483E378E" w14:textId="2CDB6763" w:rsidR="008B55AE" w:rsidRDefault="00366B0D" w:rsidP="008B55AE">
      <w:pPr>
        <w:pStyle w:val="NormalWeb"/>
      </w:pPr>
      <w:r w:rsidRPr="00366B0D">
        <w:rPr>
          <w:rFonts w:ascii="Arial" w:hAnsi="Arial" w:cs="Arial"/>
          <w:sz w:val="22"/>
          <w:szCs w:val="22"/>
        </w:rPr>
        <w:t>Moreover, there is a cultural dimension to EI. What is considered emotionally intelligent behaviour in one culture may not be perceived the same way in another. For example, expressing emotions openly might be valued in Western organizations but seen as unprofessional in some Eastern contexts. Therefore, emotional intelligence must be understood within cultural and situational frameworks rather than as a one-size-fits-all model.</w:t>
      </w:r>
      <w:r w:rsidR="008B55AE">
        <w:t xml:space="preserve"> (Kock et al., 2019)</w:t>
      </w:r>
    </w:p>
    <w:p w14:paraId="79E5D266" w14:textId="15E60C18"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p>
    <w:p w14:paraId="00C58A0C" w14:textId="77777777" w:rsidR="00366B0D" w:rsidRPr="00366B0D" w:rsidRDefault="00366B0D" w:rsidP="00366B0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10" w:name="_Toc214624158"/>
      <w:bookmarkStart w:id="11" w:name="_Toc214624196"/>
      <w:r w:rsidRPr="00366B0D">
        <w:rPr>
          <w:rFonts w:ascii="Arial" w:eastAsia="Times New Roman" w:hAnsi="Arial" w:cs="Arial"/>
          <w:b/>
          <w:bCs/>
          <w:kern w:val="0"/>
          <w:sz w:val="22"/>
          <w:szCs w:val="22"/>
          <w:lang w:eastAsia="en-GB"/>
          <w14:ligatures w14:val="none"/>
        </w:rPr>
        <w:t>Integrating EI into Organizational Practice</w:t>
      </w:r>
      <w:bookmarkEnd w:id="10"/>
      <w:bookmarkEnd w:id="11"/>
    </w:p>
    <w:p w14:paraId="354D8C8E" w14:textId="77777777" w:rsidR="00366B0D" w:rsidRPr="00366B0D" w:rsidRDefault="00366B0D" w:rsidP="00366B0D">
      <w:pPr>
        <w:spacing w:before="100" w:beforeAutospacing="1" w:after="100" w:afterAutospacing="1" w:line="240" w:lineRule="auto"/>
        <w:rPr>
          <w:rFonts w:ascii="Arial" w:eastAsia="Times New Roman" w:hAnsi="Arial" w:cs="Arial"/>
          <w:kern w:val="0"/>
          <w:sz w:val="22"/>
          <w:szCs w:val="22"/>
          <w:lang w:eastAsia="en-GB"/>
          <w14:ligatures w14:val="none"/>
        </w:rPr>
      </w:pPr>
      <w:r w:rsidRPr="00366B0D">
        <w:rPr>
          <w:rFonts w:ascii="Arial" w:eastAsia="Times New Roman" w:hAnsi="Arial" w:cs="Arial"/>
          <w:kern w:val="0"/>
          <w:sz w:val="22"/>
          <w:szCs w:val="22"/>
          <w:lang w:eastAsia="en-GB"/>
          <w14:ligatures w14:val="none"/>
        </w:rPr>
        <w:t>Employees use emotional intelligence not just individually but collectively. Team EI—the shared emotional understanding within a group—can enhance collaboration and decision-making. When team members are emotionally aware and empathetic, conflicts are resolved faster, and creativity increases.</w:t>
      </w:r>
    </w:p>
    <w:p w14:paraId="7B160524" w14:textId="0E9EDD67" w:rsidR="00366B0D" w:rsidRDefault="00366B0D" w:rsidP="00366B0D">
      <w:pPr>
        <w:spacing w:before="100" w:beforeAutospacing="1" w:after="100" w:afterAutospacing="1" w:line="240" w:lineRule="auto"/>
      </w:pPr>
      <w:r w:rsidRPr="00366B0D">
        <w:rPr>
          <w:rFonts w:ascii="Arial" w:eastAsia="Times New Roman" w:hAnsi="Arial" w:cs="Arial"/>
          <w:kern w:val="0"/>
          <w:sz w:val="22"/>
          <w:szCs w:val="22"/>
          <w:lang w:eastAsia="en-GB"/>
          <w14:ligatures w14:val="none"/>
        </w:rPr>
        <w:t>Organizations can foster EI by offering training programs that focus on emotional awareness, communication, and resilience. Mentoring and feedback systems also encourage employees to reflect on emotional experiences and improve interpersonal effectiveness. Furthermore, leaders play a central role in modelling emotionally intelligent behaviour. A manager who demonstrates empathy and composure during crises sets a tone that encourages similar responses from the team.</w:t>
      </w:r>
      <w:r w:rsidR="008B55AE" w:rsidRPr="008B55AE">
        <w:t xml:space="preserve"> </w:t>
      </w:r>
      <w:r w:rsidR="008B55AE">
        <w:t>(Locke, 2005)</w:t>
      </w:r>
    </w:p>
    <w:p w14:paraId="194058AA"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Another important consideration is the role of emotional intelligence in conflict management and workplace communication. In diverse and high-pressure environments, conflict is inevitable. Employees who possess higher levels of emotional intelligence are often better equipped to approach conflict with understanding and diplomacy. According to Jordan and Troth (2004), individuals with higher EI demonstrate superior conflict resolution abilities because they can recognize emotional cues and regulate their responses accordingly. Rather than reacting defensively, emotionally intelligent employees use empathy and active listening to de-escalate tense situations, turning potential disputes into opportunities for collaboration and learning.</w:t>
      </w:r>
    </w:p>
    <w:p w14:paraId="5496339E"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 xml:space="preserve">Moreover, emotional intelligence contributes significantly to leadership development and organizational culture. Leaders who display self-awareness, empathy, and emotional regulation tend to create more psychologically safe workplaces (Carmeli, 2003). This safety encourages employees to share ideas openly, admit mistakes, and innovate without fear of negative judgment. Research also shows that leaders with high EI inspire greater trust and commitment among their teams (George, 2000), which directly impacts productivity and </w:t>
      </w:r>
      <w:r w:rsidRPr="008B55AE">
        <w:rPr>
          <w:rFonts w:ascii="Arial" w:eastAsia="Times New Roman" w:hAnsi="Arial" w:cs="Arial"/>
          <w:kern w:val="0"/>
          <w:sz w:val="22"/>
          <w:szCs w:val="22"/>
          <w:lang w:eastAsia="en-GB"/>
          <w14:ligatures w14:val="none"/>
        </w:rPr>
        <w:lastRenderedPageBreak/>
        <w:t>employee retention. Therefore, developing EI across all levels of the organization supports not only interpersonal effectiveness but also long-term strategic success.</w:t>
      </w:r>
    </w:p>
    <w:p w14:paraId="214727A4"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Additionally, EI has a strong link with well-being and stress management in the workplace. Employees who can accurately identify and manage their emotions are less likely to experience burnout or job dissatisfaction (Zeidner, Matthews and Roberts, 2004). They tend to apply cognitive strategies, such as reframing challenges positively or seeking social support, to maintain motivation and resilience under pressure. In contrast, low emotional intelligence may lead to maladaptive coping mechanisms like withdrawal, aggression, or emotional exhaustion.</w:t>
      </w:r>
    </w:p>
    <w:p w14:paraId="41C87FFE" w14:textId="77777777" w:rsid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Overall, emotional intelligence functions as both a personal and organizational resource. It enhances communication, reduces conflict, supports mental well-being, and strengthens leadership effectiveness—all of which contribute to a more cohesive and adaptive workplace culture (Cherniss, 2010).</w:t>
      </w:r>
    </w:p>
    <w:p w14:paraId="2D5CB104" w14:textId="77777777" w:rsidR="008B55AE" w:rsidRPr="008B55AE" w:rsidRDefault="008B55AE" w:rsidP="008B55AE">
      <w:pPr>
        <w:pStyle w:val="Heading2"/>
        <w:rPr>
          <w:rFonts w:eastAsia="Times New Roman"/>
          <w:lang w:eastAsia="en-GB"/>
        </w:rPr>
      </w:pPr>
      <w:bookmarkStart w:id="12" w:name="_Toc214624159"/>
      <w:bookmarkStart w:id="13" w:name="_Toc214624197"/>
      <w:r w:rsidRPr="008B55AE">
        <w:rPr>
          <w:rFonts w:eastAsia="Times New Roman"/>
          <w:lang w:eastAsia="en-GB"/>
        </w:rPr>
        <w:t>Unique Emotional Intelligence Characteristics Managers Should Consider When Recruiting Employees from Different Generations</w:t>
      </w:r>
      <w:bookmarkEnd w:id="12"/>
      <w:bookmarkEnd w:id="13"/>
    </w:p>
    <w:p w14:paraId="57FFB8B0"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In today’s multigenerational workforce, managers face the challenge of recruiting and managing employees from distinct age groups, each with unique values, behaviours, and expectations. Understanding emotional intelligence (EI) across generational lines is therefore essential to ensure that recruitment and retention strategies align with individual and organizational needs. Emotional intelligence, as defined by Goleman (1998), refers to a set of skills involving self-awareness, self-regulation, motivation, empathy, and social skills. These skills shape how individuals perceive and respond to workplace experiences and interpersonal interactions.</w:t>
      </w:r>
    </w:p>
    <w:p w14:paraId="085D0C0C"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This section explores the unique emotional intelligence characteristics that managers should consider when recruiting employees from Generation X, Generation Y (Millennials), and Generation Z, while drawing on key EI frameworks such as Goleman’s Mixed Model (1998) and Mayer and Salovey’s Ability Model (1997).</w:t>
      </w:r>
    </w:p>
    <w:p w14:paraId="74A3EAE5"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pict w14:anchorId="6801E038">
          <v:rect id="_x0000_i1137" style="width:0;height:1.5pt" o:hralign="center" o:hrstd="t" o:hr="t" fillcolor="#a0a0a0" stroked="f"/>
        </w:pict>
      </w:r>
    </w:p>
    <w:p w14:paraId="4F77386B"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Understanding Generational Differences</w:t>
      </w:r>
    </w:p>
    <w:p w14:paraId="2BBC49FF"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Generational differences are shaped by social, economic, and technological conditions that influence attitudes, communication styles, and emotional responses (Lyons and Kuron, 2014).</w:t>
      </w:r>
    </w:p>
    <w:p w14:paraId="716F8F67" w14:textId="77777777" w:rsidR="008B55AE" w:rsidRPr="008B55AE" w:rsidRDefault="008B55AE" w:rsidP="008B55AE">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X (born approximately 1965–1980) grew up during economic uncertainty and social change, developing a sense of independence and adaptability.</w:t>
      </w:r>
    </w:p>
    <w:p w14:paraId="5FDD6577" w14:textId="77777777" w:rsidR="008B55AE" w:rsidRPr="008B55AE" w:rsidRDefault="008B55AE" w:rsidP="008B55AE">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Y or Millennials (born 1981–1996) came of age during rapid technological advances and globalization, leading them to value collaboration, purpose, and feedback.</w:t>
      </w:r>
    </w:p>
    <w:p w14:paraId="4B8A7A98" w14:textId="77777777" w:rsidR="008B55AE" w:rsidRPr="008B55AE" w:rsidRDefault="008B55AE" w:rsidP="008B55AE">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Z (born 1997–2012) is the first fully digital generation, often characterized by technological fluency, social awareness, and a desire for flexibility and inclusivity (Francis and Hoefel, 2018).</w:t>
      </w:r>
    </w:p>
    <w:p w14:paraId="1A8DF66F"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Each generation displays different emotional tendencies and competencies, which can influence how they apply emotional intelligence in the workplace.</w:t>
      </w:r>
    </w:p>
    <w:p w14:paraId="5333B24D"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lastRenderedPageBreak/>
        <w:pict w14:anchorId="2B03A12E">
          <v:rect id="_x0000_i1138" style="width:0;height:1.5pt" o:hralign="center" o:hrstd="t" o:hr="t" fillcolor="#a0a0a0" stroked="f"/>
        </w:pict>
      </w:r>
    </w:p>
    <w:p w14:paraId="014C13BC"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Emotional Intelligence Characteristics Across Generations</w:t>
      </w:r>
    </w:p>
    <w:p w14:paraId="5E9DCC04"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X: Independence and Emotional Regulation</w:t>
      </w:r>
    </w:p>
    <w:p w14:paraId="66A8A28C"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Employees from Generation X are often self-reliant, pragmatic, and resilient (Smola and Sutton, 2002). Having experienced economic recessions and transitions in workplace culture, they tend to value stability and autonomy. From an emotional intelligence perspective, this generation often demonstrates strong self-regulation and self-awareness, allowing them to remain composed in stressful situations and manage change effectively.</w:t>
      </w:r>
    </w:p>
    <w:p w14:paraId="6E70CC25"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Their ability to balance professional and personal responsibilities also indicates a mature understanding of emotional boundaries—an important trait for leadership and mentoring roles. However, some Gen X employees may be less expressive emotionally, preferring to maintain professional distance (Gursoy, Maier and Chi, 2008). During recruitment, managers should therefore focus on identifying candidates who not only possess strong technical and problem-solving skills but also demonstrate adaptability, reflection, and interpersonal empathy.</w:t>
      </w:r>
    </w:p>
    <w:p w14:paraId="785487DF"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To attract Generation X, managers can highlight stability, professional development opportunities, and a culture that values independence and trust. EI-based assessments such as emotional self-awareness or adaptability tests may help identify candidates who can manage their emotions effectively while engaging constructively with teams.</w:t>
      </w:r>
    </w:p>
    <w:p w14:paraId="5DED6D85"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pict w14:anchorId="454B3D93">
          <v:rect id="_x0000_i1139" style="width:0;height:1.5pt" o:hralign="center" o:hrstd="t" o:hr="t" fillcolor="#a0a0a0" stroked="f"/>
        </w:pict>
      </w:r>
    </w:p>
    <w:p w14:paraId="788F7CBA"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Y (Millennials): Empathy, Collaboration, and Feedback Sensitivity</w:t>
      </w:r>
    </w:p>
    <w:p w14:paraId="33B0DD9D"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 xml:space="preserve">Millennials, often seen as the “social” generation, prioritize teamwork, purpose-driven work, and emotional connection in the workplace (Myers and </w:t>
      </w:r>
      <w:proofErr w:type="spellStart"/>
      <w:r w:rsidRPr="008B55AE">
        <w:rPr>
          <w:rFonts w:ascii="Arial" w:eastAsia="Times New Roman" w:hAnsi="Arial" w:cs="Arial"/>
          <w:kern w:val="0"/>
          <w:sz w:val="22"/>
          <w:szCs w:val="22"/>
          <w:lang w:eastAsia="en-GB"/>
          <w14:ligatures w14:val="none"/>
        </w:rPr>
        <w:t>Sadaghiani</w:t>
      </w:r>
      <w:proofErr w:type="spellEnd"/>
      <w:r w:rsidRPr="008B55AE">
        <w:rPr>
          <w:rFonts w:ascii="Arial" w:eastAsia="Times New Roman" w:hAnsi="Arial" w:cs="Arial"/>
          <w:kern w:val="0"/>
          <w:sz w:val="22"/>
          <w:szCs w:val="22"/>
          <w:lang w:eastAsia="en-GB"/>
          <w14:ligatures w14:val="none"/>
        </w:rPr>
        <w:t>, 2010). From an EI perspective, Millennials tend to excel in empathy and social skills, reflecting their collaborative and inclusive mindset. They value open communication and feedback, which supports emotionally intelligent team dynamics (Goleman, 2006).</w:t>
      </w:r>
    </w:p>
    <w:p w14:paraId="23329532"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However, this heightened emotional awareness can also make Millennials more sensitive to criticism and workplace stress, especially when organizational values conflict with their own (Twenge and Campbell, 2008). Managers recruiting Millennials should therefore look for candidates who balance empathy and motivation with resilience and self-regulation.</w:t>
      </w:r>
    </w:p>
    <w:p w14:paraId="66926BBD"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Millennials also place significant emphasis on purpose and meaningful work. Using Goleman’s (1998) model, this can be linked to intrinsic motivation, where individuals are driven by personal values and social impact rather than status or monetary reward. Recruiters should highlight corporate social responsibility, inclusivity, and opportunities for continuous learning to appeal to this generation’s emotionally intelligent motivations.</w:t>
      </w:r>
    </w:p>
    <w:p w14:paraId="1A3C23EE"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pict w14:anchorId="7285FE66">
          <v:rect id="_x0000_i1140" style="width:0;height:1.5pt" o:hralign="center" o:hrstd="t" o:hr="t" fillcolor="#a0a0a0" stroked="f"/>
        </w:pict>
      </w:r>
    </w:p>
    <w:p w14:paraId="103B1504"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Z: Digital Empathy and Emotional Adaptability</w:t>
      </w:r>
    </w:p>
    <w:p w14:paraId="45A1ECBB"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 xml:space="preserve">Generation Z has entered the workforce with advanced technological literacy and a strong awareness of diversity and mental health (Dimock, 2019). However, growing up in an era of constant connectivity and social media has also shaped how they experience and express </w:t>
      </w:r>
      <w:r w:rsidRPr="008B55AE">
        <w:rPr>
          <w:rFonts w:ascii="Arial" w:eastAsia="Times New Roman" w:hAnsi="Arial" w:cs="Arial"/>
          <w:kern w:val="0"/>
          <w:sz w:val="22"/>
          <w:szCs w:val="22"/>
          <w:lang w:eastAsia="en-GB"/>
          <w14:ligatures w14:val="none"/>
        </w:rPr>
        <w:lastRenderedPageBreak/>
        <w:t>emotions. While Gen Z employees often display strong empathy in social contexts, research suggests they may struggle with emotional regulation and face-to-face communication, due to the dominance of digital interaction (Seemiller and Grace, 2017).</w:t>
      </w:r>
    </w:p>
    <w:p w14:paraId="70039733"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From an EI perspective, Gen Z demonstrates high levels of emotional perception (recognizing emotions through digital cues like tone, emojis, or online communication) but may need further development in emotional management and stress tolerance. Managers recruiting Gen Z should therefore focus on identifying adaptability, digital communication skills, and openness to feedback.</w:t>
      </w:r>
    </w:p>
    <w:p w14:paraId="54CC747D"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Training programs that emphasize mindfulness, resilience, and interpersonal connection can help strengthen this generation’s emotional regulation and self-awareness. Moreover, flexibility, inclusivity, and opportunities for creativity are key attractors for Gen Z candidates. Recruiters who use digital tools or gamified assessments to evaluate EI are likely to connect better with this tech-savvy group.</w:t>
      </w:r>
    </w:p>
    <w:p w14:paraId="429DCE14"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pict w14:anchorId="197D92A2">
          <v:rect id="_x0000_i1141" style="width:0;height:1.5pt" o:hralign="center" o:hrstd="t" o:hr="t" fillcolor="#a0a0a0" stroked="f"/>
        </w:pict>
      </w:r>
    </w:p>
    <w:p w14:paraId="3AF7B9F8" w14:textId="77777777" w:rsidR="008B55AE" w:rsidRPr="008B55AE" w:rsidRDefault="008B55AE" w:rsidP="00A84B3E">
      <w:pPr>
        <w:pStyle w:val="Heading2"/>
        <w:rPr>
          <w:rFonts w:eastAsia="Times New Roman"/>
          <w:lang w:eastAsia="en-GB"/>
        </w:rPr>
      </w:pPr>
      <w:bookmarkStart w:id="14" w:name="_Toc214624160"/>
      <w:bookmarkStart w:id="15" w:name="_Toc214624198"/>
      <w:r w:rsidRPr="008B55AE">
        <w:rPr>
          <w:rFonts w:eastAsia="Times New Roman"/>
          <w:lang w:eastAsia="en-GB"/>
        </w:rPr>
        <w:t>Comparative Insights for Recruitment</w:t>
      </w:r>
      <w:bookmarkEnd w:id="14"/>
      <w:bookmarkEnd w:id="15"/>
    </w:p>
    <w:p w14:paraId="4CA63DBA"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While each generation exhibits different emotional intelligence traits, managers should avoid stereotyping and instead use EI as a lens for understanding individual behaviour. For instance:</w:t>
      </w:r>
    </w:p>
    <w:p w14:paraId="209AF239" w14:textId="77777777" w:rsidR="008B55AE" w:rsidRPr="008B55AE" w:rsidRDefault="008B55AE" w:rsidP="008B55AE">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X offers emotional maturity, independence, and balanced decision-making.</w:t>
      </w:r>
    </w:p>
    <w:p w14:paraId="734B2C87" w14:textId="77777777" w:rsidR="008B55AE" w:rsidRPr="008B55AE" w:rsidRDefault="008B55AE" w:rsidP="008B55AE">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Y contributes collaboration, empathy, and social awareness.</w:t>
      </w:r>
    </w:p>
    <w:p w14:paraId="25F81D3F" w14:textId="77777777" w:rsidR="008B55AE" w:rsidRPr="008B55AE" w:rsidRDefault="008B55AE" w:rsidP="008B55AE">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Generation Z brings innovation, digital empathy, and adaptability.</w:t>
      </w:r>
    </w:p>
    <w:p w14:paraId="3A86CA6F"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Goleman’s (2001) framework suggests that emotionally intelligent employees can be identified not only by their technical competence but also by their interpersonal sensitivity and self-management. During recruitment, managers can use behavioural interviews, situational judgement tests, and EI-based assessments (such as the Emotional Competence Inventory or MSCEIT) to evaluate these traits objectively (Mayer, Salovey and Caruso, 2004).</w:t>
      </w:r>
    </w:p>
    <w:p w14:paraId="6010E847"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A multi-generational EI strategy allows managers to build balanced teams that leverage each generation’s strengths. For example, pairing a Gen X mentor with a Gen Z employee can foster emotional learning and cross-generational understanding. Similarly, Millennials’ collaborative nature can help bridge communication gaps between traditional and digital work styles.</w:t>
      </w:r>
    </w:p>
    <w:p w14:paraId="03ABD17A"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pict w14:anchorId="016F02D5">
          <v:rect id="_x0000_i1142" style="width:0;height:1.5pt" o:hralign="center" o:hrstd="t" o:hr="t" fillcolor="#a0a0a0" stroked="f"/>
        </w:pict>
      </w:r>
    </w:p>
    <w:p w14:paraId="718FD516" w14:textId="77777777" w:rsidR="008B55AE" w:rsidRPr="008B55AE" w:rsidRDefault="008B55AE" w:rsidP="00A84B3E">
      <w:pPr>
        <w:pStyle w:val="Heading2"/>
        <w:rPr>
          <w:rFonts w:eastAsia="Times New Roman"/>
          <w:lang w:eastAsia="en-GB"/>
        </w:rPr>
      </w:pPr>
      <w:bookmarkStart w:id="16" w:name="_Toc214624161"/>
      <w:bookmarkStart w:id="17" w:name="_Toc214624199"/>
      <w:r w:rsidRPr="008B55AE">
        <w:rPr>
          <w:rFonts w:eastAsia="Times New Roman"/>
          <w:lang w:eastAsia="en-GB"/>
        </w:rPr>
        <w:t>The Role of Emotional Intelligence in Inclusive Recruitment</w:t>
      </w:r>
      <w:bookmarkEnd w:id="16"/>
      <w:bookmarkEnd w:id="17"/>
    </w:p>
    <w:p w14:paraId="35EEADCB"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Emotional intelligence also plays a key role in promoting inclusive recruitment practices. Managers with high EI are more attuned to unconscious bias, allowing them to evaluate candidates on potential and emotional competence rather than stereotypes (Cherniss, 2010). By applying empathy and self-awareness, recruiters can create a fairer and more engaging selection experience that values diversity in emotional expression and communication.</w:t>
      </w:r>
    </w:p>
    <w:p w14:paraId="208E27E1"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lastRenderedPageBreak/>
        <w:t>Furthermore, as workplaces increasingly focus on well-being and psychological safety, emotionally intelligent recruitment helps identify candidates who align with positive organizational values such as empathy, respect, and cooperation (Côté, 2014). This approach ensures that hiring decisions not only fill positions but also strengthen the emotional fabric of the organization.</w:t>
      </w:r>
    </w:p>
    <w:p w14:paraId="089CA222"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pict w14:anchorId="1ACC5EC7">
          <v:rect id="_x0000_i1073" style="width:0;height:1.5pt" o:hralign="center" o:hrstd="t" o:hr="t" fillcolor="#a0a0a0" stroked="f"/>
        </w:pict>
      </w:r>
    </w:p>
    <w:p w14:paraId="5771DDAC"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In summary, emotional intelligence manifests differently across generations due to diverse life experiences, technological exposure, and cultural expectations. Generation X employees tend to display strong emotional regulation and independence; Millennials excel in empathy and collaboration; and Generation Z offers digital empathy and adaptability but may need support in emotional regulation.</w:t>
      </w:r>
    </w:p>
    <w:p w14:paraId="4651F2EA" w14:textId="77777777" w:rsid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r w:rsidRPr="008B55AE">
        <w:rPr>
          <w:rFonts w:ascii="Arial" w:eastAsia="Times New Roman" w:hAnsi="Arial" w:cs="Arial"/>
          <w:kern w:val="0"/>
          <w:sz w:val="22"/>
          <w:szCs w:val="22"/>
          <w:lang w:eastAsia="en-GB"/>
          <w14:ligatures w14:val="none"/>
        </w:rPr>
        <w:t>For managers, recognizing and valuing these generational EI differences is crucial for effective recruitment. Using emotional intelligence assessments, mindful interviewing, and inclusive communication strategies allows organizations to build teams that are emotionally diverse yet cohesive. Ultimately, by understanding generational EI characteristics, managers can attract talent that not only performs well but also enhances workplace relationships, creativity, and well-being.</w:t>
      </w:r>
    </w:p>
    <w:p w14:paraId="3D55D03E" w14:textId="77777777" w:rsidR="004815D2" w:rsidRDefault="004815D2" w:rsidP="008B55AE">
      <w:pPr>
        <w:spacing w:before="100" w:beforeAutospacing="1" w:after="100" w:afterAutospacing="1" w:line="240" w:lineRule="auto"/>
        <w:rPr>
          <w:rFonts w:ascii="Arial" w:eastAsia="Times New Roman" w:hAnsi="Arial" w:cs="Arial"/>
          <w:kern w:val="0"/>
          <w:sz w:val="22"/>
          <w:szCs w:val="22"/>
          <w:lang w:eastAsia="en-GB"/>
          <w14:ligatures w14:val="none"/>
        </w:rPr>
      </w:pPr>
    </w:p>
    <w:p w14:paraId="6D267433" w14:textId="15F4FFFE" w:rsidR="004815D2" w:rsidRDefault="004815D2" w:rsidP="004815D2">
      <w:pPr>
        <w:pStyle w:val="Heading1"/>
        <w:rPr>
          <w:rFonts w:eastAsia="Times New Roman"/>
          <w:lang w:eastAsia="en-GB"/>
        </w:rPr>
      </w:pPr>
      <w:bookmarkStart w:id="18" w:name="_Toc214624162"/>
      <w:bookmarkStart w:id="19" w:name="_Toc214624200"/>
      <w:r>
        <w:rPr>
          <w:rFonts w:eastAsia="Times New Roman"/>
          <w:lang w:eastAsia="en-GB"/>
        </w:rPr>
        <w:t>Conclusion</w:t>
      </w:r>
      <w:bookmarkEnd w:id="18"/>
      <w:bookmarkEnd w:id="19"/>
    </w:p>
    <w:p w14:paraId="0223126E" w14:textId="77777777" w:rsidR="004815D2" w:rsidRPr="004815D2" w:rsidRDefault="004815D2" w:rsidP="004815D2">
      <w:pPr>
        <w:rPr>
          <w:lang w:eastAsia="en-GB"/>
        </w:rPr>
      </w:pPr>
      <w:r w:rsidRPr="004815D2">
        <w:rPr>
          <w:lang w:eastAsia="en-GB"/>
        </w:rPr>
        <w:t>The increasing complexity of contemporary organisational environments has heightened the importance of emotional intelligence (EI) and mindfulness as critical competencies for effective workplace functioning. In line with Daniel Goleman’s assertion that individuals who lack awareness of their own emotions are less capable of recognising emotional states in others, modern organisations are paying closer attention to employees’ intrapersonal and interpersonal capacities. Emotional intelligence has therefore become recognised not only as a personal asset but also as a strategic organisational resource that supports communication, collaboration, and leadership effectiveness.</w:t>
      </w:r>
    </w:p>
    <w:p w14:paraId="1686A728" w14:textId="77777777" w:rsidR="004815D2" w:rsidRPr="004815D2" w:rsidRDefault="004815D2" w:rsidP="004815D2">
      <w:pPr>
        <w:rPr>
          <w:lang w:eastAsia="en-GB"/>
        </w:rPr>
      </w:pPr>
      <w:r w:rsidRPr="004815D2">
        <w:rPr>
          <w:lang w:eastAsia="en-GB"/>
        </w:rPr>
        <w:t>Within this context, the line manager’s observation of enhanced emotional intelligence skills following a recent presentation has prompted a request for a more detailed exploration of the concepts of mindfulness and EI. This reflection is intended for presentation to the Senior Management Team (SMT) at the organisation’s year-end meeting, demonstrating both personal development and the broader organisational relevance of these constructs. The request itself reflects a growing shift in organisational culture, where emotional competencies are increasingly viewed as essential to the creation of psychologically safe, adaptable, and high-performing work environments.</w:t>
      </w:r>
    </w:p>
    <w:p w14:paraId="46C76EEB" w14:textId="77777777" w:rsidR="004815D2" w:rsidRPr="004815D2" w:rsidRDefault="004815D2" w:rsidP="004815D2">
      <w:pPr>
        <w:rPr>
          <w:lang w:eastAsia="en-GB"/>
        </w:rPr>
      </w:pPr>
      <w:r w:rsidRPr="004815D2">
        <w:rPr>
          <w:lang w:eastAsia="en-GB"/>
        </w:rPr>
        <w:t xml:space="preserve">Mindfulness, commonly defined as the capacity to maintain present-moment awareness with an attitude of openness and non-judgment, has been widely linked to </w:t>
      </w:r>
      <w:r w:rsidRPr="004815D2">
        <w:rPr>
          <w:lang w:eastAsia="en-GB"/>
        </w:rPr>
        <w:lastRenderedPageBreak/>
        <w:t>emotional regulation, reduced stress, and improved attention. When integrated into professional settings, mindfulness interventions have been shown to enhance employees’ resilience, decision-making, and interpersonal sensitivity. These benefits closely align with the dimensions of emotional intelligence, suggesting that mindfulness may serve as a foundational mechanism that strengthens EI-related behaviours. Employees who practise mindfulness are often better equipped to recognise their emotional triggers, respond thoughtfully to workplace demands, and engage more constructively with colleagues.</w:t>
      </w:r>
    </w:p>
    <w:p w14:paraId="6BF6FF7D" w14:textId="77777777" w:rsidR="004815D2" w:rsidRPr="004815D2" w:rsidRDefault="004815D2" w:rsidP="004815D2">
      <w:pPr>
        <w:rPr>
          <w:lang w:eastAsia="en-GB"/>
        </w:rPr>
      </w:pPr>
      <w:r w:rsidRPr="004815D2">
        <w:rPr>
          <w:lang w:eastAsia="en-GB"/>
        </w:rPr>
        <w:t>Emotional intelligence encompasses a set of abilities related to perceiving, understanding, managing, and utilising emotions effectively. In the workplace, EI has been associated with enhanced teamwork, improved leadership performance, conflict resolution, and greater job satisfaction. The development of EI is considered particularly important in diverse, multigenerational, and rapidly changing organisations, where individuals must navigate differing perspectives, communication styles, and expectations. Recognising these dynamics, the SMT’s interest in fostering EI-related competencies aligns with broader strategic objectives aimed at strengthening organisational cohesion and adaptability.</w:t>
      </w:r>
    </w:p>
    <w:p w14:paraId="7DB4619B" w14:textId="77777777" w:rsidR="004815D2" w:rsidRPr="004815D2" w:rsidRDefault="004815D2" w:rsidP="004815D2">
      <w:pPr>
        <w:rPr>
          <w:lang w:eastAsia="en-GB"/>
        </w:rPr>
      </w:pPr>
      <w:r w:rsidRPr="004815D2">
        <w:rPr>
          <w:lang w:eastAsia="en-GB"/>
        </w:rPr>
        <w:t>The scenario therefore centres on the need to articulate a clear and evidence-based understanding of mindfulness and emotional intelligence, demonstrating how these concepts can inform employee behaviour, managerial decision-making, and organisational culture. The report requested by the line manager aims to critically evaluate the ways in which EI operates within workplace settings, explore its relevance across generational groups, and provide practical recommendations for its integration into key organisational processes such as recruitment, development, and leadership training.</w:t>
      </w:r>
    </w:p>
    <w:p w14:paraId="0C11799D" w14:textId="77777777" w:rsidR="004815D2" w:rsidRPr="004815D2" w:rsidRDefault="004815D2" w:rsidP="004815D2">
      <w:pPr>
        <w:rPr>
          <w:lang w:eastAsia="en-GB"/>
        </w:rPr>
      </w:pPr>
      <w:r w:rsidRPr="004815D2">
        <w:rPr>
          <w:lang w:eastAsia="en-GB"/>
        </w:rPr>
        <w:t>Ultimately, this scenario highlights the organisation’s commitment to cultivating emotionally intelligent practices that support both individual growth and collective performance. As emotional demands in the workplace continue to increase, the ability to understand and manage emotions—both one’s own and those of others—has become a defining characteristic of effective professional behaviour. Presenting this report to the SMT therefore offers an opportunity to reinforce the strategic significance of EI and mindfulness while demonstrating personal competence in applying these concepts to real organisational challenges.</w:t>
      </w:r>
    </w:p>
    <w:p w14:paraId="1CDCB889" w14:textId="77777777" w:rsidR="004815D2" w:rsidRDefault="004815D2" w:rsidP="004815D2">
      <w:pPr>
        <w:rPr>
          <w:lang w:eastAsia="en-GB"/>
        </w:rPr>
      </w:pPr>
    </w:p>
    <w:p w14:paraId="6CDCDFD0" w14:textId="77777777" w:rsidR="004815D2" w:rsidRDefault="004815D2" w:rsidP="004815D2">
      <w:pPr>
        <w:rPr>
          <w:lang w:eastAsia="en-GB"/>
        </w:rPr>
      </w:pPr>
    </w:p>
    <w:p w14:paraId="72C890FB" w14:textId="77777777" w:rsidR="004815D2" w:rsidRDefault="004815D2" w:rsidP="004815D2">
      <w:pPr>
        <w:rPr>
          <w:lang w:eastAsia="en-GB"/>
        </w:rPr>
      </w:pPr>
    </w:p>
    <w:p w14:paraId="1F6DD98B" w14:textId="77777777" w:rsidR="004815D2" w:rsidRDefault="004815D2" w:rsidP="004815D2">
      <w:pPr>
        <w:rPr>
          <w:lang w:eastAsia="en-GB"/>
        </w:rPr>
      </w:pPr>
    </w:p>
    <w:p w14:paraId="079B16FE" w14:textId="5B06C318" w:rsidR="004815D2" w:rsidRDefault="004815D2" w:rsidP="004815D2">
      <w:pPr>
        <w:pStyle w:val="Heading1"/>
        <w:rPr>
          <w:lang w:eastAsia="en-GB"/>
        </w:rPr>
      </w:pPr>
      <w:bookmarkStart w:id="20" w:name="_Toc214624163"/>
      <w:bookmarkStart w:id="21" w:name="_Toc214624201"/>
      <w:r>
        <w:rPr>
          <w:lang w:eastAsia="en-GB"/>
        </w:rPr>
        <w:lastRenderedPageBreak/>
        <w:t>Reference list</w:t>
      </w:r>
      <w:bookmarkEnd w:id="20"/>
      <w:bookmarkEnd w:id="21"/>
    </w:p>
    <w:p w14:paraId="34C318FE" w14:textId="77777777" w:rsidR="004815D2" w:rsidRDefault="004815D2" w:rsidP="004815D2">
      <w:pPr>
        <w:rPr>
          <w:lang w:eastAsia="en-GB"/>
        </w:rPr>
      </w:pPr>
    </w:p>
    <w:p w14:paraId="2AB35C5D" w14:textId="3DEB267D" w:rsidR="00A14625" w:rsidRPr="00A14625" w:rsidRDefault="00A14625" w:rsidP="00A14625">
      <w:pPr>
        <w:rPr>
          <w:lang w:eastAsia="en-GB"/>
        </w:rPr>
      </w:pPr>
      <w:proofErr w:type="spellStart"/>
      <w:r w:rsidRPr="00A14625">
        <w:rPr>
          <w:lang w:eastAsia="en-GB"/>
        </w:rPr>
        <w:t>Ashkanasy</w:t>
      </w:r>
      <w:proofErr w:type="spellEnd"/>
      <w:r w:rsidRPr="00A14625">
        <w:rPr>
          <w:lang w:eastAsia="en-GB"/>
        </w:rPr>
        <w:t>, N.M. and Daus, C.S. (2005) ‘</w:t>
      </w:r>
      <w:proofErr w:type="spellStart"/>
      <w:r w:rsidRPr="00A14625">
        <w:rPr>
          <w:lang w:eastAsia="en-GB"/>
        </w:rPr>
        <w:t>Rumors</w:t>
      </w:r>
      <w:proofErr w:type="spellEnd"/>
      <w:r w:rsidRPr="00A14625">
        <w:rPr>
          <w:lang w:eastAsia="en-GB"/>
        </w:rPr>
        <w:t xml:space="preserve"> of the death of emotional intelligence in organizational behaviour are vastly exaggerated’, </w:t>
      </w:r>
      <w:r w:rsidRPr="00A14625">
        <w:rPr>
          <w:i/>
          <w:iCs/>
          <w:lang w:eastAsia="en-GB"/>
        </w:rPr>
        <w:t xml:space="preserve">Journal of Organizational </w:t>
      </w:r>
      <w:proofErr w:type="spellStart"/>
      <w:r w:rsidRPr="00A14625">
        <w:rPr>
          <w:i/>
          <w:iCs/>
          <w:lang w:eastAsia="en-GB"/>
        </w:rPr>
        <w:t>Behavior</w:t>
      </w:r>
      <w:proofErr w:type="spellEnd"/>
      <w:r w:rsidRPr="00A14625">
        <w:rPr>
          <w:lang w:eastAsia="en-GB"/>
        </w:rPr>
        <w:t>, 26(4), pp. 441–452.</w:t>
      </w:r>
    </w:p>
    <w:p w14:paraId="6F2EE241" w14:textId="77777777" w:rsidR="00A14625" w:rsidRPr="00A14625" w:rsidRDefault="00A14625" w:rsidP="00A14625">
      <w:pPr>
        <w:rPr>
          <w:lang w:eastAsia="en-GB"/>
        </w:rPr>
      </w:pPr>
      <w:r w:rsidRPr="00A14625">
        <w:rPr>
          <w:lang w:eastAsia="en-GB"/>
        </w:rPr>
        <w:t xml:space="preserve">Boyatzis, R.E., Goleman, D. and Rhee, K. (2000) ‘Clustering competence in emotional intelligence: Insights from the Emotional Competence Inventory (ECI)’, in Bar-On, R. and Parker, J.D.A. (eds.) </w:t>
      </w:r>
      <w:r w:rsidRPr="00A14625">
        <w:rPr>
          <w:i/>
          <w:iCs/>
          <w:lang w:eastAsia="en-GB"/>
        </w:rPr>
        <w:t>The Handbook of Emotional Intelligence</w:t>
      </w:r>
      <w:r w:rsidRPr="00A14625">
        <w:rPr>
          <w:lang w:eastAsia="en-GB"/>
        </w:rPr>
        <w:t>. San Francisco: Jossey-Bass, pp. 343–362.</w:t>
      </w:r>
    </w:p>
    <w:p w14:paraId="74AAB891" w14:textId="77777777" w:rsidR="00A14625" w:rsidRPr="00A14625" w:rsidRDefault="00A14625" w:rsidP="00A14625">
      <w:pPr>
        <w:rPr>
          <w:lang w:eastAsia="en-GB"/>
        </w:rPr>
      </w:pPr>
      <w:r w:rsidRPr="00A14625">
        <w:rPr>
          <w:lang w:eastAsia="en-GB"/>
        </w:rPr>
        <w:t xml:space="preserve">Brackett, M.A., Rivers, S.E. and Salovey, P. (2011) ‘Emotional intelligence: Implications for personal, social, academic, and workplace success’, </w:t>
      </w:r>
      <w:r w:rsidRPr="00A14625">
        <w:rPr>
          <w:i/>
          <w:iCs/>
          <w:lang w:eastAsia="en-GB"/>
        </w:rPr>
        <w:t>Social and Personality Psychology Compass</w:t>
      </w:r>
      <w:r w:rsidRPr="00A14625">
        <w:rPr>
          <w:lang w:eastAsia="en-GB"/>
        </w:rPr>
        <w:t>, 5(1), pp. 88–103.</w:t>
      </w:r>
    </w:p>
    <w:p w14:paraId="547794AD" w14:textId="77777777" w:rsidR="00A14625" w:rsidRPr="00A14625" w:rsidRDefault="00A14625" w:rsidP="00A14625">
      <w:pPr>
        <w:rPr>
          <w:lang w:eastAsia="en-GB"/>
        </w:rPr>
      </w:pPr>
      <w:r w:rsidRPr="00A14625">
        <w:rPr>
          <w:lang w:eastAsia="en-GB"/>
        </w:rPr>
        <w:t xml:space="preserve">Cherniss, C. (2010) </w:t>
      </w:r>
      <w:r w:rsidRPr="00A14625">
        <w:rPr>
          <w:i/>
          <w:iCs/>
          <w:lang w:eastAsia="en-GB"/>
        </w:rPr>
        <w:t>Emotional Intelligence: Toward Clarification of a Concept</w:t>
      </w:r>
      <w:r w:rsidRPr="00A14625">
        <w:rPr>
          <w:lang w:eastAsia="en-GB"/>
        </w:rPr>
        <w:t>. Industrial and Organizational Psychology, 3(2), pp. 110–126.</w:t>
      </w:r>
    </w:p>
    <w:p w14:paraId="0A8F9063" w14:textId="77777777" w:rsidR="00A14625" w:rsidRPr="00A14625" w:rsidRDefault="00A14625" w:rsidP="00A14625">
      <w:pPr>
        <w:rPr>
          <w:lang w:eastAsia="en-GB"/>
        </w:rPr>
      </w:pPr>
      <w:r w:rsidRPr="00A14625">
        <w:rPr>
          <w:lang w:eastAsia="en-GB"/>
        </w:rPr>
        <w:t xml:space="preserve">Côté, S. (2014) ‘Emotional intelligence in organizations’, </w:t>
      </w:r>
      <w:r w:rsidRPr="00A14625">
        <w:rPr>
          <w:i/>
          <w:iCs/>
          <w:lang w:eastAsia="en-GB"/>
        </w:rPr>
        <w:t xml:space="preserve">Annual Review of Organizational Psychology and Organizational </w:t>
      </w:r>
      <w:proofErr w:type="spellStart"/>
      <w:r w:rsidRPr="00A14625">
        <w:rPr>
          <w:i/>
          <w:iCs/>
          <w:lang w:eastAsia="en-GB"/>
        </w:rPr>
        <w:t>Behavior</w:t>
      </w:r>
      <w:proofErr w:type="spellEnd"/>
      <w:r w:rsidRPr="00A14625">
        <w:rPr>
          <w:lang w:eastAsia="en-GB"/>
        </w:rPr>
        <w:t>, 1(1), pp. 459–488.</w:t>
      </w:r>
    </w:p>
    <w:p w14:paraId="40A2C9C8" w14:textId="77777777" w:rsidR="00A14625" w:rsidRPr="00A14625" w:rsidRDefault="00A14625" w:rsidP="00A14625">
      <w:pPr>
        <w:rPr>
          <w:lang w:eastAsia="en-GB"/>
        </w:rPr>
      </w:pPr>
      <w:proofErr w:type="spellStart"/>
      <w:r w:rsidRPr="00A14625">
        <w:rPr>
          <w:lang w:eastAsia="en-GB"/>
        </w:rPr>
        <w:t>Druskat</w:t>
      </w:r>
      <w:proofErr w:type="spellEnd"/>
      <w:r w:rsidRPr="00A14625">
        <w:rPr>
          <w:lang w:eastAsia="en-GB"/>
        </w:rPr>
        <w:t xml:space="preserve">, V.U. and Wolff, S.B. (2001) ‘Building the emotional intelligence of groups’, </w:t>
      </w:r>
      <w:r w:rsidRPr="00A14625">
        <w:rPr>
          <w:i/>
          <w:iCs/>
          <w:lang w:eastAsia="en-GB"/>
        </w:rPr>
        <w:t>Harvard Business Review</w:t>
      </w:r>
      <w:r w:rsidRPr="00A14625">
        <w:rPr>
          <w:lang w:eastAsia="en-GB"/>
        </w:rPr>
        <w:t>, 79(3), pp. 80–90.</w:t>
      </w:r>
    </w:p>
    <w:p w14:paraId="4023D0C1" w14:textId="77777777" w:rsidR="00A14625" w:rsidRPr="00A14625" w:rsidRDefault="00A14625" w:rsidP="00A14625">
      <w:pPr>
        <w:rPr>
          <w:lang w:eastAsia="en-GB"/>
        </w:rPr>
      </w:pPr>
      <w:r w:rsidRPr="00A14625">
        <w:rPr>
          <w:lang w:eastAsia="en-GB"/>
        </w:rPr>
        <w:t xml:space="preserve">Figley, C.R. (2002) </w:t>
      </w:r>
      <w:r w:rsidRPr="00A14625">
        <w:rPr>
          <w:i/>
          <w:iCs/>
          <w:lang w:eastAsia="en-GB"/>
        </w:rPr>
        <w:t>Treating Compassion Fatigue</w:t>
      </w:r>
      <w:r w:rsidRPr="00A14625">
        <w:rPr>
          <w:lang w:eastAsia="en-GB"/>
        </w:rPr>
        <w:t>. New York: Brunner-Routledge.</w:t>
      </w:r>
    </w:p>
    <w:p w14:paraId="390C4073" w14:textId="77777777" w:rsidR="00A14625" w:rsidRPr="00A14625" w:rsidRDefault="00A14625" w:rsidP="00A14625">
      <w:pPr>
        <w:rPr>
          <w:lang w:eastAsia="en-GB"/>
        </w:rPr>
      </w:pPr>
      <w:r w:rsidRPr="00A14625">
        <w:rPr>
          <w:lang w:eastAsia="en-GB"/>
        </w:rPr>
        <w:t xml:space="preserve">Goleman, D. (1995) </w:t>
      </w:r>
      <w:r w:rsidRPr="00A14625">
        <w:rPr>
          <w:i/>
          <w:iCs/>
          <w:lang w:eastAsia="en-GB"/>
        </w:rPr>
        <w:t>Emotional Intelligence: Why It Can Matter More Than IQ</w:t>
      </w:r>
      <w:r w:rsidRPr="00A14625">
        <w:rPr>
          <w:lang w:eastAsia="en-GB"/>
        </w:rPr>
        <w:t>. New York: Bantam Books.</w:t>
      </w:r>
    </w:p>
    <w:p w14:paraId="2611486E" w14:textId="77777777" w:rsidR="00A14625" w:rsidRPr="00A14625" w:rsidRDefault="00A14625" w:rsidP="00A14625">
      <w:pPr>
        <w:rPr>
          <w:lang w:eastAsia="en-GB"/>
        </w:rPr>
      </w:pPr>
      <w:r w:rsidRPr="00A14625">
        <w:rPr>
          <w:lang w:eastAsia="en-GB"/>
        </w:rPr>
        <w:t xml:space="preserve">Goleman, D. (1998) </w:t>
      </w:r>
      <w:r w:rsidRPr="00A14625">
        <w:rPr>
          <w:i/>
          <w:iCs/>
          <w:lang w:eastAsia="en-GB"/>
        </w:rPr>
        <w:t>Working with Emotional Intelligence</w:t>
      </w:r>
      <w:r w:rsidRPr="00A14625">
        <w:rPr>
          <w:lang w:eastAsia="en-GB"/>
        </w:rPr>
        <w:t>. London: Bloomsbury.</w:t>
      </w:r>
    </w:p>
    <w:p w14:paraId="001476D6" w14:textId="77777777" w:rsidR="00A14625" w:rsidRPr="00A14625" w:rsidRDefault="00A14625" w:rsidP="00A14625">
      <w:pPr>
        <w:rPr>
          <w:lang w:eastAsia="en-GB"/>
        </w:rPr>
      </w:pPr>
      <w:r w:rsidRPr="00A14625">
        <w:rPr>
          <w:lang w:eastAsia="en-GB"/>
        </w:rPr>
        <w:t xml:space="preserve">Goleman, D. (2001) ‘An EI-based theory of performance’, in Cherniss, C. and Goleman, D. (eds.) </w:t>
      </w:r>
      <w:r w:rsidRPr="00A14625">
        <w:rPr>
          <w:i/>
          <w:iCs/>
          <w:lang w:eastAsia="en-GB"/>
        </w:rPr>
        <w:t>The Emotionally Intelligent Workplace</w:t>
      </w:r>
      <w:r w:rsidRPr="00A14625">
        <w:rPr>
          <w:lang w:eastAsia="en-GB"/>
        </w:rPr>
        <w:t>. San Francisco: Jossey-Bass, pp. 27–44.</w:t>
      </w:r>
    </w:p>
    <w:p w14:paraId="2C1F9F2C" w14:textId="77777777" w:rsidR="00A14625" w:rsidRPr="00A14625" w:rsidRDefault="00A14625" w:rsidP="00A14625">
      <w:pPr>
        <w:rPr>
          <w:lang w:eastAsia="en-GB"/>
        </w:rPr>
      </w:pPr>
      <w:r w:rsidRPr="00A14625">
        <w:rPr>
          <w:lang w:eastAsia="en-GB"/>
        </w:rPr>
        <w:t xml:space="preserve">Goleman, D. (2006) </w:t>
      </w:r>
      <w:r w:rsidRPr="00A14625">
        <w:rPr>
          <w:i/>
          <w:iCs/>
          <w:lang w:eastAsia="en-GB"/>
        </w:rPr>
        <w:t>Social Intelligence: The New Science of Human Relationships</w:t>
      </w:r>
      <w:r w:rsidRPr="00A14625">
        <w:rPr>
          <w:lang w:eastAsia="en-GB"/>
        </w:rPr>
        <w:t>. New York: Bantam Books.</w:t>
      </w:r>
    </w:p>
    <w:p w14:paraId="542A3400" w14:textId="2F9EC7EA" w:rsidR="00A14625" w:rsidRPr="00A14625" w:rsidRDefault="00A14625" w:rsidP="00A14625">
      <w:pPr>
        <w:rPr>
          <w:lang w:eastAsia="en-GB"/>
        </w:rPr>
      </w:pPr>
      <w:r w:rsidRPr="00A14625">
        <w:rPr>
          <w:lang w:eastAsia="en-GB"/>
        </w:rPr>
        <w:t xml:space="preserve">Locke, E.A. (2005) ‘Why emotional intelligence is an invalid concept’, </w:t>
      </w:r>
      <w:r w:rsidRPr="00A14625">
        <w:rPr>
          <w:i/>
          <w:iCs/>
          <w:lang w:eastAsia="en-GB"/>
        </w:rPr>
        <w:t xml:space="preserve">Journal of Organizational </w:t>
      </w:r>
      <w:r w:rsidRPr="00A14625">
        <w:rPr>
          <w:i/>
          <w:iCs/>
          <w:lang w:eastAsia="en-GB"/>
        </w:rPr>
        <w:t>Behaviour</w:t>
      </w:r>
      <w:r w:rsidRPr="00A14625">
        <w:rPr>
          <w:lang w:eastAsia="en-GB"/>
        </w:rPr>
        <w:t>, 26(4), pp. 425–431.</w:t>
      </w:r>
    </w:p>
    <w:p w14:paraId="7219C362" w14:textId="77777777" w:rsidR="00A14625" w:rsidRPr="00A14625" w:rsidRDefault="00A14625" w:rsidP="00A14625">
      <w:pPr>
        <w:rPr>
          <w:lang w:eastAsia="en-GB"/>
        </w:rPr>
      </w:pPr>
      <w:r w:rsidRPr="00A14625">
        <w:rPr>
          <w:lang w:eastAsia="en-GB"/>
        </w:rPr>
        <w:t xml:space="preserve">Matsumoto, D., Yoo, S.H., Nakagawa, S. and the Multinational Study of Cultural Display Rules (2008) ‘Culture, emotion regulation, and adjustment’, </w:t>
      </w:r>
      <w:r w:rsidRPr="00A14625">
        <w:rPr>
          <w:i/>
          <w:iCs/>
          <w:lang w:eastAsia="en-GB"/>
        </w:rPr>
        <w:t>Journal of Personality and Social Psychology</w:t>
      </w:r>
      <w:r w:rsidRPr="00A14625">
        <w:rPr>
          <w:lang w:eastAsia="en-GB"/>
        </w:rPr>
        <w:t>, 94(6), pp. 925–937.</w:t>
      </w:r>
    </w:p>
    <w:p w14:paraId="61696935" w14:textId="77777777" w:rsidR="00A14625" w:rsidRPr="00A14625" w:rsidRDefault="00A14625" w:rsidP="00A14625">
      <w:pPr>
        <w:rPr>
          <w:lang w:eastAsia="en-GB"/>
        </w:rPr>
      </w:pPr>
      <w:r w:rsidRPr="00A14625">
        <w:rPr>
          <w:lang w:eastAsia="en-GB"/>
        </w:rPr>
        <w:lastRenderedPageBreak/>
        <w:t xml:space="preserve">Mayer, J.D. and Salovey, P. (1997) ‘What is emotional intelligence?’, in Salovey, P. and Sluyter, D. (eds.) </w:t>
      </w:r>
      <w:r w:rsidRPr="00A14625">
        <w:rPr>
          <w:i/>
          <w:iCs/>
          <w:lang w:eastAsia="en-GB"/>
        </w:rPr>
        <w:t>Emotional Development and Emotional Intelligence: Educational Implications</w:t>
      </w:r>
      <w:r w:rsidRPr="00A14625">
        <w:rPr>
          <w:lang w:eastAsia="en-GB"/>
        </w:rPr>
        <w:t>. New York: Basic Books, pp. 3–31.</w:t>
      </w:r>
    </w:p>
    <w:p w14:paraId="23F5F198" w14:textId="77777777" w:rsidR="00A14625" w:rsidRPr="00A14625" w:rsidRDefault="00A14625" w:rsidP="00A14625">
      <w:pPr>
        <w:rPr>
          <w:lang w:eastAsia="en-GB"/>
        </w:rPr>
      </w:pPr>
      <w:r w:rsidRPr="00A14625">
        <w:rPr>
          <w:lang w:eastAsia="en-GB"/>
        </w:rPr>
        <w:t xml:space="preserve">Mayer, J.D., Salovey, P. and Caruso, D.R. (2004) ‘Emotional intelligence: Theory, findings, and implications’, </w:t>
      </w:r>
      <w:r w:rsidRPr="00A14625">
        <w:rPr>
          <w:i/>
          <w:iCs/>
          <w:lang w:eastAsia="en-GB"/>
        </w:rPr>
        <w:t>Psychological Inquiry</w:t>
      </w:r>
      <w:r w:rsidRPr="00A14625">
        <w:rPr>
          <w:lang w:eastAsia="en-GB"/>
        </w:rPr>
        <w:t>, 15(3), pp. 197–215.</w:t>
      </w:r>
    </w:p>
    <w:p w14:paraId="2D4217CE" w14:textId="77777777" w:rsidR="00A14625" w:rsidRPr="00A14625" w:rsidRDefault="00A14625" w:rsidP="00A14625">
      <w:pPr>
        <w:rPr>
          <w:lang w:eastAsia="en-GB"/>
        </w:rPr>
      </w:pPr>
      <w:r w:rsidRPr="00A14625">
        <w:rPr>
          <w:lang w:eastAsia="en-GB"/>
        </w:rPr>
        <w:t xml:space="preserve">Petrides, K.V. and Furnham, A. (2001) ‘Trait emotional intelligence: Psychometric investigation with reference to established trait taxonomies’, </w:t>
      </w:r>
      <w:r w:rsidRPr="00A14625">
        <w:rPr>
          <w:i/>
          <w:iCs/>
          <w:lang w:eastAsia="en-GB"/>
        </w:rPr>
        <w:t>European Journal of Personality</w:t>
      </w:r>
      <w:r w:rsidRPr="00A14625">
        <w:rPr>
          <w:lang w:eastAsia="en-GB"/>
        </w:rPr>
        <w:t>, 15(6), pp. 425–448.</w:t>
      </w:r>
    </w:p>
    <w:p w14:paraId="5B980D88" w14:textId="77777777" w:rsidR="00A14625" w:rsidRPr="00A14625" w:rsidRDefault="00A14625" w:rsidP="00A14625">
      <w:pPr>
        <w:rPr>
          <w:lang w:eastAsia="en-GB"/>
        </w:rPr>
      </w:pPr>
      <w:r w:rsidRPr="00A14625">
        <w:rPr>
          <w:lang w:eastAsia="en-GB"/>
        </w:rPr>
        <w:pict w14:anchorId="2679EC50">
          <v:rect id="_x0000_i1149" style="width:0;height:1.5pt" o:hralign="center" o:hrstd="t" o:hr="t" fillcolor="#a0a0a0" stroked="f"/>
        </w:pict>
      </w:r>
    </w:p>
    <w:p w14:paraId="497156D8" w14:textId="77777777" w:rsidR="00A14625" w:rsidRPr="004815D2" w:rsidRDefault="00A14625" w:rsidP="004815D2">
      <w:pPr>
        <w:rPr>
          <w:lang w:eastAsia="en-GB"/>
        </w:rPr>
      </w:pPr>
    </w:p>
    <w:p w14:paraId="1C674965"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p>
    <w:p w14:paraId="7A48A080" w14:textId="77777777" w:rsidR="008B55AE" w:rsidRPr="008B55AE" w:rsidRDefault="008B55AE" w:rsidP="008B55AE">
      <w:pPr>
        <w:spacing w:before="100" w:beforeAutospacing="1" w:after="100" w:afterAutospacing="1" w:line="240" w:lineRule="auto"/>
        <w:rPr>
          <w:rFonts w:ascii="Arial" w:eastAsia="Times New Roman" w:hAnsi="Arial" w:cs="Arial"/>
          <w:kern w:val="0"/>
          <w:sz w:val="22"/>
          <w:szCs w:val="22"/>
          <w:lang w:eastAsia="en-GB"/>
          <w14:ligatures w14:val="none"/>
        </w:rPr>
      </w:pPr>
    </w:p>
    <w:p w14:paraId="73F1C1A7" w14:textId="77777777" w:rsidR="008B55AE" w:rsidRPr="00366B0D" w:rsidRDefault="008B55AE" w:rsidP="00366B0D">
      <w:pPr>
        <w:spacing w:before="100" w:beforeAutospacing="1" w:after="100" w:afterAutospacing="1" w:line="240" w:lineRule="auto"/>
        <w:rPr>
          <w:rFonts w:ascii="Arial" w:eastAsia="Times New Roman" w:hAnsi="Arial" w:cs="Arial"/>
          <w:kern w:val="0"/>
          <w:sz w:val="22"/>
          <w:szCs w:val="22"/>
          <w:lang w:eastAsia="en-GB"/>
          <w14:ligatures w14:val="none"/>
        </w:rPr>
      </w:pPr>
    </w:p>
    <w:p w14:paraId="50BA4CB3" w14:textId="77777777" w:rsidR="00366B0D" w:rsidRDefault="00366B0D" w:rsidP="00366B0D">
      <w:pPr>
        <w:rPr>
          <w:rFonts w:ascii="Times New Roman" w:eastAsia="Arial" w:hAnsi="Times New Roman" w:cs="Times New Roman"/>
          <w:kern w:val="0"/>
          <w:sz w:val="28"/>
          <w:szCs w:val="28"/>
          <w14:ligatures w14:val="none"/>
        </w:rPr>
      </w:pPr>
    </w:p>
    <w:p w14:paraId="7D07667C" w14:textId="77777777" w:rsidR="00366B0D" w:rsidRPr="00366B0D" w:rsidRDefault="00366B0D" w:rsidP="00366B0D">
      <w:pPr>
        <w:rPr>
          <w:rFonts w:ascii="Times New Roman" w:hAnsi="Times New Roman" w:cs="Times New Roman"/>
          <w:sz w:val="28"/>
          <w:szCs w:val="28"/>
        </w:rPr>
      </w:pPr>
    </w:p>
    <w:sectPr w:rsidR="00366B0D" w:rsidRPr="00366B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61310B"/>
    <w:multiLevelType w:val="multilevel"/>
    <w:tmpl w:val="3E7E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222B7D"/>
    <w:multiLevelType w:val="multilevel"/>
    <w:tmpl w:val="167C1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803A02"/>
    <w:multiLevelType w:val="multilevel"/>
    <w:tmpl w:val="56706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6761434">
    <w:abstractNumId w:val="1"/>
  </w:num>
  <w:num w:numId="2" w16cid:durableId="431359574">
    <w:abstractNumId w:val="2"/>
  </w:num>
  <w:num w:numId="3" w16cid:durableId="1289051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B0D"/>
    <w:rsid w:val="00165C52"/>
    <w:rsid w:val="0021492A"/>
    <w:rsid w:val="00366B0D"/>
    <w:rsid w:val="004815D2"/>
    <w:rsid w:val="00585E11"/>
    <w:rsid w:val="00703B09"/>
    <w:rsid w:val="008B55AE"/>
    <w:rsid w:val="00A14625"/>
    <w:rsid w:val="00A84B3E"/>
    <w:rsid w:val="00C43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EC308"/>
  <w15:chartTrackingRefBased/>
  <w15:docId w15:val="{7AB62998-B89D-4104-BA1D-892AD671D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B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B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B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B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B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B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B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B0D"/>
    <w:rPr>
      <w:rFonts w:eastAsiaTheme="majorEastAsia" w:cstheme="majorBidi"/>
      <w:color w:val="272727" w:themeColor="text1" w:themeTint="D8"/>
    </w:rPr>
  </w:style>
  <w:style w:type="paragraph" w:styleId="Title">
    <w:name w:val="Title"/>
    <w:basedOn w:val="Normal"/>
    <w:next w:val="Normal"/>
    <w:link w:val="TitleChar"/>
    <w:uiPriority w:val="10"/>
    <w:qFormat/>
    <w:rsid w:val="00366B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B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B0D"/>
    <w:pPr>
      <w:spacing w:before="160"/>
      <w:jc w:val="center"/>
    </w:pPr>
    <w:rPr>
      <w:i/>
      <w:iCs/>
      <w:color w:val="404040" w:themeColor="text1" w:themeTint="BF"/>
    </w:rPr>
  </w:style>
  <w:style w:type="character" w:customStyle="1" w:styleId="QuoteChar">
    <w:name w:val="Quote Char"/>
    <w:basedOn w:val="DefaultParagraphFont"/>
    <w:link w:val="Quote"/>
    <w:uiPriority w:val="29"/>
    <w:rsid w:val="00366B0D"/>
    <w:rPr>
      <w:i/>
      <w:iCs/>
      <w:color w:val="404040" w:themeColor="text1" w:themeTint="BF"/>
    </w:rPr>
  </w:style>
  <w:style w:type="paragraph" w:styleId="ListParagraph">
    <w:name w:val="List Paragraph"/>
    <w:basedOn w:val="Normal"/>
    <w:uiPriority w:val="34"/>
    <w:qFormat/>
    <w:rsid w:val="00366B0D"/>
    <w:pPr>
      <w:ind w:left="720"/>
      <w:contextualSpacing/>
    </w:pPr>
  </w:style>
  <w:style w:type="character" w:styleId="IntenseEmphasis">
    <w:name w:val="Intense Emphasis"/>
    <w:basedOn w:val="DefaultParagraphFont"/>
    <w:uiPriority w:val="21"/>
    <w:qFormat/>
    <w:rsid w:val="00366B0D"/>
    <w:rPr>
      <w:i/>
      <w:iCs/>
      <w:color w:val="0F4761" w:themeColor="accent1" w:themeShade="BF"/>
    </w:rPr>
  </w:style>
  <w:style w:type="paragraph" w:styleId="IntenseQuote">
    <w:name w:val="Intense Quote"/>
    <w:basedOn w:val="Normal"/>
    <w:next w:val="Normal"/>
    <w:link w:val="IntenseQuoteChar"/>
    <w:uiPriority w:val="30"/>
    <w:qFormat/>
    <w:rsid w:val="00366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B0D"/>
    <w:rPr>
      <w:i/>
      <w:iCs/>
      <w:color w:val="0F4761" w:themeColor="accent1" w:themeShade="BF"/>
    </w:rPr>
  </w:style>
  <w:style w:type="character" w:styleId="IntenseReference">
    <w:name w:val="Intense Reference"/>
    <w:basedOn w:val="DefaultParagraphFont"/>
    <w:uiPriority w:val="32"/>
    <w:qFormat/>
    <w:rsid w:val="00366B0D"/>
    <w:rPr>
      <w:b/>
      <w:bCs/>
      <w:smallCaps/>
      <w:color w:val="0F4761" w:themeColor="accent1" w:themeShade="BF"/>
      <w:spacing w:val="5"/>
    </w:rPr>
  </w:style>
  <w:style w:type="paragraph" w:styleId="NoSpacing">
    <w:name w:val="No Spacing"/>
    <w:uiPriority w:val="1"/>
    <w:qFormat/>
    <w:rsid w:val="00366B0D"/>
    <w:pPr>
      <w:spacing w:after="0" w:line="240" w:lineRule="auto"/>
    </w:pPr>
  </w:style>
  <w:style w:type="paragraph" w:styleId="NormalWeb">
    <w:name w:val="Normal (Web)"/>
    <w:basedOn w:val="Normal"/>
    <w:uiPriority w:val="99"/>
    <w:semiHidden/>
    <w:unhideWhenUsed/>
    <w:rsid w:val="008B55A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815D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815D2"/>
    <w:pPr>
      <w:spacing w:after="100"/>
    </w:pPr>
  </w:style>
  <w:style w:type="paragraph" w:styleId="TOC2">
    <w:name w:val="toc 2"/>
    <w:basedOn w:val="Normal"/>
    <w:next w:val="Normal"/>
    <w:autoRedefine/>
    <w:uiPriority w:val="39"/>
    <w:unhideWhenUsed/>
    <w:rsid w:val="004815D2"/>
    <w:pPr>
      <w:spacing w:after="100"/>
      <w:ind w:left="240"/>
    </w:pPr>
  </w:style>
  <w:style w:type="paragraph" w:styleId="TOC3">
    <w:name w:val="toc 3"/>
    <w:basedOn w:val="Normal"/>
    <w:next w:val="Normal"/>
    <w:autoRedefine/>
    <w:uiPriority w:val="39"/>
    <w:unhideWhenUsed/>
    <w:rsid w:val="004815D2"/>
    <w:pPr>
      <w:spacing w:after="100"/>
      <w:ind w:left="480"/>
    </w:pPr>
  </w:style>
  <w:style w:type="character" w:styleId="Hyperlink">
    <w:name w:val="Hyperlink"/>
    <w:basedOn w:val="DefaultParagraphFont"/>
    <w:uiPriority w:val="99"/>
    <w:unhideWhenUsed/>
    <w:rsid w:val="004815D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BAC4A-3215-4154-86C6-1035337FE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4450</Words>
  <Characters>25370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Ariana-Gabriela Bonea (2314969)</dc:creator>
  <cp:keywords/>
  <dc:description/>
  <cp:lastModifiedBy>Ariana-Gabriela Bonea (2314969)</cp:lastModifiedBy>
  <cp:revision>2</cp:revision>
  <dcterms:created xsi:type="dcterms:W3CDTF">2025-11-21T13:30:00Z</dcterms:created>
  <dcterms:modified xsi:type="dcterms:W3CDTF">2025-11-21T13:30:00Z</dcterms:modified>
</cp:coreProperties>
</file>