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Calibri" w:hAnsi="Calibri" w:cs="Calibri"/>
          <w:b/>
          <w:bCs/>
        </w:rPr>
      </w:pPr>
    </w:p>
    <w:p>
      <w:pPr>
        <w:rPr>
          <w:rFonts w:ascii="Calibri" w:hAnsi="Calibri" w:cs="Calibri"/>
          <w:b/>
          <w:bCs/>
        </w:rPr>
      </w:pPr>
    </w:p>
    <w:p>
      <w:pPr>
        <w:rPr>
          <w:rFonts w:ascii="Calibri" w:hAnsi="Calibri" w:cs="Calibri"/>
          <w:b/>
          <w:bCs/>
        </w:rPr>
      </w:pPr>
    </w:p>
    <w:p>
      <w:pPr>
        <w:rPr>
          <w:rFonts w:ascii="Calibri" w:hAnsi="Calibri" w:cs="Calibri"/>
          <w:b/>
          <w:bCs/>
        </w:rPr>
      </w:pPr>
    </w:p>
    <w:p>
      <w:pPr>
        <w:ind w:left="0" w:leftChars="0" w:firstLine="0" w:firstLineChars="0"/>
        <w:rPr>
          <w:rFonts w:ascii="Calibri" w:hAnsi="Calibri" w:cs="Calibri"/>
          <w:b/>
          <w:bCs/>
          <w:sz w:val="32"/>
          <w:szCs w:val="32"/>
        </w:rPr>
      </w:pPr>
    </w:p>
    <w:p>
      <w:pPr>
        <w:ind w:firstLine="0"/>
        <w:jc w:val="center"/>
        <w:rPr>
          <w:rFonts w:ascii="Calibri" w:hAnsi="Calibri" w:cs="Calibri"/>
          <w:b/>
          <w:bCs/>
          <w:sz w:val="32"/>
          <w:szCs w:val="32"/>
        </w:rPr>
      </w:pPr>
      <w:r>
        <w:rPr>
          <w:rFonts w:ascii="Calibri" w:hAnsi="Calibri" w:cs="Calibri"/>
          <w:b/>
          <w:bCs/>
          <w:sz w:val="32"/>
          <w:szCs w:val="32"/>
        </w:rPr>
        <w:t>Human Resouce on Performance Mangement At Walmart Inc.</w:t>
      </w:r>
    </w:p>
    <w:p>
      <w:pPr>
        <w:ind w:firstLine="0"/>
        <w:jc w:val="center"/>
        <w:rPr>
          <w:rFonts w:hint="default" w:ascii="Calibri" w:hAnsi="Calibri" w:cs="Calibri"/>
          <w:b/>
          <w:bCs/>
          <w:sz w:val="32"/>
          <w:szCs w:val="32"/>
          <w:lang w:val="en-US"/>
        </w:rPr>
      </w:pPr>
      <w:r>
        <w:rPr>
          <w:rFonts w:ascii="Calibri" w:hAnsi="Calibri" w:cs="Calibri"/>
          <w:b/>
          <w:bCs/>
          <w:sz w:val="32"/>
          <w:szCs w:val="32"/>
          <w:lang w:val="en-US" w:eastAsia="zh-CN"/>
        </w:rPr>
        <w:t>Programme: MBA</w:t>
      </w:r>
      <w:r>
        <w:rPr>
          <w:rFonts w:hint="eastAsia" w:ascii="Calibri" w:hAnsi="Calibri" w:cs="Calibri"/>
          <w:b/>
          <w:bCs/>
          <w:sz w:val="32"/>
          <w:szCs w:val="32"/>
          <w:lang w:val="en-US" w:eastAsia="zh-CN"/>
        </w:rPr>
        <w:t>-</w:t>
      </w:r>
      <w:r>
        <w:rPr>
          <w:rFonts w:hAnsi="宋体" w:eastAsia="宋体" w:cs="宋体"/>
          <w:b/>
          <w:sz w:val="32"/>
          <w:szCs w:val="32"/>
        </w:rPr>
        <w:t>BMMB7007</w:t>
      </w:r>
    </w:p>
    <w:p>
      <w:pPr>
        <w:ind w:firstLine="0"/>
        <w:jc w:val="both"/>
        <w:rPr>
          <w:rFonts w:ascii="Calibri" w:hAnsi="Calibri" w:cs="Calibri"/>
          <w:b/>
          <w:bCs/>
          <w:lang w:val="en-US" w:eastAsia="zh-CN"/>
        </w:rPr>
      </w:pPr>
    </w:p>
    <w:p>
      <w:pPr>
        <w:ind w:firstLine="0"/>
        <w:jc w:val="both"/>
        <w:rPr>
          <w:rFonts w:ascii="Calibri" w:hAnsi="Calibri" w:cs="Calibri"/>
          <w:b/>
          <w:bCs/>
          <w:lang w:val="en-US" w:eastAsia="zh-CN"/>
        </w:rPr>
      </w:pPr>
    </w:p>
    <w:p>
      <w:pPr>
        <w:ind w:firstLine="0"/>
        <w:jc w:val="both"/>
        <w:rPr>
          <w:rFonts w:ascii="Calibri" w:hAnsi="Calibri" w:cs="Calibri"/>
          <w:b/>
          <w:bCs/>
          <w:lang w:val="en-US" w:eastAsia="zh-CN"/>
        </w:rPr>
      </w:pPr>
    </w:p>
    <w:p>
      <w:pPr>
        <w:ind w:firstLine="0"/>
        <w:jc w:val="both"/>
        <w:rPr>
          <w:rFonts w:ascii="Calibri" w:hAnsi="Calibri" w:cs="Calibri"/>
          <w:b/>
          <w:bCs/>
          <w:lang w:val="en-US" w:eastAsia="zh-CN"/>
        </w:rPr>
      </w:pPr>
    </w:p>
    <w:p>
      <w:pPr>
        <w:ind w:firstLine="0"/>
        <w:jc w:val="center"/>
        <w:rPr>
          <w:rFonts w:hint="default" w:hAnsi="宋体" w:eastAsia="宋体" w:cs="宋体"/>
          <w:b/>
          <w:sz w:val="22"/>
          <w:szCs w:val="22"/>
          <w:lang w:val="en-US" w:eastAsia="zh-CN"/>
        </w:rPr>
      </w:pPr>
      <w:r>
        <w:rPr>
          <w:rFonts w:cs="Arial"/>
          <w:b/>
          <w:sz w:val="22"/>
          <w:szCs w:val="22"/>
        </w:rPr>
        <w:t>Student name:</w:t>
      </w:r>
      <w:r>
        <w:rPr>
          <w:rFonts w:hint="eastAsia" w:eastAsia="宋体" w:cs="Arial"/>
          <w:b/>
          <w:sz w:val="22"/>
          <w:szCs w:val="22"/>
          <w:lang w:val="en-US" w:eastAsia="zh-CN"/>
        </w:rPr>
        <w:t>Yuanjun Peng</w:t>
      </w:r>
    </w:p>
    <w:p>
      <w:pPr>
        <w:ind w:firstLine="0"/>
        <w:jc w:val="center"/>
        <w:rPr>
          <w:rFonts w:hint="default" w:eastAsia="宋体" w:cs="Arial"/>
          <w:b/>
          <w:sz w:val="22"/>
          <w:szCs w:val="22"/>
          <w:lang w:val="en-US" w:eastAsia="zh-CN"/>
        </w:rPr>
      </w:pPr>
      <w:r>
        <w:rPr>
          <w:rFonts w:cs="Arial"/>
          <w:b/>
          <w:sz w:val="22"/>
          <w:szCs w:val="22"/>
        </w:rPr>
        <w:t>Student ID number:</w:t>
      </w:r>
      <w:r>
        <w:rPr>
          <w:rFonts w:hint="eastAsia" w:eastAsia="宋体" w:cs="Arial"/>
          <w:b/>
          <w:sz w:val="22"/>
          <w:szCs w:val="22"/>
          <w:lang w:val="en-US" w:eastAsia="zh-CN"/>
        </w:rPr>
        <w:t>2232843</w:t>
      </w:r>
    </w:p>
    <w:p>
      <w:pPr>
        <w:ind w:firstLine="0"/>
        <w:rPr>
          <w:rFonts w:ascii="Calibri" w:hAnsi="Calibri" w:eastAsia="Times New Roman" w:cs="Calibri"/>
          <w:b/>
          <w:bCs/>
          <w:lang w:val="en-GB" w:eastAsia="en-GB"/>
        </w:rPr>
      </w:pPr>
    </w:p>
    <w:p>
      <w:pPr>
        <w:ind w:firstLine="0"/>
        <w:rPr>
          <w:rFonts w:ascii="Calibri" w:hAnsi="Calibri" w:eastAsia="Times New Roman" w:cs="Calibri"/>
          <w:b/>
          <w:bCs/>
          <w:lang w:val="en-GB" w:eastAsia="en-GB"/>
        </w:rPr>
      </w:pPr>
    </w:p>
    <w:p>
      <w:pPr>
        <w:ind w:firstLine="0"/>
        <w:rPr>
          <w:rFonts w:ascii="Calibri" w:hAnsi="Calibri" w:eastAsia="Times New Roman" w:cs="Calibri"/>
          <w:b/>
          <w:bCs/>
          <w:lang w:val="en-GB" w:eastAsia="en-GB"/>
        </w:rPr>
      </w:pPr>
    </w:p>
    <w:p>
      <w:pPr>
        <w:ind w:firstLine="0"/>
        <w:rPr>
          <w:rFonts w:ascii="Calibri" w:hAnsi="Calibri" w:eastAsia="Times New Roman" w:cs="Calibri"/>
          <w:b/>
          <w:bCs/>
          <w:lang w:val="en-GB" w:eastAsia="en-GB"/>
        </w:rPr>
      </w:pPr>
    </w:p>
    <w:p>
      <w:pPr>
        <w:ind w:firstLine="0"/>
        <w:rPr>
          <w:rFonts w:ascii="Calibri" w:hAnsi="Calibri" w:eastAsia="Times New Roman" w:cs="Calibri"/>
          <w:b/>
          <w:bCs/>
          <w:lang w:val="en-GB" w:eastAsia="en-GB"/>
        </w:rPr>
      </w:pPr>
    </w:p>
    <w:p>
      <w:pPr>
        <w:ind w:firstLine="0"/>
        <w:rPr>
          <w:rFonts w:ascii="Calibri" w:hAnsi="Calibri" w:eastAsia="Times New Roman" w:cs="Calibri"/>
          <w:b/>
          <w:bCs/>
          <w:lang w:val="en-GB" w:eastAsia="en-GB"/>
        </w:rPr>
      </w:pPr>
    </w:p>
    <w:p>
      <w:pPr>
        <w:ind w:firstLine="0"/>
        <w:rPr>
          <w:rFonts w:ascii="Calibri" w:hAnsi="Calibri" w:eastAsia="Times New Roman" w:cs="Calibri"/>
          <w:b/>
          <w:bCs/>
          <w:lang w:val="en-GB" w:eastAsia="en-GB"/>
        </w:rPr>
      </w:pPr>
    </w:p>
    <w:p>
      <w:pPr>
        <w:ind w:firstLine="0"/>
        <w:rPr>
          <w:rFonts w:ascii="Calibri" w:hAnsi="Calibri" w:eastAsia="Times New Roman" w:cs="Calibri"/>
          <w:b/>
          <w:bCs/>
          <w:lang w:val="en-GB" w:eastAsia="en-GB"/>
        </w:rPr>
      </w:pPr>
    </w:p>
    <w:p>
      <w:pPr>
        <w:pStyle w:val="2"/>
        <w:numPr>
          <w:ilvl w:val="0"/>
          <w:numId w:val="0"/>
        </w:numPr>
        <w:jc w:val="center"/>
      </w:pPr>
      <w:bookmarkStart w:id="0" w:name="_Toc9824"/>
      <w:r>
        <w:t>Executive summary</w:t>
      </w:r>
      <w:bookmarkEnd w:id="0"/>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ascii="Calibri" w:hAnsi="Calibri" w:eastAsia="Times New Roman" w:cs="Calibri"/>
          <w:sz w:val="22"/>
          <w:szCs w:val="22"/>
          <w:lang w:val="en-GB" w:eastAsia="en-GB"/>
        </w:rPr>
      </w:pPr>
      <w:r>
        <w:rPr>
          <w:rFonts w:ascii="Calibri" w:hAnsi="Calibri" w:eastAsia="Times New Roman" w:cs="Calibri"/>
          <w:sz w:val="22"/>
          <w:szCs w:val="22"/>
          <w:lang w:val="en-GB" w:eastAsia="en-GB"/>
        </w:rPr>
        <w:t xml:space="preserve">Throughout time, there have been considerable developments in performance management. Performance management now considers employee well-being, regular coaching feedback, and artificial intelligence used to increase productivity. Performance management entails ongoing communication and interaction between employees and managers to increase productivity and foster a positive work environment </w:t>
      </w:r>
      <w:r>
        <w:rPr>
          <w:rFonts w:ascii="Calibri" w:hAnsi="Calibri" w:eastAsia="Times New Roman" w:cs="Calibri"/>
          <w:sz w:val="22"/>
          <w:szCs w:val="22"/>
          <w:lang w:eastAsia="en-GB"/>
        </w:rPr>
        <w:t>(Barua &amp; Bhattacharya, 2023)</w:t>
      </w:r>
      <w:r>
        <w:rPr>
          <w:rFonts w:ascii="Calibri" w:hAnsi="Calibri" w:eastAsia="Times New Roman" w:cs="Calibri"/>
          <w:sz w:val="22"/>
          <w:szCs w:val="22"/>
          <w:lang w:val="en-GB" w:eastAsia="en-GB"/>
        </w:rPr>
        <w:t>. Periodic evaluations are done to see whether the organizational objectives are being met, and when necessary, these evaluations are shared with the staff. This essay evaluates Walmart's performance management, one of the largest American retailers with locations across 15 different countries. The first section describes the current situation and includes an analysis of the company's market and environmental factors. The following performance management system diagnostic involves analyzing the present performance management system and highlighting systemic issues. The benefits and drawbacks of Walmart's performance management approach are also current. Improvement choices are presented based on the concerns found. The best solution is then suggested to assist the firm in retaining its existing competitive edge and market share.</w:t>
      </w:r>
    </w:p>
    <w:p>
      <w:pPr>
        <w:keepNext w:val="0"/>
        <w:keepLines w:val="0"/>
        <w:pageBreakBefore w:val="0"/>
        <w:widowControl/>
        <w:kinsoku/>
        <w:wordWrap/>
        <w:overflowPunct/>
        <w:topLinePunct w:val="0"/>
        <w:autoSpaceDE/>
        <w:autoSpaceDN/>
        <w:bidi w:val="0"/>
        <w:adjustRightInd/>
        <w:snapToGrid/>
        <w:spacing w:line="360" w:lineRule="auto"/>
        <w:textAlignment w:val="auto"/>
        <w:rPr>
          <w:rFonts w:ascii="Calibri" w:hAnsi="Calibri" w:eastAsia="Times New Roman" w:cs="Calibri"/>
          <w:sz w:val="22"/>
          <w:szCs w:val="22"/>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pStyle w:val="24"/>
        <w:ind w:left="0" w:leftChars="0" w:firstLine="0" w:firstLineChars="0"/>
        <w:jc w:val="both"/>
        <w:rPr>
          <w:b/>
          <w:bCs/>
          <w:color w:val="auto"/>
          <w:sz w:val="22"/>
          <w:szCs w:val="22"/>
        </w:rPr>
      </w:pPr>
      <w:r>
        <w:rPr>
          <w:b/>
          <w:bCs/>
          <w:color w:val="auto"/>
          <w:sz w:val="22"/>
          <w:szCs w:val="22"/>
        </w:rPr>
        <w:t>Table of Contents</w:t>
      </w:r>
    </w:p>
    <w:p>
      <w:pPr>
        <w:pStyle w:val="8"/>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0" w:firstLineChars="0"/>
        <w:textAlignment w:val="auto"/>
        <w:rPr>
          <w:rFonts w:hint="default" w:ascii="Calibri" w:hAnsi="Calibri" w:cs="Calibri"/>
          <w:sz w:val="22"/>
          <w:szCs w:val="22"/>
        </w:rPr>
      </w:pPr>
      <w:r>
        <w:rPr>
          <w:rFonts w:hint="default" w:ascii="Calibri" w:hAnsi="Calibri" w:cs="Calibri"/>
          <w:sz w:val="22"/>
          <w:szCs w:val="22"/>
        </w:rPr>
        <w:fldChar w:fldCharType="begin"/>
      </w:r>
      <w:r>
        <w:rPr>
          <w:rFonts w:hint="default" w:ascii="Calibri" w:hAnsi="Calibri" w:cs="Calibri"/>
          <w:sz w:val="22"/>
          <w:szCs w:val="22"/>
        </w:rPr>
        <w:instrText xml:space="preserve"> TOC \o "1-3" \h \z \u </w:instrText>
      </w:r>
      <w:r>
        <w:rPr>
          <w:rFonts w:hint="default" w:ascii="Calibri" w:hAnsi="Calibri" w:cs="Calibri"/>
          <w:sz w:val="22"/>
          <w:szCs w:val="22"/>
        </w:rPr>
        <w:fldChar w:fldCharType="separate"/>
      </w:r>
      <w:r>
        <w:rPr>
          <w:rFonts w:hint="default" w:ascii="Calibri" w:hAnsi="Calibri" w:cs="Calibri"/>
          <w:sz w:val="22"/>
          <w:szCs w:val="22"/>
        </w:rPr>
        <w:fldChar w:fldCharType="begin"/>
      </w:r>
      <w:r>
        <w:rPr>
          <w:rFonts w:hint="default" w:ascii="Calibri" w:hAnsi="Calibri" w:cs="Calibri"/>
          <w:sz w:val="22"/>
          <w:szCs w:val="22"/>
        </w:rPr>
        <w:instrText xml:space="preserve"> HYPERLINK \l _Toc9824 </w:instrText>
      </w:r>
      <w:r>
        <w:rPr>
          <w:rFonts w:hint="default" w:ascii="Calibri" w:hAnsi="Calibri" w:cs="Calibri"/>
          <w:sz w:val="22"/>
          <w:szCs w:val="22"/>
        </w:rPr>
        <w:fldChar w:fldCharType="separate"/>
      </w:r>
      <w:r>
        <w:rPr>
          <w:rFonts w:hint="default" w:ascii="Calibri" w:hAnsi="Calibri" w:cs="Calibri"/>
          <w:sz w:val="22"/>
          <w:szCs w:val="22"/>
        </w:rPr>
        <w:t>Executive summary</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_Toc9824 \h </w:instrText>
      </w:r>
      <w:r>
        <w:rPr>
          <w:rFonts w:hint="default" w:ascii="Calibri" w:hAnsi="Calibri" w:cs="Calibri"/>
          <w:sz w:val="22"/>
          <w:szCs w:val="22"/>
        </w:rPr>
        <w:fldChar w:fldCharType="separate"/>
      </w:r>
      <w:r>
        <w:rPr>
          <w:rFonts w:hint="default" w:ascii="Calibri" w:hAnsi="Calibri" w:cs="Calibri"/>
          <w:sz w:val="22"/>
          <w:szCs w:val="22"/>
        </w:rPr>
        <w:t>2</w:t>
      </w:r>
      <w:r>
        <w:rPr>
          <w:rFonts w:hint="default" w:ascii="Calibri" w:hAnsi="Calibri" w:cs="Calibri"/>
          <w:sz w:val="22"/>
          <w:szCs w:val="22"/>
        </w:rPr>
        <w:fldChar w:fldCharType="end"/>
      </w:r>
      <w:r>
        <w:rPr>
          <w:rFonts w:hint="default" w:ascii="Calibri" w:hAnsi="Calibri" w:cs="Calibri"/>
          <w:sz w:val="22"/>
          <w:szCs w:val="22"/>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0" w:firstLineChars="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_Toc22107 </w:instrText>
      </w:r>
      <w:r>
        <w:rPr>
          <w:rFonts w:hint="default" w:ascii="Calibri" w:hAnsi="Calibri" w:cs="Calibri"/>
          <w:bCs/>
          <w:sz w:val="22"/>
          <w:szCs w:val="22"/>
        </w:rPr>
        <w:fldChar w:fldCharType="separate"/>
      </w:r>
      <w:r>
        <w:rPr>
          <w:rFonts w:hint="default" w:ascii="Calibri" w:hAnsi="Calibri" w:cs="Calibri"/>
          <w:sz w:val="22"/>
          <w:szCs w:val="22"/>
        </w:rPr>
        <w:t>1.0. Introduction</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_Toc22107 \h </w:instrText>
      </w:r>
      <w:r>
        <w:rPr>
          <w:rFonts w:hint="default" w:ascii="Calibri" w:hAnsi="Calibri" w:cs="Calibri"/>
          <w:sz w:val="22"/>
          <w:szCs w:val="22"/>
        </w:rPr>
        <w:fldChar w:fldCharType="separate"/>
      </w:r>
      <w:r>
        <w:rPr>
          <w:rFonts w:hint="default" w:ascii="Calibri" w:hAnsi="Calibri" w:cs="Calibri"/>
          <w:sz w:val="22"/>
          <w:szCs w:val="22"/>
        </w:rPr>
        <w:t>4</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0" w:firstLineChars="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_Toc32761 </w:instrText>
      </w:r>
      <w:r>
        <w:rPr>
          <w:rFonts w:hint="default" w:ascii="Calibri" w:hAnsi="Calibri" w:cs="Calibri"/>
          <w:bCs/>
          <w:sz w:val="22"/>
          <w:szCs w:val="22"/>
        </w:rPr>
        <w:fldChar w:fldCharType="separate"/>
      </w:r>
      <w:r>
        <w:rPr>
          <w:rFonts w:hint="default" w:ascii="Calibri" w:hAnsi="Calibri" w:cs="Calibri"/>
          <w:sz w:val="22"/>
          <w:szCs w:val="22"/>
        </w:rPr>
        <w:t>2.0. Organizational Overview</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_Toc32761 \h </w:instrText>
      </w:r>
      <w:r>
        <w:rPr>
          <w:rFonts w:hint="default" w:ascii="Calibri" w:hAnsi="Calibri" w:cs="Calibri"/>
          <w:sz w:val="22"/>
          <w:szCs w:val="22"/>
        </w:rPr>
        <w:fldChar w:fldCharType="separate"/>
      </w:r>
      <w:r>
        <w:rPr>
          <w:rFonts w:hint="default" w:ascii="Calibri" w:hAnsi="Calibri" w:cs="Calibri"/>
          <w:sz w:val="22"/>
          <w:szCs w:val="22"/>
        </w:rPr>
        <w:t>4</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220" w:firstLineChars="10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_Toc32480 </w:instrText>
      </w:r>
      <w:r>
        <w:rPr>
          <w:rFonts w:hint="default" w:ascii="Calibri" w:hAnsi="Calibri" w:cs="Calibri"/>
          <w:bCs/>
          <w:sz w:val="22"/>
          <w:szCs w:val="22"/>
        </w:rPr>
        <w:fldChar w:fldCharType="separate"/>
      </w:r>
      <w:r>
        <w:rPr>
          <w:rFonts w:hint="default" w:ascii="Calibri" w:hAnsi="Calibri" w:eastAsia="Times New Roman" w:cs="Calibri"/>
          <w:sz w:val="22"/>
          <w:szCs w:val="22"/>
          <w:lang w:val="en-GB" w:eastAsia="en-GB"/>
        </w:rPr>
        <w:t>2.1. Background History of Walmart</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_Toc32480 \h </w:instrText>
      </w:r>
      <w:r>
        <w:rPr>
          <w:rFonts w:hint="default" w:ascii="Calibri" w:hAnsi="Calibri" w:cs="Calibri"/>
          <w:sz w:val="22"/>
          <w:szCs w:val="22"/>
        </w:rPr>
        <w:fldChar w:fldCharType="separate"/>
      </w:r>
      <w:r>
        <w:rPr>
          <w:rFonts w:hint="default" w:ascii="Calibri" w:hAnsi="Calibri" w:cs="Calibri"/>
          <w:sz w:val="22"/>
          <w:szCs w:val="22"/>
        </w:rPr>
        <w:t>4</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220" w:firstLineChars="10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_Toc21909 </w:instrText>
      </w:r>
      <w:r>
        <w:rPr>
          <w:rFonts w:hint="default" w:ascii="Calibri" w:hAnsi="Calibri" w:cs="Calibri"/>
          <w:bCs/>
          <w:sz w:val="22"/>
          <w:szCs w:val="22"/>
        </w:rPr>
        <w:fldChar w:fldCharType="separate"/>
      </w:r>
      <w:r>
        <w:rPr>
          <w:rFonts w:hint="default" w:ascii="Calibri" w:hAnsi="Calibri" w:cs="Calibri"/>
          <w:sz w:val="22"/>
          <w:szCs w:val="22"/>
        </w:rPr>
        <w:t>2.2. HR Functions at Walmart</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_Toc21909 \h </w:instrText>
      </w:r>
      <w:r>
        <w:rPr>
          <w:rFonts w:hint="default" w:ascii="Calibri" w:hAnsi="Calibri" w:cs="Calibri"/>
          <w:sz w:val="22"/>
          <w:szCs w:val="22"/>
        </w:rPr>
        <w:fldChar w:fldCharType="separate"/>
      </w:r>
      <w:r>
        <w:rPr>
          <w:rFonts w:hint="default" w:ascii="Calibri" w:hAnsi="Calibri" w:cs="Calibri"/>
          <w:sz w:val="22"/>
          <w:szCs w:val="22"/>
        </w:rPr>
        <w:t>4</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0" w:firstLineChars="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_Toc17191 </w:instrText>
      </w:r>
      <w:r>
        <w:rPr>
          <w:rFonts w:hint="default" w:ascii="Calibri" w:hAnsi="Calibri" w:cs="Calibri"/>
          <w:bCs/>
          <w:sz w:val="22"/>
          <w:szCs w:val="22"/>
        </w:rPr>
        <w:fldChar w:fldCharType="separate"/>
      </w:r>
      <w:r>
        <w:rPr>
          <w:rFonts w:hint="default" w:ascii="Calibri" w:hAnsi="Calibri" w:cs="Calibri"/>
          <w:sz w:val="22"/>
          <w:szCs w:val="22"/>
        </w:rPr>
        <w:t>3.0. Main Discussion</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_Toc17191 \h </w:instrText>
      </w:r>
      <w:r>
        <w:rPr>
          <w:rFonts w:hint="default" w:ascii="Calibri" w:hAnsi="Calibri" w:cs="Calibri"/>
          <w:sz w:val="22"/>
          <w:szCs w:val="22"/>
        </w:rPr>
        <w:fldChar w:fldCharType="separate"/>
      </w:r>
      <w:r>
        <w:rPr>
          <w:rFonts w:hint="default" w:ascii="Calibri" w:hAnsi="Calibri" w:cs="Calibri"/>
          <w:sz w:val="22"/>
          <w:szCs w:val="22"/>
        </w:rPr>
        <w:t>5</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220" w:firstLineChars="10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_Toc8590 </w:instrText>
      </w:r>
      <w:r>
        <w:rPr>
          <w:rFonts w:hint="default" w:ascii="Calibri" w:hAnsi="Calibri" w:cs="Calibri"/>
          <w:bCs/>
          <w:sz w:val="22"/>
          <w:szCs w:val="22"/>
        </w:rPr>
        <w:fldChar w:fldCharType="separate"/>
      </w:r>
      <w:r>
        <w:rPr>
          <w:rFonts w:hint="default" w:ascii="Calibri" w:hAnsi="Calibri" w:cs="Calibri"/>
          <w:sz w:val="22"/>
          <w:szCs w:val="22"/>
        </w:rPr>
        <w:t>3.1. Performance Management System at Walmart</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_Toc8590 \h </w:instrText>
      </w:r>
      <w:r>
        <w:rPr>
          <w:rFonts w:hint="default" w:ascii="Calibri" w:hAnsi="Calibri" w:cs="Calibri"/>
          <w:sz w:val="22"/>
          <w:szCs w:val="22"/>
        </w:rPr>
        <w:fldChar w:fldCharType="separate"/>
      </w:r>
      <w:r>
        <w:rPr>
          <w:rFonts w:hint="default" w:ascii="Calibri" w:hAnsi="Calibri" w:cs="Calibri"/>
          <w:sz w:val="22"/>
          <w:szCs w:val="22"/>
        </w:rPr>
        <w:t>5</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220" w:firstLineChars="10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_Toc23667 </w:instrText>
      </w:r>
      <w:r>
        <w:rPr>
          <w:rFonts w:hint="default" w:ascii="Calibri" w:hAnsi="Calibri" w:cs="Calibri"/>
          <w:bCs/>
          <w:sz w:val="22"/>
          <w:szCs w:val="22"/>
        </w:rPr>
        <w:fldChar w:fldCharType="separate"/>
      </w:r>
      <w:r>
        <w:rPr>
          <w:rFonts w:hint="default" w:ascii="Calibri" w:hAnsi="Calibri" w:cs="Calibri"/>
          <w:sz w:val="22"/>
          <w:szCs w:val="22"/>
        </w:rPr>
        <w:t>3.2. Benefits of Performance management at Walmart</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_Toc23667 \h </w:instrText>
      </w:r>
      <w:r>
        <w:rPr>
          <w:rFonts w:hint="default" w:ascii="Calibri" w:hAnsi="Calibri" w:cs="Calibri"/>
          <w:sz w:val="22"/>
          <w:szCs w:val="22"/>
        </w:rPr>
        <w:fldChar w:fldCharType="separate"/>
      </w:r>
      <w:r>
        <w:rPr>
          <w:rFonts w:hint="default" w:ascii="Calibri" w:hAnsi="Calibri" w:cs="Calibri"/>
          <w:sz w:val="22"/>
          <w:szCs w:val="22"/>
        </w:rPr>
        <w:t>6</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220" w:firstLineChars="10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_Toc1826 </w:instrText>
      </w:r>
      <w:r>
        <w:rPr>
          <w:rFonts w:hint="default" w:ascii="Calibri" w:hAnsi="Calibri" w:cs="Calibri"/>
          <w:bCs/>
          <w:sz w:val="22"/>
          <w:szCs w:val="22"/>
        </w:rPr>
        <w:fldChar w:fldCharType="separate"/>
      </w:r>
      <w:r>
        <w:rPr>
          <w:rFonts w:hint="default" w:ascii="Calibri" w:hAnsi="Calibri" w:cs="Calibri"/>
          <w:sz w:val="22"/>
          <w:szCs w:val="22"/>
        </w:rPr>
        <w:t>3.3. Weaknesses of the Perfomance Management System</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_Toc1826 \h </w:instrText>
      </w:r>
      <w:r>
        <w:rPr>
          <w:rFonts w:hint="default" w:ascii="Calibri" w:hAnsi="Calibri" w:cs="Calibri"/>
          <w:sz w:val="22"/>
          <w:szCs w:val="22"/>
        </w:rPr>
        <w:fldChar w:fldCharType="separate"/>
      </w:r>
      <w:r>
        <w:rPr>
          <w:rFonts w:hint="default" w:ascii="Calibri" w:hAnsi="Calibri" w:cs="Calibri"/>
          <w:sz w:val="22"/>
          <w:szCs w:val="22"/>
        </w:rPr>
        <w:t>7</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0" w:firstLineChars="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_Toc7151 </w:instrText>
      </w:r>
      <w:r>
        <w:rPr>
          <w:rFonts w:hint="default" w:ascii="Calibri" w:hAnsi="Calibri" w:cs="Calibri"/>
          <w:bCs/>
          <w:sz w:val="22"/>
          <w:szCs w:val="22"/>
        </w:rPr>
        <w:fldChar w:fldCharType="separate"/>
      </w:r>
      <w:r>
        <w:rPr>
          <w:rFonts w:hint="default" w:ascii="Calibri" w:hAnsi="Calibri" w:cs="Calibri"/>
          <w:sz w:val="22"/>
          <w:szCs w:val="22"/>
        </w:rPr>
        <w:t>4.0. Recommendations</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_Toc7151 \h </w:instrText>
      </w:r>
      <w:r>
        <w:rPr>
          <w:rFonts w:hint="default" w:ascii="Calibri" w:hAnsi="Calibri" w:cs="Calibri"/>
          <w:sz w:val="22"/>
          <w:szCs w:val="22"/>
        </w:rPr>
        <w:fldChar w:fldCharType="separate"/>
      </w:r>
      <w:r>
        <w:rPr>
          <w:rFonts w:hint="default" w:ascii="Calibri" w:hAnsi="Calibri" w:cs="Calibri"/>
          <w:sz w:val="22"/>
          <w:szCs w:val="22"/>
        </w:rPr>
        <w:t>8</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0" w:firstLineChars="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_Toc27179 </w:instrText>
      </w:r>
      <w:r>
        <w:rPr>
          <w:rFonts w:hint="default" w:ascii="Calibri" w:hAnsi="Calibri" w:cs="Calibri"/>
          <w:bCs/>
          <w:sz w:val="22"/>
          <w:szCs w:val="22"/>
        </w:rPr>
        <w:fldChar w:fldCharType="separate"/>
      </w:r>
      <w:r>
        <w:rPr>
          <w:rFonts w:hint="default" w:ascii="Calibri" w:hAnsi="Calibri" w:cs="Calibri"/>
          <w:sz w:val="22"/>
          <w:szCs w:val="22"/>
        </w:rPr>
        <w:t>5.0. Conclusions</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_Toc27179 \h </w:instrText>
      </w:r>
      <w:r>
        <w:rPr>
          <w:rFonts w:hint="default" w:ascii="Calibri" w:hAnsi="Calibri" w:cs="Calibri"/>
          <w:sz w:val="22"/>
          <w:szCs w:val="22"/>
        </w:rPr>
        <w:fldChar w:fldCharType="separate"/>
      </w:r>
      <w:r>
        <w:rPr>
          <w:rFonts w:hint="default" w:ascii="Calibri" w:hAnsi="Calibri" w:cs="Calibri"/>
          <w:sz w:val="22"/>
          <w:szCs w:val="22"/>
        </w:rPr>
        <w:t>9</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0" w:firstLineChars="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_Toc14330 </w:instrText>
      </w:r>
      <w:r>
        <w:rPr>
          <w:rFonts w:hint="default" w:ascii="Calibri" w:hAnsi="Calibri" w:cs="Calibri"/>
          <w:bCs/>
          <w:sz w:val="22"/>
          <w:szCs w:val="22"/>
        </w:rPr>
        <w:fldChar w:fldCharType="separate"/>
      </w:r>
      <w:r>
        <w:rPr>
          <w:rFonts w:hint="default" w:ascii="Calibri" w:hAnsi="Calibri" w:cs="Calibri"/>
          <w:sz w:val="22"/>
          <w:szCs w:val="22"/>
        </w:rPr>
        <w:t>6.0. References</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_Toc14330 \h </w:instrText>
      </w:r>
      <w:r>
        <w:rPr>
          <w:rFonts w:hint="default" w:ascii="Calibri" w:hAnsi="Calibri" w:cs="Calibri"/>
          <w:sz w:val="22"/>
          <w:szCs w:val="22"/>
        </w:rPr>
        <w:fldChar w:fldCharType="separate"/>
      </w:r>
      <w:r>
        <w:rPr>
          <w:rFonts w:hint="default" w:ascii="Calibri" w:hAnsi="Calibri" w:cs="Calibri"/>
          <w:sz w:val="22"/>
          <w:szCs w:val="22"/>
        </w:rPr>
        <w:t>11</w:t>
      </w:r>
      <w:r>
        <w:rPr>
          <w:rFonts w:hint="default" w:ascii="Calibri" w:hAnsi="Calibri" w:cs="Calibri"/>
          <w:sz w:val="22"/>
          <w:szCs w:val="22"/>
        </w:rPr>
        <w:fldChar w:fldCharType="end"/>
      </w:r>
      <w:r>
        <w:rPr>
          <w:rFonts w:hint="default" w:ascii="Calibri" w:hAnsi="Calibri" w:cs="Calibri"/>
          <w:bCs/>
          <w:sz w:val="22"/>
          <w:szCs w:val="22"/>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after="0" w:line="360" w:lineRule="auto"/>
        <w:ind w:left="0" w:leftChars="0" w:firstLine="0" w:firstLineChars="0"/>
        <w:textAlignment w:val="auto"/>
        <w:rPr>
          <w:rFonts w:hint="default" w:ascii="Calibri" w:hAnsi="Calibri" w:cs="Calibri"/>
          <w:sz w:val="22"/>
          <w:szCs w:val="22"/>
        </w:rPr>
      </w:pPr>
      <w:r>
        <w:rPr>
          <w:rFonts w:hint="default" w:ascii="Calibri" w:hAnsi="Calibri" w:cs="Calibri"/>
          <w:bCs/>
          <w:sz w:val="22"/>
          <w:szCs w:val="22"/>
        </w:rPr>
        <w:fldChar w:fldCharType="begin"/>
      </w:r>
      <w:r>
        <w:rPr>
          <w:rFonts w:hint="default" w:ascii="Calibri" w:hAnsi="Calibri" w:cs="Calibri"/>
          <w:bCs/>
          <w:sz w:val="22"/>
          <w:szCs w:val="22"/>
        </w:rPr>
        <w:instrText xml:space="preserve"> HYPERLINK \l _Toc18873 </w:instrText>
      </w:r>
      <w:r>
        <w:rPr>
          <w:rFonts w:hint="default" w:ascii="Calibri" w:hAnsi="Calibri" w:cs="Calibri"/>
          <w:bCs/>
          <w:sz w:val="22"/>
          <w:szCs w:val="22"/>
        </w:rPr>
        <w:fldChar w:fldCharType="separate"/>
      </w:r>
      <w:r>
        <w:rPr>
          <w:rFonts w:hint="default" w:ascii="Calibri" w:hAnsi="Calibri" w:cs="Calibri"/>
          <w:sz w:val="22"/>
          <w:szCs w:val="22"/>
        </w:rPr>
        <w:t>7.0. Appendix</w:t>
      </w:r>
      <w:r>
        <w:rPr>
          <w:rFonts w:hint="default" w:ascii="Calibri" w:hAnsi="Calibri" w:cs="Calibri"/>
          <w:sz w:val="22"/>
          <w:szCs w:val="22"/>
        </w:rPr>
        <w:tab/>
      </w:r>
      <w:r>
        <w:rPr>
          <w:rFonts w:hint="default" w:ascii="Calibri" w:hAnsi="Calibri" w:cs="Calibri"/>
          <w:sz w:val="22"/>
          <w:szCs w:val="22"/>
        </w:rPr>
        <w:fldChar w:fldCharType="begin"/>
      </w:r>
      <w:r>
        <w:rPr>
          <w:rFonts w:hint="default" w:ascii="Calibri" w:hAnsi="Calibri" w:cs="Calibri"/>
          <w:sz w:val="22"/>
          <w:szCs w:val="22"/>
        </w:rPr>
        <w:instrText xml:space="preserve"> PAGEREF _Toc18873 \h </w:instrText>
      </w:r>
      <w:r>
        <w:rPr>
          <w:rFonts w:hint="default" w:ascii="Calibri" w:hAnsi="Calibri" w:cs="Calibri"/>
          <w:sz w:val="22"/>
          <w:szCs w:val="22"/>
        </w:rPr>
        <w:fldChar w:fldCharType="separate"/>
      </w:r>
      <w:r>
        <w:rPr>
          <w:rFonts w:hint="default" w:ascii="Calibri" w:hAnsi="Calibri" w:cs="Calibri"/>
          <w:sz w:val="22"/>
          <w:szCs w:val="22"/>
        </w:rPr>
        <w:t>14</w:t>
      </w:r>
      <w:r>
        <w:rPr>
          <w:rFonts w:hint="default" w:ascii="Calibri" w:hAnsi="Calibri" w:cs="Calibri"/>
          <w:sz w:val="22"/>
          <w:szCs w:val="22"/>
        </w:rPr>
        <w:fldChar w:fldCharType="end"/>
      </w:r>
      <w:r>
        <w:rPr>
          <w:rFonts w:hint="default" w:ascii="Calibri" w:hAnsi="Calibri" w:cs="Calibri"/>
          <w:bCs/>
          <w:sz w:val="22"/>
          <w:szCs w:val="22"/>
        </w:rPr>
        <w:fldChar w:fldCharType="end"/>
      </w:r>
    </w:p>
    <w:p>
      <w:pPr>
        <w:keepNext w:val="0"/>
        <w:keepLines w:val="0"/>
        <w:pageBreakBefore w:val="0"/>
        <w:widowControl/>
        <w:kinsoku/>
        <w:wordWrap/>
        <w:overflowPunct/>
        <w:topLinePunct w:val="0"/>
        <w:autoSpaceDE/>
        <w:autoSpaceDN/>
        <w:bidi w:val="0"/>
        <w:adjustRightInd/>
        <w:snapToGrid/>
        <w:spacing w:line="360" w:lineRule="auto"/>
        <w:ind w:left="0"/>
        <w:textAlignment w:val="auto"/>
        <w:rPr>
          <w:rFonts w:ascii="Calibri" w:hAnsi="Calibri" w:eastAsia="Times New Roman" w:cs="Calibri"/>
          <w:lang w:val="en-GB" w:eastAsia="en-GB"/>
        </w:rPr>
      </w:pPr>
      <w:r>
        <w:rPr>
          <w:rFonts w:hint="default" w:ascii="Calibri" w:hAnsi="Calibri" w:cs="Calibri"/>
          <w:bCs/>
          <w:sz w:val="22"/>
          <w:szCs w:val="22"/>
        </w:rPr>
        <w:fldChar w:fldCharType="end"/>
      </w:r>
    </w:p>
    <w:p>
      <w:pPr>
        <w:rPr>
          <w:rFonts w:ascii="Calibri" w:hAnsi="Calibri" w:eastAsia="Times New Roman" w:cs="Calibri"/>
          <w:lang w:val="en-GB" w:eastAsia="en-GB"/>
        </w:rPr>
      </w:pPr>
    </w:p>
    <w:p>
      <w:pPr>
        <w:rPr>
          <w:rFonts w:ascii="Calibri" w:hAnsi="Calibri" w:eastAsia="Times New Roman" w:cs="Calibri"/>
          <w:lang w:val="en-GB" w:eastAsia="en-GB"/>
        </w:rPr>
      </w:pPr>
    </w:p>
    <w:p>
      <w:pPr>
        <w:rPr>
          <w:rFonts w:ascii="Calibri" w:hAnsi="Calibri" w:eastAsia="Times New Roman" w:cs="Calibri"/>
          <w:lang w:val="en-GB" w:eastAsia="en-GB"/>
        </w:rPr>
      </w:pPr>
    </w:p>
    <w:p>
      <w:pPr>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firstLine="0"/>
        <w:rPr>
          <w:rFonts w:ascii="Calibri" w:hAnsi="Calibri" w:eastAsia="Times New Roman" w:cs="Calibri"/>
          <w:lang w:val="en-GB" w:eastAsia="en-GB"/>
        </w:rPr>
      </w:pPr>
    </w:p>
    <w:p>
      <w:pPr>
        <w:ind w:left="0" w:leftChars="0" w:firstLine="0" w:firstLineChars="0"/>
        <w:rPr>
          <w:rFonts w:ascii="Calibri" w:hAnsi="Calibri" w:eastAsia="Times New Roman" w:cs="Calibri"/>
          <w:lang w:val="en-GB" w:eastAsia="en-GB"/>
        </w:rPr>
      </w:pPr>
    </w:p>
    <w:p>
      <w:pPr>
        <w:ind w:left="0" w:leftChars="0" w:firstLine="0" w:firstLineChars="0"/>
        <w:rPr>
          <w:rFonts w:ascii="Calibri" w:hAnsi="Calibri" w:eastAsia="Times New Roman" w:cs="Calibri"/>
          <w:lang w:val="en-GB" w:eastAsia="en-GB"/>
        </w:rPr>
      </w:pPr>
    </w:p>
    <w:p>
      <w:pPr>
        <w:ind w:left="0" w:leftChars="0" w:firstLine="0" w:firstLineChars="0"/>
        <w:rPr>
          <w:rFonts w:ascii="Calibri" w:hAnsi="Calibri" w:eastAsia="Times New Roman" w:cs="Calibri"/>
          <w:lang w:val="en-GB" w:eastAsia="en-GB"/>
        </w:rPr>
      </w:pPr>
    </w:p>
    <w:p>
      <w:pPr>
        <w:pStyle w:val="2"/>
        <w:keepNext w:val="0"/>
        <w:keepLines w:val="0"/>
        <w:pageBreakBefore w:val="0"/>
        <w:widowControl/>
        <w:kinsoku/>
        <w:wordWrap/>
        <w:overflowPunct/>
        <w:topLinePunct w:val="0"/>
        <w:autoSpaceDE/>
        <w:autoSpaceDN/>
        <w:bidi w:val="0"/>
        <w:adjustRightInd/>
        <w:snapToGrid/>
        <w:spacing w:line="360" w:lineRule="auto"/>
        <w:ind w:left="0" w:leftChars="0" w:firstLine="0" w:firstLineChars="0"/>
        <w:textAlignment w:val="auto"/>
        <w:rPr>
          <w:sz w:val="22"/>
          <w:szCs w:val="22"/>
        </w:rPr>
      </w:pPr>
      <w:bookmarkStart w:id="1" w:name="_Toc22107"/>
      <w:r>
        <w:rPr>
          <w:sz w:val="22"/>
          <w:szCs w:val="22"/>
        </w:rPr>
        <w:t>Introduction</w:t>
      </w:r>
      <w:bookmarkEnd w:id="1"/>
    </w:p>
    <w:p>
      <w:pPr>
        <w:keepNext w:val="0"/>
        <w:keepLines w:val="0"/>
        <w:pageBreakBefore w:val="0"/>
        <w:widowControl/>
        <w:kinsoku/>
        <w:wordWrap/>
        <w:overflowPunct/>
        <w:topLinePunct w:val="0"/>
        <w:autoSpaceDE/>
        <w:autoSpaceDN/>
        <w:bidi w:val="0"/>
        <w:adjustRightInd/>
        <w:snapToGrid/>
        <w:spacing w:line="360" w:lineRule="auto"/>
        <w:ind w:left="0" w:leftChars="0" w:firstLine="277" w:firstLineChars="126"/>
        <w:jc w:val="both"/>
        <w:textAlignment w:val="auto"/>
        <w:rPr>
          <w:rFonts w:ascii="Calibri" w:hAnsi="Calibri" w:cs="Calibri"/>
          <w:sz w:val="22"/>
          <w:szCs w:val="22"/>
        </w:rPr>
      </w:pPr>
      <w:r>
        <w:rPr>
          <w:rFonts w:ascii="Calibri" w:hAnsi="Calibri" w:cs="Calibri"/>
          <w:sz w:val="22"/>
          <w:szCs w:val="22"/>
        </w:rPr>
        <w:t>Performance management in a company is the coordination of the established goals with the workforce's shared competence requirements, capabilities, and result delivery. Enhancing employee learning and development is the primary goal in realizing the company plan and establishing a competent workforce (Steinbach, 2022), according to DeNisi and Murphy (2017). Companies have incorporated performance management as a tool for defending revenue and gauging performance since it was introduced 60 years ago. This has been successful in motivating workers who are motivated by financial incentives. However, the tool has not worked well for workers driven to learn and grow throughout their careers. Performance management was restructured into a complete framework that controls and rewards performance due to the misunderstanding between the requirement to defend compensation and the emphasis on career growth (Barbouletos, 2011). This is beneficial to the organization as well as the individual workers. Performance management is now more thorough and complete, comprising objective-based management, progressive evaluation and review, and employee differentiation.</w:t>
      </w:r>
    </w:p>
    <w:p>
      <w:pPr>
        <w:pStyle w:val="2"/>
        <w:keepNext w:val="0"/>
        <w:keepLines w:val="0"/>
        <w:pageBreakBefore w:val="0"/>
        <w:widowControl/>
        <w:kinsoku/>
        <w:wordWrap/>
        <w:overflowPunct/>
        <w:topLinePunct w:val="0"/>
        <w:autoSpaceDE/>
        <w:autoSpaceDN/>
        <w:bidi w:val="0"/>
        <w:adjustRightInd/>
        <w:snapToGrid/>
        <w:spacing w:line="360" w:lineRule="auto"/>
        <w:ind w:left="0" w:leftChars="0" w:firstLine="0" w:firstLineChars="0"/>
        <w:textAlignment w:val="auto"/>
        <w:rPr>
          <w:sz w:val="22"/>
          <w:szCs w:val="22"/>
        </w:rPr>
      </w:pPr>
      <w:bookmarkStart w:id="2" w:name="_Toc32761"/>
      <w:r>
        <w:rPr>
          <w:sz w:val="22"/>
          <w:szCs w:val="22"/>
        </w:rPr>
        <w:t>Organizational Overview</w:t>
      </w:r>
      <w:bookmarkEnd w:id="2"/>
    </w:p>
    <w:p>
      <w:pPr>
        <w:pStyle w:val="3"/>
        <w:keepNext w:val="0"/>
        <w:keepLines w:val="0"/>
        <w:pageBreakBefore w:val="0"/>
        <w:widowControl/>
        <w:numPr>
          <w:ilvl w:val="1"/>
          <w:numId w:val="1"/>
        </w:numPr>
        <w:tabs>
          <w:tab w:val="clear" w:pos="720"/>
        </w:tabs>
        <w:kinsoku/>
        <w:wordWrap/>
        <w:overflowPunct/>
        <w:topLinePunct w:val="0"/>
        <w:autoSpaceDE/>
        <w:autoSpaceDN/>
        <w:bidi w:val="0"/>
        <w:adjustRightInd/>
        <w:snapToGrid/>
        <w:spacing w:line="360" w:lineRule="auto"/>
        <w:ind w:left="0" w:leftChars="0" w:firstLine="240" w:firstLineChars="109"/>
        <w:textAlignment w:val="auto"/>
        <w:rPr>
          <w:rFonts w:ascii="Calibri" w:hAnsi="Calibri" w:eastAsia="Times New Roman" w:cs="Calibri"/>
          <w:sz w:val="22"/>
          <w:szCs w:val="22"/>
          <w:lang w:val="en-GB" w:eastAsia="en-GB"/>
        </w:rPr>
      </w:pPr>
      <w:bookmarkStart w:id="3" w:name="_Toc32480"/>
      <w:r>
        <w:rPr>
          <w:rFonts w:ascii="Calibri" w:hAnsi="Calibri" w:eastAsia="Times New Roman" w:cs="Calibri"/>
          <w:sz w:val="22"/>
          <w:szCs w:val="22"/>
          <w:lang w:val="en-GB" w:eastAsia="en-GB"/>
        </w:rPr>
        <w:t>Background History of Walmart</w:t>
      </w:r>
      <w:bookmarkEnd w:id="3"/>
      <w:r>
        <w:rPr>
          <w:rFonts w:ascii="Calibri" w:hAnsi="Calibri" w:eastAsia="Times New Roman" w:cs="Calibri"/>
          <w:sz w:val="22"/>
          <w:szCs w:val="22"/>
          <w:lang w:val="en-GB" w:eastAsia="en-GB"/>
        </w:rPr>
        <w:t xml:space="preserve"> </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Walmart is one of the biggest retailers in the world, with over 2 million workers and 8,500 locations in 15 different countries that operate under 55 other company brands. Billions of clients have always chosen the company since its establishment. At least 100 million people visit Wal-Mart stores weekly (Chan, 2011; Xin et al., 2017; Yeager, 2014). The company's founder Sam Walton had a  straightforward mission of providing affordable rates to people globally. Although he passed away in 1992, Walmart's culture still strongly reflects his devotion and complex work principles. The organization's workers see their job as part of a global mission to lower the cost of living. According to the Wal-Mart ideology, everybody with sufficient financial means should be able to purchase goods that were previously exclusively accessible to the wealthy and those who could afford them. The business aims to be effective and utilize its purchasing power to negotiate lower prices with suppliers and then pass those savings to consumers through reduced pricing (Walmart Inc, 2020).</w:t>
      </w:r>
    </w:p>
    <w:p>
      <w:pPr>
        <w:pStyle w:val="3"/>
        <w:keepNext w:val="0"/>
        <w:keepLines w:val="0"/>
        <w:pageBreakBefore w:val="0"/>
        <w:widowControl/>
        <w:numPr>
          <w:ilvl w:val="1"/>
          <w:numId w:val="1"/>
        </w:numPr>
        <w:tabs>
          <w:tab w:val="left" w:pos="-240"/>
          <w:tab w:val="left" w:pos="240"/>
          <w:tab w:val="clear" w:pos="720"/>
        </w:tabs>
        <w:kinsoku/>
        <w:wordWrap/>
        <w:overflowPunct/>
        <w:topLinePunct w:val="0"/>
        <w:autoSpaceDE/>
        <w:autoSpaceDN/>
        <w:bidi w:val="0"/>
        <w:adjustRightInd/>
        <w:snapToGrid/>
        <w:spacing w:line="360" w:lineRule="auto"/>
        <w:ind w:left="0" w:leftChars="0" w:firstLine="277" w:firstLineChars="126"/>
        <w:textAlignment w:val="auto"/>
        <w:rPr>
          <w:rFonts w:ascii="Calibri" w:hAnsi="Calibri" w:cs="Calibri"/>
          <w:sz w:val="22"/>
          <w:szCs w:val="22"/>
        </w:rPr>
      </w:pPr>
      <w:bookmarkStart w:id="4" w:name="_Toc21909"/>
      <w:r>
        <w:rPr>
          <w:rFonts w:ascii="Calibri" w:hAnsi="Calibri" w:cs="Calibri"/>
          <w:sz w:val="22"/>
          <w:szCs w:val="22"/>
        </w:rPr>
        <w:t>HR Functions at Walmart</w:t>
      </w:r>
      <w:bookmarkEnd w:id="4"/>
      <w:r>
        <w:rPr>
          <w:rFonts w:ascii="Calibri" w:hAnsi="Calibri" w:cs="Calibri"/>
          <w:sz w:val="22"/>
          <w:szCs w:val="22"/>
        </w:rPr>
        <w:t xml:space="preserve"> </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Walmart has seized the top spot in the retail sector, and the organization's leadership constantly considers how important the HR department is to the organization's performance. The company's CEO claims that the HR department works tirelessly to fill positions with the right people, enabling the company to function effectively (Collings, Wood and Szamosi,  2018). The authority claims that the business's HR department stabilizes the organization's functioning. It has become clear that Walmart is profitable enough to keep talented and long-term workers for its benefit (Cappelli &amp; Tavis, 2016). As a result, the HR department's influence on organizational operations is evident. Walmart hires new workers from the campuses and teaches its current workers to improve their qualifications (Alfes et al. l, 2013; Kotowski, 2022)). Walmart often transfers and promotes its employees based on their qualifications, which inspires workers. As a result, the HR department is crucial in this situation. Walmart values collaboration. In a retail company, one person can't significantly affect the firm (Khan, 2011). Teamwork is essential to how Walmart operates. According to Sam Walton, the HR department encourages workers to stick with one another to accomplish corporate goals, as shown by the firm's success (Bolman &amp; Deal,  2017).</w:t>
      </w:r>
    </w:p>
    <w:p>
      <w:pPr>
        <w:pStyle w:val="2"/>
        <w:keepNext w:val="0"/>
        <w:keepLines w:val="0"/>
        <w:pageBreakBefore w:val="0"/>
        <w:widowControl/>
        <w:tabs>
          <w:tab w:val="left" w:pos="720"/>
        </w:tabs>
        <w:kinsoku/>
        <w:wordWrap/>
        <w:overflowPunct/>
        <w:topLinePunct w:val="0"/>
        <w:autoSpaceDE/>
        <w:autoSpaceDN/>
        <w:bidi w:val="0"/>
        <w:adjustRightInd/>
        <w:snapToGrid/>
        <w:spacing w:line="360" w:lineRule="auto"/>
        <w:ind w:left="-275" w:leftChars="0" w:firstLine="277" w:firstLineChars="0"/>
        <w:textAlignment w:val="auto"/>
        <w:rPr>
          <w:sz w:val="22"/>
          <w:szCs w:val="22"/>
        </w:rPr>
      </w:pPr>
      <w:bookmarkStart w:id="5" w:name="_Toc17191"/>
      <w:r>
        <w:rPr>
          <w:sz w:val="22"/>
          <w:szCs w:val="22"/>
        </w:rPr>
        <w:t>Main Discussion</w:t>
      </w:r>
      <w:bookmarkEnd w:id="5"/>
    </w:p>
    <w:p>
      <w:pPr>
        <w:pStyle w:val="3"/>
        <w:keepNext w:val="0"/>
        <w:keepLines w:val="0"/>
        <w:pageBreakBefore w:val="0"/>
        <w:widowControl/>
        <w:numPr>
          <w:ilvl w:val="1"/>
          <w:numId w:val="1"/>
        </w:numPr>
        <w:kinsoku/>
        <w:wordWrap/>
        <w:overflowPunct/>
        <w:topLinePunct w:val="0"/>
        <w:autoSpaceDE/>
        <w:autoSpaceDN/>
        <w:bidi w:val="0"/>
        <w:adjustRightInd/>
        <w:snapToGrid/>
        <w:spacing w:line="360" w:lineRule="auto"/>
        <w:ind w:left="0" w:firstLine="277" w:firstLineChars="126"/>
        <w:textAlignment w:val="auto"/>
        <w:rPr>
          <w:rFonts w:ascii="Calibri" w:hAnsi="Calibri" w:cs="Calibri"/>
          <w:sz w:val="22"/>
          <w:szCs w:val="22"/>
        </w:rPr>
      </w:pPr>
      <w:bookmarkStart w:id="6" w:name="_Toc8590"/>
      <w:r>
        <w:rPr>
          <w:rFonts w:ascii="Calibri" w:hAnsi="Calibri" w:cs="Calibri"/>
          <w:sz w:val="22"/>
          <w:szCs w:val="22"/>
        </w:rPr>
        <w:t>Performance Management System at Walmart</w:t>
      </w:r>
      <w:bookmarkEnd w:id="6"/>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Walmart has effectively utilized these pillars to implement a comprehensive performance management system. By focusing on these key areas, the company's human resource management can establish a solid foundation for planning and ensuring optimal employee performance.</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4788"/>
        <w:gridCol w:w="47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88" w:type="dxa"/>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default" w:ascii="Calibri" w:hAnsi="Calibri" w:eastAsia="宋体" w:cs="Calibri"/>
                <w:sz w:val="22"/>
                <w:szCs w:val="22"/>
                <w:lang w:val="en-US" w:eastAsia="zh-CN"/>
              </w:rPr>
            </w:pPr>
            <w:r>
              <w:rPr>
                <w:rFonts w:hint="default" w:ascii="Calibri" w:hAnsi="Calibri" w:cs="Calibri"/>
                <w:sz w:val="22"/>
                <w:szCs w:val="22"/>
              </w:rPr>
              <w:t>Pillar</w:t>
            </w:r>
            <w:r>
              <w:rPr>
                <w:rFonts w:hint="default" w:ascii="Calibri" w:hAnsi="Calibri" w:eastAsia="宋体" w:cs="Calibri"/>
                <w:sz w:val="22"/>
                <w:szCs w:val="22"/>
                <w:lang w:val="en-US" w:eastAsia="zh-CN"/>
              </w:rPr>
              <w:t xml:space="preserve"> 1</w:t>
            </w:r>
          </w:p>
        </w:tc>
        <w:tc>
          <w:tcPr>
            <w:tcW w:w="4788" w:type="dxa"/>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default" w:ascii="Calibri" w:hAnsi="Calibri" w:cs="Calibri"/>
                <w:sz w:val="22"/>
                <w:szCs w:val="22"/>
              </w:rPr>
            </w:pPr>
            <w:r>
              <w:rPr>
                <w:rFonts w:hint="default" w:ascii="Calibri" w:hAnsi="Calibri" w:cs="Calibri"/>
                <w:sz w:val="22"/>
                <w:szCs w:val="22"/>
              </w:rPr>
              <w:t>Role in the System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88" w:type="dxa"/>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Calibri" w:hAnsi="Calibri" w:cs="Calibri"/>
                <w:sz w:val="22"/>
                <w:szCs w:val="22"/>
                <w:vertAlign w:val="baseline"/>
              </w:rPr>
            </w:pPr>
            <w:r>
              <w:rPr>
                <w:rFonts w:hint="default" w:ascii="Calibri" w:hAnsi="Calibri" w:eastAsia="宋体" w:cs="Calibri"/>
                <w:sz w:val="22"/>
                <w:szCs w:val="22"/>
              </w:rPr>
              <w:t>Customer Service Orientation</w:t>
            </w:r>
          </w:p>
        </w:tc>
        <w:tc>
          <w:tcPr>
            <w:tcW w:w="4788" w:type="dxa"/>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left"/>
              <w:textAlignment w:val="auto"/>
              <w:rPr>
                <w:rFonts w:hint="default" w:ascii="Calibri" w:hAnsi="Calibri" w:cs="Calibri"/>
                <w:sz w:val="22"/>
                <w:szCs w:val="22"/>
                <w:vertAlign w:val="baseline"/>
              </w:rPr>
            </w:pPr>
            <w:r>
              <w:rPr>
                <w:rFonts w:hint="default" w:ascii="Calibri" w:hAnsi="Calibri" w:eastAsia="宋体" w:cs="Calibri"/>
                <w:sz w:val="22"/>
                <w:szCs w:val="22"/>
              </w:rPr>
              <w:t>Emphasize the importance of service quality in the retail industry (Thompson, 2010)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788" w:type="dxa"/>
          </w:tcPr>
          <w:p>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Calibri" w:hAnsi="Calibri" w:cs="Calibri"/>
                <w:sz w:val="22"/>
                <w:szCs w:val="22"/>
                <w:vertAlign w:val="baseline"/>
              </w:rPr>
            </w:pPr>
          </w:p>
        </w:tc>
        <w:tc>
          <w:tcPr>
            <w:tcW w:w="4788" w:type="dxa"/>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left"/>
              <w:textAlignment w:val="auto"/>
              <w:rPr>
                <w:rFonts w:hint="default" w:ascii="Calibri" w:hAnsi="Calibri" w:cs="Calibri"/>
                <w:sz w:val="22"/>
                <w:szCs w:val="22"/>
                <w:vertAlign w:val="baseline"/>
              </w:rPr>
            </w:pPr>
            <w:r>
              <w:rPr>
                <w:rFonts w:hint="default" w:ascii="Calibri" w:hAnsi="Calibri" w:eastAsia="宋体" w:cs="Calibri"/>
                <w:sz w:val="22"/>
                <w:szCs w:val="22"/>
              </w:rPr>
              <w:t>Ensure consistent customer satisfaction</w:t>
            </w:r>
          </w:p>
        </w:tc>
      </w:tr>
    </w:tbl>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left"/>
        <w:textAlignment w:val="auto"/>
        <w:rPr>
          <w:rFonts w:ascii="Calibri" w:hAnsi="Calibri" w:cs="Calibri"/>
          <w:sz w:val="22"/>
          <w:szCs w:val="22"/>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788"/>
        <w:gridCol w:w="47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default" w:ascii="Calibri" w:hAnsi="Calibri" w:eastAsia="宋体" w:cs="Calibri"/>
                <w:sz w:val="22"/>
                <w:szCs w:val="22"/>
                <w:lang w:val="en-US" w:eastAsia="zh-CN"/>
              </w:rPr>
            </w:pPr>
            <w:r>
              <w:rPr>
                <w:rFonts w:hint="default" w:ascii="Calibri" w:hAnsi="Calibri" w:cs="Calibri"/>
                <w:sz w:val="22"/>
                <w:szCs w:val="22"/>
              </w:rPr>
              <w:t>Pillar</w:t>
            </w:r>
            <w:r>
              <w:rPr>
                <w:rFonts w:hint="default" w:ascii="Calibri" w:hAnsi="Calibri" w:cs="Calibri"/>
                <w:sz w:val="22"/>
                <w:szCs w:val="22"/>
                <w:lang w:val="en-US" w:eastAsia="zh-CN"/>
              </w:rPr>
              <w:t xml:space="preserve"> 2</w:t>
            </w:r>
          </w:p>
        </w:tc>
        <w:tc>
          <w:tcPr>
            <w:tcW w:w="4788" w:type="dxa"/>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left"/>
              <w:textAlignment w:val="auto"/>
              <w:rPr>
                <w:rFonts w:hint="default" w:ascii="Calibri" w:hAnsi="Calibri" w:cs="Calibri"/>
                <w:sz w:val="22"/>
                <w:szCs w:val="22"/>
              </w:rPr>
            </w:pPr>
            <w:r>
              <w:rPr>
                <w:rFonts w:hint="default" w:ascii="Calibri" w:hAnsi="Calibri" w:eastAsia="宋体" w:cs="Calibri"/>
                <w:sz w:val="22"/>
                <w:szCs w:val="22"/>
              </w:rPr>
              <w:t>Align employee behavior with customer expectations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Calibri" w:hAnsi="Calibri" w:eastAsia="宋体" w:cs="Calibri"/>
                <w:sz w:val="22"/>
                <w:szCs w:val="22"/>
                <w:vertAlign w:val="baseline"/>
                <w:lang w:val="en-US" w:eastAsia="zh-CN"/>
              </w:rPr>
            </w:pPr>
            <w:r>
              <w:rPr>
                <w:rFonts w:hint="default" w:ascii="Calibri" w:hAnsi="Calibri" w:eastAsia="宋体" w:cs="Calibri"/>
                <w:sz w:val="22"/>
                <w:szCs w:val="22"/>
              </w:rPr>
              <w:t>Analysis and Problem-Solving</w:t>
            </w:r>
          </w:p>
        </w:tc>
        <w:tc>
          <w:tcPr>
            <w:tcW w:w="4788" w:type="dxa"/>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left"/>
              <w:textAlignment w:val="auto"/>
              <w:rPr>
                <w:rFonts w:hint="default" w:ascii="Calibri" w:hAnsi="Calibri" w:cs="Calibri"/>
                <w:sz w:val="22"/>
                <w:szCs w:val="22"/>
                <w:vertAlign w:val="baseline"/>
              </w:rPr>
            </w:pPr>
            <w:r>
              <w:rPr>
                <w:rFonts w:hint="default" w:ascii="Calibri" w:hAnsi="Calibri" w:eastAsia="宋体" w:cs="Calibri"/>
                <w:sz w:val="22"/>
                <w:szCs w:val="22"/>
              </w:rPr>
              <w:t>Evaluate the success of management roles based on their impact on customer service (Demartini, 2014; Ranjan, 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Calibri" w:hAnsi="Calibri" w:cs="Calibri"/>
                <w:sz w:val="22"/>
                <w:szCs w:val="22"/>
                <w:vertAlign w:val="baseline"/>
              </w:rPr>
            </w:pPr>
          </w:p>
        </w:tc>
        <w:tc>
          <w:tcPr>
            <w:tcW w:w="4788" w:type="dxa"/>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left"/>
              <w:textAlignment w:val="auto"/>
              <w:rPr>
                <w:rFonts w:hint="default" w:ascii="Calibri" w:hAnsi="Calibri" w:cs="Calibri"/>
                <w:sz w:val="22"/>
                <w:szCs w:val="22"/>
                <w:vertAlign w:val="baseline"/>
              </w:rPr>
            </w:pPr>
            <w:r>
              <w:rPr>
                <w:rFonts w:hint="default" w:ascii="Calibri" w:hAnsi="Calibri" w:eastAsia="宋体" w:cs="Calibri"/>
                <w:sz w:val="22"/>
                <w:szCs w:val="22"/>
              </w:rPr>
              <w:t>Identify areas for improvement in service delivery</w:t>
            </w:r>
            <w:r>
              <w:rPr>
                <w:rFonts w:hint="eastAsia" w:ascii="Calibri" w:hAnsi="Calibri" w:eastAsia="宋体" w:cs="Calibri"/>
                <w:sz w:val="22"/>
                <w:szCs w:val="22"/>
                <w:lang w:val="en-US" w:eastAsia="zh-CN"/>
              </w:rPr>
              <w:t xml:space="preserve"> </w:t>
            </w:r>
            <w:r>
              <w:rPr>
                <w:rFonts w:hint="default" w:ascii="Calibri" w:hAnsi="Calibri" w:eastAsia="宋体" w:cs="Calibri"/>
                <w:sz w:val="22"/>
                <w:szCs w:val="22"/>
              </w:rPr>
              <w:t>satisfaction</w:t>
            </w:r>
          </w:p>
        </w:tc>
      </w:tr>
    </w:tbl>
    <w:p>
      <w:pPr>
        <w:keepNext w:val="0"/>
        <w:keepLines w:val="0"/>
        <w:pageBreakBefore w:val="0"/>
        <w:widowControl/>
        <w:kinsoku/>
        <w:wordWrap/>
        <w:overflowPunct/>
        <w:topLinePunct w:val="0"/>
        <w:autoSpaceDE/>
        <w:autoSpaceDN/>
        <w:bidi w:val="0"/>
        <w:adjustRightInd/>
        <w:snapToGrid/>
        <w:spacing w:line="360" w:lineRule="auto"/>
        <w:ind w:firstLine="277" w:firstLineChars="126"/>
        <w:jc w:val="left"/>
        <w:textAlignment w:val="auto"/>
        <w:rPr>
          <w:rFonts w:ascii="Calibri" w:hAnsi="Calibri" w:cs="Calibri"/>
          <w:sz w:val="22"/>
          <w:szCs w:val="22"/>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788"/>
        <w:gridCol w:w="47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default" w:ascii="Calibri" w:hAnsi="Calibri" w:eastAsia="宋体" w:cs="Calibri"/>
                <w:sz w:val="22"/>
                <w:szCs w:val="22"/>
                <w:lang w:val="en-US" w:eastAsia="zh-CN"/>
              </w:rPr>
            </w:pPr>
            <w:r>
              <w:rPr>
                <w:rFonts w:hint="default" w:ascii="Calibri" w:hAnsi="Calibri" w:cs="Calibri"/>
                <w:sz w:val="22"/>
                <w:szCs w:val="22"/>
              </w:rPr>
              <w:t>Pillar</w:t>
            </w:r>
            <w:r>
              <w:rPr>
                <w:rFonts w:hint="default" w:ascii="Calibri" w:hAnsi="Calibri" w:eastAsia="宋体" w:cs="Calibri"/>
                <w:sz w:val="22"/>
                <w:szCs w:val="22"/>
                <w:lang w:val="en-US" w:eastAsia="zh-CN"/>
              </w:rPr>
              <w:t xml:space="preserve"> 3</w:t>
            </w:r>
          </w:p>
        </w:tc>
        <w:tc>
          <w:tcPr>
            <w:tcW w:w="4788" w:type="dxa"/>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left"/>
              <w:textAlignment w:val="auto"/>
              <w:rPr>
                <w:rFonts w:hint="default" w:ascii="Calibri" w:hAnsi="Calibri" w:cs="Calibri"/>
                <w:sz w:val="22"/>
                <w:szCs w:val="22"/>
              </w:rPr>
            </w:pPr>
            <w:r>
              <w:rPr>
                <w:rFonts w:hint="default" w:ascii="Calibri" w:hAnsi="Calibri" w:eastAsia="宋体" w:cs="Calibri"/>
                <w:sz w:val="22"/>
                <w:szCs w:val="22"/>
              </w:rPr>
              <w:t>Encourage data-driven decision-making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Calibri" w:hAnsi="Calibri" w:cs="Calibri"/>
                <w:sz w:val="22"/>
                <w:szCs w:val="22"/>
                <w:vertAlign w:val="baseline"/>
              </w:rPr>
            </w:pPr>
            <w:r>
              <w:rPr>
                <w:rFonts w:hint="default" w:ascii="Calibri" w:hAnsi="Calibri" w:eastAsia="宋体" w:cs="Calibri"/>
                <w:sz w:val="22"/>
                <w:szCs w:val="22"/>
              </w:rPr>
              <w:t>Decision-Making and Outcomes</w:t>
            </w:r>
          </w:p>
        </w:tc>
        <w:tc>
          <w:tcPr>
            <w:tcW w:w="4788" w:type="dxa"/>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left"/>
              <w:textAlignment w:val="auto"/>
              <w:rPr>
                <w:rFonts w:hint="default" w:ascii="Calibri" w:hAnsi="Calibri" w:cs="Calibri"/>
                <w:sz w:val="22"/>
                <w:szCs w:val="22"/>
                <w:vertAlign w:val="baseline"/>
              </w:rPr>
            </w:pPr>
            <w:r>
              <w:rPr>
                <w:rFonts w:hint="default" w:ascii="Calibri" w:hAnsi="Calibri" w:eastAsia="宋体" w:cs="Calibri"/>
                <w:sz w:val="22"/>
                <w:szCs w:val="22"/>
              </w:rPr>
              <w:t>Treat all jobs as performance-based (Hafiza, 2011)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Calibri" w:hAnsi="Calibri" w:cs="Calibri"/>
                <w:sz w:val="22"/>
                <w:szCs w:val="22"/>
                <w:vertAlign w:val="baseline"/>
              </w:rPr>
            </w:pPr>
            <w:r>
              <w:rPr>
                <w:rFonts w:hint="default" w:ascii="Calibri" w:hAnsi="Calibri" w:eastAsia="宋体" w:cs="Calibri"/>
                <w:sz w:val="22"/>
                <w:szCs w:val="22"/>
              </w:rPr>
              <w:t>Orientation</w:t>
            </w:r>
          </w:p>
        </w:tc>
        <w:tc>
          <w:tcPr>
            <w:tcW w:w="4788" w:type="dxa"/>
          </w:tcPr>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left"/>
              <w:textAlignment w:val="auto"/>
              <w:rPr>
                <w:rFonts w:hint="default" w:ascii="Calibri" w:hAnsi="Calibri" w:cs="Calibri"/>
                <w:sz w:val="22"/>
                <w:szCs w:val="22"/>
                <w:vertAlign w:val="baseline"/>
              </w:rPr>
            </w:pPr>
            <w:r>
              <w:rPr>
                <w:rFonts w:hint="default" w:ascii="Calibri" w:hAnsi="Calibri" w:eastAsia="宋体" w:cs="Calibri"/>
                <w:sz w:val="22"/>
                <w:szCs w:val="22"/>
              </w:rPr>
              <w:t>Ensure consistent customer satisfaction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Calibri" w:hAnsi="Calibri" w:eastAsia="宋体" w:cs="Calibri"/>
                <w:sz w:val="22"/>
                <w:szCs w:val="22"/>
              </w:rPr>
            </w:pPr>
          </w:p>
        </w:tc>
        <w:tc>
          <w:tcPr>
            <w:tcW w:w="4788" w:type="dxa"/>
          </w:tcPr>
          <w:p>
            <w:pPr>
              <w:keepNext w:val="0"/>
              <w:keepLines w:val="0"/>
              <w:pageBreakBefore w:val="0"/>
              <w:widowControl/>
              <w:tabs>
                <w:tab w:val="left" w:pos="4560"/>
              </w:tabs>
              <w:kinsoku/>
              <w:wordWrap/>
              <w:overflowPunct/>
              <w:topLinePunct w:val="0"/>
              <w:autoSpaceDE/>
              <w:autoSpaceDN/>
              <w:bidi w:val="0"/>
              <w:adjustRightInd/>
              <w:snapToGrid/>
              <w:spacing w:line="360" w:lineRule="auto"/>
              <w:ind w:left="0" w:leftChars="0" w:firstLine="0" w:firstLineChars="0"/>
              <w:jc w:val="left"/>
              <w:textAlignment w:val="auto"/>
              <w:rPr>
                <w:rFonts w:hint="default" w:ascii="Calibri" w:hAnsi="Calibri" w:eastAsia="宋体" w:cs="Calibri"/>
                <w:sz w:val="22"/>
                <w:szCs w:val="22"/>
              </w:rPr>
            </w:pPr>
            <w:r>
              <w:rPr>
                <w:rFonts w:hint="default" w:ascii="Calibri" w:hAnsi="Calibri" w:eastAsia="宋体" w:cs="Calibri"/>
                <w:sz w:val="22"/>
                <w:szCs w:val="22"/>
              </w:rPr>
              <w:t>Align HR management objectives with organizational goals</w:t>
            </w:r>
          </w:p>
        </w:tc>
      </w:tr>
    </w:tbl>
    <w:p>
      <w:pPr>
        <w:keepNext w:val="0"/>
        <w:keepLines w:val="0"/>
        <w:pageBreakBefore w:val="0"/>
        <w:widowControl/>
        <w:kinsoku/>
        <w:wordWrap/>
        <w:overflowPunct/>
        <w:topLinePunct w:val="0"/>
        <w:autoSpaceDE/>
        <w:autoSpaceDN/>
        <w:bidi w:val="0"/>
        <w:adjustRightInd/>
        <w:snapToGrid/>
        <w:spacing w:line="360" w:lineRule="auto"/>
        <w:ind w:firstLine="277" w:firstLineChars="126"/>
        <w:jc w:val="center"/>
        <w:textAlignment w:val="auto"/>
        <w:rPr>
          <w:rFonts w:ascii="Calibri" w:hAnsi="Calibri" w:cs="Calibri"/>
          <w:sz w:val="22"/>
          <w:szCs w:val="22"/>
        </w:rPr>
      </w:pP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hint="eastAsia" w:ascii="Calibri" w:hAnsi="Calibri" w:eastAsia="宋体" w:cs="Calibri"/>
          <w:sz w:val="22"/>
          <w:szCs w:val="22"/>
          <w:lang w:val="en-US" w:eastAsia="zh-CN"/>
        </w:rPr>
        <w:t>The above</w:t>
      </w:r>
      <w:r>
        <w:rPr>
          <w:rFonts w:ascii="Calibri" w:hAnsi="Calibri" w:cs="Calibri"/>
          <w:sz w:val="22"/>
          <w:szCs w:val="22"/>
        </w:rPr>
        <w:t xml:space="preserve"> table</w:t>
      </w:r>
      <w:r>
        <w:rPr>
          <w:rFonts w:hint="eastAsia" w:ascii="Calibri" w:hAnsi="Calibri" w:eastAsia="宋体" w:cs="Calibri"/>
          <w:sz w:val="22"/>
          <w:szCs w:val="22"/>
          <w:lang w:val="en-US" w:eastAsia="zh-CN"/>
        </w:rPr>
        <w:t>s</w:t>
      </w:r>
      <w:r>
        <w:rPr>
          <w:rFonts w:ascii="Calibri" w:hAnsi="Calibri" w:cs="Calibri"/>
          <w:sz w:val="22"/>
          <w:szCs w:val="22"/>
        </w:rPr>
        <w:t xml:space="preserve"> summarizes the three key pillars of Walmart's performance management system and their respective roles in ensuring effective employee performance and customer satisfaction.</w:t>
      </w:r>
    </w:p>
    <w:p>
      <w:pPr>
        <w:pStyle w:val="3"/>
        <w:keepNext w:val="0"/>
        <w:keepLines w:val="0"/>
        <w:pageBreakBefore w:val="0"/>
        <w:widowControl/>
        <w:numPr>
          <w:ilvl w:val="1"/>
          <w:numId w:val="1"/>
        </w:numPr>
        <w:kinsoku/>
        <w:wordWrap/>
        <w:overflowPunct/>
        <w:topLinePunct w:val="0"/>
        <w:autoSpaceDE/>
        <w:autoSpaceDN/>
        <w:bidi w:val="0"/>
        <w:adjustRightInd/>
        <w:snapToGrid/>
        <w:spacing w:line="360" w:lineRule="auto"/>
        <w:ind w:left="0" w:firstLine="277" w:firstLineChars="126"/>
        <w:textAlignment w:val="auto"/>
        <w:rPr>
          <w:rFonts w:ascii="Calibri" w:hAnsi="Calibri" w:cs="Calibri"/>
          <w:sz w:val="22"/>
          <w:szCs w:val="22"/>
        </w:rPr>
      </w:pPr>
      <w:bookmarkStart w:id="7" w:name="_Toc23667"/>
      <w:r>
        <w:rPr>
          <w:rFonts w:ascii="Calibri" w:hAnsi="Calibri" w:cs="Calibri"/>
          <w:sz w:val="22"/>
          <w:szCs w:val="22"/>
        </w:rPr>
        <w:t>Benefits of Performance management at Walmart</w:t>
      </w:r>
      <w:bookmarkEnd w:id="7"/>
      <w:r>
        <w:rPr>
          <w:rFonts w:ascii="Calibri" w:hAnsi="Calibri" w:cs="Calibri"/>
          <w:sz w:val="22"/>
          <w:szCs w:val="22"/>
        </w:rPr>
        <w:t xml:space="preserve"> </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The primary benefit of the performance management system at Walmart  is to raise productivity levels while achieving the company's financial targets. Walmart strives to build its financial performance through its workforce. An effective and efficient force is the ability to boost sales and provide first-rate quality customer service to clients in America and globally. According to Phillips and  Rozworski (2019), Walmart managers achieve this by using metrics and criteria in performance evaluation, therefore,  performance assessment outline. These guidelines include profit margin, customer service standards and productivity information. The efficacy of the company's operational processes, the productivity of its operations, the effectiveness of the supply chain, the calibre of the customer experience, and the success of the sales workers are guidelines in the performance criteria.</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Performance calibration is conducted per a predetermined blueprint to help human resource managers perform objective and truthful performance appraisals. The customer service department is calibrated based on repeat purchases and customer feedback. In contrast, supervisors and top-level managers are calibrated on a scale of 1-10, with 1 denoting poor performance and 10 denoting excellent performance (Boateng, Akamavi &amp; Ndoro,  2015). The department of sales workforce is calibrated based on average or below average on the total company sales volume. These data are essential in increasing productivity and assist companies achieve their short- and long-term objectives (Almeida et al., 2018). Interviews on performance are held using the acquired data to provide extra context for assessments and better understand the niches that prevent the attainment of the company's objectives (Daniels, 2014). The HR manager evaluates the growth and development of the workers throughout the interview and recommends potential areas of improvement to benefit the company and employees. This is then used in workforce management, career progression, and promotions.</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Performance at Walmart is assessed after the first 3 months and then once a year, often on the hiring anniversary date. While performance management at Walmart is synchronized with the overarching company plan, this system suits the larger business model. As a result, HR managers can plan and design frameworks for determining how successful employees are at their jobs. To fulfil performance management goals, Walmart HR managers and staff have constantly communicated to create an environment of trust, inspiration, and financial and social support. To boost productivity, building long-lasting relationships between employees and the business is necessary.</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Walmart's corporate goals are linked to performance management activities, metrics, and standards through sales performance. Optimizing sales profits is fundamentally what bothers the business. With its performance management activities, its human resource management ensures that worker productivity, especially among sales professionals, will boost sales performance. In order to determine if Walmart's human resource productivity meets standards, metrics are used (Demartini, 2014). The company has a benchmark for each performance evaluation. Several elements of the company use different human resource criteria.</w:t>
      </w:r>
    </w:p>
    <w:p>
      <w:pPr>
        <w:pStyle w:val="3"/>
        <w:keepNext w:val="0"/>
        <w:keepLines w:val="0"/>
        <w:pageBreakBefore w:val="0"/>
        <w:widowControl/>
        <w:numPr>
          <w:ilvl w:val="1"/>
          <w:numId w:val="1"/>
        </w:numPr>
        <w:kinsoku/>
        <w:wordWrap/>
        <w:overflowPunct/>
        <w:topLinePunct w:val="0"/>
        <w:autoSpaceDE/>
        <w:autoSpaceDN/>
        <w:bidi w:val="0"/>
        <w:adjustRightInd/>
        <w:snapToGrid/>
        <w:spacing w:line="360" w:lineRule="auto"/>
        <w:ind w:left="0" w:firstLine="277" w:firstLineChars="126"/>
        <w:textAlignment w:val="auto"/>
        <w:rPr>
          <w:rFonts w:ascii="Calibri" w:hAnsi="Calibri" w:cs="Calibri"/>
          <w:sz w:val="22"/>
          <w:szCs w:val="22"/>
        </w:rPr>
      </w:pPr>
      <w:bookmarkStart w:id="8" w:name="_Toc1826"/>
      <w:r>
        <w:rPr>
          <w:rFonts w:ascii="Calibri" w:hAnsi="Calibri" w:cs="Calibri"/>
          <w:sz w:val="22"/>
          <w:szCs w:val="22"/>
        </w:rPr>
        <w:t>Weaknesses of the Perfomance Management System</w:t>
      </w:r>
      <w:bookmarkEnd w:id="8"/>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While Walmart's performance management system is said to be strong in several dimensions, it still falls short in many instances. The lack of talent assessment metrics is one of these areas. The performance system fails to recognize different skills, even though it is active and efficient in selecting the best input in the many worker areas (Copeland &amp; Labuski, 2013). This aspect is crucial since it drives the trend toward innovativeness and efficiency in offerings, particularly in the sector of the economy where Walmart is based. In combination with that, it boosts productivity by allowing workers to focus on the tasks they do best, which results in peak performance. Walmart has focused on repetitive scheduling, where several workers are expected to provide ideas while being watched by administrative sub-bodies.</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Another flaw is the absence of a workable feedback loop to gather essential information from the various managerial and supervisory roles per the performance management system. Getting feedback data is crucial, particularly regarding multiple aspects of the company's operations. Also, it assists in identifying essential areas that need work, either via alterations or total changes to the same. Walmart is a well-known business with a sizable workforce base. Because there are so many, most have different opinions on how the company should be operated. Also, providing feedback on anything that affects their contribution or creates difficult working circumstances is crucial. If Walmart wants its performance management to be successful, it has to have this loop.</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Another significant shortcoming is the absence of rigorous and varied methods for how human resources assess performance from various management and supervisory roles. Walmart's performance system, as said, places a strong emphasis on the idea of feedback from different worker segments (Demartini, 2014; Daniels, 2014). In addition to the input, the system does not evaluate any performance indicators that may be added to the input to either improve it or limit its potential. In conjunction with that, Walmart disregards the philosophy of separating the assessment of information from individual performance. Such is perfect since it makes it simple to spot unproductive people and pinpoint the steps the system may take to drive out obstacles. Walmart should use this tool to improve the performance system's ability to give high-quality customer service.</w:t>
      </w:r>
    </w:p>
    <w:p>
      <w:pPr>
        <w:pStyle w:val="18"/>
        <w:keepNext w:val="0"/>
        <w:keepLines w:val="0"/>
        <w:pageBreakBefore w:val="0"/>
        <w:widowControl/>
        <w:numPr>
          <w:ilvl w:val="1"/>
          <w:numId w:val="1"/>
        </w:numPr>
        <w:kinsoku/>
        <w:wordWrap/>
        <w:overflowPunct/>
        <w:topLinePunct w:val="0"/>
        <w:autoSpaceDE/>
        <w:autoSpaceDN/>
        <w:bidi w:val="0"/>
        <w:adjustRightInd/>
        <w:snapToGrid/>
        <w:spacing w:line="360" w:lineRule="auto"/>
        <w:ind w:left="0" w:firstLine="277" w:firstLineChars="126"/>
        <w:textAlignment w:val="auto"/>
        <w:rPr>
          <w:rFonts w:ascii="Calibri" w:hAnsi="Calibri" w:cs="Calibri"/>
          <w:b/>
          <w:bCs/>
          <w:sz w:val="22"/>
          <w:szCs w:val="22"/>
        </w:rPr>
      </w:pPr>
      <w:r>
        <w:rPr>
          <w:rFonts w:ascii="Calibri" w:hAnsi="Calibri" w:cs="Calibri"/>
          <w:b/>
          <w:bCs/>
          <w:sz w:val="22"/>
          <w:szCs w:val="22"/>
        </w:rPr>
        <w:t xml:space="preserve">Negative Impact of Performance Management systems </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 xml:space="preserve">Despite the benefits mentioned above, Walmart's performance management program still has problematic issues.  </w:t>
      </w:r>
      <w:r>
        <w:rPr>
          <w:rFonts w:ascii="Calibri" w:hAnsi="Calibri" w:cs="Calibri"/>
          <w:sz w:val="22"/>
          <w:szCs w:val="22"/>
        </w:rPr>
        <w:tab/>
      </w:r>
      <w:r>
        <w:rPr>
          <w:rFonts w:ascii="Calibri" w:hAnsi="Calibri" w:cs="Calibri"/>
          <w:sz w:val="22"/>
          <w:szCs w:val="22"/>
        </w:rPr>
        <w:t>Firstly, it might be challenging to determine the relationship between a company's success and employee performance. This reveals that if the evaluation process is not held correctly, it may negatively affect the business. Second, it may be unsuccessful if the evaluation procedure is unsuitable for the company's culture and structure. From Walmart's management system performance management, the following are adverse effects on the company, employees and managers;</w:t>
      </w:r>
    </w:p>
    <w:p>
      <w:pPr>
        <w:pStyle w:val="18"/>
        <w:keepNext w:val="0"/>
        <w:keepLines w:val="0"/>
        <w:pageBreakBefore w:val="0"/>
        <w:widowControl/>
        <w:numPr>
          <w:ilvl w:val="0"/>
          <w:numId w:val="2"/>
        </w:numPr>
        <w:kinsoku/>
        <w:wordWrap/>
        <w:overflowPunct/>
        <w:topLinePunct w:val="0"/>
        <w:autoSpaceDE/>
        <w:autoSpaceDN/>
        <w:bidi w:val="0"/>
        <w:adjustRightInd/>
        <w:snapToGrid/>
        <w:spacing w:line="360" w:lineRule="auto"/>
        <w:ind w:left="0" w:firstLine="277" w:firstLineChars="126"/>
        <w:textAlignment w:val="auto"/>
        <w:rPr>
          <w:rFonts w:ascii="Calibri" w:hAnsi="Calibri" w:cs="Calibri"/>
          <w:sz w:val="22"/>
          <w:szCs w:val="22"/>
        </w:rPr>
      </w:pPr>
      <w:r>
        <w:rPr>
          <w:rFonts w:ascii="Calibri" w:hAnsi="Calibri" w:cs="Calibri"/>
          <w:sz w:val="22"/>
          <w:szCs w:val="22"/>
        </w:rPr>
        <w:t>Decreased  production due to absenteeism and tardiness</w:t>
      </w:r>
    </w:p>
    <w:p>
      <w:pPr>
        <w:pStyle w:val="18"/>
        <w:keepNext w:val="0"/>
        <w:keepLines w:val="0"/>
        <w:pageBreakBefore w:val="0"/>
        <w:widowControl/>
        <w:numPr>
          <w:ilvl w:val="0"/>
          <w:numId w:val="2"/>
        </w:numPr>
        <w:kinsoku/>
        <w:wordWrap/>
        <w:overflowPunct/>
        <w:topLinePunct w:val="0"/>
        <w:autoSpaceDE/>
        <w:autoSpaceDN/>
        <w:bidi w:val="0"/>
        <w:adjustRightInd/>
        <w:snapToGrid/>
        <w:spacing w:line="360" w:lineRule="auto"/>
        <w:ind w:left="0" w:firstLine="277" w:firstLineChars="126"/>
        <w:textAlignment w:val="auto"/>
        <w:rPr>
          <w:rFonts w:ascii="Calibri" w:hAnsi="Calibri" w:cs="Calibri"/>
          <w:sz w:val="22"/>
          <w:szCs w:val="22"/>
        </w:rPr>
      </w:pPr>
      <w:r>
        <w:rPr>
          <w:rFonts w:ascii="Calibri" w:hAnsi="Calibri" w:cs="Calibri"/>
          <w:sz w:val="22"/>
          <w:szCs w:val="22"/>
        </w:rPr>
        <w:t>Errors in the recording or reporting</w:t>
      </w:r>
    </w:p>
    <w:p>
      <w:pPr>
        <w:pStyle w:val="18"/>
        <w:keepNext w:val="0"/>
        <w:keepLines w:val="0"/>
        <w:pageBreakBefore w:val="0"/>
        <w:widowControl/>
        <w:numPr>
          <w:ilvl w:val="0"/>
          <w:numId w:val="2"/>
        </w:numPr>
        <w:kinsoku/>
        <w:wordWrap/>
        <w:overflowPunct/>
        <w:topLinePunct w:val="0"/>
        <w:autoSpaceDE/>
        <w:autoSpaceDN/>
        <w:bidi w:val="0"/>
        <w:adjustRightInd/>
        <w:snapToGrid/>
        <w:spacing w:line="360" w:lineRule="auto"/>
        <w:ind w:left="0" w:firstLine="277" w:firstLineChars="126"/>
        <w:textAlignment w:val="auto"/>
        <w:rPr>
          <w:rFonts w:ascii="Calibri" w:hAnsi="Calibri" w:cs="Calibri"/>
          <w:sz w:val="22"/>
          <w:szCs w:val="22"/>
        </w:rPr>
      </w:pPr>
      <w:r>
        <w:rPr>
          <w:rFonts w:ascii="Calibri" w:hAnsi="Calibri" w:cs="Calibri"/>
          <w:sz w:val="22"/>
          <w:szCs w:val="22"/>
        </w:rPr>
        <w:t>Scepticism about customer service</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At Walmart, performance problems associated with tardiness and absenteeism have been cited as grounds for dismissal. The supply chain and other relevant divisions in the firm may experience severe problems due to difficulties relating to reporting inconsistencies. Walmart endorses training initiatives that have boosted worker productivity and effectiveness in the workplace to lessen such problems. Scepticism has declined productivity because it results in incorrect feedback, compromising sales volumes  (Phillips &amp; Rozworski, 2019). By encouraging team building inside the company and fostering a feeling of togetherness among the personnel, notwithstanding their differences, the problem is solved. Internal hiring, training courses, career assessments, and work orientation are just a few of the organization's career growth and development initiatives (Mohd Said et all, 2022). Nonetheless, the firm has a significant turnover rate due to poor compensation relative to other retail establishments.</w:t>
      </w:r>
    </w:p>
    <w:p>
      <w:pPr>
        <w:pStyle w:val="2"/>
        <w:keepNext w:val="0"/>
        <w:keepLines w:val="0"/>
        <w:pageBreakBefore w:val="0"/>
        <w:widowControl/>
        <w:kinsoku/>
        <w:wordWrap/>
        <w:overflowPunct/>
        <w:topLinePunct w:val="0"/>
        <w:autoSpaceDE/>
        <w:autoSpaceDN/>
        <w:bidi w:val="0"/>
        <w:adjustRightInd/>
        <w:snapToGrid/>
        <w:spacing w:line="360" w:lineRule="auto"/>
        <w:ind w:left="0" w:leftChars="0" w:firstLine="0" w:firstLineChars="0"/>
        <w:textAlignment w:val="auto"/>
        <w:rPr>
          <w:sz w:val="22"/>
          <w:szCs w:val="22"/>
        </w:rPr>
      </w:pPr>
      <w:bookmarkStart w:id="9" w:name="_Toc7151"/>
      <w:r>
        <w:rPr>
          <w:sz w:val="22"/>
          <w:szCs w:val="22"/>
        </w:rPr>
        <w:t>Recommendations</w:t>
      </w:r>
      <w:bookmarkEnd w:id="9"/>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After assessing the many weaknesses in Walmart's performance system, it is crucial to develop workable solutions that would make it more useful. One is to include the custom of recognizing and valuing exceptional talents. Here, Walmart should focus on the workers' remarkable competencies and skills in the various management roles. Highly skilled people fall into this category; thus, compensating them for their exceptional talents helps to guarantee that a firm does not lose essential assets (Schleicher et al., 2018; Qureshi, Shams &amp; Kashif, 2019). Incorporating this aspect will help place workers or certain workforces in positions where they can best assist. If a certain talent is chosen to provide an output in what they know and do best, it becomes a crucial trigger for ensuring the organization provides excellent services. One organization that successfully used this theory is the Apple Corporation. The founder, Steve Jobs, developed a culture where Apple periodically looked for exceptional talents (Lev-Ram, 2014;</w:t>
      </w:r>
      <w:r>
        <w:rPr>
          <w:sz w:val="22"/>
          <w:szCs w:val="22"/>
        </w:rPr>
        <w:t xml:space="preserve"> </w:t>
      </w:r>
      <w:r>
        <w:rPr>
          <w:rFonts w:ascii="Calibri" w:hAnsi="Calibri" w:cs="Calibri"/>
          <w:sz w:val="22"/>
          <w:szCs w:val="22"/>
        </w:rPr>
        <w:t>eAlbinus, 2022). This primarily aims to foster innovation, improve customer service, and retain talented employees. In relation to that, identifying unique talent gives human resource managers a greater opportunity to use creativity in a working environment.</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Including several performance assessment metrics in the performance management system's dynamics is another significant improvement possibility. Preferably, using a repetitive technique of evaluating performance based on input and other accumulated factors might impede the system's capacity to assure high-quality services and the complete comprehension of worker input (Schleicher et al., 2018; Inamdar, 2022). So, Walmart needs to provide implementable features that thoroughly focus on distinct performance areas outside of what the system already involves. It is crucial to have a thorough assessment kit since it will enable Walmart, particularly the human resource department, to pinpoint systemic weaknesses. Even with the impact of competition in the supermarket sector, this variety of assessments will benefit in maintaining the effective delivery of excellent service.</w:t>
      </w:r>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Allowing mentoring criteria to have a greater influence on the performance management system is another effective tactic. Particularly, the primary purpose of having such a system is to ensure that all of the employees' efforts are directed toward the primary aim and target of the business. Since diverse workforce sectors work together to maintain this efficiency, the system must also ensure that activities go without too many setbacks (Pollitt, 2016). So, Walmart should aim to build various means of permitting mentoring in the different management and supervisory roles to experience a beneficial shift towards quality delivery. In other words, employees at higher levels up the management ladder should be permitted to mentor those below them in the management spectrum. This action is helpful since it contributes to diversifying how operations are carried out, and specified tasks are completed in a certain firm. The corporation should thus consider it in light of the growing advantages of this approach.</w:t>
      </w:r>
    </w:p>
    <w:p>
      <w:pPr>
        <w:pStyle w:val="2"/>
        <w:keepNext w:val="0"/>
        <w:keepLines w:val="0"/>
        <w:pageBreakBefore w:val="0"/>
        <w:widowControl/>
        <w:kinsoku/>
        <w:wordWrap/>
        <w:overflowPunct/>
        <w:topLinePunct w:val="0"/>
        <w:autoSpaceDE/>
        <w:autoSpaceDN/>
        <w:bidi w:val="0"/>
        <w:adjustRightInd/>
        <w:snapToGrid/>
        <w:spacing w:line="360" w:lineRule="auto"/>
        <w:ind w:left="0" w:leftChars="0" w:firstLine="0" w:firstLineChars="0"/>
        <w:textAlignment w:val="auto"/>
        <w:rPr>
          <w:sz w:val="22"/>
          <w:szCs w:val="22"/>
        </w:rPr>
      </w:pPr>
      <w:bookmarkStart w:id="10" w:name="_Toc27179"/>
      <w:bookmarkStart w:id="14" w:name="_GoBack"/>
      <w:bookmarkEnd w:id="14"/>
      <w:r>
        <w:rPr>
          <w:sz w:val="22"/>
          <w:szCs w:val="22"/>
        </w:rPr>
        <w:t>Conclusions</w:t>
      </w:r>
      <w:bookmarkEnd w:id="10"/>
    </w:p>
    <w:p>
      <w:pPr>
        <w:keepNext w:val="0"/>
        <w:keepLines w:val="0"/>
        <w:pageBreakBefore w:val="0"/>
        <w:widowControl/>
        <w:kinsoku/>
        <w:wordWrap/>
        <w:overflowPunct/>
        <w:topLinePunct w:val="0"/>
        <w:autoSpaceDE/>
        <w:autoSpaceDN/>
        <w:bidi w:val="0"/>
        <w:adjustRightInd/>
        <w:snapToGrid/>
        <w:spacing w:line="360" w:lineRule="auto"/>
        <w:ind w:firstLine="277" w:firstLineChars="126"/>
        <w:jc w:val="both"/>
        <w:textAlignment w:val="auto"/>
        <w:rPr>
          <w:rFonts w:ascii="Calibri" w:hAnsi="Calibri" w:cs="Calibri"/>
          <w:sz w:val="22"/>
          <w:szCs w:val="22"/>
        </w:rPr>
      </w:pPr>
      <w:r>
        <w:rPr>
          <w:rFonts w:ascii="Calibri" w:hAnsi="Calibri" w:cs="Calibri"/>
          <w:sz w:val="22"/>
          <w:szCs w:val="22"/>
        </w:rPr>
        <w:t>Allowing mentoring is the most realistic and efficient implementation strategy from an excellent review and analysis of Walmart's various possibilities to improve performance management. Here, the system must let managers simultaneously perform their management responsibilities as coaches. Walmart should make this program a requirement of its business practices, particularly concerning management activities. One of the critical duties of managers should be coaching since it allows them to pass on knowledge to their subordinates about the best ways to boost customer service quality and overall business efficiency. Allowing managers and supervisors to take on the role of coaches means that workers are moulded toward realizing their greatest capabilities thanks to the settings and dynamics of the performance system. Students may subsequently use this practical knowledge in the many input areas. It is also important to remember that enough resources may back up effective coaching should the need arise. This change would ideally serve the practical aim of reinventing the performance management system to assist staff members in improving their competence and dependability at work. The fact that managers spend less time leading their followers and more time reviewing their feedback and managing them while they execute their jobs is another noteworthy fact. As a result, taking all factors into account, Walmart can successfully implement this change.</w:t>
      </w:r>
    </w:p>
    <w:p>
      <w:pPr>
        <w:keepNext w:val="0"/>
        <w:keepLines w:val="0"/>
        <w:pageBreakBefore w:val="0"/>
        <w:widowControl/>
        <w:kinsoku/>
        <w:wordWrap/>
        <w:overflowPunct/>
        <w:topLinePunct w:val="0"/>
        <w:autoSpaceDE/>
        <w:autoSpaceDN/>
        <w:bidi w:val="0"/>
        <w:adjustRightInd/>
        <w:snapToGrid/>
        <w:spacing w:line="360" w:lineRule="auto"/>
        <w:ind w:firstLine="302" w:firstLineChars="126"/>
        <w:textAlignment w:val="auto"/>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ind w:left="0" w:leftChars="0" w:firstLine="0" w:firstLineChars="0"/>
        <w:rPr>
          <w:rFonts w:ascii="Calibri" w:hAnsi="Calibri" w:cs="Calibri"/>
        </w:rPr>
      </w:pPr>
    </w:p>
    <w:p>
      <w:pPr>
        <w:ind w:left="0" w:leftChars="0" w:firstLine="0" w:firstLineChars="0"/>
        <w:rPr>
          <w:rFonts w:ascii="Calibri" w:hAnsi="Calibri" w:cs="Calibri"/>
        </w:rPr>
      </w:pPr>
    </w:p>
    <w:p>
      <w:pPr>
        <w:ind w:left="0" w:leftChars="0" w:firstLine="0" w:firstLineChars="0"/>
        <w:rPr>
          <w:rFonts w:ascii="Calibri" w:hAnsi="Calibri" w:cs="Calibri"/>
        </w:rPr>
      </w:pPr>
    </w:p>
    <w:p>
      <w:pPr>
        <w:pStyle w:val="2"/>
        <w:keepNext w:val="0"/>
        <w:keepLines w:val="0"/>
        <w:pageBreakBefore w:val="0"/>
        <w:widowControl/>
        <w:kinsoku/>
        <w:wordWrap/>
        <w:overflowPunct/>
        <w:topLinePunct w:val="0"/>
        <w:autoSpaceDE/>
        <w:autoSpaceDN/>
        <w:bidi w:val="0"/>
        <w:adjustRightInd/>
        <w:snapToGrid/>
        <w:spacing w:beforeAutospacing="0" w:afterAutospacing="0"/>
        <w:ind w:left="0" w:leftChars="0" w:firstLine="277" w:firstLineChars="126"/>
        <w:textAlignment w:val="auto"/>
        <w:rPr>
          <w:sz w:val="22"/>
          <w:szCs w:val="22"/>
        </w:rPr>
      </w:pPr>
      <w:bookmarkStart w:id="11" w:name="_Toc14330"/>
      <w:r>
        <w:rPr>
          <w:sz w:val="22"/>
          <w:szCs w:val="22"/>
        </w:rPr>
        <w:t>References</w:t>
      </w:r>
      <w:bookmarkEnd w:id="11"/>
    </w:p>
    <w:p>
      <w:pPr>
        <w:keepNext w:val="0"/>
        <w:keepLines w:val="0"/>
        <w:pageBreakBefore w:val="0"/>
        <w:widowControl/>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Albinus, P.,2022 </w:t>
      </w:r>
      <w:r>
        <w:rPr>
          <w:rFonts w:hint="default" w:ascii="Calibri" w:hAnsi="Calibri" w:cs="Calibri"/>
          <w:i/>
          <w:iCs/>
          <w:sz w:val="22"/>
          <w:szCs w:val="22"/>
        </w:rPr>
        <w:t>This tool aims to unite performance management and Talent Development</w:t>
      </w:r>
      <w:r>
        <w:rPr>
          <w:rFonts w:hint="default" w:ascii="Calibri" w:hAnsi="Calibri" w:cs="Calibri"/>
          <w:sz w:val="22"/>
          <w:szCs w:val="22"/>
        </w:rPr>
        <w:t xml:space="preserve">, </w:t>
      </w:r>
      <w:r>
        <w:rPr>
          <w:rFonts w:hint="default" w:ascii="Calibri" w:hAnsi="Calibri" w:cs="Calibri"/>
          <w:i/>
          <w:iCs/>
          <w:sz w:val="22"/>
          <w:szCs w:val="22"/>
        </w:rPr>
        <w:t>HR Executive</w:t>
      </w:r>
      <w:r>
        <w:rPr>
          <w:rFonts w:hint="default" w:ascii="Calibri" w:hAnsi="Calibri" w:cs="Calibri"/>
          <w:sz w:val="22"/>
          <w:szCs w:val="22"/>
        </w:rPr>
        <w:t xml:space="preserve">. Available at: https://hrexecutive.com/this-tool-aims-to-unite-performance-management-and-talent-development/ (Accessed: March 22, 2023).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Alfes, K., Shantz, A. D., Truss, C., &amp; Soane, E. C., 2013. The link between perceived human resource management practices, engagement and employee behaviour: A moderated mediation model. </w:t>
      </w:r>
      <w:r>
        <w:rPr>
          <w:rFonts w:hint="default" w:ascii="Calibri" w:hAnsi="Calibri" w:cs="Calibri"/>
          <w:i/>
          <w:iCs/>
          <w:sz w:val="22"/>
          <w:szCs w:val="22"/>
        </w:rPr>
        <w:t>The International Journal of Human Resource Management</w:t>
      </w:r>
      <w:r>
        <w:rPr>
          <w:rFonts w:hint="default" w:ascii="Calibri" w:hAnsi="Calibri" w:cs="Calibri"/>
          <w:sz w:val="22"/>
          <w:szCs w:val="22"/>
        </w:rPr>
        <w:t xml:space="preserve">, </w:t>
      </w:r>
      <w:r>
        <w:rPr>
          <w:rFonts w:hint="default" w:ascii="Calibri" w:hAnsi="Calibri" w:cs="Calibri"/>
          <w:i/>
          <w:iCs/>
          <w:sz w:val="22"/>
          <w:szCs w:val="22"/>
        </w:rPr>
        <w:t>24</w:t>
      </w:r>
      <w:r>
        <w:rPr>
          <w:rFonts w:hint="default" w:ascii="Calibri" w:hAnsi="Calibri" w:cs="Calibri"/>
          <w:sz w:val="22"/>
          <w:szCs w:val="22"/>
        </w:rPr>
        <w:t xml:space="preserve">(2), 330–351. https://doi.org/10.1080/09585192.2012.679950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Armstrong, M., 2010. Armstrong's Handbook of Human Resource Management Practice. London: Kogan Page.</w:t>
      </w:r>
    </w:p>
    <w:p>
      <w:pPr>
        <w:keepNext w:val="0"/>
        <w:keepLines w:val="0"/>
        <w:pageBreakBefore w:val="0"/>
        <w:widowControl/>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Barua, T. and Bhattacharya, A.,2023).“Reimagining post-pandemic communication strategies at workplace: A mindful shift,” </w:t>
      </w:r>
      <w:r>
        <w:rPr>
          <w:rFonts w:hint="default" w:ascii="Calibri" w:hAnsi="Calibri" w:cs="Calibri"/>
          <w:i/>
          <w:iCs/>
          <w:sz w:val="22"/>
          <w:szCs w:val="22"/>
        </w:rPr>
        <w:t>Human Resource Management in a Post-Epidemic Global Environment</w:t>
      </w:r>
      <w:r>
        <w:rPr>
          <w:rFonts w:hint="default" w:ascii="Calibri" w:hAnsi="Calibri" w:cs="Calibri"/>
          <w:sz w:val="22"/>
          <w:szCs w:val="22"/>
        </w:rPr>
        <w:t xml:space="preserve">, pp. 35–52. Available at: https://doi.org/10.1201/9781003314844-3.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bookmarkStart w:id="12" w:name="_Hlk130304120"/>
      <w:r>
        <w:rPr>
          <w:rFonts w:hint="default" w:ascii="Calibri" w:hAnsi="Calibri" w:cs="Calibri"/>
          <w:sz w:val="22"/>
          <w:szCs w:val="22"/>
        </w:rPr>
        <w:t xml:space="preserve">Boateng, A., Akamavi, R. K., &amp; Ndoro, G., 2015. </w:t>
      </w:r>
      <w:bookmarkEnd w:id="12"/>
      <w:r>
        <w:rPr>
          <w:rFonts w:hint="default" w:ascii="Calibri" w:hAnsi="Calibri" w:cs="Calibri"/>
          <w:sz w:val="22"/>
          <w:szCs w:val="22"/>
        </w:rPr>
        <w:t xml:space="preserve">Measuring the performance of non-profit organizations: Evidence from large charities. </w:t>
      </w:r>
      <w:r>
        <w:rPr>
          <w:rFonts w:hint="default" w:ascii="Calibri" w:hAnsi="Calibri" w:cs="Calibri"/>
          <w:i/>
          <w:iCs/>
          <w:sz w:val="22"/>
          <w:szCs w:val="22"/>
        </w:rPr>
        <w:t>Business Ethics: A European Review</w:t>
      </w:r>
      <w:r>
        <w:rPr>
          <w:rFonts w:hint="default" w:ascii="Calibri" w:hAnsi="Calibri" w:cs="Calibri"/>
          <w:sz w:val="22"/>
          <w:szCs w:val="22"/>
        </w:rPr>
        <w:t xml:space="preserve">, </w:t>
      </w:r>
      <w:r>
        <w:rPr>
          <w:rFonts w:hint="default" w:ascii="Calibri" w:hAnsi="Calibri" w:cs="Calibri"/>
          <w:i/>
          <w:iCs/>
          <w:sz w:val="22"/>
          <w:szCs w:val="22"/>
        </w:rPr>
        <w:t>25</w:t>
      </w:r>
      <w:r>
        <w:rPr>
          <w:rFonts w:hint="default" w:ascii="Calibri" w:hAnsi="Calibri" w:cs="Calibri"/>
          <w:sz w:val="22"/>
          <w:szCs w:val="22"/>
        </w:rPr>
        <w:t xml:space="preserve">(1), 59–74. https://doi.org/10.1111/beer.12108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Boxall, P., &amp; Purcell, J., 2011. Strategy and Human Resource Management. Basingstoke: Palgrave Macmillan.</w:t>
      </w:r>
    </w:p>
    <w:p>
      <w:pPr>
        <w:keepNext w:val="0"/>
        <w:keepLines w:val="0"/>
        <w:pageBreakBefore w:val="0"/>
        <w:widowControl/>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i/>
          <w:iCs/>
          <w:sz w:val="22"/>
          <w:szCs w:val="22"/>
        </w:rPr>
      </w:pPr>
      <w:r>
        <w:rPr>
          <w:rFonts w:hint="default" w:ascii="Calibri" w:hAnsi="Calibri" w:cs="Calibri"/>
          <w:sz w:val="22"/>
          <w:szCs w:val="22"/>
        </w:rPr>
        <w:t>Buttkus, M. and Eberenz, R., 2019. </w:t>
      </w:r>
      <w:r>
        <w:rPr>
          <w:rFonts w:hint="default" w:ascii="Calibri" w:hAnsi="Calibri" w:cs="Calibri"/>
          <w:i/>
          <w:iCs/>
          <w:sz w:val="22"/>
          <w:szCs w:val="22"/>
        </w:rPr>
        <w:t>Performance management in retail and the consumer goods industry</w:t>
      </w:r>
      <w:r>
        <w:rPr>
          <w:rFonts w:hint="default" w:ascii="Calibri" w:hAnsi="Calibri" w:cs="Calibri"/>
          <w:sz w:val="22"/>
          <w:szCs w:val="22"/>
        </w:rPr>
        <w:t>. Springer International Publishing.</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Cappelli, P., &amp; Tavis, A., 2022. </w:t>
      </w:r>
      <w:r>
        <w:rPr>
          <w:rFonts w:hint="default" w:ascii="Calibri" w:hAnsi="Calibri" w:cs="Calibri"/>
          <w:i/>
          <w:iCs/>
          <w:sz w:val="22"/>
          <w:szCs w:val="22"/>
        </w:rPr>
        <w:t>The Future of Performance Reviews</w:t>
      </w:r>
      <w:r>
        <w:rPr>
          <w:rFonts w:hint="default" w:ascii="Calibri" w:hAnsi="Calibri" w:cs="Calibri"/>
          <w:sz w:val="22"/>
          <w:szCs w:val="22"/>
        </w:rPr>
        <w:t xml:space="preserve">. Harvard Business Review. Retrieved March 21, 2023, from https://hbr.org/2016/10/the-performance-management-revolution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Demartini, C., 2013. Implementation, use and diagnosis of the Performance Management System. </w:t>
      </w:r>
      <w:r>
        <w:rPr>
          <w:rFonts w:hint="default" w:ascii="Calibri" w:hAnsi="Calibri" w:cs="Calibri"/>
          <w:i/>
          <w:iCs/>
          <w:sz w:val="22"/>
          <w:szCs w:val="22"/>
        </w:rPr>
        <w:t>Performance Management Systems</w:t>
      </w:r>
      <w:r>
        <w:rPr>
          <w:rFonts w:hint="default" w:ascii="Calibri" w:hAnsi="Calibri" w:cs="Calibri"/>
          <w:sz w:val="22"/>
          <w:szCs w:val="22"/>
        </w:rPr>
        <w:t xml:space="preserve">, 197–215. https://doi.org/10.1007/978-3-642-36684-0_12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Ferguson, K. L., &amp; Reio, T. G., 2010. Human Resource Management Systems and firm performance. </w:t>
      </w:r>
      <w:r>
        <w:rPr>
          <w:rFonts w:hint="default" w:ascii="Calibri" w:hAnsi="Calibri" w:cs="Calibri"/>
          <w:i/>
          <w:iCs/>
          <w:sz w:val="22"/>
          <w:szCs w:val="22"/>
        </w:rPr>
        <w:t>Journal of Management Development</w:t>
      </w:r>
      <w:r>
        <w:rPr>
          <w:rFonts w:hint="default" w:ascii="Calibri" w:hAnsi="Calibri" w:cs="Calibri"/>
          <w:sz w:val="22"/>
          <w:szCs w:val="22"/>
        </w:rPr>
        <w:t xml:space="preserve">, </w:t>
      </w:r>
      <w:r>
        <w:rPr>
          <w:rFonts w:hint="default" w:ascii="Calibri" w:hAnsi="Calibri" w:cs="Calibri"/>
          <w:i/>
          <w:iCs/>
          <w:sz w:val="22"/>
          <w:szCs w:val="22"/>
        </w:rPr>
        <w:t>29</w:t>
      </w:r>
      <w:r>
        <w:rPr>
          <w:rFonts w:hint="default" w:ascii="Calibri" w:hAnsi="Calibri" w:cs="Calibri"/>
          <w:sz w:val="22"/>
          <w:szCs w:val="22"/>
        </w:rPr>
        <w:t xml:space="preserve">(5), 471–494. </w:t>
      </w:r>
      <w:r>
        <w:rPr>
          <w:rFonts w:hint="default" w:ascii="Calibri" w:hAnsi="Calibri" w:cs="Calibri"/>
          <w:sz w:val="22"/>
          <w:szCs w:val="22"/>
        </w:rPr>
        <w:fldChar w:fldCharType="begin"/>
      </w:r>
      <w:r>
        <w:rPr>
          <w:rFonts w:hint="default" w:ascii="Calibri" w:hAnsi="Calibri" w:cs="Calibri"/>
          <w:sz w:val="22"/>
          <w:szCs w:val="22"/>
        </w:rPr>
        <w:instrText xml:space="preserve"> HYPERLINK "https://doi.org/10.1108/02621711011039231" </w:instrText>
      </w:r>
      <w:r>
        <w:rPr>
          <w:rFonts w:hint="default" w:ascii="Calibri" w:hAnsi="Calibri" w:cs="Calibri"/>
          <w:sz w:val="22"/>
          <w:szCs w:val="22"/>
        </w:rPr>
        <w:fldChar w:fldCharType="separate"/>
      </w:r>
      <w:r>
        <w:rPr>
          <w:rStyle w:val="15"/>
          <w:rFonts w:hint="default" w:ascii="Calibri" w:hAnsi="Calibri" w:cs="Calibri"/>
          <w:sz w:val="22"/>
          <w:szCs w:val="22"/>
        </w:rPr>
        <w:t>https://doi.org/10.1108/02621711011039231</w:t>
      </w:r>
      <w:r>
        <w:rPr>
          <w:rFonts w:hint="default" w:ascii="Calibri" w:hAnsi="Calibri" w:cs="Calibri"/>
          <w:sz w:val="22"/>
          <w:szCs w:val="22"/>
        </w:rPr>
        <w:fldChar w:fldCharType="end"/>
      </w:r>
      <w:r>
        <w:rPr>
          <w:rFonts w:hint="default" w:ascii="Calibri" w:hAnsi="Calibri" w:cs="Calibri"/>
          <w:sz w:val="22"/>
          <w:szCs w:val="22"/>
        </w:rPr>
        <w:t xml:space="preserve"> </w:t>
      </w:r>
    </w:p>
    <w:p>
      <w:pPr>
        <w:keepNext w:val="0"/>
        <w:keepLines w:val="0"/>
        <w:pageBreakBefore w:val="0"/>
        <w:widowControl/>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Freedom Of Education (2023) </w:t>
      </w:r>
      <w:r>
        <w:rPr>
          <w:rFonts w:hint="default" w:ascii="Calibri" w:hAnsi="Calibri" w:cs="Calibri"/>
          <w:i/>
          <w:iCs/>
          <w:sz w:val="22"/>
          <w:szCs w:val="22"/>
        </w:rPr>
        <w:t>Performance management in the Digital age</w:t>
      </w:r>
      <w:r>
        <w:rPr>
          <w:rFonts w:hint="default" w:ascii="Calibri" w:hAnsi="Calibri" w:cs="Calibri"/>
          <w:sz w:val="22"/>
          <w:szCs w:val="22"/>
        </w:rPr>
        <w:t xml:space="preserve">. Available at: https://freedomofeducation.org/performance-management-in-the-digital-age/ (Accessed: March 22, 2023). </w:t>
      </w:r>
    </w:p>
    <w:p>
      <w:pPr>
        <w:keepNext w:val="0"/>
        <w:keepLines w:val="0"/>
        <w:pageBreakBefore w:val="0"/>
        <w:widowControl/>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Inamdar, A., 2022. </w:t>
      </w:r>
      <w:r>
        <w:rPr>
          <w:rFonts w:hint="default" w:ascii="Calibri" w:hAnsi="Calibri" w:cs="Calibri"/>
          <w:i/>
          <w:iCs/>
          <w:sz w:val="22"/>
          <w:szCs w:val="22"/>
        </w:rPr>
        <w:t>Council post: Improving employee performance during remote work</w:t>
      </w:r>
      <w:r>
        <w:rPr>
          <w:rFonts w:hint="default" w:ascii="Calibri" w:hAnsi="Calibri" w:cs="Calibri"/>
          <w:sz w:val="22"/>
          <w:szCs w:val="22"/>
        </w:rPr>
        <w:t xml:space="preserve">, </w:t>
      </w:r>
      <w:r>
        <w:rPr>
          <w:rFonts w:hint="default" w:ascii="Calibri" w:hAnsi="Calibri" w:cs="Calibri"/>
          <w:i/>
          <w:iCs/>
          <w:sz w:val="22"/>
          <w:szCs w:val="22"/>
        </w:rPr>
        <w:t>Forbes</w:t>
      </w:r>
      <w:r>
        <w:rPr>
          <w:rFonts w:hint="default" w:ascii="Calibri" w:hAnsi="Calibri" w:cs="Calibri"/>
          <w:sz w:val="22"/>
          <w:szCs w:val="22"/>
        </w:rPr>
        <w:t xml:space="preserve">. Forbes Magazine. Available at: https://www.forbes.com/sites/forbeshumanresourcescouncil/2022/05/03/improving-employee-performance-during-remote-work/?sh=c4ccdb3341f4 (Accessed: March 22, 2023). </w:t>
      </w:r>
    </w:p>
    <w:p>
      <w:pPr>
        <w:keepNext w:val="0"/>
        <w:keepLines w:val="0"/>
        <w:pageBreakBefore w:val="0"/>
        <w:widowControl/>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Kotowski, O., 2022. </w:t>
      </w:r>
      <w:r>
        <w:rPr>
          <w:rFonts w:hint="default" w:ascii="Calibri" w:hAnsi="Calibri" w:cs="Calibri"/>
          <w:i/>
          <w:iCs/>
          <w:sz w:val="22"/>
          <w:szCs w:val="22"/>
        </w:rPr>
        <w:t>The role of Performance Management in employee engagement</w:t>
      </w:r>
      <w:r>
        <w:rPr>
          <w:rFonts w:hint="default" w:ascii="Calibri" w:hAnsi="Calibri" w:cs="Calibri"/>
          <w:sz w:val="22"/>
          <w:szCs w:val="22"/>
        </w:rPr>
        <w:t xml:space="preserve">, </w:t>
      </w:r>
      <w:r>
        <w:rPr>
          <w:rFonts w:hint="default" w:ascii="Calibri" w:hAnsi="Calibri" w:cs="Calibri"/>
          <w:i/>
          <w:iCs/>
          <w:sz w:val="22"/>
          <w:szCs w:val="22"/>
        </w:rPr>
        <w:t>PrismHR</w:t>
      </w:r>
      <w:r>
        <w:rPr>
          <w:rFonts w:hint="default" w:ascii="Calibri" w:hAnsi="Calibri" w:cs="Calibri"/>
          <w:sz w:val="22"/>
          <w:szCs w:val="22"/>
        </w:rPr>
        <w:t xml:space="preserve">. Available at: https://www.prismhr.com/best-practices/the-role-of-performance-management-in-employee-engagement/ (Accessed: March 22, 2023). </w:t>
      </w:r>
    </w:p>
    <w:p>
      <w:pPr>
        <w:keepNext w:val="0"/>
        <w:keepLines w:val="0"/>
        <w:pageBreakBefore w:val="0"/>
        <w:widowControl/>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Lev-Ram, M., 2014. </w:t>
      </w:r>
      <w:r>
        <w:rPr>
          <w:rFonts w:hint="default" w:ascii="Calibri" w:hAnsi="Calibri" w:cs="Calibri"/>
          <w:i/>
          <w:iCs/>
          <w:sz w:val="22"/>
          <w:szCs w:val="22"/>
        </w:rPr>
        <w:t>Apple unveils new perks to attract talent</w:t>
      </w:r>
      <w:r>
        <w:rPr>
          <w:rFonts w:hint="default" w:ascii="Calibri" w:hAnsi="Calibri" w:cs="Calibri"/>
          <w:sz w:val="22"/>
          <w:szCs w:val="22"/>
        </w:rPr>
        <w:t xml:space="preserve">. Fortune. Accessed March 21, 2023, from https://fortune.com/2014/10/02/apple-employee-perks/ </w:t>
      </w:r>
    </w:p>
    <w:p>
      <w:pPr>
        <w:keepNext w:val="0"/>
        <w:keepLines w:val="0"/>
        <w:pageBreakBefore w:val="0"/>
        <w:widowControl/>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Mohd Said, N. S., Abd Halim, N. W., Abdul Manaf, S. M., &amp; Adenan, N. D., 2022. The impact of training and development on organizational performance. </w:t>
      </w:r>
      <w:r>
        <w:rPr>
          <w:rFonts w:hint="default" w:ascii="Calibri" w:hAnsi="Calibri" w:cs="Calibri"/>
          <w:i/>
          <w:iCs/>
          <w:sz w:val="22"/>
          <w:szCs w:val="22"/>
        </w:rPr>
        <w:t>Jurnal Intelek</w:t>
      </w:r>
      <w:r>
        <w:rPr>
          <w:rFonts w:hint="default" w:ascii="Calibri" w:hAnsi="Calibri" w:cs="Calibri"/>
          <w:sz w:val="22"/>
          <w:szCs w:val="22"/>
        </w:rPr>
        <w:t xml:space="preserve">, </w:t>
      </w:r>
      <w:r>
        <w:rPr>
          <w:rFonts w:hint="default" w:ascii="Calibri" w:hAnsi="Calibri" w:cs="Calibri"/>
          <w:i/>
          <w:iCs/>
          <w:sz w:val="22"/>
          <w:szCs w:val="22"/>
        </w:rPr>
        <w:t>17</w:t>
      </w:r>
      <w:r>
        <w:rPr>
          <w:rFonts w:hint="default" w:ascii="Calibri" w:hAnsi="Calibri" w:cs="Calibri"/>
          <w:sz w:val="22"/>
          <w:szCs w:val="22"/>
        </w:rPr>
        <w:t xml:space="preserve">(2), 113–123. https://doi.org/10.24191/ji.v17i2.18177 </w:t>
      </w:r>
    </w:p>
    <w:p>
      <w:pPr>
        <w:keepNext w:val="0"/>
        <w:keepLines w:val="0"/>
        <w:pageBreakBefore w:val="0"/>
        <w:widowControl/>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Pollitt, C., 2016. Performance Management in Practice: A Comparative Study of executive agencies. </w:t>
      </w:r>
      <w:r>
        <w:rPr>
          <w:rFonts w:hint="default" w:ascii="Calibri" w:hAnsi="Calibri" w:cs="Calibri"/>
          <w:i/>
          <w:iCs/>
          <w:sz w:val="22"/>
          <w:szCs w:val="22"/>
        </w:rPr>
        <w:t>Journal of Public Administration Research and Theory</w:t>
      </w:r>
      <w:r>
        <w:rPr>
          <w:rFonts w:hint="default" w:ascii="Calibri" w:hAnsi="Calibri" w:cs="Calibri"/>
          <w:sz w:val="22"/>
          <w:szCs w:val="22"/>
        </w:rPr>
        <w:t xml:space="preserve">, </w:t>
      </w:r>
      <w:r>
        <w:rPr>
          <w:rFonts w:hint="default" w:ascii="Calibri" w:hAnsi="Calibri" w:cs="Calibri"/>
          <w:i/>
          <w:iCs/>
          <w:sz w:val="22"/>
          <w:szCs w:val="22"/>
        </w:rPr>
        <w:t>16</w:t>
      </w:r>
      <w:r>
        <w:rPr>
          <w:rFonts w:hint="default" w:ascii="Calibri" w:hAnsi="Calibri" w:cs="Calibri"/>
          <w:sz w:val="22"/>
          <w:szCs w:val="22"/>
        </w:rPr>
        <w:t xml:space="preserve">(1), 25–44. https://doi.org/10.1093/jopart/mui045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Pulakos, E. D., Mueller-Hanson, R., &amp; Arad, S., 2019. The evolution of performance management: Searching for value. </w:t>
      </w:r>
      <w:r>
        <w:rPr>
          <w:rFonts w:hint="default" w:ascii="Calibri" w:hAnsi="Calibri" w:cs="Calibri"/>
          <w:i/>
          <w:iCs/>
          <w:sz w:val="22"/>
          <w:szCs w:val="22"/>
        </w:rPr>
        <w:t>Annual Review of Organizational Psychology and Organizational Behavior</w:t>
      </w:r>
      <w:r>
        <w:rPr>
          <w:rFonts w:hint="default" w:ascii="Calibri" w:hAnsi="Calibri" w:cs="Calibri"/>
          <w:sz w:val="22"/>
          <w:szCs w:val="22"/>
        </w:rPr>
        <w:t xml:space="preserve">, </w:t>
      </w:r>
      <w:r>
        <w:rPr>
          <w:rFonts w:hint="default" w:ascii="Calibri" w:hAnsi="Calibri" w:cs="Calibri"/>
          <w:i/>
          <w:iCs/>
          <w:sz w:val="22"/>
          <w:szCs w:val="22"/>
        </w:rPr>
        <w:t>6</w:t>
      </w:r>
      <w:r>
        <w:rPr>
          <w:rFonts w:hint="default" w:ascii="Calibri" w:hAnsi="Calibri" w:cs="Calibri"/>
          <w:sz w:val="22"/>
          <w:szCs w:val="22"/>
        </w:rPr>
        <w:t xml:space="preserve">(1), 249–271. https://doi.org/10.1146/annurev-orgpsych-012218-015009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Qureshi, M.I., Shams, T. and Kashif, D., 2019. Relationship between rewards and employees' performance. </w:t>
      </w:r>
      <w:r>
        <w:rPr>
          <w:rFonts w:hint="default" w:ascii="Calibri" w:hAnsi="Calibri" w:cs="Calibri"/>
          <w:i/>
          <w:iCs/>
          <w:sz w:val="22"/>
          <w:szCs w:val="22"/>
        </w:rPr>
        <w:t>Available at SSRN 1355823</w:t>
      </w:r>
      <w:r>
        <w:rPr>
          <w:rFonts w:hint="default" w:ascii="Calibri" w:hAnsi="Calibri" w:cs="Calibri"/>
          <w:sz w:val="22"/>
          <w:szCs w:val="22"/>
        </w:rPr>
        <w:t>.</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Ranjan, R. (2022) </w:t>
      </w:r>
      <w:r>
        <w:rPr>
          <w:rFonts w:hint="default" w:ascii="Calibri" w:hAnsi="Calibri" w:cs="Calibri"/>
          <w:i/>
          <w:iCs/>
          <w:sz w:val="22"/>
          <w:szCs w:val="22"/>
        </w:rPr>
        <w:t>Council post: Performance management: Six best practices in the new normal</w:t>
      </w:r>
      <w:r>
        <w:rPr>
          <w:rFonts w:hint="default" w:ascii="Calibri" w:hAnsi="Calibri" w:cs="Calibri"/>
          <w:sz w:val="22"/>
          <w:szCs w:val="22"/>
        </w:rPr>
        <w:t xml:space="preserve">, </w:t>
      </w:r>
      <w:r>
        <w:rPr>
          <w:rFonts w:hint="default" w:ascii="Calibri" w:hAnsi="Calibri" w:cs="Calibri"/>
          <w:i/>
          <w:iCs/>
          <w:sz w:val="22"/>
          <w:szCs w:val="22"/>
        </w:rPr>
        <w:t>Forbes</w:t>
      </w:r>
      <w:r>
        <w:rPr>
          <w:rFonts w:hint="default" w:ascii="Calibri" w:hAnsi="Calibri" w:cs="Calibri"/>
          <w:sz w:val="22"/>
          <w:szCs w:val="22"/>
        </w:rPr>
        <w:t xml:space="preserve">. Forbes Magazine. Available at: https://www.forbes.com/sites/forbesbusinesscouncil/2021/02/12/performance-management-six-best-practices-in-the-new-normal/ (Accessed: March 22, 2023).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Roberts, B. and Berg, N., 2012. </w:t>
      </w:r>
      <w:r>
        <w:rPr>
          <w:rFonts w:hint="default" w:ascii="Calibri" w:hAnsi="Calibri" w:cs="Calibri"/>
          <w:i/>
          <w:iCs/>
          <w:sz w:val="22"/>
          <w:szCs w:val="22"/>
        </w:rPr>
        <w:t>Walmart: key insights and practical lessons from the world's largest retailer</w:t>
      </w:r>
      <w:r>
        <w:rPr>
          <w:rFonts w:hint="default" w:ascii="Calibri" w:hAnsi="Calibri" w:cs="Calibri"/>
          <w:sz w:val="22"/>
          <w:szCs w:val="22"/>
        </w:rPr>
        <w:t>. Kogan Page Publishers.</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Schleicher, D. J., Baumann, H. M., Sullivan, D. W., Levy, P. E., Hargrove, D. C., &amp; Barros-Rivera, B. A., 2018. Putting the</w:t>
      </w:r>
      <w:r>
        <w:rPr>
          <w:rFonts w:hint="default" w:ascii="Calibri" w:hAnsi="Calibri" w:cs="Calibri"/>
          <w:i/>
          <w:iCs/>
          <w:sz w:val="22"/>
          <w:szCs w:val="22"/>
        </w:rPr>
        <w:t xml:space="preserve"> system </w:t>
      </w:r>
      <w:r>
        <w:rPr>
          <w:rFonts w:hint="default" w:ascii="Calibri" w:hAnsi="Calibri" w:cs="Calibri"/>
          <w:sz w:val="22"/>
          <w:szCs w:val="22"/>
        </w:rPr>
        <w:t xml:space="preserve">into performance management systems: A review and agenda for performance management research. </w:t>
      </w:r>
      <w:r>
        <w:rPr>
          <w:rFonts w:hint="default" w:ascii="Calibri" w:hAnsi="Calibri" w:cs="Calibri"/>
          <w:i/>
          <w:iCs/>
          <w:sz w:val="22"/>
          <w:szCs w:val="22"/>
        </w:rPr>
        <w:t>Journal of Management</w:t>
      </w:r>
      <w:r>
        <w:rPr>
          <w:rFonts w:hint="default" w:ascii="Calibri" w:hAnsi="Calibri" w:cs="Calibri"/>
          <w:sz w:val="22"/>
          <w:szCs w:val="22"/>
        </w:rPr>
        <w:t xml:space="preserve">, </w:t>
      </w:r>
      <w:r>
        <w:rPr>
          <w:rFonts w:hint="default" w:ascii="Calibri" w:hAnsi="Calibri" w:cs="Calibri"/>
          <w:i/>
          <w:iCs/>
          <w:sz w:val="22"/>
          <w:szCs w:val="22"/>
        </w:rPr>
        <w:t>44</w:t>
      </w:r>
      <w:r>
        <w:rPr>
          <w:rFonts w:hint="default" w:ascii="Calibri" w:hAnsi="Calibri" w:cs="Calibri"/>
          <w:sz w:val="22"/>
          <w:szCs w:val="22"/>
        </w:rPr>
        <w:t xml:space="preserve">(6), 2209–2245. https://doi.org/10.1177/0149206318755303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Schrage, M. (2020) </w:t>
      </w:r>
      <w:r>
        <w:rPr>
          <w:rFonts w:hint="default" w:ascii="Calibri" w:hAnsi="Calibri" w:cs="Calibri"/>
          <w:i/>
          <w:iCs/>
          <w:sz w:val="22"/>
          <w:szCs w:val="22"/>
        </w:rPr>
        <w:t>Rethinking Performance Management for post-pandemic success</w:t>
      </w:r>
      <w:r>
        <w:rPr>
          <w:rFonts w:hint="default" w:ascii="Calibri" w:hAnsi="Calibri" w:cs="Calibri"/>
          <w:sz w:val="22"/>
          <w:szCs w:val="22"/>
        </w:rPr>
        <w:t xml:space="preserve">, </w:t>
      </w:r>
      <w:r>
        <w:rPr>
          <w:rFonts w:hint="default" w:ascii="Calibri" w:hAnsi="Calibri" w:cs="Calibri"/>
          <w:i/>
          <w:iCs/>
          <w:sz w:val="22"/>
          <w:szCs w:val="22"/>
        </w:rPr>
        <w:t>MIT Sloan Management Review</w:t>
      </w:r>
      <w:r>
        <w:rPr>
          <w:rFonts w:hint="default" w:ascii="Calibri" w:hAnsi="Calibri" w:cs="Calibri"/>
          <w:sz w:val="22"/>
          <w:szCs w:val="22"/>
        </w:rPr>
        <w:t>. Available at: https://sloanreview.mit.edu/article/rethinking-performance-management-for-post-pandemic-success/ (Accessed: March 22, 2023).</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Steinbach, R., 2022. </w:t>
      </w:r>
      <w:r>
        <w:rPr>
          <w:rFonts w:hint="default" w:ascii="Calibri" w:hAnsi="Calibri" w:cs="Calibri"/>
          <w:i/>
          <w:iCs/>
          <w:sz w:val="22"/>
          <w:szCs w:val="22"/>
        </w:rPr>
        <w:t>Performance management trends in 2022</w:t>
      </w:r>
      <w:r>
        <w:rPr>
          <w:rFonts w:hint="default" w:ascii="Calibri" w:hAnsi="Calibri" w:cs="Calibri"/>
          <w:sz w:val="22"/>
          <w:szCs w:val="22"/>
        </w:rPr>
        <w:t xml:space="preserve">, </w:t>
      </w:r>
      <w:r>
        <w:rPr>
          <w:rFonts w:hint="default" w:ascii="Calibri" w:hAnsi="Calibri" w:cs="Calibri"/>
          <w:i/>
          <w:iCs/>
          <w:sz w:val="22"/>
          <w:szCs w:val="22"/>
        </w:rPr>
        <w:t>Pavestep</w:t>
      </w:r>
      <w:r>
        <w:rPr>
          <w:rFonts w:hint="default" w:ascii="Calibri" w:hAnsi="Calibri" w:cs="Calibri"/>
          <w:sz w:val="22"/>
          <w:szCs w:val="22"/>
        </w:rPr>
        <w:t xml:space="preserve">. Available at: https://pavestep.com/post/performance-management-trends-2022/ (Accessed: March 22, 2023).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Thomson, G. S., 2010. High-performance organizations: The Wal-Mart Stores Inc. Case Study. </w:t>
      </w:r>
      <w:r>
        <w:rPr>
          <w:rFonts w:hint="default" w:ascii="Calibri" w:hAnsi="Calibri" w:cs="Calibri"/>
          <w:i/>
          <w:iCs/>
          <w:sz w:val="22"/>
          <w:szCs w:val="22"/>
        </w:rPr>
        <w:t>SSRN Electronic Journal</w:t>
      </w:r>
      <w:r>
        <w:rPr>
          <w:rFonts w:hint="default" w:ascii="Calibri" w:hAnsi="Calibri" w:cs="Calibri"/>
          <w:sz w:val="22"/>
          <w:szCs w:val="22"/>
        </w:rPr>
        <w:t xml:space="preserve">. https://doi.org/10.2139/ssrn.1624245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Walmart Inc., 2010. </w:t>
      </w:r>
      <w:r>
        <w:rPr>
          <w:rFonts w:hint="default" w:ascii="Calibri" w:hAnsi="Calibri" w:cs="Calibri"/>
          <w:i/>
          <w:iCs/>
          <w:sz w:val="22"/>
          <w:szCs w:val="22"/>
        </w:rPr>
        <w:t>About</w:t>
      </w:r>
      <w:r>
        <w:rPr>
          <w:rFonts w:hint="default" w:ascii="Calibri" w:hAnsi="Calibri" w:cs="Calibri"/>
          <w:sz w:val="22"/>
          <w:szCs w:val="22"/>
        </w:rPr>
        <w:t xml:space="preserve">. Corporate. Retrieved March 21, 2023, from https://corporate.walmart.com/our-story/our-business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Wright, P. M., &amp; McMahan, G. C. (2011). Exploring the role of strategic HRM in organizational performance. Human Resource Management Review, 21(1), 1-6. doi: 10.1016/j.hrmr.2010.09.001</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0" w:leftChars="0" w:firstLine="277" w:firstLineChars="126"/>
        <w:jc w:val="both"/>
        <w:textAlignment w:val="auto"/>
        <w:rPr>
          <w:rFonts w:hint="default" w:ascii="Calibri" w:hAnsi="Calibri" w:cs="Calibri"/>
          <w:sz w:val="22"/>
          <w:szCs w:val="22"/>
        </w:rPr>
      </w:pPr>
      <w:r>
        <w:rPr>
          <w:rFonts w:hint="default" w:ascii="Calibri" w:hAnsi="Calibri" w:cs="Calibri"/>
          <w:sz w:val="22"/>
          <w:szCs w:val="22"/>
        </w:rPr>
        <w:t xml:space="preserve">Xin, L., He, L., Bewli, J., Bowman, J., Feng, H., &amp; Qin, Z., 2017. On the performance of tailored base-surge policies: Theory and application at Walmart.com. </w:t>
      </w:r>
      <w:r>
        <w:rPr>
          <w:rFonts w:hint="default" w:ascii="Calibri" w:hAnsi="Calibri" w:cs="Calibri"/>
          <w:i/>
          <w:iCs/>
          <w:sz w:val="22"/>
          <w:szCs w:val="22"/>
        </w:rPr>
        <w:t>SSRN Electronic Journal</w:t>
      </w:r>
      <w:r>
        <w:rPr>
          <w:rFonts w:hint="default" w:ascii="Calibri" w:hAnsi="Calibri" w:cs="Calibri"/>
          <w:sz w:val="22"/>
          <w:szCs w:val="22"/>
        </w:rPr>
        <w:t xml:space="preserve">. https://doi.org/10.2139/ssrn.3090177 </w:t>
      </w:r>
    </w:p>
    <w:p>
      <w:pPr>
        <w:keepNext w:val="0"/>
        <w:keepLines w:val="0"/>
        <w:pageBreakBefore w:val="0"/>
        <w:widowControl/>
        <w:kinsoku/>
        <w:wordWrap/>
        <w:overflowPunct/>
        <w:topLinePunct w:val="0"/>
        <w:autoSpaceDE/>
        <w:autoSpaceDN/>
        <w:bidi w:val="0"/>
        <w:adjustRightInd/>
        <w:snapToGrid/>
        <w:spacing w:line="360" w:lineRule="auto"/>
        <w:ind w:left="0" w:leftChars="0" w:firstLine="302" w:firstLineChars="126"/>
        <w:textAlignment w:val="auto"/>
        <w:rPr>
          <w:rFonts w:ascii="Calibri" w:hAnsi="Calibri" w:cs="Calibri"/>
        </w:rPr>
      </w:pPr>
      <w:r>
        <w:rPr>
          <w:rFonts w:ascii="Calibri" w:hAnsi="Calibri" w:cs="Calibri"/>
        </w:rPr>
        <w:br w:type="page"/>
      </w:r>
    </w:p>
    <w:p>
      <w:pPr>
        <w:pStyle w:val="2"/>
        <w:keepNext w:val="0"/>
        <w:keepLines w:val="0"/>
        <w:pageBreakBefore w:val="0"/>
        <w:widowControl/>
        <w:kinsoku/>
        <w:wordWrap/>
        <w:overflowPunct/>
        <w:topLinePunct w:val="0"/>
        <w:autoSpaceDE/>
        <w:autoSpaceDN/>
        <w:bidi w:val="0"/>
        <w:adjustRightInd/>
        <w:snapToGrid/>
        <w:ind w:left="0" w:leftChars="0" w:firstLine="0" w:firstLineChars="0"/>
        <w:textAlignment w:val="auto"/>
        <w:rPr>
          <w:sz w:val="22"/>
          <w:szCs w:val="22"/>
        </w:rPr>
      </w:pPr>
      <w:bookmarkStart w:id="13" w:name="_Toc18873"/>
      <w:r>
        <w:rPr>
          <w:sz w:val="22"/>
          <w:szCs w:val="22"/>
        </w:rPr>
        <w:t>Appendix</w:t>
      </w:r>
      <w:bookmarkEnd w:id="13"/>
    </w:p>
    <w:p>
      <w:pPr>
        <w:keepNext w:val="0"/>
        <w:keepLines w:val="0"/>
        <w:pageBreakBefore w:val="0"/>
        <w:widowControl/>
        <w:tabs>
          <w:tab w:val="left" w:pos="1140"/>
        </w:tabs>
        <w:kinsoku/>
        <w:wordWrap/>
        <w:overflowPunct/>
        <w:topLinePunct w:val="0"/>
        <w:autoSpaceDE/>
        <w:autoSpaceDN/>
        <w:bidi w:val="0"/>
        <w:adjustRightInd/>
        <w:snapToGrid/>
        <w:spacing w:line="360" w:lineRule="auto"/>
        <w:ind w:left="720" w:hanging="720"/>
        <w:textAlignment w:val="auto"/>
        <w:rPr>
          <w:rFonts w:ascii="Calibri" w:hAnsi="Calibri" w:cs="Calibri"/>
        </w:rPr>
      </w:pPr>
      <w:r>
        <w:rPr>
          <w:rFonts w:ascii="Calibri" w:hAnsi="Calibri" w:cs="Calibri"/>
          <w:i/>
          <w:iCs/>
          <w:color w:val="44546A"/>
          <w:sz w:val="22"/>
          <w:szCs w:val="22"/>
        </w:rPr>
        <w:fldChar w:fldCharType="begin"/>
      </w:r>
      <w:r>
        <w:rPr>
          <w:rFonts w:ascii="Calibri" w:hAnsi="Calibri" w:cs="Calibri"/>
          <w:i/>
          <w:iCs/>
          <w:color w:val="44546A"/>
          <w:sz w:val="22"/>
          <w:szCs w:val="22"/>
        </w:rPr>
        <w:instrText xml:space="preserve"> TOC \h \z \c "Figure" </w:instrText>
      </w:r>
      <w:r>
        <w:rPr>
          <w:rFonts w:ascii="Calibri" w:hAnsi="Calibri" w:cs="Calibri"/>
          <w:i/>
          <w:iCs/>
          <w:color w:val="44546A"/>
          <w:sz w:val="22"/>
          <w:szCs w:val="22"/>
        </w:rPr>
        <w:fldChar w:fldCharType="separate"/>
      </w:r>
      <w:r>
        <w:rPr>
          <w:rFonts w:ascii="Calibri" w:hAnsi="Calibri" w:cs="Calibri"/>
          <w:b/>
          <w:bCs/>
          <w:i/>
          <w:iCs/>
          <w:color w:val="44546A"/>
          <w:sz w:val="22"/>
          <w:szCs w:val="22"/>
        </w:rPr>
        <w:t>Figure1: Performance management system at</w:t>
      </w:r>
      <w:r>
        <w:rPr>
          <w:rFonts w:hint="eastAsia" w:ascii="Calibri" w:hAnsi="Calibri" w:eastAsia="宋体" w:cs="Calibri"/>
          <w:b/>
          <w:bCs/>
          <w:i/>
          <w:iCs/>
          <w:color w:val="44546A"/>
          <w:sz w:val="22"/>
          <w:szCs w:val="22"/>
          <w:lang w:val="en-US" w:eastAsia="zh-CN"/>
        </w:rPr>
        <w:t xml:space="preserve">  </w:t>
      </w:r>
      <w:r>
        <w:rPr>
          <w:rFonts w:ascii="Calibri" w:hAnsi="Calibri" w:cs="Calibri"/>
          <w:b/>
          <w:bCs/>
          <w:i/>
          <w:iCs/>
          <w:color w:val="44546A"/>
          <w:sz w:val="22"/>
          <w:szCs w:val="22"/>
        </w:rPr>
        <w:t xml:space="preserve">Walmart . </w:t>
      </w:r>
      <w:r>
        <w:rPr>
          <w:rFonts w:ascii="Calibri" w:hAnsi="Calibri" w:cs="Calibri"/>
          <w:i/>
          <w:iCs/>
          <w:color w:val="44546A"/>
          <w:sz w:val="22"/>
          <w:szCs w:val="22"/>
        </w:rPr>
        <w:fldChar w:fldCharType="end"/>
      </w:r>
    </w:p>
    <w:p>
      <w:pPr>
        <w:tabs>
          <w:tab w:val="left" w:pos="1140"/>
        </w:tabs>
        <w:rPr>
          <w:rFonts w:ascii="Calibri" w:hAnsi="Calibri" w:cs="Calibri"/>
        </w:rPr>
      </w:pPr>
      <w:r>
        <w:rPr>
          <w:rFonts w:ascii="Calibri" w:hAnsi="Calibri" w:cs="Calibri"/>
        </w:rPr>
        <w:drawing>
          <wp:anchor distT="0" distB="0" distL="0" distR="0" simplePos="0" relativeHeight="251659264" behindDoc="0" locked="0" layoutInCell="1" allowOverlap="1">
            <wp:simplePos x="0" y="0"/>
            <wp:positionH relativeFrom="column">
              <wp:posOffset>10160</wp:posOffset>
            </wp:positionH>
            <wp:positionV relativeFrom="paragraph">
              <wp:posOffset>15875</wp:posOffset>
            </wp:positionV>
            <wp:extent cx="5943600" cy="3336290"/>
            <wp:effectExtent l="0" t="0" r="0" b="0"/>
            <wp:wrapNone/>
            <wp:docPr id="1026" name="Picture 1"/>
            <wp:cNvGraphicFramePr/>
            <a:graphic xmlns:a="http://schemas.openxmlformats.org/drawingml/2006/main">
              <a:graphicData uri="http://schemas.openxmlformats.org/drawingml/2006/picture">
                <pic:pic xmlns:pic="http://schemas.openxmlformats.org/drawingml/2006/picture">
                  <pic:nvPicPr>
                    <pic:cNvPr id="1026" name="Picture 1"/>
                    <pic:cNvPicPr/>
                  </pic:nvPicPr>
                  <pic:blipFill>
                    <a:blip r:embed="rId7" cstate="print"/>
                    <a:srcRect/>
                    <a:stretch>
                      <a:fillRect/>
                    </a:stretch>
                  </pic:blipFill>
                  <pic:spPr>
                    <a:xfrm>
                      <a:off x="0" y="0"/>
                      <a:ext cx="5943600" cy="3336290"/>
                    </a:xfrm>
                    <a:prstGeom prst="rect">
                      <a:avLst/>
                    </a:prstGeom>
                    <a:ln>
                      <a:noFill/>
                    </a:ln>
                  </pic:spPr>
                </pic:pic>
              </a:graphicData>
            </a:graphic>
          </wp:anchor>
        </w:drawing>
      </w:r>
    </w:p>
    <w:p>
      <w:pPr>
        <w:tabs>
          <w:tab w:val="left" w:pos="1140"/>
        </w:tabs>
        <w:rPr>
          <w:rFonts w:ascii="Calibri" w:hAnsi="Calibri" w:cs="Calibri"/>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仿宋">
    <w:panose1 w:val="02010609060101010101"/>
    <w:charset w:val="86"/>
    <w:family w:val="auto"/>
    <w:pitch w:val="default"/>
    <w:sig w:usb0="800002BF" w:usb1="38CF7CFA" w:usb2="00000016" w:usb3="00000000" w:csb0="00040001" w:csb1="00000000"/>
  </w:font>
  <w:font w:name="阿里巴巴和七个小矮人">
    <w:panose1 w:val="00000500000000000000"/>
    <w:charset w:val="86"/>
    <w:family w:val="auto"/>
    <w:pitch w:val="default"/>
    <w:sig w:usb0="00000001" w:usb1="08000010" w:usb2="00000012" w:usb3="00000000" w:csb0="00040000" w:csb1="00000000"/>
  </w:font>
  <w:font w:name="TimesNewRomanP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0"/>
    <w:family w:val="auto"/>
    <w:pitch w:val="default"/>
    <w:sig w:usb0="00000000" w:usb1="00000000" w:usb2="00000000" w:usb3="00000000" w:csb0="80000000" w:csb1="00000000"/>
  </w:font>
  <w:font w:name="Arial-BoldMT">
    <w:altName w:val="Segoe Print"/>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Calibri" w:hAnsi="Calibri" w:cs="Calibri"/>
      </w:rPr>
    </w:pPr>
    <w:r>
      <w:rPr>
        <w:rFonts w:ascii="Calibri" w:hAnsi="Calibri" w:cs="Calibri"/>
      </w:rPr>
      <w:fldChar w:fldCharType="begin"/>
    </w:r>
    <w:r>
      <w:rPr>
        <w:rFonts w:ascii="Calibri" w:hAnsi="Calibri" w:cs="Calibri"/>
      </w:rPr>
      <w:instrText xml:space="preserve"> PAGE   \* MERGEFORMAT </w:instrText>
    </w:r>
    <w:r>
      <w:rPr>
        <w:rFonts w:ascii="Calibri" w:hAnsi="Calibri" w:cs="Calibri"/>
      </w:rPr>
      <w:fldChar w:fldCharType="separate"/>
    </w:r>
    <w:r>
      <w:rPr>
        <w:rFonts w:ascii="Calibri" w:hAnsi="Calibri" w:cs="Calibri"/>
      </w:rPr>
      <w:t>2</w:t>
    </w:r>
    <w:r>
      <w:rPr>
        <w:rFonts w:ascii="Calibri" w:hAnsi="Calibri" w:cs="Calibri"/>
      </w:rPr>
      <w:fldChar w:fldCharType="end"/>
    </w:r>
  </w:p>
  <w:p>
    <w:pPr>
      <w:pStyle w:val="7"/>
      <w:tabs>
        <w:tab w:val="clear" w:pos="4680"/>
        <w:tab w:val="clear" w:pos="9360"/>
      </w:tabs>
      <w:rPr>
        <w:rFonts w:ascii="Calibri" w:hAnsi="Calibri" w:cs="Calibri"/>
      </w:rPr>
    </w:pPr>
    <w:r>
      <w:rPr>
        <w:rFonts w:ascii="Calibri" w:hAnsi="Calibri" w:cs="Calibri"/>
      </w:rP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0"/>
    <w:multiLevelType w:val="multilevel"/>
    <w:tmpl w:val="00000000"/>
    <w:lvl w:ilvl="0" w:tentative="0">
      <w:start w:val="1"/>
      <w:numFmt w:val="decimal"/>
      <w:pStyle w:val="2"/>
      <w:lvlText w:val="%1.0."/>
      <w:lvlJc w:val="left"/>
      <w:pPr>
        <w:ind w:left="1525" w:hanging="360"/>
      </w:pPr>
      <w:rPr>
        <w:rFonts w:hint="default"/>
      </w:rPr>
    </w:lvl>
    <w:lvl w:ilvl="1" w:tentative="0">
      <w:start w:val="1"/>
      <w:numFmt w:val="decimal"/>
      <w:lvlText w:val="%1.%2."/>
      <w:lvlJc w:val="left"/>
      <w:pPr>
        <w:ind w:left="2520" w:hanging="360"/>
      </w:pPr>
      <w:rPr>
        <w:rFonts w:hint="default"/>
      </w:rPr>
    </w:lvl>
    <w:lvl w:ilvl="2" w:tentative="0">
      <w:start w:val="1"/>
      <w:numFmt w:val="decimal"/>
      <w:lvlText w:val="%1.%2.%3."/>
      <w:lvlJc w:val="left"/>
      <w:pPr>
        <w:ind w:left="3600" w:hanging="720"/>
      </w:pPr>
      <w:rPr>
        <w:rFonts w:hint="default"/>
      </w:rPr>
    </w:lvl>
    <w:lvl w:ilvl="3" w:tentative="0">
      <w:start w:val="1"/>
      <w:numFmt w:val="decimal"/>
      <w:lvlText w:val="%1.%2.%3.%4."/>
      <w:lvlJc w:val="left"/>
      <w:pPr>
        <w:ind w:left="4320" w:hanging="720"/>
      </w:pPr>
      <w:rPr>
        <w:rFonts w:hint="default"/>
      </w:rPr>
    </w:lvl>
    <w:lvl w:ilvl="4" w:tentative="0">
      <w:start w:val="1"/>
      <w:numFmt w:val="decimal"/>
      <w:lvlText w:val="%1.%2.%3.%4.%5."/>
      <w:lvlJc w:val="left"/>
      <w:pPr>
        <w:ind w:left="5400" w:hanging="1080"/>
      </w:pPr>
      <w:rPr>
        <w:rFonts w:hint="default"/>
      </w:rPr>
    </w:lvl>
    <w:lvl w:ilvl="5" w:tentative="0">
      <w:start w:val="1"/>
      <w:numFmt w:val="decimal"/>
      <w:lvlText w:val="%1.%2.%3.%4.%5.%6."/>
      <w:lvlJc w:val="left"/>
      <w:pPr>
        <w:ind w:left="6120" w:hanging="1080"/>
      </w:pPr>
      <w:rPr>
        <w:rFonts w:hint="default"/>
      </w:rPr>
    </w:lvl>
    <w:lvl w:ilvl="6" w:tentative="0">
      <w:start w:val="1"/>
      <w:numFmt w:val="decimal"/>
      <w:lvlText w:val="%1.%2.%3.%4.%5.%6.%7."/>
      <w:lvlJc w:val="left"/>
      <w:pPr>
        <w:ind w:left="7200" w:hanging="1440"/>
      </w:pPr>
      <w:rPr>
        <w:rFonts w:hint="default"/>
      </w:rPr>
    </w:lvl>
    <w:lvl w:ilvl="7" w:tentative="0">
      <w:start w:val="1"/>
      <w:numFmt w:val="decimal"/>
      <w:lvlText w:val="%1.%2.%3.%4.%5.%6.%7.%8."/>
      <w:lvlJc w:val="left"/>
      <w:pPr>
        <w:ind w:left="7920" w:hanging="1440"/>
      </w:pPr>
      <w:rPr>
        <w:rFonts w:hint="default"/>
      </w:rPr>
    </w:lvl>
    <w:lvl w:ilvl="8" w:tentative="0">
      <w:start w:val="1"/>
      <w:numFmt w:val="decimal"/>
      <w:lvlText w:val="%1.%2.%3.%4.%5.%6.%7.%8.%9."/>
      <w:lvlJc w:val="left"/>
      <w:pPr>
        <w:ind w:left="9000" w:hanging="1800"/>
      </w:pPr>
      <w:rPr>
        <w:rFonts w:hint="default"/>
      </w:rPr>
    </w:lvl>
  </w:abstractNum>
  <w:abstractNum w:abstractNumId="1">
    <w:nsid w:val="00000001"/>
    <w:multiLevelType w:val="multilevel"/>
    <w:tmpl w:val="00000001"/>
    <w:lvl w:ilvl="0" w:tentative="0">
      <w:start w:val="1"/>
      <w:numFmt w:val="lowerRoman"/>
      <w:lvlText w:val="%1."/>
      <w:lvlJc w:val="righ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3"/>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2QzZDMxOGRmMGI5YjhiYmY5MmE5NDI5ODk5ODZkMjMifQ=="/>
  </w:docVars>
  <w:rsids>
    <w:rsidRoot w:val="00000000"/>
    <w:rsid w:val="09E518F1"/>
    <w:rsid w:val="18F32AE6"/>
    <w:rsid w:val="23B07E0C"/>
    <w:rsid w:val="3BBD3BCC"/>
    <w:rsid w:val="4DBA5A40"/>
    <w:rsid w:val="57F25E73"/>
    <w:rsid w:val="58C72F62"/>
    <w:rsid w:val="6713322E"/>
    <w:rsid w:val="6EF41EC8"/>
    <w:rsid w:val="7759273F"/>
    <w:rsid w:val="7FAB13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99" w:semiHidden="0" w:name="header"/>
    <w:lsdException w:qFormat="1" w:unhideWhenUsed="0" w:uiPriority="99" w:semiHidden="0" w:name="footer"/>
    <w:lsdException w:unhideWhenUsed="0" w:uiPriority="0" w:semiHidden="0" w:name="index heading"/>
    <w:lsdException w:qFormat="1" w:unhideWhenUsed="0" w:uiPriority="35" w:semiHidden="0" w:name="caption"/>
    <w:lsdException w:qFormat="1" w:unhideWhenUsed="0"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99"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720"/>
    </w:pPr>
    <w:rPr>
      <w:rFonts w:ascii="Times New Roman" w:hAnsi="Times New Roman" w:eastAsia="Times New Roman" w:cs="Arial"/>
      <w:sz w:val="24"/>
      <w:szCs w:val="24"/>
      <w:lang w:val="en-US" w:eastAsia="en-US" w:bidi="ar-SA"/>
    </w:rPr>
  </w:style>
  <w:style w:type="paragraph" w:styleId="2">
    <w:name w:val="heading 1"/>
    <w:basedOn w:val="1"/>
    <w:next w:val="1"/>
    <w:link w:val="19"/>
    <w:qFormat/>
    <w:uiPriority w:val="9"/>
    <w:pPr>
      <w:numPr>
        <w:ilvl w:val="0"/>
        <w:numId w:val="1"/>
      </w:numPr>
      <w:spacing w:line="360" w:lineRule="auto"/>
      <w:outlineLvl w:val="0"/>
    </w:pPr>
    <w:rPr>
      <w:rFonts w:ascii="Calibri" w:hAnsi="Calibri" w:eastAsia="Times New Roman" w:cs="Calibri"/>
      <w:b/>
      <w:bCs/>
      <w:iCs/>
      <w:szCs w:val="20"/>
      <w:shd w:val="clear" w:color="auto" w:fill="FFFFFF"/>
      <w:lang w:val="en-GB" w:eastAsia="en-GB"/>
    </w:rPr>
  </w:style>
  <w:style w:type="paragraph" w:styleId="3">
    <w:name w:val="heading 2"/>
    <w:basedOn w:val="1"/>
    <w:next w:val="1"/>
    <w:link w:val="20"/>
    <w:qFormat/>
    <w:uiPriority w:val="9"/>
    <w:pPr>
      <w:tabs>
        <w:tab w:val="left" w:pos="720"/>
      </w:tabs>
      <w:ind w:left="1440" w:hanging="360"/>
      <w:outlineLvl w:val="1"/>
    </w:pPr>
    <w:rPr>
      <w:b/>
    </w:rPr>
  </w:style>
  <w:style w:type="paragraph" w:styleId="4">
    <w:name w:val="heading 3"/>
    <w:basedOn w:val="1"/>
    <w:next w:val="1"/>
    <w:link w:val="21"/>
    <w:qFormat/>
    <w:uiPriority w:val="9"/>
    <w:pPr>
      <w:keepNext/>
      <w:keepLines/>
      <w:outlineLvl w:val="2"/>
    </w:pPr>
    <w:rPr>
      <w:rFonts w:ascii="Times New Roman" w:hAnsi="Times New Roman" w:eastAsia="宋体" w:cs="宋体"/>
      <w:b/>
    </w:rPr>
  </w:style>
  <w:style w:type="character" w:default="1" w:styleId="14">
    <w:name w:val="Default Paragraph Font"/>
    <w:qFormat/>
    <w:uiPriority w:val="1"/>
  </w:style>
  <w:style w:type="table" w:default="1" w:styleId="12">
    <w:name w:val="Normal Table"/>
    <w:qFormat/>
    <w:uiPriority w:val="99"/>
    <w:tblPr>
      <w:tblCellMar>
        <w:top w:w="0" w:type="dxa"/>
        <w:left w:w="108" w:type="dxa"/>
        <w:bottom w:w="0" w:type="dxa"/>
        <w:right w:w="108" w:type="dxa"/>
      </w:tblCellMar>
    </w:tblPr>
  </w:style>
  <w:style w:type="paragraph" w:styleId="5">
    <w:name w:val="caption"/>
    <w:basedOn w:val="1"/>
    <w:next w:val="1"/>
    <w:qFormat/>
    <w:uiPriority w:val="35"/>
    <w:pPr>
      <w:spacing w:after="200" w:line="240" w:lineRule="auto"/>
    </w:pPr>
    <w:rPr>
      <w:i/>
      <w:iCs/>
      <w:color w:val="44546A"/>
      <w:sz w:val="18"/>
      <w:szCs w:val="18"/>
    </w:rPr>
  </w:style>
  <w:style w:type="paragraph" w:styleId="6">
    <w:name w:val="footer"/>
    <w:basedOn w:val="1"/>
    <w:link w:val="17"/>
    <w:qFormat/>
    <w:uiPriority w:val="99"/>
    <w:pPr>
      <w:tabs>
        <w:tab w:val="center" w:pos="4680"/>
        <w:tab w:val="right" w:pos="9360"/>
      </w:tabs>
      <w:spacing w:line="240" w:lineRule="auto"/>
    </w:pPr>
  </w:style>
  <w:style w:type="paragraph" w:styleId="7">
    <w:name w:val="header"/>
    <w:basedOn w:val="1"/>
    <w:link w:val="16"/>
    <w:qFormat/>
    <w:uiPriority w:val="99"/>
    <w:pPr>
      <w:tabs>
        <w:tab w:val="center" w:pos="4680"/>
        <w:tab w:val="right" w:pos="9360"/>
      </w:tabs>
      <w:spacing w:line="240" w:lineRule="auto"/>
    </w:pPr>
  </w:style>
  <w:style w:type="paragraph" w:styleId="8">
    <w:name w:val="toc 1"/>
    <w:basedOn w:val="1"/>
    <w:next w:val="1"/>
    <w:qFormat/>
    <w:uiPriority w:val="39"/>
    <w:pPr>
      <w:spacing w:after="100"/>
    </w:pPr>
  </w:style>
  <w:style w:type="paragraph" w:styleId="9">
    <w:name w:val="table of figures"/>
    <w:basedOn w:val="1"/>
    <w:next w:val="1"/>
    <w:qFormat/>
    <w:uiPriority w:val="99"/>
  </w:style>
  <w:style w:type="paragraph" w:styleId="10">
    <w:name w:val="toc 2"/>
    <w:basedOn w:val="1"/>
    <w:next w:val="1"/>
    <w:qFormat/>
    <w:uiPriority w:val="39"/>
    <w:pPr>
      <w:spacing w:after="100"/>
      <w:ind w:left="240"/>
    </w:pPr>
  </w:style>
  <w:style w:type="paragraph" w:styleId="11">
    <w:name w:val="Normal (Web)"/>
    <w:basedOn w:val="1"/>
    <w:uiPriority w:val="0"/>
    <w:pPr>
      <w:spacing w:before="0" w:beforeAutospacing="1" w:after="0" w:afterAutospacing="1"/>
      <w:ind w:left="0" w:right="0"/>
      <w:jc w:val="left"/>
    </w:pPr>
    <w:rPr>
      <w:kern w:val="0"/>
      <w:sz w:val="24"/>
      <w:lang w:val="en-US" w:eastAsia="zh-CN" w:bidi="ar"/>
    </w:rPr>
  </w:style>
  <w:style w:type="table" w:styleId="13">
    <w:name w:val="Table Grid"/>
    <w:basedOn w:val="12"/>
    <w:qFormat/>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qFormat/>
    <w:uiPriority w:val="99"/>
    <w:rPr>
      <w:color w:val="0563C1"/>
      <w:u w:val="single"/>
    </w:rPr>
  </w:style>
  <w:style w:type="character" w:customStyle="1" w:styleId="16">
    <w:name w:val="Header Char_49ebb6fd-558a-4c4f-bf53-2a08b242e8d5"/>
    <w:basedOn w:val="14"/>
    <w:link w:val="7"/>
    <w:qFormat/>
    <w:uiPriority w:val="99"/>
  </w:style>
  <w:style w:type="character" w:customStyle="1" w:styleId="17">
    <w:name w:val="Footer Char_51d6c950-14a1-4480-9341-f77d7d057806"/>
    <w:basedOn w:val="14"/>
    <w:link w:val="6"/>
    <w:qFormat/>
    <w:uiPriority w:val="99"/>
  </w:style>
  <w:style w:type="paragraph" w:styleId="18">
    <w:name w:val="List Paragraph"/>
    <w:basedOn w:val="1"/>
    <w:qFormat/>
    <w:uiPriority w:val="34"/>
    <w:pPr>
      <w:ind w:left="720"/>
      <w:contextualSpacing/>
    </w:pPr>
  </w:style>
  <w:style w:type="character" w:customStyle="1" w:styleId="19">
    <w:name w:val="Heading 1 Char_75aad647-f57b-4278-9e6a-d2686b91dc09"/>
    <w:basedOn w:val="14"/>
    <w:link w:val="2"/>
    <w:qFormat/>
    <w:uiPriority w:val="9"/>
    <w:rPr>
      <w:rFonts w:ascii="Calibri" w:hAnsi="Calibri" w:eastAsia="Times New Roman" w:cs="Calibri"/>
      <w:b/>
      <w:bCs/>
      <w:iCs/>
      <w:szCs w:val="20"/>
      <w:lang w:val="en-GB" w:eastAsia="en-GB"/>
    </w:rPr>
  </w:style>
  <w:style w:type="character" w:customStyle="1" w:styleId="20">
    <w:name w:val="Heading 2 Char_4f9f55cd-82fe-41c7-9f12-2938f539fe28"/>
    <w:basedOn w:val="14"/>
    <w:link w:val="3"/>
    <w:qFormat/>
    <w:uiPriority w:val="9"/>
    <w:rPr>
      <w:b/>
    </w:rPr>
  </w:style>
  <w:style w:type="character" w:customStyle="1" w:styleId="21">
    <w:name w:val="Heading 3 Char_34681570-5b25-4f76-b618-ece8e2297182"/>
    <w:basedOn w:val="14"/>
    <w:link w:val="4"/>
    <w:qFormat/>
    <w:uiPriority w:val="9"/>
    <w:rPr>
      <w:rFonts w:ascii="Times New Roman" w:hAnsi="Times New Roman" w:eastAsia="宋体" w:cs="宋体"/>
      <w:b/>
    </w:rPr>
  </w:style>
  <w:style w:type="paragraph" w:styleId="22">
    <w:name w:val="No Spacing"/>
    <w:qFormat/>
    <w:uiPriority w:val="1"/>
    <w:pPr>
      <w:spacing w:line="480" w:lineRule="auto"/>
      <w:ind w:firstLine="720"/>
    </w:pPr>
    <w:rPr>
      <w:rFonts w:ascii="Times New Roman" w:hAnsi="Times New Roman" w:eastAsia="Times New Roman" w:cs="Arial"/>
      <w:sz w:val="24"/>
      <w:szCs w:val="24"/>
      <w:lang w:val="en-US" w:eastAsia="en-US" w:bidi="ar-SA"/>
    </w:rPr>
  </w:style>
  <w:style w:type="character" w:customStyle="1" w:styleId="23">
    <w:name w:val="Unresolved Mention"/>
    <w:basedOn w:val="14"/>
    <w:qFormat/>
    <w:uiPriority w:val="99"/>
    <w:rPr>
      <w:color w:val="605E5C"/>
      <w:shd w:val="clear" w:color="auto" w:fill="E1DFDD"/>
    </w:rPr>
  </w:style>
  <w:style w:type="paragraph" w:customStyle="1" w:styleId="24">
    <w:name w:val="TOC Heading"/>
    <w:basedOn w:val="2"/>
    <w:next w:val="1"/>
    <w:qFormat/>
    <w:uiPriority w:val="39"/>
    <w:pPr>
      <w:keepNext/>
      <w:keepLines/>
      <w:numPr>
        <w:ilvl w:val="0"/>
        <w:numId w:val="0"/>
      </w:numPr>
      <w:spacing w:before="240" w:line="259" w:lineRule="auto"/>
      <w:outlineLvl w:val="9"/>
    </w:pPr>
    <w:rPr>
      <w:b w:val="0"/>
      <w:bCs w:val="0"/>
      <w:iCs w:val="0"/>
      <w:color w:val="2F5496"/>
      <w:sz w:val="32"/>
      <w:szCs w:val="3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02F21-DF6D-4C98-9CAB-36A96190B326}">
  <ds:schemaRefs/>
</ds:datastoreItem>
</file>

<file path=docProps/app.xml><?xml version="1.0" encoding="utf-8"?>
<Properties xmlns="http://schemas.openxmlformats.org/officeDocument/2006/extended-properties" xmlns:vt="http://schemas.openxmlformats.org/officeDocument/2006/docPropsVTypes">
  <Template>Normal</Template>
  <Pages>14</Pages>
  <Words>3327</Words>
  <Characters>21152</Characters>
  <Paragraphs>128</Paragraphs>
  <TotalTime>0</TotalTime>
  <ScaleCrop>false</ScaleCrop>
  <LinksUpToDate>false</LinksUpToDate>
  <CharactersWithSpaces>28161</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2023-03-22T21:10:00Z</dcterms:created>
  <dc:creator>Onesmus Iguku</dc:creator>
  <cp:lastModifiedBy>DK</cp:lastModifiedBy>
  <dcterms:modified xsi:type="dcterms:W3CDTF">2023-03-23T03:52:08Z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899e163818b44255a506b5c091839476</vt:lpwstr>
  </property>
  <property fmtid="{D5CDD505-2E9C-101B-9397-08002B2CF9AE}" pid="3" name="KSOProductBuildVer">
    <vt:lpwstr>2052-11.1.0.13703</vt:lpwstr>
  </property>
</Properties>
</file>