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E10F5A" w14:textId="285A0A32" w:rsidR="00FC6423" w:rsidRPr="00417BEC" w:rsidRDefault="00FC6423" w:rsidP="00FC6423">
      <w:pPr>
        <w:pStyle w:val="Nornal"/>
      </w:pPr>
      <w:r>
        <w:t>:</w:t>
      </w:r>
    </w:p>
    <w:p w14:paraId="48169C34" w14:textId="01EDDA35" w:rsidR="00FC6423" w:rsidRDefault="00FC6423" w:rsidP="00FC6423">
      <w:pPr>
        <w:pStyle w:val="Nornal"/>
        <w:numPr>
          <w:ilvl w:val="0"/>
          <w:numId w:val="2"/>
        </w:numPr>
      </w:pPr>
      <w:r>
        <w:t xml:space="preserve"> (AC 1.1)</w:t>
      </w:r>
    </w:p>
    <w:p w14:paraId="7373303C" w14:textId="03D1DF9D" w:rsidR="00072AE7" w:rsidRDefault="001A4722" w:rsidP="00072AE7">
      <w:pPr>
        <w:pStyle w:val="Nornal"/>
      </w:pPr>
      <w:r>
        <w:t xml:space="preserve">Competitive </w:t>
      </w:r>
      <w:r w:rsidR="00CF5E5D">
        <w:t xml:space="preserve">labour markets can have a number of effects for organisations operating within them. </w:t>
      </w:r>
      <w:r w:rsidR="009F2561">
        <w:t xml:space="preserve">High demand for employees will lead to a shift in the </w:t>
      </w:r>
      <w:r w:rsidR="00B40F59">
        <w:t>bargaining</w:t>
      </w:r>
      <w:r w:rsidR="009F2561">
        <w:t xml:space="preserve"> power</w:t>
      </w:r>
      <w:r w:rsidR="004572CB">
        <w:t xml:space="preserve">, benefitting the employee. This power shift will lead to improved benefits as organisations compete </w:t>
      </w:r>
      <w:r w:rsidR="00931E6A">
        <w:t>with each other to attract or retain key employees</w:t>
      </w:r>
      <w:r w:rsidR="008A653D">
        <w:t>, such a financial renumeration</w:t>
      </w:r>
      <w:r w:rsidR="00B72500">
        <w:t xml:space="preserve"> and </w:t>
      </w:r>
      <w:r w:rsidR="008A653D">
        <w:t>flexible workin</w:t>
      </w:r>
      <w:r w:rsidR="00B72500">
        <w:t>g.</w:t>
      </w:r>
      <w:r w:rsidR="008A653D">
        <w:t xml:space="preserve"> However, org</w:t>
      </w:r>
      <w:r w:rsidR="00B72500">
        <w:t xml:space="preserve">anisations can </w:t>
      </w:r>
      <w:r w:rsidR="005363FC">
        <w:t>position themselves to help attract and retain through strategic initiative</w:t>
      </w:r>
      <w:r w:rsidR="0005373E">
        <w:t>s. These strategies usually relate to the reputation</w:t>
      </w:r>
      <w:r w:rsidR="00093927">
        <w:t xml:space="preserve"> of an organisation, so involve culture, </w:t>
      </w:r>
      <w:r w:rsidR="00E800D9">
        <w:t xml:space="preserve">employee </w:t>
      </w:r>
      <w:r w:rsidR="00E800D9" w:rsidRPr="00E82F0A">
        <w:rPr>
          <w:color w:val="000000" w:themeColor="text1"/>
        </w:rPr>
        <w:t xml:space="preserve">experience, </w:t>
      </w:r>
      <w:r w:rsidR="00093927" w:rsidRPr="00E82F0A">
        <w:rPr>
          <w:color w:val="000000" w:themeColor="text1"/>
        </w:rPr>
        <w:t xml:space="preserve">brand, rewards, ethics and company image. </w:t>
      </w:r>
      <w:r w:rsidR="00E800D9" w:rsidRPr="00E82F0A">
        <w:rPr>
          <w:color w:val="000000" w:themeColor="text1"/>
        </w:rPr>
        <w:t xml:space="preserve">Strategies will enable </w:t>
      </w:r>
      <w:r w:rsidR="00CB653F" w:rsidRPr="00E82F0A">
        <w:rPr>
          <w:color w:val="000000" w:themeColor="text1"/>
        </w:rPr>
        <w:t>organisations</w:t>
      </w:r>
      <w:r w:rsidR="00E800D9" w:rsidRPr="00E82F0A">
        <w:rPr>
          <w:color w:val="000000" w:themeColor="text1"/>
        </w:rPr>
        <w:t xml:space="preserve"> to become the company of choice</w:t>
      </w:r>
      <w:r w:rsidR="00CB653F" w:rsidRPr="00E82F0A">
        <w:rPr>
          <w:color w:val="000000" w:themeColor="text1"/>
        </w:rPr>
        <w:t>, improving their advantage against their competitors.</w:t>
      </w:r>
      <w:r w:rsidR="00B574CE" w:rsidRPr="00E82F0A">
        <w:rPr>
          <w:color w:val="000000" w:themeColor="text1"/>
        </w:rPr>
        <w:t xml:space="preserve"> For example, it can be </w:t>
      </w:r>
      <w:r w:rsidR="00340E0C" w:rsidRPr="00E82F0A">
        <w:rPr>
          <w:color w:val="000000" w:themeColor="text1"/>
        </w:rPr>
        <w:t>linear benefits such as</w:t>
      </w:r>
      <w:r w:rsidR="003333B5">
        <w:rPr>
          <w:color w:val="000000" w:themeColor="text1"/>
        </w:rPr>
        <w:t xml:space="preserve"> a reputation as</w:t>
      </w:r>
      <w:r w:rsidR="00340E0C" w:rsidRPr="00E82F0A">
        <w:rPr>
          <w:color w:val="000000" w:themeColor="text1"/>
        </w:rPr>
        <w:t xml:space="preserve"> a leader in salary</w:t>
      </w:r>
      <w:r w:rsidR="004A7CFB" w:rsidRPr="00E82F0A">
        <w:rPr>
          <w:color w:val="000000" w:themeColor="text1"/>
        </w:rPr>
        <w:t>, such as</w:t>
      </w:r>
      <w:r w:rsidR="00CC2A1C" w:rsidRPr="00E82F0A">
        <w:rPr>
          <w:color w:val="000000" w:themeColor="text1"/>
        </w:rPr>
        <w:t xml:space="preserve"> a</w:t>
      </w:r>
      <w:r w:rsidR="004A7CFB" w:rsidRPr="00E82F0A">
        <w:rPr>
          <w:color w:val="000000" w:themeColor="text1"/>
        </w:rPr>
        <w:t xml:space="preserve"> magic circle law firm </w:t>
      </w:r>
      <w:r w:rsidR="004A7CFB" w:rsidRPr="00E82F0A">
        <w:rPr>
          <w:color w:val="000000" w:themeColor="text1"/>
          <w:shd w:val="clear" w:color="auto" w:fill="FFFFFF"/>
        </w:rPr>
        <w:t>Freshfields Bruckhaus Deringer</w:t>
      </w:r>
      <w:r w:rsidR="00D2652D" w:rsidRPr="00E82F0A">
        <w:rPr>
          <w:color w:val="000000" w:themeColor="text1"/>
          <w:shd w:val="clear" w:color="auto" w:fill="FFFFFF"/>
        </w:rPr>
        <w:t>, offering newly qualified lawyers £125,000</w:t>
      </w:r>
      <w:r w:rsidR="00172BBA" w:rsidRPr="00E82F0A">
        <w:rPr>
          <w:color w:val="000000" w:themeColor="text1"/>
          <w:shd w:val="clear" w:color="auto" w:fill="FFFFFF"/>
        </w:rPr>
        <w:t xml:space="preserve"> </w:t>
      </w:r>
      <w:sdt>
        <w:sdtPr>
          <w:rPr>
            <w:color w:val="000000" w:themeColor="text1"/>
            <w:shd w:val="clear" w:color="auto" w:fill="FFFFFF"/>
          </w:rPr>
          <w:id w:val="-169421322"/>
          <w:citation/>
        </w:sdtPr>
        <w:sdtContent>
          <w:r w:rsidR="00172BBA" w:rsidRPr="00E82F0A">
            <w:rPr>
              <w:color w:val="000000" w:themeColor="text1"/>
              <w:shd w:val="clear" w:color="auto" w:fill="FFFFFF"/>
            </w:rPr>
            <w:fldChar w:fldCharType="begin"/>
          </w:r>
          <w:r w:rsidR="00172BBA" w:rsidRPr="00E82F0A">
            <w:rPr>
              <w:color w:val="000000" w:themeColor="text1"/>
              <w:shd w:val="clear" w:color="auto" w:fill="FFFFFF"/>
              <w:lang w:val="en-US"/>
            </w:rPr>
            <w:instrText xml:space="preserve"> CITATION Mar23 \l 1033 </w:instrText>
          </w:r>
          <w:r w:rsidR="00172BBA" w:rsidRPr="00E82F0A">
            <w:rPr>
              <w:color w:val="000000" w:themeColor="text1"/>
              <w:shd w:val="clear" w:color="auto" w:fill="FFFFFF"/>
            </w:rPr>
            <w:fldChar w:fldCharType="separate"/>
          </w:r>
          <w:r w:rsidR="00172BBA" w:rsidRPr="00E82F0A">
            <w:rPr>
              <w:noProof/>
              <w:color w:val="000000" w:themeColor="text1"/>
              <w:shd w:val="clear" w:color="auto" w:fill="FFFFFF"/>
              <w:lang w:val="en-US"/>
            </w:rPr>
            <w:t>(Ward-Brennan, 2023)</w:t>
          </w:r>
          <w:r w:rsidR="00172BBA" w:rsidRPr="00E82F0A">
            <w:rPr>
              <w:color w:val="000000" w:themeColor="text1"/>
              <w:shd w:val="clear" w:color="auto" w:fill="FFFFFF"/>
            </w:rPr>
            <w:fldChar w:fldCharType="end"/>
          </w:r>
        </w:sdtContent>
      </w:sdt>
      <w:r w:rsidR="00D2652D" w:rsidRPr="00E82F0A">
        <w:rPr>
          <w:color w:val="000000" w:themeColor="text1"/>
          <w:shd w:val="clear" w:color="auto" w:fill="FFFFFF"/>
        </w:rPr>
        <w:t xml:space="preserve">, or less direct benefits to enable wellness, such as </w:t>
      </w:r>
      <w:r w:rsidR="00CC2A1C" w:rsidRPr="00E82F0A">
        <w:rPr>
          <w:color w:val="000000" w:themeColor="text1"/>
          <w:shd w:val="clear" w:color="auto" w:fill="FFFFFF"/>
        </w:rPr>
        <w:t>Indeed’s</w:t>
      </w:r>
      <w:r w:rsidR="00D2652D" w:rsidRPr="00E82F0A">
        <w:rPr>
          <w:color w:val="000000" w:themeColor="text1"/>
          <w:shd w:val="clear" w:color="auto" w:fill="FFFFFF"/>
        </w:rPr>
        <w:t xml:space="preserve"> </w:t>
      </w:r>
      <w:r w:rsidR="00172BBA" w:rsidRPr="00E82F0A">
        <w:rPr>
          <w:color w:val="000000" w:themeColor="text1"/>
          <w:shd w:val="clear" w:color="auto" w:fill="FFFFFF"/>
        </w:rPr>
        <w:t xml:space="preserve">open vacation policy, allowing unlimited time off </w:t>
      </w:r>
      <w:sdt>
        <w:sdtPr>
          <w:rPr>
            <w:color w:val="000000" w:themeColor="text1"/>
            <w:shd w:val="clear" w:color="auto" w:fill="FFFFFF"/>
          </w:rPr>
          <w:id w:val="1157876897"/>
          <w:citation/>
        </w:sdtPr>
        <w:sdtContent>
          <w:r w:rsidR="00172BBA" w:rsidRPr="00E82F0A">
            <w:rPr>
              <w:color w:val="000000" w:themeColor="text1"/>
              <w:shd w:val="clear" w:color="auto" w:fill="FFFFFF"/>
            </w:rPr>
            <w:fldChar w:fldCharType="begin"/>
          </w:r>
          <w:r w:rsidR="00172BBA" w:rsidRPr="00E82F0A">
            <w:rPr>
              <w:color w:val="000000" w:themeColor="text1"/>
              <w:shd w:val="clear" w:color="auto" w:fill="FFFFFF"/>
              <w:lang w:val="en-US"/>
            </w:rPr>
            <w:instrText xml:space="preserve"> CITATION Ind17 \l 1033 </w:instrText>
          </w:r>
          <w:r w:rsidR="00172BBA" w:rsidRPr="00E82F0A">
            <w:rPr>
              <w:color w:val="000000" w:themeColor="text1"/>
              <w:shd w:val="clear" w:color="auto" w:fill="FFFFFF"/>
            </w:rPr>
            <w:fldChar w:fldCharType="separate"/>
          </w:r>
          <w:r w:rsidR="00172BBA" w:rsidRPr="00E82F0A">
            <w:rPr>
              <w:noProof/>
              <w:color w:val="000000" w:themeColor="text1"/>
              <w:shd w:val="clear" w:color="auto" w:fill="FFFFFF"/>
              <w:lang w:val="en-US"/>
            </w:rPr>
            <w:t>(Indeed, 2017)</w:t>
          </w:r>
          <w:r w:rsidR="00172BBA" w:rsidRPr="00E82F0A">
            <w:rPr>
              <w:color w:val="000000" w:themeColor="text1"/>
              <w:shd w:val="clear" w:color="auto" w:fill="FFFFFF"/>
            </w:rPr>
            <w:fldChar w:fldCharType="end"/>
          </w:r>
        </w:sdtContent>
      </w:sdt>
      <w:r w:rsidR="00DC0787" w:rsidRPr="00E82F0A">
        <w:rPr>
          <w:color w:val="000000" w:themeColor="text1"/>
          <w:shd w:val="clear" w:color="auto" w:fill="FFFFFF"/>
        </w:rPr>
        <w:t>.</w:t>
      </w:r>
      <w:r w:rsidR="00C13CF8">
        <w:rPr>
          <w:color w:val="000000" w:themeColor="text1"/>
          <w:shd w:val="clear" w:color="auto" w:fill="FFFFFF"/>
        </w:rPr>
        <w:t xml:space="preserve"> Organisations can </w:t>
      </w:r>
      <w:r w:rsidR="005C0115">
        <w:rPr>
          <w:color w:val="000000" w:themeColor="text1"/>
          <w:shd w:val="clear" w:color="auto" w:fill="FFFFFF"/>
        </w:rPr>
        <w:t xml:space="preserve">further </w:t>
      </w:r>
      <w:r w:rsidR="00C13CF8">
        <w:rPr>
          <w:color w:val="000000" w:themeColor="text1"/>
          <w:shd w:val="clear" w:color="auto" w:fill="FFFFFF"/>
        </w:rPr>
        <w:t xml:space="preserve">position themselves in line with </w:t>
      </w:r>
      <w:r w:rsidR="000C4155">
        <w:rPr>
          <w:color w:val="000000" w:themeColor="text1"/>
          <w:shd w:val="clear" w:color="auto" w:fill="FFFFFF"/>
        </w:rPr>
        <w:t xml:space="preserve">their target </w:t>
      </w:r>
      <w:r w:rsidR="005C0115">
        <w:rPr>
          <w:color w:val="000000" w:themeColor="text1"/>
          <w:shd w:val="clear" w:color="auto" w:fill="FFFFFF"/>
        </w:rPr>
        <w:t xml:space="preserve">employment market, for example, providing growth and development strategies to enable benefits beyond the employee contract. Strategies such as </w:t>
      </w:r>
      <w:r w:rsidR="00E65586">
        <w:rPr>
          <w:color w:val="000000" w:themeColor="text1"/>
          <w:shd w:val="clear" w:color="auto" w:fill="FFFFFF"/>
        </w:rPr>
        <w:t>apprenticeships</w:t>
      </w:r>
      <w:r w:rsidR="005C0115">
        <w:rPr>
          <w:color w:val="000000" w:themeColor="text1"/>
          <w:shd w:val="clear" w:color="auto" w:fill="FFFFFF"/>
        </w:rPr>
        <w:t xml:space="preserve">, </w:t>
      </w:r>
      <w:r w:rsidR="003370AE">
        <w:rPr>
          <w:color w:val="000000" w:themeColor="text1"/>
          <w:shd w:val="clear" w:color="auto" w:fill="FFFFFF"/>
        </w:rPr>
        <w:t xml:space="preserve">management courses and professional training. </w:t>
      </w:r>
      <w:r w:rsidR="009F6E8A">
        <w:rPr>
          <w:color w:val="000000" w:themeColor="text1"/>
          <w:shd w:val="clear" w:color="auto" w:fill="FFFFFF"/>
        </w:rPr>
        <w:t xml:space="preserve">There has been clearly defined links between retention and attraction when organisations invest in development strategies </w:t>
      </w:r>
      <w:sdt>
        <w:sdtPr>
          <w:rPr>
            <w:color w:val="000000" w:themeColor="text1"/>
            <w:shd w:val="clear" w:color="auto" w:fill="FFFFFF"/>
          </w:rPr>
          <w:id w:val="-1533866587"/>
          <w:citation/>
        </w:sdtPr>
        <w:sdtContent>
          <w:r w:rsidR="009F6E8A">
            <w:rPr>
              <w:color w:val="000000" w:themeColor="text1"/>
              <w:shd w:val="clear" w:color="auto" w:fill="FFFFFF"/>
            </w:rPr>
            <w:fldChar w:fldCharType="begin"/>
          </w:r>
          <w:r w:rsidR="009F6E8A">
            <w:rPr>
              <w:color w:val="000000" w:themeColor="text1"/>
              <w:shd w:val="clear" w:color="auto" w:fill="FFFFFF"/>
              <w:lang w:val="en-US"/>
            </w:rPr>
            <w:instrText xml:space="preserve"> CITATION Ric20 \l 1033 </w:instrText>
          </w:r>
          <w:r w:rsidR="009F6E8A">
            <w:rPr>
              <w:color w:val="000000" w:themeColor="text1"/>
              <w:shd w:val="clear" w:color="auto" w:fill="FFFFFF"/>
            </w:rPr>
            <w:fldChar w:fldCharType="separate"/>
          </w:r>
          <w:r w:rsidR="009F6E8A" w:rsidRPr="009F6E8A">
            <w:rPr>
              <w:noProof/>
              <w:color w:val="000000" w:themeColor="text1"/>
              <w:shd w:val="clear" w:color="auto" w:fill="FFFFFF"/>
              <w:lang w:val="en-US"/>
            </w:rPr>
            <w:t>(Rodrigues, 2020)</w:t>
          </w:r>
          <w:r w:rsidR="009F6E8A">
            <w:rPr>
              <w:color w:val="000000" w:themeColor="text1"/>
              <w:shd w:val="clear" w:color="auto" w:fill="FFFFFF"/>
            </w:rPr>
            <w:fldChar w:fldCharType="end"/>
          </w:r>
        </w:sdtContent>
      </w:sdt>
      <w:r w:rsidR="009F6E8A">
        <w:rPr>
          <w:color w:val="000000" w:themeColor="text1"/>
          <w:shd w:val="clear" w:color="auto" w:fill="FFFFFF"/>
        </w:rPr>
        <w:t>.</w:t>
      </w:r>
      <w:r w:rsidR="00E65586">
        <w:rPr>
          <w:color w:val="000000" w:themeColor="text1"/>
          <w:shd w:val="clear" w:color="auto" w:fill="FFFFFF"/>
        </w:rPr>
        <w:t xml:space="preserve"> The brand which the </w:t>
      </w:r>
      <w:r w:rsidR="00246918">
        <w:rPr>
          <w:color w:val="000000" w:themeColor="text1"/>
          <w:shd w:val="clear" w:color="auto" w:fill="FFFFFF"/>
        </w:rPr>
        <w:t>organisation</w:t>
      </w:r>
      <w:r w:rsidR="00E65586">
        <w:rPr>
          <w:color w:val="000000" w:themeColor="text1"/>
          <w:shd w:val="clear" w:color="auto" w:fill="FFFFFF"/>
        </w:rPr>
        <w:t xml:space="preserve"> emulates is also as important as its internal strategies. </w:t>
      </w:r>
      <w:r w:rsidR="00246918">
        <w:rPr>
          <w:color w:val="000000" w:themeColor="text1"/>
          <w:shd w:val="clear" w:color="auto" w:fill="FFFFFF"/>
        </w:rPr>
        <w:t xml:space="preserve">Labour markets are becoming more aware of corporate social responsibility, which is becoming an increasing factor in decision making </w:t>
      </w:r>
      <w:sdt>
        <w:sdtPr>
          <w:rPr>
            <w:color w:val="000000" w:themeColor="text1"/>
            <w:shd w:val="clear" w:color="auto" w:fill="FFFFFF"/>
          </w:rPr>
          <w:id w:val="-10067464"/>
          <w:citation/>
        </w:sdtPr>
        <w:sdtContent>
          <w:r w:rsidR="00246918">
            <w:rPr>
              <w:color w:val="000000" w:themeColor="text1"/>
              <w:shd w:val="clear" w:color="auto" w:fill="FFFFFF"/>
            </w:rPr>
            <w:fldChar w:fldCharType="begin"/>
          </w:r>
          <w:r w:rsidR="00246918">
            <w:rPr>
              <w:color w:val="000000" w:themeColor="text1"/>
              <w:shd w:val="clear" w:color="auto" w:fill="FFFFFF"/>
              <w:lang w:val="en-US"/>
            </w:rPr>
            <w:instrText xml:space="preserve"> CITATION Bou21 \l 1033 </w:instrText>
          </w:r>
          <w:r w:rsidR="00246918">
            <w:rPr>
              <w:color w:val="000000" w:themeColor="text1"/>
              <w:shd w:val="clear" w:color="auto" w:fill="FFFFFF"/>
            </w:rPr>
            <w:fldChar w:fldCharType="separate"/>
          </w:r>
          <w:r w:rsidR="00246918" w:rsidRPr="00246918">
            <w:rPr>
              <w:noProof/>
              <w:color w:val="000000" w:themeColor="text1"/>
              <w:shd w:val="clear" w:color="auto" w:fill="FFFFFF"/>
              <w:lang w:val="en-US"/>
            </w:rPr>
            <w:t>(Boutmaghzoute, 2021)</w:t>
          </w:r>
          <w:r w:rsidR="00246918">
            <w:rPr>
              <w:color w:val="000000" w:themeColor="text1"/>
              <w:shd w:val="clear" w:color="auto" w:fill="FFFFFF"/>
            </w:rPr>
            <w:fldChar w:fldCharType="end"/>
          </w:r>
        </w:sdtContent>
      </w:sdt>
      <w:r w:rsidR="009C453B">
        <w:rPr>
          <w:color w:val="000000" w:themeColor="text1"/>
          <w:shd w:val="clear" w:color="auto" w:fill="FFFFFF"/>
        </w:rPr>
        <w:t>.</w:t>
      </w:r>
    </w:p>
    <w:p w14:paraId="26734CAF" w14:textId="1CD8C25A" w:rsidR="00FC6423" w:rsidRPr="0077552A" w:rsidRDefault="00FC6423" w:rsidP="00FC6423">
      <w:pPr>
        <w:pStyle w:val="Nornal"/>
        <w:numPr>
          <w:ilvl w:val="0"/>
          <w:numId w:val="2"/>
        </w:numPr>
      </w:pPr>
      <w:r w:rsidRPr="0077552A">
        <w:t xml:space="preserve"> (AC 1.2)</w:t>
      </w:r>
    </w:p>
    <w:p w14:paraId="3376E0D1" w14:textId="229A48F5" w:rsidR="00191AC7" w:rsidRDefault="00AB56E3" w:rsidP="000E5D27">
      <w:pPr>
        <w:pStyle w:val="Nornal"/>
      </w:pPr>
      <w:r>
        <w:t xml:space="preserve">Recruitment strategies </w:t>
      </w:r>
      <w:r w:rsidR="00AF55D3">
        <w:t xml:space="preserve">can shift with the </w:t>
      </w:r>
      <w:r w:rsidR="00E5556D">
        <w:t>availability</w:t>
      </w:r>
      <w:r w:rsidR="00F71286">
        <w:t xml:space="preserve"> of the labour market</w:t>
      </w:r>
      <w:r w:rsidR="00BD1B64">
        <w:t xml:space="preserve"> </w:t>
      </w:r>
      <w:sdt>
        <w:sdtPr>
          <w:id w:val="-1796125187"/>
          <w:citation/>
        </w:sdtPr>
        <w:sdtContent>
          <w:r w:rsidR="00BD1B64">
            <w:fldChar w:fldCharType="begin"/>
          </w:r>
          <w:r w:rsidR="00BD1B64">
            <w:rPr>
              <w:lang w:val="en-US"/>
            </w:rPr>
            <w:instrText xml:space="preserve"> CITATION Par08 \l 1033 </w:instrText>
          </w:r>
          <w:r w:rsidR="00BD1B64">
            <w:fldChar w:fldCharType="separate"/>
          </w:r>
          <w:r w:rsidR="00BD1B64" w:rsidRPr="00BD1B64">
            <w:rPr>
              <w:noProof/>
              <w:lang w:val="en-US"/>
            </w:rPr>
            <w:t>(Parry &amp; Tyson, 2008)</w:t>
          </w:r>
          <w:r w:rsidR="00BD1B64">
            <w:fldChar w:fldCharType="end"/>
          </w:r>
        </w:sdtContent>
      </w:sdt>
      <w:r w:rsidR="00A733F8">
        <w:t xml:space="preserve">. </w:t>
      </w:r>
      <w:r w:rsidR="0060545F">
        <w:t xml:space="preserve">Company strategy must adapt to the fluctuating norms within labour sectors. </w:t>
      </w:r>
      <w:r w:rsidR="00EB0A0D">
        <w:t xml:space="preserve">Within a right labour market, organisations become competitive in order to attract scarce </w:t>
      </w:r>
      <w:r w:rsidR="000E7C93">
        <w:t>labour</w:t>
      </w:r>
      <w:r w:rsidR="00165216">
        <w:t xml:space="preserve"> </w:t>
      </w:r>
      <w:sdt>
        <w:sdtPr>
          <w:id w:val="-1594319048"/>
          <w:citation/>
        </w:sdtPr>
        <w:sdtContent>
          <w:r w:rsidR="00165216">
            <w:fldChar w:fldCharType="begin"/>
          </w:r>
          <w:r w:rsidR="00165216">
            <w:rPr>
              <w:lang w:val="en-US"/>
            </w:rPr>
            <w:instrText xml:space="preserve"> CITATION Ped20 \l 1033 </w:instrText>
          </w:r>
          <w:r w:rsidR="00165216">
            <w:fldChar w:fldCharType="separate"/>
          </w:r>
          <w:r w:rsidR="00165216" w:rsidRPr="00165216">
            <w:rPr>
              <w:noProof/>
              <w:lang w:val="en-US"/>
            </w:rPr>
            <w:t>(Pedraza, et al., 2020)</w:t>
          </w:r>
          <w:r w:rsidR="00165216">
            <w:fldChar w:fldCharType="end"/>
          </w:r>
        </w:sdtContent>
      </w:sdt>
      <w:r w:rsidR="000E7C93">
        <w:t xml:space="preserve">. Subsequently this leads to improved benefits in order to </w:t>
      </w:r>
      <w:r w:rsidR="002006CA">
        <w:t>outbid competitors, such as improved salaries, flexible working and other work-life benefits.</w:t>
      </w:r>
      <w:r w:rsidR="00C044C2">
        <w:t xml:space="preserve"> Further, greater effort is made on strategies for attraction and improved focus on organisational brand</w:t>
      </w:r>
      <w:r w:rsidR="00BD0AD7">
        <w:t xml:space="preserve">. Therefore, job adverts with promote strong </w:t>
      </w:r>
      <w:r w:rsidR="00191AC7">
        <w:t>benefits, organisation brand and any other attractive measures. Ultimately, w</w:t>
      </w:r>
      <w:r w:rsidR="00154D89">
        <w:t xml:space="preserve">ithin a tight labour market </w:t>
      </w:r>
      <w:r w:rsidR="006148B8">
        <w:t>the balance of power shifts to the employee, due to their scarcity and demand</w:t>
      </w:r>
      <w:r w:rsidR="00817B01">
        <w:t xml:space="preserve"> </w:t>
      </w:r>
      <w:sdt>
        <w:sdtPr>
          <w:id w:val="-543133328"/>
          <w:citation/>
        </w:sdtPr>
        <w:sdtContent>
          <w:r w:rsidR="00817B01">
            <w:fldChar w:fldCharType="begin"/>
          </w:r>
          <w:r w:rsidR="00817B01">
            <w:rPr>
              <w:lang w:val="en-US"/>
            </w:rPr>
            <w:instrText xml:space="preserve"> CITATION Edm23 \l 1033 </w:instrText>
          </w:r>
          <w:r w:rsidR="00817B01">
            <w:fldChar w:fldCharType="separate"/>
          </w:r>
          <w:r w:rsidR="00817B01" w:rsidRPr="00817B01">
            <w:rPr>
              <w:noProof/>
              <w:lang w:val="en-US"/>
            </w:rPr>
            <w:t>(Edmans, et al., 2023)</w:t>
          </w:r>
          <w:r w:rsidR="00817B01">
            <w:fldChar w:fldCharType="end"/>
          </w:r>
        </w:sdtContent>
      </w:sdt>
      <w:r w:rsidR="006148B8">
        <w:t xml:space="preserve">. </w:t>
      </w:r>
    </w:p>
    <w:p w14:paraId="208845B0" w14:textId="07AC8EA8" w:rsidR="000E5D27" w:rsidRDefault="00191AC7" w:rsidP="000E5D27">
      <w:pPr>
        <w:pStyle w:val="Nornal"/>
      </w:pPr>
      <w:r>
        <w:t>W</w:t>
      </w:r>
      <w:r w:rsidR="006148B8">
        <w:t xml:space="preserve">ithin a loose labour </w:t>
      </w:r>
      <w:r w:rsidR="00DB2C47">
        <w:t>market,</w:t>
      </w:r>
      <w:r w:rsidR="006148B8">
        <w:t xml:space="preserve"> </w:t>
      </w:r>
      <w:r w:rsidR="0041776E">
        <w:t xml:space="preserve">the balance of power shifts to the employer. </w:t>
      </w:r>
      <w:r>
        <w:t>Therefore</w:t>
      </w:r>
      <w:r w:rsidR="0041776E">
        <w:t>, benefits can stagnate, or decrease due to the availability of resources</w:t>
      </w:r>
      <w:r w:rsidR="00C13F0E">
        <w:t xml:space="preserve">. Organisations tend to </w:t>
      </w:r>
      <w:r w:rsidR="00B55431">
        <w:t>invest less into resourcing strategies, advertisement and branding</w:t>
      </w:r>
      <w:r w:rsidR="009A1B61">
        <w:t xml:space="preserve"> </w:t>
      </w:r>
      <w:sdt>
        <w:sdtPr>
          <w:id w:val="-1567644212"/>
          <w:citation/>
        </w:sdtPr>
        <w:sdtContent>
          <w:r w:rsidR="009A1B61">
            <w:fldChar w:fldCharType="begin"/>
          </w:r>
          <w:r w:rsidR="009A1B61">
            <w:rPr>
              <w:lang w:val="en-US"/>
            </w:rPr>
            <w:instrText xml:space="preserve"> CITATION McC19 \l 1033 </w:instrText>
          </w:r>
          <w:r w:rsidR="009A1B61">
            <w:fldChar w:fldCharType="separate"/>
          </w:r>
          <w:r w:rsidR="009A1B61" w:rsidRPr="009A1B61">
            <w:rPr>
              <w:noProof/>
              <w:lang w:val="en-US"/>
            </w:rPr>
            <w:t>(McCollum &amp; Findlay, 2019)</w:t>
          </w:r>
          <w:r w:rsidR="009A1B61">
            <w:fldChar w:fldCharType="end"/>
          </w:r>
        </w:sdtContent>
      </w:sdt>
      <w:r w:rsidR="000D4529">
        <w:t>.</w:t>
      </w:r>
    </w:p>
    <w:p w14:paraId="70EFC4A3" w14:textId="18D714F6" w:rsidR="00C91990" w:rsidRDefault="00D47D49" w:rsidP="000E5D27">
      <w:pPr>
        <w:pStyle w:val="Nornal"/>
      </w:pPr>
      <w:r>
        <w:t xml:space="preserve">Organisations may find that the labour market conditions shift through a sliding scale as resources </w:t>
      </w:r>
      <w:r w:rsidR="006069DD">
        <w:t xml:space="preserve">deplete, or economic growth slows. Organisations must ensure they adapt to changing conditions to ensure they remain </w:t>
      </w:r>
      <w:r w:rsidR="003F6646">
        <w:t>competitive</w:t>
      </w:r>
      <w:r w:rsidR="006069DD">
        <w:t xml:space="preserve">. </w:t>
      </w:r>
      <w:r w:rsidR="00F221FE">
        <w:t>T</w:t>
      </w:r>
      <w:r w:rsidR="006069DD">
        <w:t xml:space="preserve">ools such as PESTLE can ensure </w:t>
      </w:r>
      <w:r w:rsidR="003F6646">
        <w:t>organisations</w:t>
      </w:r>
      <w:r w:rsidR="006069DD">
        <w:t xml:space="preserve"> remain relevant. </w:t>
      </w:r>
      <w:r w:rsidR="003F6646">
        <w:t>Losing</w:t>
      </w:r>
      <w:r w:rsidR="00BA0570">
        <w:t xml:space="preserve"> touch with cultural shifts will lead to </w:t>
      </w:r>
      <w:r w:rsidR="003F6646">
        <w:t>catastrophic</w:t>
      </w:r>
      <w:r w:rsidR="00BA0570">
        <w:t xml:space="preserve"> </w:t>
      </w:r>
      <w:r w:rsidR="003F6646">
        <w:t xml:space="preserve">employee </w:t>
      </w:r>
      <w:r w:rsidR="00BA0570">
        <w:t>retention, or over supply of resources</w:t>
      </w:r>
      <w:r w:rsidR="003F6646">
        <w:t xml:space="preserve"> due to economic downturn</w:t>
      </w:r>
      <w:r w:rsidR="00A52C33">
        <w:t xml:space="preserve"> </w:t>
      </w:r>
      <w:sdt>
        <w:sdtPr>
          <w:id w:val="-1019701725"/>
          <w:citation/>
        </w:sdtPr>
        <w:sdtContent>
          <w:r w:rsidR="00A52C33">
            <w:fldChar w:fldCharType="begin"/>
          </w:r>
          <w:r w:rsidR="00A52C33">
            <w:rPr>
              <w:lang w:val="en-US"/>
            </w:rPr>
            <w:instrText xml:space="preserve"> CITATION Abe20 \l 1033 </w:instrText>
          </w:r>
          <w:r w:rsidR="00A52C33">
            <w:fldChar w:fldCharType="separate"/>
          </w:r>
          <w:r w:rsidR="00A52C33" w:rsidRPr="00A52C33">
            <w:rPr>
              <w:noProof/>
              <w:lang w:val="en-US"/>
            </w:rPr>
            <w:t>(Abelsen, 2020)</w:t>
          </w:r>
          <w:r w:rsidR="00A52C33">
            <w:fldChar w:fldCharType="end"/>
          </w:r>
        </w:sdtContent>
      </w:sdt>
      <w:r w:rsidR="003F6646">
        <w:t>.</w:t>
      </w:r>
      <w:r w:rsidR="00677D68">
        <w:t xml:space="preserve"> Further, </w:t>
      </w:r>
      <w:r w:rsidR="00CD55D4">
        <w:t xml:space="preserve">organisations must remain relevant on changing norms, such as the use of technology, flexible working and </w:t>
      </w:r>
      <w:r w:rsidR="006E34BC">
        <w:t xml:space="preserve">well-being initiatives. As slow or resistant adapters to </w:t>
      </w:r>
      <w:r w:rsidR="00DB2C47">
        <w:t>non-financial</w:t>
      </w:r>
      <w:r w:rsidR="00995B6F">
        <w:t xml:space="preserve"> </w:t>
      </w:r>
      <w:r w:rsidR="00DB2C47">
        <w:t>cultural</w:t>
      </w:r>
      <w:r w:rsidR="006E34BC">
        <w:t xml:space="preserve"> expectations </w:t>
      </w:r>
      <w:r w:rsidR="00995B6F">
        <w:t>may find recruitment and retention problematic</w:t>
      </w:r>
      <w:r w:rsidR="009A45E2">
        <w:t xml:space="preserve"> </w:t>
      </w:r>
      <w:sdt>
        <w:sdtPr>
          <w:id w:val="-636870707"/>
          <w:citation/>
        </w:sdtPr>
        <w:sdtContent>
          <w:r w:rsidR="009A45E2">
            <w:fldChar w:fldCharType="begin"/>
          </w:r>
          <w:r w:rsidR="009A45E2">
            <w:rPr>
              <w:lang w:val="en-US"/>
            </w:rPr>
            <w:instrText xml:space="preserve"> CITATION Car21 \l 1033 </w:instrText>
          </w:r>
          <w:r w:rsidR="009A45E2">
            <w:fldChar w:fldCharType="separate"/>
          </w:r>
          <w:r w:rsidR="009A45E2" w:rsidRPr="009A45E2">
            <w:rPr>
              <w:noProof/>
              <w:lang w:val="en-US"/>
            </w:rPr>
            <w:t>(Cardoso, et al., 2021)</w:t>
          </w:r>
          <w:r w:rsidR="009A45E2">
            <w:fldChar w:fldCharType="end"/>
          </w:r>
        </w:sdtContent>
      </w:sdt>
      <w:r w:rsidR="00995B6F">
        <w:t>.</w:t>
      </w:r>
    </w:p>
    <w:p w14:paraId="728A8F99" w14:textId="77777777" w:rsidR="00C91990" w:rsidRDefault="00C91990" w:rsidP="000E5D27">
      <w:pPr>
        <w:pStyle w:val="Nornal"/>
      </w:pPr>
    </w:p>
    <w:p w14:paraId="3051AE97" w14:textId="4451C971" w:rsidR="00FC6423" w:rsidRDefault="00D953AF" w:rsidP="00FC6423">
      <w:pPr>
        <w:pStyle w:val="Nornal"/>
        <w:numPr>
          <w:ilvl w:val="0"/>
          <w:numId w:val="2"/>
        </w:numPr>
      </w:pPr>
      <w:r>
        <w:lastRenderedPageBreak/>
        <w:t>(</w:t>
      </w:r>
      <w:r w:rsidR="00FC6423">
        <w:t>AC 1.3)</w:t>
      </w:r>
    </w:p>
    <w:p w14:paraId="2501177D" w14:textId="6D72E08A" w:rsidR="00117643" w:rsidRDefault="00BF46F1" w:rsidP="00117643">
      <w:pPr>
        <w:pStyle w:val="Nornal"/>
      </w:pPr>
      <w:r>
        <w:t>The employment landscape is consistently evolving</w:t>
      </w:r>
      <w:r w:rsidR="000968CE">
        <w:t xml:space="preserve">, so that employers and the government need to remain agile and </w:t>
      </w:r>
      <w:r w:rsidR="00A51EC1">
        <w:t xml:space="preserve">proactive to facilitate future skills demands. With </w:t>
      </w:r>
      <w:r w:rsidR="00AA36D1">
        <w:t xml:space="preserve">the recent report from The world Economic Forum estimating over half of the workforce will need reskilling over the next few years </w:t>
      </w:r>
      <w:sdt>
        <w:sdtPr>
          <w:id w:val="1027301824"/>
          <w:citation/>
        </w:sdtPr>
        <w:sdtContent>
          <w:r w:rsidR="00AA36D1">
            <w:fldChar w:fldCharType="begin"/>
          </w:r>
          <w:r w:rsidR="00AA36D1">
            <w:rPr>
              <w:lang w:val="en-US"/>
            </w:rPr>
            <w:instrText xml:space="preserve"> CITATION Wor23 \l 1033 </w:instrText>
          </w:r>
          <w:r w:rsidR="00AA36D1">
            <w:fldChar w:fldCharType="separate"/>
          </w:r>
          <w:r w:rsidR="00AA36D1" w:rsidRPr="00AA36D1">
            <w:rPr>
              <w:noProof/>
              <w:lang w:val="en-US"/>
            </w:rPr>
            <w:t>(World Economic Forum, 2023)</w:t>
          </w:r>
          <w:r w:rsidR="00AA36D1">
            <w:fldChar w:fldCharType="end"/>
          </w:r>
        </w:sdtContent>
      </w:sdt>
      <w:r w:rsidR="006F6FA9">
        <w:t xml:space="preserve">. </w:t>
      </w:r>
      <w:r w:rsidR="00AD67A6">
        <w:t xml:space="preserve">Governments must ensure that they are providing adequate pathways to enable development, </w:t>
      </w:r>
      <w:r w:rsidR="007A1177">
        <w:t xml:space="preserve">while businesses may be looking short term, governments must look into the future and take a broader approach. </w:t>
      </w:r>
      <w:r w:rsidR="001D7AD8">
        <w:t xml:space="preserve">Failure to identify and promote upskilling can </w:t>
      </w:r>
      <w:r w:rsidR="003C7941">
        <w:t>prevent businesses from providing the investment needed to remain competitive, producing barriers to growth</w:t>
      </w:r>
      <w:r w:rsidR="009A6767">
        <w:t>, as set out below.</w:t>
      </w:r>
    </w:p>
    <w:p w14:paraId="512C940F" w14:textId="77777777" w:rsidR="009A6767" w:rsidRDefault="009A6767" w:rsidP="00117643">
      <w:pPr>
        <w:pStyle w:val="Nornal"/>
      </w:pPr>
    </w:p>
    <w:p w14:paraId="40E416A8" w14:textId="4DC4BF0A" w:rsidR="009A6767" w:rsidRDefault="009A6767" w:rsidP="00117643">
      <w:pPr>
        <w:pStyle w:val="Nornal"/>
      </w:pPr>
      <w:r>
        <w:rPr>
          <w:noProof/>
        </w:rPr>
        <w:drawing>
          <wp:inline distT="0" distB="0" distL="0" distR="0" wp14:anchorId="0FE1BBA7" wp14:editId="7655359C">
            <wp:extent cx="5539740" cy="2421744"/>
            <wp:effectExtent l="0" t="0" r="3810" b="0"/>
            <wp:docPr id="254095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95365" name="Picture 1" descr="A screenshot of a computer&#10;&#10;Description automatically generated"/>
                    <pic:cNvPicPr/>
                  </pic:nvPicPr>
                  <pic:blipFill rotWithShape="1">
                    <a:blip r:embed="rId8"/>
                    <a:srcRect l="26191" t="41600" r="25150" b="20583"/>
                    <a:stretch/>
                  </pic:blipFill>
                  <pic:spPr bwMode="auto">
                    <a:xfrm>
                      <a:off x="0" y="0"/>
                      <a:ext cx="5561492" cy="2431253"/>
                    </a:xfrm>
                    <a:prstGeom prst="rect">
                      <a:avLst/>
                    </a:prstGeom>
                    <a:ln>
                      <a:noFill/>
                    </a:ln>
                    <a:extLst>
                      <a:ext uri="{53640926-AAD7-44D8-BBD7-CCE9431645EC}">
                        <a14:shadowObscured xmlns:a14="http://schemas.microsoft.com/office/drawing/2010/main"/>
                      </a:ext>
                    </a:extLst>
                  </pic:spPr>
                </pic:pic>
              </a:graphicData>
            </a:graphic>
          </wp:inline>
        </w:drawing>
      </w:r>
    </w:p>
    <w:p w14:paraId="382CBEE3" w14:textId="42DBA5F4" w:rsidR="002E0A09" w:rsidRDefault="002E0A09" w:rsidP="00117643">
      <w:pPr>
        <w:pStyle w:val="Nornal"/>
      </w:pPr>
      <w:r>
        <w:t xml:space="preserve">Without government intervention, businesses can fail to adapt in invest in their future, which can ripple effects into other areas, such as recruitment, competitive advantage </w:t>
      </w:r>
      <w:r w:rsidR="00092BD5">
        <w:t xml:space="preserve">and strategy. </w:t>
      </w:r>
      <w:r w:rsidR="006347F2">
        <w:t xml:space="preserve">Employers must also play a vital part in the development of its </w:t>
      </w:r>
      <w:r w:rsidR="00375BF3">
        <w:t xml:space="preserve">employees. Strategies such as workforce planning and </w:t>
      </w:r>
      <w:r w:rsidR="00733CEF">
        <w:t>training plans can help to identify skills and retain performing employees</w:t>
      </w:r>
      <w:r w:rsidR="00437BDD">
        <w:t xml:space="preserve"> </w:t>
      </w:r>
      <w:sdt>
        <w:sdtPr>
          <w:id w:val="509182612"/>
          <w:citation/>
        </w:sdtPr>
        <w:sdtContent>
          <w:r w:rsidR="00437BDD">
            <w:fldChar w:fldCharType="begin"/>
          </w:r>
          <w:r w:rsidR="00437BDD">
            <w:rPr>
              <w:lang w:val="en-US"/>
            </w:rPr>
            <w:instrText xml:space="preserve"> CITATION CIP224 \l 1033 </w:instrText>
          </w:r>
          <w:r w:rsidR="00437BDD">
            <w:fldChar w:fldCharType="separate"/>
          </w:r>
          <w:r w:rsidR="00437BDD" w:rsidRPr="00437BDD">
            <w:rPr>
              <w:noProof/>
              <w:lang w:val="en-US"/>
            </w:rPr>
            <w:t>(CIPD, 2022)</w:t>
          </w:r>
          <w:r w:rsidR="00437BDD">
            <w:fldChar w:fldCharType="end"/>
          </w:r>
        </w:sdtContent>
      </w:sdt>
      <w:r w:rsidR="00437BDD">
        <w:t xml:space="preserve">. </w:t>
      </w:r>
      <w:r w:rsidR="009027AB">
        <w:t xml:space="preserve">These strategies can help identify future skills, such as IT </w:t>
      </w:r>
      <w:r w:rsidR="00ED7851">
        <w:t xml:space="preserve">competence, regulatory updates. Further, strategies can help employees forecast roles which are likely to become </w:t>
      </w:r>
      <w:r w:rsidR="00D00DF2">
        <w:t>autonomised, including risks such as artificial intelligence</w:t>
      </w:r>
      <w:r w:rsidR="00F02E76">
        <w:t xml:space="preserve"> </w:t>
      </w:r>
      <w:sdt>
        <w:sdtPr>
          <w:id w:val="1304895413"/>
          <w:citation/>
        </w:sdtPr>
        <w:sdtContent>
          <w:r w:rsidR="00F02E76">
            <w:fldChar w:fldCharType="begin"/>
          </w:r>
          <w:r w:rsidR="00F02E76">
            <w:rPr>
              <w:lang w:val="en-US"/>
            </w:rPr>
            <w:instrText xml:space="preserve"> CITATION Gru20 \l 1033 </w:instrText>
          </w:r>
          <w:r w:rsidR="00F02E76">
            <w:fldChar w:fldCharType="separate"/>
          </w:r>
          <w:r w:rsidR="00F02E76" w:rsidRPr="00F02E76">
            <w:rPr>
              <w:noProof/>
              <w:lang w:val="en-US"/>
            </w:rPr>
            <w:t>(Gruetzemacher, et al., 2020)</w:t>
          </w:r>
          <w:r w:rsidR="00F02E76">
            <w:fldChar w:fldCharType="end"/>
          </w:r>
        </w:sdtContent>
      </w:sdt>
      <w:r w:rsidR="00D00DF2">
        <w:t xml:space="preserve">. </w:t>
      </w:r>
      <w:r w:rsidR="00D04538">
        <w:t xml:space="preserve">Employers can </w:t>
      </w:r>
      <w:r w:rsidR="00315CA5">
        <w:t>develop their employees through apprenticeships and funded short courses</w:t>
      </w:r>
      <w:r w:rsidR="007971F0">
        <w:t>, which can be offered with nil financial investment for both employers and employees</w:t>
      </w:r>
      <w:r w:rsidR="00A2588E">
        <w:t xml:space="preserve">, these can help upskill staff to drive performance, or facilitate </w:t>
      </w:r>
      <w:r w:rsidR="00191893">
        <w:t>training</w:t>
      </w:r>
      <w:r w:rsidR="00A2588E">
        <w:t xml:space="preserve"> for those </w:t>
      </w:r>
      <w:r w:rsidR="00191893">
        <w:t>at risk of role redundancy due to technology</w:t>
      </w:r>
      <w:r w:rsidR="001B0DDB">
        <w:t xml:space="preserve"> </w:t>
      </w:r>
      <w:sdt>
        <w:sdtPr>
          <w:id w:val="-1766294525"/>
          <w:citation/>
        </w:sdtPr>
        <w:sdtContent>
          <w:r w:rsidR="001B0DDB">
            <w:fldChar w:fldCharType="begin"/>
          </w:r>
          <w:r w:rsidR="001B0DDB">
            <w:rPr>
              <w:lang w:val="en-US"/>
            </w:rPr>
            <w:instrText xml:space="preserve"> CITATION Jai20 \l 1033 </w:instrText>
          </w:r>
          <w:r w:rsidR="001B0DDB">
            <w:fldChar w:fldCharType="separate"/>
          </w:r>
          <w:r w:rsidR="001B0DDB" w:rsidRPr="001B0DDB">
            <w:rPr>
              <w:noProof/>
              <w:lang w:val="en-US"/>
            </w:rPr>
            <w:t>(Jaiswal, et al., 2020)</w:t>
          </w:r>
          <w:r w:rsidR="001B0DDB">
            <w:fldChar w:fldCharType="end"/>
          </w:r>
        </w:sdtContent>
      </w:sdt>
      <w:r w:rsidR="00191893">
        <w:t xml:space="preserve">. </w:t>
      </w:r>
      <w:r w:rsidR="00D77042">
        <w:t xml:space="preserve">Trade unions focus on the overall wellbeing of the </w:t>
      </w:r>
      <w:r w:rsidR="003E0CB0">
        <w:t>workfo</w:t>
      </w:r>
      <w:r w:rsidR="0031665E">
        <w:t xml:space="preserve">rce, for example, the TUC work on </w:t>
      </w:r>
      <w:r w:rsidR="00343BD1">
        <w:t xml:space="preserve">social equality and pay </w:t>
      </w:r>
      <w:sdt>
        <w:sdtPr>
          <w:id w:val="999076556"/>
          <w:citation/>
        </w:sdtPr>
        <w:sdtContent>
          <w:r w:rsidR="00343BD1">
            <w:fldChar w:fldCharType="begin"/>
          </w:r>
          <w:r w:rsidR="00343BD1">
            <w:rPr>
              <w:lang w:val="en-US"/>
            </w:rPr>
            <w:instrText xml:space="preserve"> CITATION TUC23 \l 1033 </w:instrText>
          </w:r>
          <w:r w:rsidR="00343BD1">
            <w:fldChar w:fldCharType="separate"/>
          </w:r>
          <w:r w:rsidR="00343BD1" w:rsidRPr="00343BD1">
            <w:rPr>
              <w:noProof/>
              <w:lang w:val="en-US"/>
            </w:rPr>
            <w:t>(TUC, 2023)</w:t>
          </w:r>
          <w:r w:rsidR="00343BD1">
            <w:fldChar w:fldCharType="end"/>
          </w:r>
        </w:sdtContent>
      </w:sdt>
      <w:r w:rsidR="00343BD1">
        <w:t xml:space="preserve">. </w:t>
      </w:r>
      <w:r w:rsidR="00B751F7">
        <w:t>Additional, unions depl</w:t>
      </w:r>
      <w:r w:rsidR="00CD0DB3">
        <w:t>o</w:t>
      </w:r>
      <w:r w:rsidR="00B751F7">
        <w:t xml:space="preserve">y learning reps within </w:t>
      </w:r>
      <w:r w:rsidR="00CD0DB3">
        <w:t xml:space="preserve">the workplace to develop and improve skills. </w:t>
      </w:r>
      <w:r w:rsidR="00546BDD">
        <w:t>Their role is to facilitate an</w:t>
      </w:r>
      <w:r w:rsidR="00963842">
        <w:t>d</w:t>
      </w:r>
      <w:r w:rsidR="00546BDD">
        <w:t xml:space="preserve"> raise awareness of development opportunities, and to </w:t>
      </w:r>
      <w:r w:rsidR="001166E9">
        <w:t>improve confidence within the workforce to enrol</w:t>
      </w:r>
      <w:r w:rsidR="00794B8A">
        <w:t xml:space="preserve"> </w:t>
      </w:r>
      <w:sdt>
        <w:sdtPr>
          <w:id w:val="-1089305741"/>
          <w:citation/>
        </w:sdtPr>
        <w:sdtContent>
          <w:r w:rsidR="00794B8A">
            <w:fldChar w:fldCharType="begin"/>
          </w:r>
          <w:r w:rsidR="00794B8A">
            <w:rPr>
              <w:lang w:val="en-US"/>
            </w:rPr>
            <w:instrText xml:space="preserve"> CITATION Hee00 \l 1033 </w:instrText>
          </w:r>
          <w:r w:rsidR="00794B8A">
            <w:fldChar w:fldCharType="separate"/>
          </w:r>
          <w:r w:rsidR="00794B8A" w:rsidRPr="00794B8A">
            <w:rPr>
              <w:noProof/>
              <w:lang w:val="en-US"/>
            </w:rPr>
            <w:t>(Heery &amp; Abbott, 2000)</w:t>
          </w:r>
          <w:r w:rsidR="00794B8A">
            <w:fldChar w:fldCharType="end"/>
          </w:r>
        </w:sdtContent>
      </w:sdt>
      <w:r w:rsidR="001166E9">
        <w:t>.</w:t>
      </w:r>
    </w:p>
    <w:p w14:paraId="48A3A89A" w14:textId="45C32BD3" w:rsidR="00FC6423" w:rsidRDefault="00FC6423" w:rsidP="00FC6423">
      <w:pPr>
        <w:pStyle w:val="Nornal"/>
        <w:numPr>
          <w:ilvl w:val="0"/>
          <w:numId w:val="2"/>
        </w:numPr>
      </w:pPr>
      <w:r>
        <w:t>(AC 2.1)</w:t>
      </w:r>
    </w:p>
    <w:p w14:paraId="56BDCE12" w14:textId="259F6BC8" w:rsidR="00595C09" w:rsidRDefault="000E72A0" w:rsidP="00595C09">
      <w:pPr>
        <w:pStyle w:val="Nornal"/>
      </w:pPr>
      <w:r>
        <w:t>W</w:t>
      </w:r>
      <w:r w:rsidR="00595C09">
        <w:t xml:space="preserve">orkforce planning is a critical </w:t>
      </w:r>
      <w:r w:rsidR="00794B8A">
        <w:t>strategy to</w:t>
      </w:r>
      <w:r w:rsidR="00595C09">
        <w:t xml:space="preserve"> </w:t>
      </w:r>
      <w:r w:rsidR="00CC788F">
        <w:t>align worker demand and the supply of workers</w:t>
      </w:r>
      <w:r w:rsidR="00AB5283">
        <w:t xml:space="preserve"> </w:t>
      </w:r>
      <w:sdt>
        <w:sdtPr>
          <w:id w:val="1992745213"/>
          <w:citation/>
        </w:sdtPr>
        <w:sdtContent>
          <w:r w:rsidR="00AB5283">
            <w:fldChar w:fldCharType="begin"/>
          </w:r>
          <w:r w:rsidR="00AB5283">
            <w:rPr>
              <w:lang w:val="en-US"/>
            </w:rPr>
            <w:instrText xml:space="preserve"> CITATION Kar16 \l 1033 </w:instrText>
          </w:r>
          <w:r w:rsidR="00AB5283">
            <w:fldChar w:fldCharType="separate"/>
          </w:r>
          <w:r w:rsidR="00AB5283" w:rsidRPr="00AB5283">
            <w:rPr>
              <w:noProof/>
              <w:lang w:val="en-US"/>
            </w:rPr>
            <w:t>(Karia, et al., 2016)</w:t>
          </w:r>
          <w:r w:rsidR="00AB5283">
            <w:fldChar w:fldCharType="end"/>
          </w:r>
        </w:sdtContent>
      </w:sdt>
      <w:r w:rsidR="00583D36">
        <w:t xml:space="preserve">. </w:t>
      </w:r>
      <w:r w:rsidR="0024580D">
        <w:t xml:space="preserve">It combines </w:t>
      </w:r>
      <w:r w:rsidR="001F68FF">
        <w:t xml:space="preserve">reviewing </w:t>
      </w:r>
      <w:r w:rsidR="004903BB">
        <w:t>staffing</w:t>
      </w:r>
      <w:r w:rsidR="000C5C6A">
        <w:t xml:space="preserve"> such as numeric and </w:t>
      </w:r>
      <w:r w:rsidR="00B82EA1">
        <w:t>statistics</w:t>
      </w:r>
      <w:r w:rsidR="00B65E5F">
        <w:t>,</w:t>
      </w:r>
      <w:r w:rsidR="004903BB">
        <w:t xml:space="preserve"> and s</w:t>
      </w:r>
      <w:r w:rsidR="00B65E5F">
        <w:t>trategic</w:t>
      </w:r>
      <w:r w:rsidR="00841192">
        <w:t>,</w:t>
      </w:r>
      <w:r w:rsidR="00B65E5F">
        <w:t xml:space="preserve"> such as </w:t>
      </w:r>
      <w:r w:rsidR="00B82EA1">
        <w:t>frameworks and performance measures</w:t>
      </w:r>
      <w:r w:rsidR="004903BB">
        <w:t xml:space="preserve"> </w:t>
      </w:r>
      <w:sdt>
        <w:sdtPr>
          <w:id w:val="739825825"/>
          <w:citation/>
        </w:sdtPr>
        <w:sdtContent>
          <w:r w:rsidR="004903BB">
            <w:fldChar w:fldCharType="begin"/>
          </w:r>
          <w:r w:rsidR="004903BB">
            <w:rPr>
              <w:lang w:val="en-US"/>
            </w:rPr>
            <w:instrText xml:space="preserve"> CITATION DeB13 \l 1033 </w:instrText>
          </w:r>
          <w:r w:rsidR="004903BB">
            <w:fldChar w:fldCharType="separate"/>
          </w:r>
          <w:r w:rsidR="004903BB" w:rsidRPr="004903BB">
            <w:rPr>
              <w:noProof/>
              <w:lang w:val="en-US"/>
            </w:rPr>
            <w:t>(De Bruecker, et al., 2013)</w:t>
          </w:r>
          <w:r w:rsidR="004903BB">
            <w:fldChar w:fldCharType="end"/>
          </w:r>
        </w:sdtContent>
      </w:sdt>
      <w:r w:rsidR="00B4566F">
        <w:t>.</w:t>
      </w:r>
      <w:r w:rsidR="00AD0A0B">
        <w:t xml:space="preserve"> </w:t>
      </w:r>
      <w:r w:rsidR="00F6780F">
        <w:t xml:space="preserve">Effective workforce planning can lead to </w:t>
      </w:r>
      <w:r>
        <w:t>several</w:t>
      </w:r>
      <w:r w:rsidR="00F6780F">
        <w:t xml:space="preserve"> benefits</w:t>
      </w:r>
      <w:r w:rsidR="00F82B29">
        <w:t xml:space="preserve">, such as, ensuring talent is available when required, futureproofing, improve </w:t>
      </w:r>
      <w:r w:rsidR="008E513B">
        <w:t>agility</w:t>
      </w:r>
      <w:r w:rsidR="00F82B29">
        <w:t xml:space="preserve">, </w:t>
      </w:r>
      <w:r w:rsidR="008E513B">
        <w:t xml:space="preserve">mitigate future risks </w:t>
      </w:r>
      <w:sdt>
        <w:sdtPr>
          <w:id w:val="-1901745582"/>
          <w:citation/>
        </w:sdtPr>
        <w:sdtContent>
          <w:r w:rsidR="008E513B">
            <w:fldChar w:fldCharType="begin"/>
          </w:r>
          <w:r w:rsidR="008E513B">
            <w:rPr>
              <w:lang w:val="en-US"/>
            </w:rPr>
            <w:instrText xml:space="preserve"> CITATION CIP2321 \l 1033 </w:instrText>
          </w:r>
          <w:r w:rsidR="008E513B">
            <w:fldChar w:fldCharType="separate"/>
          </w:r>
          <w:r w:rsidR="008E513B" w:rsidRPr="008E513B">
            <w:rPr>
              <w:noProof/>
              <w:lang w:val="en-US"/>
            </w:rPr>
            <w:t>(CIPD, 2023)</w:t>
          </w:r>
          <w:r w:rsidR="008E513B">
            <w:fldChar w:fldCharType="end"/>
          </w:r>
        </w:sdtContent>
      </w:sdt>
      <w:r w:rsidR="001C5DE6">
        <w:t>.</w:t>
      </w:r>
      <w:r w:rsidR="008525D2">
        <w:t xml:space="preserve"> </w:t>
      </w:r>
      <w:r w:rsidR="00841192">
        <w:t>These benefits ensure that organisation remain competitive</w:t>
      </w:r>
      <w:r w:rsidR="00E66F90">
        <w:t xml:space="preserve"> and relevant. </w:t>
      </w:r>
      <w:r w:rsidR="00332981">
        <w:t>Thus,</w:t>
      </w:r>
      <w:r w:rsidR="00E66F90">
        <w:t xml:space="preserve"> creating an </w:t>
      </w:r>
      <w:r w:rsidR="00E66F90">
        <w:lastRenderedPageBreak/>
        <w:t xml:space="preserve">organisation which can adapt and flex with the </w:t>
      </w:r>
      <w:r w:rsidR="00794B8A">
        <w:t>ever-changing</w:t>
      </w:r>
      <w:r w:rsidR="00E66F90">
        <w:t xml:space="preserve"> </w:t>
      </w:r>
      <w:r w:rsidR="00F27638">
        <w:t xml:space="preserve">commercial environment. </w:t>
      </w:r>
      <w:r w:rsidR="008525D2">
        <w:t>The CIPD suggests 6 steps for effective workforce planning, as set out below</w:t>
      </w:r>
    </w:p>
    <w:p w14:paraId="7B3760E3" w14:textId="601778CE" w:rsidR="008525D2" w:rsidRDefault="008525D2" w:rsidP="00744A97">
      <w:pPr>
        <w:pStyle w:val="Nornal"/>
        <w:jc w:val="center"/>
      </w:pPr>
      <w:r>
        <w:rPr>
          <w:noProof/>
        </w:rPr>
        <w:drawing>
          <wp:inline distT="0" distB="0" distL="0" distR="0" wp14:anchorId="7F8257DD" wp14:editId="3A7945A9">
            <wp:extent cx="3154680" cy="3001540"/>
            <wp:effectExtent l="0" t="0" r="7620" b="8890"/>
            <wp:docPr id="13693627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362769" name="Picture 1" descr="A screenshot of a computer&#10;&#10;Description automatically generated"/>
                    <pic:cNvPicPr/>
                  </pic:nvPicPr>
                  <pic:blipFill rotWithShape="1">
                    <a:blip r:embed="rId9"/>
                    <a:srcRect l="60625" t="32856" r="11987" b="20817"/>
                    <a:stretch/>
                  </pic:blipFill>
                  <pic:spPr bwMode="auto">
                    <a:xfrm>
                      <a:off x="0" y="0"/>
                      <a:ext cx="3157616" cy="3004333"/>
                    </a:xfrm>
                    <a:prstGeom prst="rect">
                      <a:avLst/>
                    </a:prstGeom>
                    <a:ln>
                      <a:noFill/>
                    </a:ln>
                    <a:extLst>
                      <a:ext uri="{53640926-AAD7-44D8-BBD7-CCE9431645EC}">
                        <a14:shadowObscured xmlns:a14="http://schemas.microsoft.com/office/drawing/2010/main"/>
                      </a:ext>
                    </a:extLst>
                  </pic:spPr>
                </pic:pic>
              </a:graphicData>
            </a:graphic>
          </wp:inline>
        </w:drawing>
      </w:r>
    </w:p>
    <w:p w14:paraId="3ABCE902" w14:textId="07E55FDE" w:rsidR="00744A97" w:rsidRDefault="00000000" w:rsidP="00744A97">
      <w:pPr>
        <w:pStyle w:val="Nornal"/>
        <w:jc w:val="right"/>
      </w:pPr>
      <w:sdt>
        <w:sdtPr>
          <w:id w:val="-9528327"/>
          <w:citation/>
        </w:sdtPr>
        <w:sdtContent>
          <w:r w:rsidR="00744A97">
            <w:fldChar w:fldCharType="begin"/>
          </w:r>
          <w:r w:rsidR="00744A97">
            <w:rPr>
              <w:lang w:val="en-US"/>
            </w:rPr>
            <w:instrText xml:space="preserve"> CITATION CIP2322 \l 1033 </w:instrText>
          </w:r>
          <w:r w:rsidR="00744A97">
            <w:fldChar w:fldCharType="separate"/>
          </w:r>
          <w:r w:rsidR="00744A97" w:rsidRPr="00744A97">
            <w:rPr>
              <w:noProof/>
              <w:lang w:val="en-US"/>
            </w:rPr>
            <w:t>(CIPD, 2023)</w:t>
          </w:r>
          <w:r w:rsidR="00744A97">
            <w:fldChar w:fldCharType="end"/>
          </w:r>
        </w:sdtContent>
      </w:sdt>
    </w:p>
    <w:p w14:paraId="588E5F9F" w14:textId="2279F9B9" w:rsidR="005613BA" w:rsidRDefault="00B65468" w:rsidP="005613BA">
      <w:pPr>
        <w:pStyle w:val="Nornal"/>
      </w:pPr>
      <w:r>
        <w:t>Workfo</w:t>
      </w:r>
      <w:r w:rsidR="00C94A53">
        <w:t>r</w:t>
      </w:r>
      <w:r>
        <w:t xml:space="preserve">ce planning is necessary tools to ensure that </w:t>
      </w:r>
      <w:r w:rsidR="00C94A53">
        <w:t>organisations</w:t>
      </w:r>
      <w:r>
        <w:t xml:space="preserve"> control, forecast, and adapt to internal and external </w:t>
      </w:r>
      <w:r w:rsidR="00C94A53">
        <w:t xml:space="preserve">factors. </w:t>
      </w:r>
      <w:r w:rsidR="00124A22">
        <w:t>Those organisations who conduct workforce planning perform better</w:t>
      </w:r>
      <w:r w:rsidR="00842993">
        <w:t xml:space="preserve"> </w:t>
      </w:r>
      <w:sdt>
        <w:sdtPr>
          <w:id w:val="492310697"/>
          <w:citation/>
        </w:sdtPr>
        <w:sdtContent>
          <w:r w:rsidR="00842993">
            <w:fldChar w:fldCharType="begin"/>
          </w:r>
          <w:r w:rsidR="00842993">
            <w:rPr>
              <w:lang w:val="en-US"/>
            </w:rPr>
            <w:instrText xml:space="preserve"> CITATION Rah24 \l 1033 </w:instrText>
          </w:r>
          <w:r w:rsidR="00842993">
            <w:fldChar w:fldCharType="separate"/>
          </w:r>
          <w:r w:rsidR="00842993" w:rsidRPr="00842993">
            <w:rPr>
              <w:noProof/>
              <w:lang w:val="en-US"/>
            </w:rPr>
            <w:t>(Rahaman &amp; Bari, 2024)</w:t>
          </w:r>
          <w:r w:rsidR="00842993">
            <w:fldChar w:fldCharType="end"/>
          </w:r>
        </w:sdtContent>
      </w:sdt>
      <w:r w:rsidR="00124A22">
        <w:t>.</w:t>
      </w:r>
      <w:r w:rsidR="00494BBA">
        <w:t xml:space="preserve"> However, strategies must be regularly reviewed to </w:t>
      </w:r>
      <w:r w:rsidR="0093454D">
        <w:t xml:space="preserve">remain effective. </w:t>
      </w:r>
    </w:p>
    <w:p w14:paraId="4987FC4E" w14:textId="0AC8DE84" w:rsidR="00FC6423" w:rsidRDefault="00FC6423" w:rsidP="00FC6423">
      <w:pPr>
        <w:pStyle w:val="Nornal"/>
        <w:numPr>
          <w:ilvl w:val="0"/>
          <w:numId w:val="2"/>
        </w:numPr>
      </w:pPr>
      <w:r>
        <w:t>(AC 2.2)</w:t>
      </w:r>
    </w:p>
    <w:p w14:paraId="144CBD62" w14:textId="51070921" w:rsidR="00EB6449" w:rsidRDefault="005B5C49" w:rsidP="00B65F1E">
      <w:pPr>
        <w:pStyle w:val="Nornal"/>
      </w:pPr>
      <w:r>
        <w:t xml:space="preserve">Workforce planning can be used to gather data to create more informed decisions. </w:t>
      </w:r>
      <w:r w:rsidR="00055E1A">
        <w:t>It can help to analyse the workforce to help forecast skill and staff demand</w:t>
      </w:r>
      <w:r w:rsidR="00756272">
        <w:t xml:space="preserve"> </w:t>
      </w:r>
      <w:sdt>
        <w:sdtPr>
          <w:id w:val="1992365663"/>
          <w:citation/>
        </w:sdtPr>
        <w:sdtContent>
          <w:r w:rsidR="00756272">
            <w:fldChar w:fldCharType="begin"/>
          </w:r>
          <w:r w:rsidR="00756272">
            <w:rPr>
              <w:lang w:val="en-US"/>
            </w:rPr>
            <w:instrText xml:space="preserve"> CITATION Sok24 \l 1033 </w:instrText>
          </w:r>
          <w:r w:rsidR="00756272">
            <w:fldChar w:fldCharType="separate"/>
          </w:r>
          <w:r w:rsidR="00756272" w:rsidRPr="00756272">
            <w:rPr>
              <w:noProof/>
              <w:lang w:val="en-US"/>
            </w:rPr>
            <w:t>(Sokol &amp; Tarulli, 2024)</w:t>
          </w:r>
          <w:r w:rsidR="00756272">
            <w:fldChar w:fldCharType="end"/>
          </w:r>
        </w:sdtContent>
      </w:sdt>
      <w:r w:rsidR="00851383">
        <w:t>.</w:t>
      </w:r>
      <w:r w:rsidR="00BF030D">
        <w:t xml:space="preserve"> </w:t>
      </w:r>
      <w:r w:rsidR="00851383">
        <w:t xml:space="preserve"> There are two t</w:t>
      </w:r>
      <w:r w:rsidR="00F274E2">
        <w:t xml:space="preserve">echniques which organisations can </w:t>
      </w:r>
      <w:r w:rsidR="00172DB8">
        <w:t>utilise</w:t>
      </w:r>
      <w:r w:rsidR="00F274E2">
        <w:t xml:space="preserve">; hard workforce planning and soft workforce planning. </w:t>
      </w:r>
      <w:r w:rsidR="006B447E">
        <w:t xml:space="preserve">Hard </w:t>
      </w:r>
      <w:r w:rsidR="004A2FB2">
        <w:t>workforce planning involves utilising quantitative data to drive decisions</w:t>
      </w:r>
      <w:r w:rsidR="0059718C">
        <w:t xml:space="preserve"> </w:t>
      </w:r>
      <w:sdt>
        <w:sdtPr>
          <w:id w:val="-1994943932"/>
          <w:citation/>
        </w:sdtPr>
        <w:sdtContent>
          <w:r w:rsidR="0059718C">
            <w:fldChar w:fldCharType="begin"/>
          </w:r>
          <w:r w:rsidR="0059718C">
            <w:rPr>
              <w:lang w:val="en-US"/>
            </w:rPr>
            <w:instrText xml:space="preserve"> CITATION CIP2321 \l 1033 </w:instrText>
          </w:r>
          <w:r w:rsidR="0059718C">
            <w:fldChar w:fldCharType="separate"/>
          </w:r>
          <w:r w:rsidR="0059718C" w:rsidRPr="0059718C">
            <w:rPr>
              <w:noProof/>
              <w:lang w:val="en-US"/>
            </w:rPr>
            <w:t>(CIPD, 2023)</w:t>
          </w:r>
          <w:r w:rsidR="0059718C">
            <w:fldChar w:fldCharType="end"/>
          </w:r>
        </w:sdtContent>
      </w:sdt>
      <w:r w:rsidR="00E248B0">
        <w:t xml:space="preserve">. </w:t>
      </w:r>
      <w:r w:rsidR="007F3A23">
        <w:t>Utilising</w:t>
      </w:r>
      <w:r w:rsidR="00E248B0">
        <w:t xml:space="preserve"> statistics</w:t>
      </w:r>
      <w:r w:rsidR="002357F4">
        <w:t xml:space="preserve"> can help to paint a picture of the causes and likely </w:t>
      </w:r>
      <w:r w:rsidR="00366B6A">
        <w:t xml:space="preserve">results within certain scenarios. However, due to its binary nature, analysing the data </w:t>
      </w:r>
      <w:r w:rsidR="00E917A4">
        <w:t>can lead to misinterpretation</w:t>
      </w:r>
      <w:r w:rsidR="00C668E6">
        <w:t xml:space="preserve">. For example, </w:t>
      </w:r>
      <w:r w:rsidR="00F90477">
        <w:t xml:space="preserve">there could a </w:t>
      </w:r>
      <w:r w:rsidR="00D60F32">
        <w:t xml:space="preserve">significant drop in apprentices, which could highlight a recruitment problem, but there could be external reasons, such as a </w:t>
      </w:r>
      <w:r w:rsidR="00F97397">
        <w:t>government pause on the levy. Therefore, to successfully utilise hard workforce planning, the data must be analyse</w:t>
      </w:r>
      <w:r w:rsidR="00CA7FDE">
        <w:t>d</w:t>
      </w:r>
      <w:r w:rsidR="00D51458">
        <w:t>, understood and appreciated</w:t>
      </w:r>
      <w:r w:rsidR="00F97397">
        <w:t xml:space="preserve"> in context, and in conjunction with</w:t>
      </w:r>
      <w:r w:rsidR="00524957">
        <w:t xml:space="preserve"> any external or internal factors. </w:t>
      </w:r>
      <w:r w:rsidR="00D51458">
        <w:t>Simply running the data without any knowledge of the sector can lead to drastic results.</w:t>
      </w:r>
      <w:r w:rsidR="000449CB">
        <w:t xml:space="preserve"> </w:t>
      </w:r>
    </w:p>
    <w:p w14:paraId="77C8A3C0" w14:textId="25CA8F49" w:rsidR="00B65F1E" w:rsidRDefault="000449CB" w:rsidP="00B65F1E">
      <w:pPr>
        <w:pStyle w:val="Nornal"/>
      </w:pPr>
      <w:r>
        <w:t xml:space="preserve">Soft </w:t>
      </w:r>
      <w:r w:rsidR="0096540C">
        <w:t xml:space="preserve">workforce planning involves the defining a </w:t>
      </w:r>
      <w:r w:rsidR="00A51A3F">
        <w:t>framework</w:t>
      </w:r>
      <w:r w:rsidR="0096540C">
        <w:t xml:space="preserve"> which data can be analysed</w:t>
      </w:r>
      <w:r w:rsidR="008A0757">
        <w:t xml:space="preserve"> </w:t>
      </w:r>
      <w:sdt>
        <w:sdtPr>
          <w:id w:val="-131255184"/>
          <w:citation/>
        </w:sdtPr>
        <w:sdtContent>
          <w:r w:rsidR="008A0757">
            <w:fldChar w:fldCharType="begin"/>
          </w:r>
          <w:r w:rsidR="008A0757">
            <w:rPr>
              <w:lang w:val="en-US"/>
            </w:rPr>
            <w:instrText xml:space="preserve"> CITATION CIP2321 \l 1033 </w:instrText>
          </w:r>
          <w:r w:rsidR="008A0757">
            <w:fldChar w:fldCharType="separate"/>
          </w:r>
          <w:r w:rsidR="008A0757" w:rsidRPr="008A0757">
            <w:rPr>
              <w:noProof/>
              <w:lang w:val="en-US"/>
            </w:rPr>
            <w:t>(CIPD, 2023)</w:t>
          </w:r>
          <w:r w:rsidR="008A0757">
            <w:fldChar w:fldCharType="end"/>
          </w:r>
        </w:sdtContent>
      </w:sdt>
      <w:r w:rsidR="0096540C">
        <w:t xml:space="preserve">. </w:t>
      </w:r>
      <w:r w:rsidR="00791C7E">
        <w:t>This allows individuals to identify metrics in order to drive pe</w:t>
      </w:r>
      <w:r w:rsidR="00CF7A28">
        <w:t xml:space="preserve">rformance, agility and response to change. </w:t>
      </w:r>
      <w:r w:rsidR="00DA2825">
        <w:t xml:space="preserve">The strategy focuses on productivity, </w:t>
      </w:r>
      <w:r w:rsidR="000C2E23">
        <w:t>performance</w:t>
      </w:r>
      <w:r w:rsidR="00DA2825">
        <w:t>, development, culture and skills. I</w:t>
      </w:r>
      <w:r w:rsidR="00C05A3A">
        <w:t xml:space="preserve">t can help individuals follow a roadmap without the need to further investigate </w:t>
      </w:r>
      <w:r w:rsidR="00734489">
        <w:t xml:space="preserve">phenomena with some level of autonomy. However, </w:t>
      </w:r>
      <w:r w:rsidR="00BF2EA9">
        <w:t xml:space="preserve">the framework is only as effective as its original creation and understanding, a strategy build upon misinformation, misinterpretation or </w:t>
      </w:r>
      <w:r w:rsidR="000C2E23">
        <w:t>lack</w:t>
      </w:r>
      <w:r w:rsidR="00DC0679">
        <w:t xml:space="preserve"> of understanding will not yield success</w:t>
      </w:r>
      <w:r w:rsidR="00FC131B">
        <w:t xml:space="preserve"> </w:t>
      </w:r>
      <w:sdt>
        <w:sdtPr>
          <w:id w:val="1464461830"/>
          <w:citation/>
        </w:sdtPr>
        <w:sdtContent>
          <w:r w:rsidR="00FC131B">
            <w:fldChar w:fldCharType="begin"/>
          </w:r>
          <w:r w:rsidR="00FC131B">
            <w:rPr>
              <w:lang w:val="en-US"/>
            </w:rPr>
            <w:instrText xml:space="preserve"> CITATION DeB13 \l 1033 </w:instrText>
          </w:r>
          <w:r w:rsidR="00FC131B">
            <w:fldChar w:fldCharType="separate"/>
          </w:r>
          <w:r w:rsidR="00FC131B" w:rsidRPr="00FC131B">
            <w:rPr>
              <w:noProof/>
              <w:lang w:val="en-US"/>
            </w:rPr>
            <w:t>(De Bruecker, et al., 2013)</w:t>
          </w:r>
          <w:r w:rsidR="00FC131B">
            <w:fldChar w:fldCharType="end"/>
          </w:r>
        </w:sdtContent>
      </w:sdt>
      <w:r w:rsidR="00DC0679">
        <w:t xml:space="preserve">. </w:t>
      </w:r>
      <w:r w:rsidR="000C2E23">
        <w:t>Further, culture, skills gaps and experience can rapidly change. Therefore, the strategy would need consistent review to ensure its relevance.</w:t>
      </w:r>
    </w:p>
    <w:p w14:paraId="00E70672" w14:textId="146FA7A6" w:rsidR="00FC6423" w:rsidRDefault="00FC6423" w:rsidP="00FC6423">
      <w:pPr>
        <w:pStyle w:val="Nornal"/>
        <w:numPr>
          <w:ilvl w:val="0"/>
          <w:numId w:val="2"/>
        </w:numPr>
      </w:pPr>
      <w:r>
        <w:lastRenderedPageBreak/>
        <w:t xml:space="preserve"> (AC 2.3)</w:t>
      </w:r>
    </w:p>
    <w:p w14:paraId="7542EA16" w14:textId="3C802888" w:rsidR="00DB2C47" w:rsidRDefault="001B082D" w:rsidP="00DB2C47">
      <w:pPr>
        <w:pStyle w:val="Nornal"/>
      </w:pPr>
      <w:r>
        <w:t xml:space="preserve">Traditional </w:t>
      </w:r>
      <w:r w:rsidR="00237E33">
        <w:t xml:space="preserve">approach to </w:t>
      </w:r>
      <w:r w:rsidR="00204653">
        <w:t xml:space="preserve">succession is through the </w:t>
      </w:r>
      <w:r w:rsidR="00EA6229">
        <w:t xml:space="preserve">top down succession schemes. This is where internal successors are identified and have their career paths planned ahead. </w:t>
      </w:r>
      <w:r w:rsidR="007F3248">
        <w:t xml:space="preserve">The selection of these individuals </w:t>
      </w:r>
      <w:r w:rsidR="004C5FAE">
        <w:t xml:space="preserve">is usually made at a senior level, and usually only applies to a select few. </w:t>
      </w:r>
      <w:r w:rsidR="005C29CD">
        <w:t>This type of planning ensures that if a senior member leaves, there are procedures in place to appoint a successor.</w:t>
      </w:r>
      <w:r w:rsidR="00C024CF">
        <w:t xml:space="preserve"> Usually</w:t>
      </w:r>
      <w:r w:rsidR="0077552A">
        <w:t>,</w:t>
      </w:r>
      <w:r w:rsidR="00C024CF">
        <w:t xml:space="preserve"> senior managers are consulted on up and coming talent, </w:t>
      </w:r>
      <w:r w:rsidR="00D65CDF">
        <w:t>through various ‘tick box exercises’</w:t>
      </w:r>
      <w:r w:rsidR="00E4289C">
        <w:t xml:space="preserve"> </w:t>
      </w:r>
      <w:sdt>
        <w:sdtPr>
          <w:id w:val="-349114805"/>
          <w:citation/>
        </w:sdtPr>
        <w:sdtContent>
          <w:r w:rsidR="00E4289C">
            <w:fldChar w:fldCharType="begin"/>
          </w:r>
          <w:r w:rsidR="00E4289C">
            <w:rPr>
              <w:lang w:val="en-US"/>
            </w:rPr>
            <w:instrText xml:space="preserve"> CITATION WHi00 \l 1033 </w:instrText>
          </w:r>
          <w:r w:rsidR="00E4289C">
            <w:fldChar w:fldCharType="separate"/>
          </w:r>
          <w:r w:rsidR="00E4289C" w:rsidRPr="00E4289C">
            <w:rPr>
              <w:noProof/>
              <w:lang w:val="en-US"/>
            </w:rPr>
            <w:t>(Hirsh, 2000)</w:t>
          </w:r>
          <w:r w:rsidR="00E4289C">
            <w:fldChar w:fldCharType="end"/>
          </w:r>
        </w:sdtContent>
      </w:sdt>
      <w:r w:rsidR="00D65CDF">
        <w:t>.</w:t>
      </w:r>
      <w:r w:rsidR="000E2391">
        <w:t xml:space="preserve"> While this strategy helps to help organisation through </w:t>
      </w:r>
      <w:r w:rsidR="009D4A3C">
        <w:t xml:space="preserve">resilience, the lack of </w:t>
      </w:r>
      <w:r w:rsidR="00E4289C">
        <w:t>consultation</w:t>
      </w:r>
      <w:r w:rsidR="009D4A3C">
        <w:t xml:space="preserve"> can lead to employees being promoted into an undesired role</w:t>
      </w:r>
      <w:r w:rsidR="00F94661">
        <w:t xml:space="preserve"> </w:t>
      </w:r>
      <w:sdt>
        <w:sdtPr>
          <w:id w:val="1293877742"/>
          <w:citation/>
        </w:sdtPr>
        <w:sdtContent>
          <w:r w:rsidR="00F94661">
            <w:fldChar w:fldCharType="begin"/>
          </w:r>
          <w:r w:rsidR="00F94661">
            <w:rPr>
              <w:lang w:val="en-US"/>
            </w:rPr>
            <w:instrText xml:space="preserve"> CITATION Atw20 \l 1033 </w:instrText>
          </w:r>
          <w:r w:rsidR="00F94661">
            <w:fldChar w:fldCharType="separate"/>
          </w:r>
          <w:r w:rsidR="00F94661" w:rsidRPr="00F94661">
            <w:rPr>
              <w:noProof/>
              <w:lang w:val="en-US"/>
            </w:rPr>
            <w:t>(Atwood, 2020)</w:t>
          </w:r>
          <w:r w:rsidR="00F94661">
            <w:fldChar w:fldCharType="end"/>
          </w:r>
        </w:sdtContent>
      </w:sdt>
      <w:r w:rsidR="009D4A3C">
        <w:t>. For example, a successful sales person may not wish to become a manager.</w:t>
      </w:r>
      <w:r w:rsidR="008B7FEB">
        <w:t xml:space="preserve"> This strategy is usually secretive and rigid</w:t>
      </w:r>
      <w:r w:rsidR="00CB1DCA">
        <w:t xml:space="preserve"> so can </w:t>
      </w:r>
      <w:r w:rsidR="008F56B2">
        <w:t>be</w:t>
      </w:r>
      <w:r w:rsidR="00CB1DCA">
        <w:t xml:space="preserve"> difficult to adapt during periods of change. Further, as turnover intentions increase</w:t>
      </w:r>
      <w:r w:rsidR="00FF6B31">
        <w:t>, traditional ‘lifers’ are becoming rare</w:t>
      </w:r>
      <w:r w:rsidR="0076746A">
        <w:t xml:space="preserve"> </w:t>
      </w:r>
      <w:sdt>
        <w:sdtPr>
          <w:id w:val="1821154230"/>
          <w:citation/>
        </w:sdtPr>
        <w:sdtContent>
          <w:r w:rsidR="0076746A">
            <w:fldChar w:fldCharType="begin"/>
          </w:r>
          <w:r w:rsidR="0076746A">
            <w:rPr>
              <w:lang w:val="en-US"/>
            </w:rPr>
            <w:instrText xml:space="preserve"> CITATION Per21 \l 1033 </w:instrText>
          </w:r>
          <w:r w:rsidR="0076746A">
            <w:fldChar w:fldCharType="separate"/>
          </w:r>
          <w:r w:rsidR="0076746A" w:rsidRPr="0076746A">
            <w:rPr>
              <w:noProof/>
              <w:lang w:val="en-US"/>
            </w:rPr>
            <w:t>(Perwatiningsih &amp; Sawitri, 2021)</w:t>
          </w:r>
          <w:r w:rsidR="0076746A">
            <w:fldChar w:fldCharType="end"/>
          </w:r>
        </w:sdtContent>
      </w:sdt>
      <w:r w:rsidR="00FF6B31">
        <w:t xml:space="preserve">. </w:t>
      </w:r>
      <w:r w:rsidR="00F158D3">
        <w:t>Ultimately</w:t>
      </w:r>
      <w:r w:rsidR="00FF6B31">
        <w:t xml:space="preserve">, this leads to </w:t>
      </w:r>
      <w:r w:rsidR="00F158D3">
        <w:t>difficulty</w:t>
      </w:r>
      <w:r w:rsidR="00FF6B31">
        <w:t xml:space="preserve"> in developing a strategy </w:t>
      </w:r>
      <w:r w:rsidR="00F158D3">
        <w:t>within a constantly changing workforce.</w:t>
      </w:r>
    </w:p>
    <w:p w14:paraId="222B2D03" w14:textId="249CB3DB" w:rsidR="00104E12" w:rsidRDefault="00915ABB" w:rsidP="00DB2C47">
      <w:pPr>
        <w:pStyle w:val="Nornal"/>
      </w:pPr>
      <w:r>
        <w:t xml:space="preserve">Modern approaches have a much wider scope, with a focus on diversity and openness. </w:t>
      </w:r>
      <w:r w:rsidR="00800E89">
        <w:t xml:space="preserve">Modern succession planning aligns closely with talent management, in that it utilises </w:t>
      </w:r>
      <w:r w:rsidR="00336D3B">
        <w:t>KPI’s</w:t>
      </w:r>
      <w:r w:rsidR="00800E89">
        <w:t xml:space="preserve"> to drive success</w:t>
      </w:r>
      <w:r w:rsidR="00C5342B">
        <w:t xml:space="preserve"> </w:t>
      </w:r>
      <w:sdt>
        <w:sdtPr>
          <w:id w:val="-1721432645"/>
          <w:citation/>
        </w:sdtPr>
        <w:sdtContent>
          <w:r w:rsidR="00C5342B">
            <w:fldChar w:fldCharType="begin"/>
          </w:r>
          <w:r w:rsidR="00C5342B">
            <w:rPr>
              <w:lang w:val="en-US"/>
            </w:rPr>
            <w:instrText xml:space="preserve"> CITATION CIP246 \l 1033 </w:instrText>
          </w:r>
          <w:r w:rsidR="00C5342B">
            <w:fldChar w:fldCharType="separate"/>
          </w:r>
          <w:r w:rsidR="00C5342B" w:rsidRPr="00C5342B">
            <w:rPr>
              <w:noProof/>
              <w:lang w:val="en-US"/>
            </w:rPr>
            <w:t>(CIPD, 2024)</w:t>
          </w:r>
          <w:r w:rsidR="00C5342B">
            <w:fldChar w:fldCharType="end"/>
          </w:r>
        </w:sdtContent>
      </w:sdt>
      <w:r w:rsidR="00800E89">
        <w:t xml:space="preserve">. </w:t>
      </w:r>
      <w:r w:rsidR="00336D3B">
        <w:t>E</w:t>
      </w:r>
      <w:r w:rsidR="007B2E9A">
        <w:t xml:space="preserve">mployees </w:t>
      </w:r>
      <w:r w:rsidR="002F3CD2">
        <w:t xml:space="preserve">have the empowerment to carve their own careers, so can opt in or out of the succession process. </w:t>
      </w:r>
      <w:r w:rsidR="00336D3B">
        <w:t>S</w:t>
      </w:r>
      <w:r w:rsidR="00386087">
        <w:t>trategies can help within a</w:t>
      </w:r>
      <w:r w:rsidR="00EE549A">
        <w:t xml:space="preserve"> rapidly changing environment</w:t>
      </w:r>
      <w:r w:rsidR="000B016E">
        <w:t xml:space="preserve">, as individuals at all levels, tenure, work pattern are included. </w:t>
      </w:r>
      <w:r w:rsidR="002713F0">
        <w:t>This inclusivity can lead to improved business performance and retention</w:t>
      </w:r>
      <w:r w:rsidR="00124E0B">
        <w:t xml:space="preserve"> </w:t>
      </w:r>
      <w:sdt>
        <w:sdtPr>
          <w:id w:val="-655378850"/>
          <w:citation/>
        </w:sdtPr>
        <w:sdtContent>
          <w:r w:rsidR="00124E0B">
            <w:fldChar w:fldCharType="begin"/>
          </w:r>
          <w:r w:rsidR="00124E0B">
            <w:rPr>
              <w:lang w:val="en-US"/>
            </w:rPr>
            <w:instrText xml:space="preserve"> CITATION Ara22 \l 1033 </w:instrText>
          </w:r>
          <w:r w:rsidR="00124E0B">
            <w:fldChar w:fldCharType="separate"/>
          </w:r>
          <w:r w:rsidR="00124E0B" w:rsidRPr="00124E0B">
            <w:rPr>
              <w:noProof/>
              <w:lang w:val="en-US"/>
            </w:rPr>
            <w:t>(Arambhan &amp; Seetharaman, 2022)</w:t>
          </w:r>
          <w:r w:rsidR="00124E0B">
            <w:fldChar w:fldCharType="end"/>
          </w:r>
        </w:sdtContent>
      </w:sdt>
      <w:r w:rsidR="002713F0">
        <w:t xml:space="preserve">. Further, </w:t>
      </w:r>
      <w:r w:rsidR="002A6EF1">
        <w:t xml:space="preserve">due to its openness, it creates fairness, diversity and engagement as employees </w:t>
      </w:r>
      <w:r w:rsidR="007C625F">
        <w:t xml:space="preserve">aren’t selected based on secretive characteristics. </w:t>
      </w:r>
      <w:r w:rsidR="00667774">
        <w:t xml:space="preserve">All </w:t>
      </w:r>
      <w:r w:rsidR="001262A7">
        <w:t>employees</w:t>
      </w:r>
      <w:r w:rsidR="00667774">
        <w:t xml:space="preserve"> can be </w:t>
      </w:r>
      <w:r w:rsidR="00FC03DE">
        <w:t>identified</w:t>
      </w:r>
      <w:r w:rsidR="00667774">
        <w:t xml:space="preserve"> with KPI’s which align with organisation strategy. These KPI’s</w:t>
      </w:r>
      <w:r w:rsidR="00261361">
        <w:t xml:space="preserve"> are ideally discussed within formal </w:t>
      </w:r>
      <w:r w:rsidR="00FC03DE">
        <w:t>appraisals</w:t>
      </w:r>
      <w:r w:rsidR="00261361">
        <w:t xml:space="preserve"> to ensure relevance to the employee.</w:t>
      </w:r>
      <w:r w:rsidR="001262A7">
        <w:t xml:space="preserve"> This type of unilateral approach also helps to facilitate those employees </w:t>
      </w:r>
      <w:r w:rsidR="00891A32">
        <w:t>who have different views on work-life balance and family responsibilities</w:t>
      </w:r>
      <w:r w:rsidR="0000022F">
        <w:t xml:space="preserve"> </w:t>
      </w:r>
      <w:sdt>
        <w:sdtPr>
          <w:id w:val="390386601"/>
          <w:citation/>
        </w:sdtPr>
        <w:sdtContent>
          <w:r w:rsidR="0000022F">
            <w:fldChar w:fldCharType="begin"/>
          </w:r>
          <w:r w:rsidR="0000022F">
            <w:rPr>
              <w:lang w:val="en-US"/>
            </w:rPr>
            <w:instrText xml:space="preserve"> CITATION Ara23 \l 1033 </w:instrText>
          </w:r>
          <w:r w:rsidR="0000022F">
            <w:fldChar w:fldCharType="separate"/>
          </w:r>
          <w:r w:rsidR="0000022F" w:rsidRPr="0000022F">
            <w:rPr>
              <w:noProof/>
              <w:lang w:val="en-US"/>
            </w:rPr>
            <w:t>(Arambhan, et al., 2023)</w:t>
          </w:r>
          <w:r w:rsidR="0000022F">
            <w:fldChar w:fldCharType="end"/>
          </w:r>
        </w:sdtContent>
      </w:sdt>
      <w:r w:rsidR="00891A32">
        <w:t xml:space="preserve">. </w:t>
      </w:r>
    </w:p>
    <w:p w14:paraId="71E0DA9A" w14:textId="77777777" w:rsidR="00E82228" w:rsidRDefault="00E82228" w:rsidP="00E82228">
      <w:pPr>
        <w:pStyle w:val="Nornal"/>
      </w:pPr>
    </w:p>
    <w:p w14:paraId="39EEE92E" w14:textId="1A7F3DBC" w:rsidR="00FC6423" w:rsidRDefault="00FC6423" w:rsidP="00FC6423">
      <w:pPr>
        <w:pStyle w:val="Nornal"/>
        <w:numPr>
          <w:ilvl w:val="0"/>
          <w:numId w:val="2"/>
        </w:numPr>
      </w:pPr>
      <w:r>
        <w:t xml:space="preserve"> (AC 2.4)</w:t>
      </w:r>
    </w:p>
    <w:p w14:paraId="7142E5FE" w14:textId="7A2B06C9" w:rsidR="009A3A2E" w:rsidRDefault="005525B6" w:rsidP="009A3A2E">
      <w:pPr>
        <w:pStyle w:val="Nornal"/>
      </w:pPr>
      <w:r>
        <w:t>Website advertisement for recruitment purposes can be an efficient way to promote ne</w:t>
      </w:r>
      <w:r w:rsidR="001E2234">
        <w:t>w role. This method of advertising is usually cheaper</w:t>
      </w:r>
      <w:r w:rsidR="00473141">
        <w:t xml:space="preserve"> and the advert itself has no time limit or limits on content. </w:t>
      </w:r>
      <w:r w:rsidR="00FC1734">
        <w:t xml:space="preserve">Further, it can be an effective way of driving traffic into the website, </w:t>
      </w:r>
      <w:r w:rsidR="00BF3E57">
        <w:t>as job seekers and other potential business partners could convert into customers</w:t>
      </w:r>
      <w:r w:rsidR="00D14B52">
        <w:t xml:space="preserve"> </w:t>
      </w:r>
      <w:sdt>
        <w:sdtPr>
          <w:id w:val="798192653"/>
          <w:citation/>
        </w:sdtPr>
        <w:sdtContent>
          <w:r w:rsidR="00D14B52">
            <w:fldChar w:fldCharType="begin"/>
          </w:r>
          <w:r w:rsidR="00D14B52">
            <w:rPr>
              <w:lang w:val="en-US"/>
            </w:rPr>
            <w:instrText xml:space="preserve"> CITATION Mel15 \l 1033 </w:instrText>
          </w:r>
          <w:r w:rsidR="00D14B52">
            <w:fldChar w:fldCharType="separate"/>
          </w:r>
          <w:r w:rsidR="00D14B52" w:rsidRPr="00D14B52">
            <w:rPr>
              <w:noProof/>
              <w:lang w:val="en-US"/>
            </w:rPr>
            <w:t>(Melanthiou, et al., 2015)</w:t>
          </w:r>
          <w:r w:rsidR="00D14B52">
            <w:fldChar w:fldCharType="end"/>
          </w:r>
        </w:sdtContent>
      </w:sdt>
      <w:r w:rsidR="00BF3E57">
        <w:t xml:space="preserve">. It also allows job seekers to </w:t>
      </w:r>
      <w:r w:rsidR="00F52263">
        <w:t>obtain an idea of the culture and strategy of the organisation</w:t>
      </w:r>
      <w:r w:rsidR="00B1556D">
        <w:t xml:space="preserve"> before applying, which may reduce no-shows. However, this type of </w:t>
      </w:r>
      <w:r w:rsidR="00C45B64">
        <w:t>job advertisement has a very limited audience</w:t>
      </w:r>
      <w:r w:rsidR="00E3621A">
        <w:t xml:space="preserve"> </w:t>
      </w:r>
      <w:sdt>
        <w:sdtPr>
          <w:id w:val="1665891103"/>
          <w:citation/>
        </w:sdtPr>
        <w:sdtContent>
          <w:r w:rsidR="00E3621A">
            <w:fldChar w:fldCharType="begin"/>
          </w:r>
          <w:r w:rsidR="00E3621A">
            <w:rPr>
              <w:lang w:val="en-US"/>
            </w:rPr>
            <w:instrText xml:space="preserve"> CITATION Ker13 \l 1033 </w:instrText>
          </w:r>
          <w:r w:rsidR="00E3621A">
            <w:fldChar w:fldCharType="separate"/>
          </w:r>
          <w:r w:rsidR="00E3621A" w:rsidRPr="00E3621A">
            <w:rPr>
              <w:noProof/>
              <w:lang w:val="en-US"/>
            </w:rPr>
            <w:t>(Keramati &amp; Salehi, 2013)</w:t>
          </w:r>
          <w:r w:rsidR="00E3621A">
            <w:fldChar w:fldCharType="end"/>
          </w:r>
        </w:sdtContent>
      </w:sdt>
      <w:r w:rsidR="00C45B64">
        <w:t xml:space="preserve">. Usually, job seekers would search for new jobs on </w:t>
      </w:r>
      <w:r w:rsidR="00CE1E1C">
        <w:t xml:space="preserve">job sites and other similar platforms. Therefore, </w:t>
      </w:r>
      <w:r w:rsidR="00AC3D13">
        <w:t>applications</w:t>
      </w:r>
      <w:r w:rsidR="00CE1E1C">
        <w:t xml:space="preserve"> may be limited due </w:t>
      </w:r>
      <w:r w:rsidR="00033B69">
        <w:t>its</w:t>
      </w:r>
      <w:r w:rsidR="00CE1E1C">
        <w:t xml:space="preserve"> passive nature</w:t>
      </w:r>
      <w:r w:rsidR="00AC3D13">
        <w:t>.</w:t>
      </w:r>
    </w:p>
    <w:p w14:paraId="732C8C15" w14:textId="1BD6AE9B" w:rsidR="00B03267" w:rsidRDefault="00B03267" w:rsidP="009A3A2E">
      <w:pPr>
        <w:pStyle w:val="Nornal"/>
      </w:pPr>
      <w:r>
        <w:t>Structured interviews</w:t>
      </w:r>
      <w:r w:rsidR="002F067A">
        <w:t xml:space="preserve"> can help to assess </w:t>
      </w:r>
      <w:r w:rsidR="00033B69">
        <w:t>several</w:t>
      </w:r>
      <w:r w:rsidR="002F067A">
        <w:t xml:space="preserve"> candidates within set questions, it can help to identify best fit. Further, </w:t>
      </w:r>
      <w:r w:rsidR="0036189E">
        <w:t xml:space="preserve">it can help to ‘feel each other out’ so that both the candidate and manager </w:t>
      </w:r>
      <w:r w:rsidR="00DC0034">
        <w:t xml:space="preserve">obtain an idea of </w:t>
      </w:r>
      <w:r w:rsidR="005675E6">
        <w:t>each other</w:t>
      </w:r>
      <w:r w:rsidR="000D60EB">
        <w:t xml:space="preserve"> </w:t>
      </w:r>
      <w:sdt>
        <w:sdtPr>
          <w:id w:val="1174915776"/>
          <w:citation/>
        </w:sdtPr>
        <w:sdtContent>
          <w:r w:rsidR="000D60EB">
            <w:fldChar w:fldCharType="begin"/>
          </w:r>
          <w:r w:rsidR="000D60EB">
            <w:rPr>
              <w:lang w:val="en-US"/>
            </w:rPr>
            <w:instrText xml:space="preserve"> CITATION Ade21 \l 1033 </w:instrText>
          </w:r>
          <w:r w:rsidR="000D60EB">
            <w:fldChar w:fldCharType="separate"/>
          </w:r>
          <w:r w:rsidR="000D60EB" w:rsidRPr="000D60EB">
            <w:rPr>
              <w:noProof/>
              <w:lang w:val="en-US"/>
            </w:rPr>
            <w:t>(Adeoye-Olatunde &amp; Olenik, 2021)</w:t>
          </w:r>
          <w:r w:rsidR="000D60EB">
            <w:fldChar w:fldCharType="end"/>
          </w:r>
        </w:sdtContent>
      </w:sdt>
      <w:r w:rsidR="00DC0034">
        <w:t xml:space="preserve">. However, this method is time consuming, </w:t>
      </w:r>
      <w:r w:rsidR="009B7C99">
        <w:t>requires senior investment and is liable to cognitive bias</w:t>
      </w:r>
      <w:r w:rsidR="00C83C82">
        <w:t xml:space="preserve"> </w:t>
      </w:r>
      <w:sdt>
        <w:sdtPr>
          <w:id w:val="520521078"/>
          <w:citation/>
        </w:sdtPr>
        <w:sdtContent>
          <w:r w:rsidR="00C83C82">
            <w:fldChar w:fldCharType="begin"/>
          </w:r>
          <w:r w:rsidR="00C83C82">
            <w:rPr>
              <w:lang w:val="en-US"/>
            </w:rPr>
            <w:instrText xml:space="preserve"> CITATION Ber22 \l 1033 </w:instrText>
          </w:r>
          <w:r w:rsidR="00C83C82">
            <w:fldChar w:fldCharType="separate"/>
          </w:r>
          <w:r w:rsidR="00C83C82" w:rsidRPr="00C83C82">
            <w:rPr>
              <w:noProof/>
              <w:lang w:val="en-US"/>
            </w:rPr>
            <w:t>(Bergelson, et al., 2022)</w:t>
          </w:r>
          <w:r w:rsidR="00C83C82">
            <w:fldChar w:fldCharType="end"/>
          </w:r>
        </w:sdtContent>
      </w:sdt>
      <w:r w:rsidR="009B7C99">
        <w:t xml:space="preserve">. Further, the environment of an interview may not correlate to the </w:t>
      </w:r>
      <w:r w:rsidR="001C4075">
        <w:t>day-to-day</w:t>
      </w:r>
      <w:r w:rsidR="009B7C99">
        <w:t xml:space="preserve"> activities of the role</w:t>
      </w:r>
      <w:r w:rsidR="000F78FD">
        <w:t xml:space="preserve"> </w:t>
      </w:r>
      <w:sdt>
        <w:sdtPr>
          <w:id w:val="-665241076"/>
          <w:citation/>
        </w:sdtPr>
        <w:sdtContent>
          <w:r w:rsidR="000F78FD">
            <w:fldChar w:fldCharType="begin"/>
          </w:r>
          <w:r w:rsidR="000F78FD">
            <w:rPr>
              <w:lang w:val="en-US"/>
            </w:rPr>
            <w:instrText xml:space="preserve"> CITATION Van02 \l 1033 </w:instrText>
          </w:r>
          <w:r w:rsidR="000F78FD">
            <w:fldChar w:fldCharType="separate"/>
          </w:r>
          <w:r w:rsidR="000F78FD" w:rsidRPr="000F78FD">
            <w:rPr>
              <w:noProof/>
              <w:lang w:val="en-US"/>
            </w:rPr>
            <w:t>(Van Der Zee, et al., 2002)</w:t>
          </w:r>
          <w:r w:rsidR="000F78FD">
            <w:fldChar w:fldCharType="end"/>
          </w:r>
        </w:sdtContent>
      </w:sdt>
      <w:r w:rsidR="0038120B">
        <w:t>.</w:t>
      </w:r>
    </w:p>
    <w:p w14:paraId="50C68578" w14:textId="3B22CBEB" w:rsidR="00693FDD" w:rsidRDefault="00855100" w:rsidP="009A3A2E">
      <w:pPr>
        <w:pStyle w:val="Nornal"/>
      </w:pPr>
      <w:r>
        <w:t xml:space="preserve">Another </w:t>
      </w:r>
      <w:r w:rsidR="00B90027">
        <w:t>effective</w:t>
      </w:r>
      <w:r>
        <w:t xml:space="preserve"> recruitment method can be </w:t>
      </w:r>
      <w:r w:rsidR="005675E6">
        <w:t>using</w:t>
      </w:r>
      <w:r>
        <w:t xml:space="preserve"> social media</w:t>
      </w:r>
      <w:r w:rsidR="00B90027">
        <w:t>/job boards</w:t>
      </w:r>
      <w:r>
        <w:t xml:space="preserve">. Utilising </w:t>
      </w:r>
      <w:r w:rsidR="00990529">
        <w:t>LinkedIn</w:t>
      </w:r>
      <w:r>
        <w:t xml:space="preserve"> or Indeed</w:t>
      </w:r>
      <w:r w:rsidR="00B90027">
        <w:t xml:space="preserve"> can </w:t>
      </w:r>
      <w:r w:rsidR="005675E6">
        <w:t>driver a wider</w:t>
      </w:r>
      <w:r w:rsidR="00683769">
        <w:t xml:space="preserve"> </w:t>
      </w:r>
      <w:r w:rsidR="00B90027">
        <w:t>talent pool</w:t>
      </w:r>
      <w:r w:rsidR="005B2F61">
        <w:t xml:space="preserve">, improving applications. </w:t>
      </w:r>
      <w:r w:rsidR="00AB378C">
        <w:t xml:space="preserve">However, within a tight labour market, recruitment competition can be high. </w:t>
      </w:r>
      <w:r w:rsidR="00BE5F95">
        <w:t xml:space="preserve">Further, there are usually some cost </w:t>
      </w:r>
      <w:r w:rsidR="006D7E19">
        <w:t>implications</w:t>
      </w:r>
      <w:r w:rsidR="00BE5F95">
        <w:t xml:space="preserve"> for job adverts to remain fairly high up in the search results.</w:t>
      </w:r>
    </w:p>
    <w:p w14:paraId="080A4E98" w14:textId="5F5613D5" w:rsidR="006D7E19" w:rsidRDefault="00875E81" w:rsidP="009A3A2E">
      <w:pPr>
        <w:pStyle w:val="Nornal"/>
      </w:pPr>
      <w:r>
        <w:lastRenderedPageBreak/>
        <w:t>P</w:t>
      </w:r>
      <w:r w:rsidR="00782823">
        <w:t>sychometric testing</w:t>
      </w:r>
      <w:r>
        <w:t xml:space="preserve"> ca</w:t>
      </w:r>
      <w:r w:rsidR="00606FA1">
        <w:t xml:space="preserve">n help to </w:t>
      </w:r>
      <w:r w:rsidR="00990529">
        <w:t>assess</w:t>
      </w:r>
      <w:r w:rsidR="00606FA1">
        <w:t xml:space="preserve"> the potential </w:t>
      </w:r>
      <w:r w:rsidR="00A8471D">
        <w:t>behaviours</w:t>
      </w:r>
      <w:r w:rsidR="00606FA1">
        <w:t xml:space="preserve"> of applicants.</w:t>
      </w:r>
      <w:r w:rsidR="00A03352">
        <w:t xml:space="preserve"> This is usually through personality or aptitude tests.</w:t>
      </w:r>
      <w:r w:rsidR="0019168F">
        <w:t xml:space="preserve"> The tests can help highlight opportunities for further discussions</w:t>
      </w:r>
      <w:r w:rsidR="006A63D8">
        <w:t xml:space="preserve">, </w:t>
      </w:r>
      <w:r w:rsidR="00B70A1B">
        <w:t>for example lack</w:t>
      </w:r>
      <w:r w:rsidR="006A63D8">
        <w:t xml:space="preserve"> of organisation</w:t>
      </w:r>
      <w:r w:rsidR="00D037B8">
        <w:t xml:space="preserve">. Further, through profiling they can help to </w:t>
      </w:r>
      <w:r w:rsidR="00A8471D">
        <w:t>identify</w:t>
      </w:r>
      <w:r w:rsidR="00D037B8">
        <w:t xml:space="preserve"> best fit for the role, for example </w:t>
      </w:r>
      <w:r w:rsidR="00454BAB">
        <w:t>decision making, networking or logical thinking</w:t>
      </w:r>
      <w:r w:rsidR="009C47FE">
        <w:t xml:space="preserve"> </w:t>
      </w:r>
      <w:sdt>
        <w:sdtPr>
          <w:id w:val="-29804898"/>
          <w:citation/>
        </w:sdtPr>
        <w:sdtContent>
          <w:r w:rsidR="006E07DE">
            <w:fldChar w:fldCharType="begin"/>
          </w:r>
          <w:r w:rsidR="006E07DE">
            <w:rPr>
              <w:lang w:val="en-US"/>
            </w:rPr>
            <w:instrText xml:space="preserve"> CITATION Bat14 \l 1033 </w:instrText>
          </w:r>
          <w:r w:rsidR="006E07DE">
            <w:fldChar w:fldCharType="separate"/>
          </w:r>
          <w:r w:rsidR="006E07DE" w:rsidRPr="006E07DE">
            <w:rPr>
              <w:noProof/>
              <w:lang w:val="en-US"/>
            </w:rPr>
            <w:t>(Bateson, et al., 2014)</w:t>
          </w:r>
          <w:r w:rsidR="006E07DE">
            <w:fldChar w:fldCharType="end"/>
          </w:r>
        </w:sdtContent>
      </w:sdt>
      <w:r w:rsidR="00454BAB">
        <w:t xml:space="preserve">. </w:t>
      </w:r>
      <w:r w:rsidR="00A42E9A">
        <w:t xml:space="preserve">Some </w:t>
      </w:r>
      <w:r w:rsidR="00454BAB">
        <w:t xml:space="preserve">drawbacks are that </w:t>
      </w:r>
      <w:r w:rsidR="005267BB">
        <w:t>applicants may not be honest, can create discrepancies through cultural difference</w:t>
      </w:r>
      <w:r w:rsidR="00A42E9A">
        <w:t xml:space="preserve">. However, the main drawback is that the results must be assessed by a licenced </w:t>
      </w:r>
      <w:r w:rsidR="001D450B">
        <w:t>psychometric professional, adding significant cost</w:t>
      </w:r>
      <w:r w:rsidR="004B23AD">
        <w:t xml:space="preserve"> and t</w:t>
      </w:r>
      <w:r w:rsidR="00231D70">
        <w:t>his type of testing is usually utilising in conjunction with other selection methods</w:t>
      </w:r>
      <w:r w:rsidR="004B23AD">
        <w:t xml:space="preserve"> </w:t>
      </w:r>
      <w:sdt>
        <w:sdtPr>
          <w:id w:val="481442040"/>
          <w:citation/>
        </w:sdtPr>
        <w:sdtContent>
          <w:r w:rsidR="004B23AD">
            <w:fldChar w:fldCharType="begin"/>
          </w:r>
          <w:r w:rsidR="004B23AD">
            <w:rPr>
              <w:lang w:val="en-US"/>
            </w:rPr>
            <w:instrText xml:space="preserve"> CITATION Rob17 \l 1033 </w:instrText>
          </w:r>
          <w:r w:rsidR="004B23AD">
            <w:fldChar w:fldCharType="separate"/>
          </w:r>
          <w:r w:rsidR="004B23AD" w:rsidRPr="004B23AD">
            <w:rPr>
              <w:noProof/>
              <w:lang w:val="en-US"/>
            </w:rPr>
            <w:t>(Bailey, 2017)</w:t>
          </w:r>
          <w:r w:rsidR="004B23AD">
            <w:fldChar w:fldCharType="end"/>
          </w:r>
        </w:sdtContent>
      </w:sdt>
      <w:r w:rsidR="00231D70">
        <w:t>.</w:t>
      </w:r>
    </w:p>
    <w:p w14:paraId="2B9A2699" w14:textId="77777777" w:rsidR="0038120B" w:rsidRDefault="0038120B" w:rsidP="009A3A2E">
      <w:pPr>
        <w:pStyle w:val="Nornal"/>
      </w:pPr>
    </w:p>
    <w:p w14:paraId="1D74522C" w14:textId="346152AB" w:rsidR="00FC6423" w:rsidRDefault="00FC6423" w:rsidP="00FC6423">
      <w:pPr>
        <w:pStyle w:val="Nornal"/>
        <w:numPr>
          <w:ilvl w:val="0"/>
          <w:numId w:val="2"/>
        </w:numPr>
      </w:pPr>
      <w:r>
        <w:t>(AC 3.1)</w:t>
      </w:r>
    </w:p>
    <w:p w14:paraId="2C56CF6D" w14:textId="5195C41C" w:rsidR="000B70A0" w:rsidRDefault="00E94254" w:rsidP="000B70A0">
      <w:pPr>
        <w:pStyle w:val="Nornal"/>
      </w:pPr>
      <w:r>
        <w:t>A recent report states at 20% of workers in the UK are at high risk of leaving their jobs in the next year</w:t>
      </w:r>
      <w:r w:rsidR="00466F6F">
        <w:t xml:space="preserve"> </w:t>
      </w:r>
      <w:sdt>
        <w:sdtPr>
          <w:id w:val="-229688701"/>
          <w:citation/>
        </w:sdtPr>
        <w:sdtContent>
          <w:r w:rsidR="00466F6F">
            <w:fldChar w:fldCharType="begin"/>
          </w:r>
          <w:r w:rsidR="00466F6F">
            <w:rPr>
              <w:lang w:val="en-US"/>
            </w:rPr>
            <w:instrText xml:space="preserve"> CITATION Rob23 \l 1033 </w:instrText>
          </w:r>
          <w:r w:rsidR="00466F6F">
            <w:fldChar w:fldCharType="separate"/>
          </w:r>
          <w:r w:rsidR="00466F6F" w:rsidRPr="00466F6F">
            <w:rPr>
              <w:noProof/>
              <w:lang w:val="en-US"/>
            </w:rPr>
            <w:t>(Moss, 2023)</w:t>
          </w:r>
          <w:r w:rsidR="00466F6F">
            <w:fldChar w:fldCharType="end"/>
          </w:r>
        </w:sdtContent>
      </w:sdt>
      <w:r w:rsidR="00630C86">
        <w:t>.</w:t>
      </w:r>
      <w:r w:rsidR="007A1E62">
        <w:t xml:space="preserve"> </w:t>
      </w:r>
      <w:r w:rsidR="00647D49">
        <w:t xml:space="preserve">Further, studies from UK money state that UK employee turnover is </w:t>
      </w:r>
      <w:r w:rsidR="00091B09">
        <w:t xml:space="preserve">currently at </w:t>
      </w:r>
      <w:r w:rsidR="00D16B26">
        <w:t xml:space="preserve">16.8% </w:t>
      </w:r>
      <w:sdt>
        <w:sdtPr>
          <w:id w:val="404429625"/>
          <w:citation/>
        </w:sdtPr>
        <w:sdtContent>
          <w:r w:rsidR="00D16B26">
            <w:fldChar w:fldCharType="begin"/>
          </w:r>
          <w:r w:rsidR="00D16B26">
            <w:rPr>
              <w:lang w:val="en-US"/>
            </w:rPr>
            <w:instrText xml:space="preserve"> CITATION Cap23 \l 1033 </w:instrText>
          </w:r>
          <w:r w:rsidR="00D16B26">
            <w:fldChar w:fldCharType="separate"/>
          </w:r>
          <w:r w:rsidR="00D16B26" w:rsidRPr="00D16B26">
            <w:rPr>
              <w:noProof/>
              <w:lang w:val="en-US"/>
            </w:rPr>
            <w:t>(Capacity Insights, 2023)</w:t>
          </w:r>
          <w:r w:rsidR="00D16B26">
            <w:fldChar w:fldCharType="end"/>
          </w:r>
        </w:sdtContent>
      </w:sdt>
      <w:r w:rsidR="00FF0F18">
        <w:t xml:space="preserve">. </w:t>
      </w:r>
    </w:p>
    <w:p w14:paraId="2790B6E1" w14:textId="34870185" w:rsidR="00D27F8D" w:rsidRDefault="00D27F8D" w:rsidP="000B70A0">
      <w:pPr>
        <w:pStyle w:val="Nornal"/>
      </w:pPr>
      <w:r>
        <w:t xml:space="preserve">There are </w:t>
      </w:r>
      <w:r w:rsidR="00AC2B39">
        <w:t>several</w:t>
      </w:r>
      <w:r>
        <w:t xml:space="preserve"> </w:t>
      </w:r>
      <w:r w:rsidR="006404BB">
        <w:t xml:space="preserve">internal </w:t>
      </w:r>
      <w:r>
        <w:t xml:space="preserve">influences that can </w:t>
      </w:r>
      <w:r w:rsidR="00AC2B39">
        <w:t>affect</w:t>
      </w:r>
      <w:r>
        <w:t xml:space="preserve"> a </w:t>
      </w:r>
      <w:r w:rsidR="00AC2B39">
        <w:t>worker’s</w:t>
      </w:r>
      <w:r>
        <w:t xml:space="preserve"> desire to remain or leave. </w:t>
      </w:r>
      <w:r w:rsidR="00AF7631">
        <w:t xml:space="preserve">Studies have shown that </w:t>
      </w:r>
      <w:r w:rsidR="00C861A2">
        <w:t xml:space="preserve">a </w:t>
      </w:r>
      <w:r w:rsidR="00AF7631">
        <w:t xml:space="preserve">focus on aspects such as job satisfaction, </w:t>
      </w:r>
      <w:r w:rsidR="00FD4EF0">
        <w:t>renumeration, s</w:t>
      </w:r>
      <w:r w:rsidR="00AF7631">
        <w:t xml:space="preserve">upport, work-life balance are critical to retention </w:t>
      </w:r>
      <w:sdt>
        <w:sdtPr>
          <w:id w:val="656960524"/>
          <w:citation/>
        </w:sdtPr>
        <w:sdtContent>
          <w:r w:rsidR="00AF7631">
            <w:fldChar w:fldCharType="begin"/>
          </w:r>
          <w:r w:rsidR="00AF7631">
            <w:rPr>
              <w:lang w:val="en-US"/>
            </w:rPr>
            <w:instrText xml:space="preserve"> CITATION Kim15 \l 1033 </w:instrText>
          </w:r>
          <w:r w:rsidR="00AF7631">
            <w:fldChar w:fldCharType="separate"/>
          </w:r>
          <w:r w:rsidR="00AF7631" w:rsidRPr="000B724B">
            <w:rPr>
              <w:noProof/>
              <w:lang w:val="en-US"/>
            </w:rPr>
            <w:t>(Kim, et al., 2015)</w:t>
          </w:r>
          <w:r w:rsidR="00AF7631">
            <w:fldChar w:fldCharType="end"/>
          </w:r>
        </w:sdtContent>
      </w:sdt>
      <w:r w:rsidR="00AF7631">
        <w:t>.</w:t>
      </w:r>
      <w:r w:rsidR="005457B0">
        <w:t xml:space="preserve"> From recruitment, onboarding and continuous professional development, organisations can ensure </w:t>
      </w:r>
      <w:r w:rsidR="007C53D9">
        <w:t xml:space="preserve">high levels of engagement </w:t>
      </w:r>
      <w:r w:rsidR="002D67EF">
        <w:t xml:space="preserve">and retention </w:t>
      </w:r>
      <w:sdt>
        <w:sdtPr>
          <w:id w:val="-1323811098"/>
          <w:citation/>
        </w:sdtPr>
        <w:sdtContent>
          <w:r w:rsidR="002D67EF">
            <w:fldChar w:fldCharType="begin"/>
          </w:r>
          <w:r w:rsidR="002D67EF">
            <w:rPr>
              <w:lang w:val="en-US"/>
            </w:rPr>
            <w:instrText xml:space="preserve"> CITATION Pri17 \l 1033 </w:instrText>
          </w:r>
          <w:r w:rsidR="002D67EF">
            <w:fldChar w:fldCharType="separate"/>
          </w:r>
          <w:r w:rsidR="002D67EF" w:rsidRPr="002D67EF">
            <w:rPr>
              <w:noProof/>
              <w:lang w:val="en-US"/>
            </w:rPr>
            <w:t>(Price &amp; Reichert, 2017)</w:t>
          </w:r>
          <w:r w:rsidR="002D67EF">
            <w:fldChar w:fldCharType="end"/>
          </w:r>
        </w:sdtContent>
      </w:sdt>
      <w:r w:rsidR="00133F81">
        <w:t>.</w:t>
      </w:r>
      <w:r w:rsidR="00FD4EF0">
        <w:t xml:space="preserve"> </w:t>
      </w:r>
      <w:r w:rsidR="00B22E42">
        <w:t>Therefore</w:t>
      </w:r>
      <w:r w:rsidR="00FD4EF0">
        <w:t>, o</w:t>
      </w:r>
      <w:r w:rsidR="00693321">
        <w:t xml:space="preserve">rganisations with a real focus on its culture, working practices and strategies enjoy much lower levels of turnover </w:t>
      </w:r>
      <w:sdt>
        <w:sdtPr>
          <w:id w:val="1551267362"/>
          <w:citation/>
        </w:sdtPr>
        <w:sdtContent>
          <w:r w:rsidR="004570E2">
            <w:fldChar w:fldCharType="begin"/>
          </w:r>
          <w:r w:rsidR="004570E2">
            <w:rPr>
              <w:lang w:val="en-US"/>
            </w:rPr>
            <w:instrText xml:space="preserve"> CITATION Shi21 \l 1033 </w:instrText>
          </w:r>
          <w:r w:rsidR="004570E2">
            <w:fldChar w:fldCharType="separate"/>
          </w:r>
          <w:r w:rsidR="004570E2" w:rsidRPr="004570E2">
            <w:rPr>
              <w:noProof/>
              <w:lang w:val="en-US"/>
            </w:rPr>
            <w:t>(Shipton, et al., 2021)</w:t>
          </w:r>
          <w:r w:rsidR="004570E2">
            <w:fldChar w:fldCharType="end"/>
          </w:r>
        </w:sdtContent>
      </w:sdt>
      <w:r w:rsidR="003407EA">
        <w:t>.</w:t>
      </w:r>
      <w:r w:rsidR="00B22E42">
        <w:t xml:space="preserve"> Ultimately, organisations who engage with their workers </w:t>
      </w:r>
      <w:r w:rsidR="00DE69A7">
        <w:t xml:space="preserve">through </w:t>
      </w:r>
      <w:r w:rsidR="00183CA2">
        <w:t>effective</w:t>
      </w:r>
      <w:r w:rsidR="00DE69A7">
        <w:t xml:space="preserve"> communication </w:t>
      </w:r>
      <w:r w:rsidR="00B22E42">
        <w:t xml:space="preserve">to facilitate key drivers can identify their individual motivators, </w:t>
      </w:r>
      <w:r w:rsidR="00DE69A7">
        <w:t xml:space="preserve">to create an engaged and </w:t>
      </w:r>
      <w:r w:rsidR="00720951">
        <w:t xml:space="preserve">motivated team </w:t>
      </w:r>
      <w:r w:rsidR="00183CA2">
        <w:t xml:space="preserve"> </w:t>
      </w:r>
      <w:sdt>
        <w:sdtPr>
          <w:id w:val="-1944223387"/>
          <w:citation/>
        </w:sdtPr>
        <w:sdtContent>
          <w:r w:rsidR="00183CA2">
            <w:fldChar w:fldCharType="begin"/>
          </w:r>
          <w:r w:rsidR="00183CA2">
            <w:rPr>
              <w:lang w:val="en-US"/>
            </w:rPr>
            <w:instrText xml:space="preserve"> CITATION Rob15 \l 1033 </w:instrText>
          </w:r>
          <w:r w:rsidR="00183CA2">
            <w:fldChar w:fldCharType="separate"/>
          </w:r>
          <w:r w:rsidR="00183CA2" w:rsidRPr="00183CA2">
            <w:rPr>
              <w:noProof/>
              <w:lang w:val="en-US"/>
            </w:rPr>
            <w:t>(Erickson, 2015)</w:t>
          </w:r>
          <w:r w:rsidR="00183CA2">
            <w:fldChar w:fldCharType="end"/>
          </w:r>
        </w:sdtContent>
      </w:sdt>
      <w:r w:rsidR="00183CA2">
        <w:t>.</w:t>
      </w:r>
    </w:p>
    <w:p w14:paraId="072562F9" w14:textId="46A8BD1F" w:rsidR="004236D7" w:rsidRDefault="00DE00FC" w:rsidP="000B70A0">
      <w:pPr>
        <w:pStyle w:val="Nornal"/>
      </w:pPr>
      <w:r>
        <w:t>External f</w:t>
      </w:r>
      <w:r w:rsidR="00445AEF">
        <w:t xml:space="preserve">actors such as technological, </w:t>
      </w:r>
      <w:r w:rsidR="008A336D">
        <w:t>economic, political and social</w:t>
      </w:r>
      <w:r>
        <w:t xml:space="preserve"> can affect retention</w:t>
      </w:r>
      <w:r w:rsidR="008A336D">
        <w:t>. Technological factors could include advances such as AI</w:t>
      </w:r>
      <w:r w:rsidR="00240097">
        <w:t xml:space="preserve">. For example, an organisation which utilised modern technology may attract </w:t>
      </w:r>
      <w:r w:rsidR="007156D5">
        <w:t xml:space="preserve">and retain better due to work-life or </w:t>
      </w:r>
      <w:r w:rsidR="00E312EA">
        <w:t>efficiency</w:t>
      </w:r>
      <w:r w:rsidR="007156D5">
        <w:t xml:space="preserve"> improvements. Economic drivers could include </w:t>
      </w:r>
      <w:r w:rsidR="00FE04CF">
        <w:t>salary bidding wars in a tight labour market</w:t>
      </w:r>
      <w:r w:rsidR="00D07CF8">
        <w:t>, or a downturn in organisational financial performance.</w:t>
      </w:r>
      <w:r w:rsidR="0057264F">
        <w:t xml:space="preserve"> Political could include issues arising due to factors such as </w:t>
      </w:r>
      <w:r w:rsidR="00C929C1">
        <w:t xml:space="preserve">recruitment limits due to Brexit. Finally social drivers could be </w:t>
      </w:r>
      <w:r w:rsidR="00E312EA">
        <w:t>issues arising from lack of well-being, flexible working, or personal development. Hence the importance of tools such as SWOT and PESTLE to ensure organisations remain competitive in the internal and external environment</w:t>
      </w:r>
      <w:r w:rsidR="00F4146E">
        <w:t xml:space="preserve"> </w:t>
      </w:r>
      <w:sdt>
        <w:sdtPr>
          <w:id w:val="-2035794168"/>
          <w:citation/>
        </w:sdtPr>
        <w:sdtContent>
          <w:r w:rsidR="00F4146E">
            <w:fldChar w:fldCharType="begin"/>
          </w:r>
          <w:r w:rsidR="00F4146E">
            <w:rPr>
              <w:lang w:val="en-US"/>
            </w:rPr>
            <w:instrText xml:space="preserve"> CITATION Lea21 \l 1033 </w:instrText>
          </w:r>
          <w:r w:rsidR="00F4146E">
            <w:fldChar w:fldCharType="separate"/>
          </w:r>
          <w:r w:rsidR="00F4146E" w:rsidRPr="00F4146E">
            <w:rPr>
              <w:noProof/>
              <w:lang w:val="en-US"/>
            </w:rPr>
            <w:t>(Leandro, et al., 2021)</w:t>
          </w:r>
          <w:r w:rsidR="00F4146E">
            <w:fldChar w:fldCharType="end"/>
          </w:r>
        </w:sdtContent>
      </w:sdt>
      <w:r w:rsidR="00E312EA">
        <w:t xml:space="preserve">. </w:t>
      </w:r>
    </w:p>
    <w:p w14:paraId="1281135D" w14:textId="1D5D04C9" w:rsidR="00FC6423" w:rsidRDefault="00FC6423" w:rsidP="005619C8">
      <w:pPr>
        <w:pStyle w:val="Nornal"/>
        <w:numPr>
          <w:ilvl w:val="0"/>
          <w:numId w:val="2"/>
        </w:numPr>
      </w:pPr>
      <w:r>
        <w:t>(AC 3.2)</w:t>
      </w:r>
    </w:p>
    <w:p w14:paraId="4FB2D7DB" w14:textId="13EB70CD" w:rsidR="005619C8" w:rsidRDefault="005619C8" w:rsidP="00A92E40">
      <w:pPr>
        <w:pStyle w:val="Nornal"/>
      </w:pPr>
      <w:r>
        <w:t xml:space="preserve">Individual </w:t>
      </w:r>
    </w:p>
    <w:p w14:paraId="7CC3631C" w14:textId="5B181C9F" w:rsidR="00A92E40" w:rsidRDefault="000B479B" w:rsidP="00A92E40">
      <w:pPr>
        <w:pStyle w:val="Nornal"/>
      </w:pPr>
      <w:r>
        <w:t xml:space="preserve">Creating a meaningful place and growth opportunities can create a performing talent </w:t>
      </w:r>
      <w:r w:rsidR="00433090">
        <w:t xml:space="preserve">pool. </w:t>
      </w:r>
      <w:r w:rsidR="00C16AF6">
        <w:t>Utilising</w:t>
      </w:r>
      <w:r w:rsidR="003A76BF">
        <w:t xml:space="preserve"> tools such as</w:t>
      </w:r>
      <w:r w:rsidR="00433090">
        <w:t xml:space="preserve"> appraisals and employee voice</w:t>
      </w:r>
      <w:r w:rsidR="003A76BF">
        <w:t>,</w:t>
      </w:r>
      <w:r w:rsidR="00433090">
        <w:t xml:space="preserve"> </w:t>
      </w:r>
      <w:r w:rsidR="003A76BF">
        <w:t>organisations</w:t>
      </w:r>
      <w:r w:rsidR="00433090">
        <w:t xml:space="preserve"> can create a development framework which </w:t>
      </w:r>
      <w:r w:rsidR="009C7CBC">
        <w:t>drives and engages its workforce</w:t>
      </w:r>
      <w:r w:rsidR="004139DE">
        <w:t xml:space="preserve"> </w:t>
      </w:r>
      <w:sdt>
        <w:sdtPr>
          <w:id w:val="1826624945"/>
          <w:citation/>
        </w:sdtPr>
        <w:sdtContent>
          <w:r w:rsidR="004139DE">
            <w:fldChar w:fldCharType="begin"/>
          </w:r>
          <w:r w:rsidR="004139DE">
            <w:rPr>
              <w:lang w:val="en-US"/>
            </w:rPr>
            <w:instrText xml:space="preserve"> CITATION Sin19 \l 1033 </w:instrText>
          </w:r>
          <w:r w:rsidR="004139DE">
            <w:fldChar w:fldCharType="separate"/>
          </w:r>
          <w:r w:rsidR="004139DE" w:rsidRPr="004139DE">
            <w:rPr>
              <w:noProof/>
              <w:lang w:val="en-US"/>
            </w:rPr>
            <w:t>(Singh &amp; Vanka, 2019)</w:t>
          </w:r>
          <w:r w:rsidR="004139DE">
            <w:fldChar w:fldCharType="end"/>
          </w:r>
        </w:sdtContent>
      </w:sdt>
      <w:r w:rsidR="009C7CBC">
        <w:t xml:space="preserve">. Firstly, employees who understand why their work is important, can perform better. </w:t>
      </w:r>
      <w:r w:rsidR="00D55BE5">
        <w:t>This is due to a greater understanding of their role and appreciation of the bigger picture</w:t>
      </w:r>
      <w:r w:rsidR="00DF2F4C">
        <w:t xml:space="preserve"> </w:t>
      </w:r>
      <w:sdt>
        <w:sdtPr>
          <w:id w:val="-1180422710"/>
          <w:citation/>
        </w:sdtPr>
        <w:sdtContent>
          <w:r w:rsidR="00DF2F4C">
            <w:fldChar w:fldCharType="begin"/>
          </w:r>
          <w:r w:rsidR="00DF2F4C">
            <w:rPr>
              <w:lang w:val="en-US"/>
            </w:rPr>
            <w:instrText xml:space="preserve"> CITATION Wal11 \l 1033 </w:instrText>
          </w:r>
          <w:r w:rsidR="00DF2F4C">
            <w:fldChar w:fldCharType="separate"/>
          </w:r>
          <w:r w:rsidR="00DF2F4C" w:rsidRPr="00DF2F4C">
            <w:rPr>
              <w:noProof/>
              <w:lang w:val="en-US"/>
            </w:rPr>
            <w:t>(Walumbwa &amp; Hartnell, 2011)</w:t>
          </w:r>
          <w:r w:rsidR="00DF2F4C">
            <w:fldChar w:fldCharType="end"/>
          </w:r>
        </w:sdtContent>
      </w:sdt>
      <w:r w:rsidR="00D55BE5">
        <w:t xml:space="preserve">. Further, engaging employees </w:t>
      </w:r>
      <w:r w:rsidR="006F213F">
        <w:t>to</w:t>
      </w:r>
      <w:r w:rsidR="00D55BE5">
        <w:t xml:space="preserve"> align with organisational strategy can help clarify end goals. </w:t>
      </w:r>
    </w:p>
    <w:p w14:paraId="2C1119D4" w14:textId="52A42CA0" w:rsidR="00410136" w:rsidRDefault="00AC4CDD" w:rsidP="00A92E40">
      <w:pPr>
        <w:pStyle w:val="Nornal"/>
      </w:pPr>
      <w:r>
        <w:t xml:space="preserve">Contributing to inclusion and diversity will allow organisation to create and develop a much wider </w:t>
      </w:r>
      <w:r w:rsidR="00B97301">
        <w:t>pool of talent</w:t>
      </w:r>
      <w:r w:rsidR="004D76E9">
        <w:t xml:space="preserve"> </w:t>
      </w:r>
      <w:sdt>
        <w:sdtPr>
          <w:id w:val="1922604317"/>
          <w:citation/>
        </w:sdtPr>
        <w:sdtContent>
          <w:r w:rsidR="004D76E9">
            <w:fldChar w:fldCharType="begin"/>
          </w:r>
          <w:r w:rsidR="004D76E9">
            <w:rPr>
              <w:lang w:val="en-US"/>
            </w:rPr>
            <w:instrText xml:space="preserve"> CITATION Sch201 \l 1033 </w:instrText>
          </w:r>
          <w:r w:rsidR="004D76E9">
            <w:fldChar w:fldCharType="separate"/>
          </w:r>
          <w:r w:rsidR="004D76E9" w:rsidRPr="004D76E9">
            <w:rPr>
              <w:noProof/>
              <w:lang w:val="en-US"/>
            </w:rPr>
            <w:t>(Scholarios &amp; Hurrell, 2020)</w:t>
          </w:r>
          <w:r w:rsidR="004D76E9">
            <w:fldChar w:fldCharType="end"/>
          </w:r>
        </w:sdtContent>
      </w:sdt>
      <w:r w:rsidR="00B97301">
        <w:t xml:space="preserve">. The attraction of a wider pool will create diversity, which will drive performance. </w:t>
      </w:r>
      <w:r w:rsidR="008225E8">
        <w:t xml:space="preserve">Diversity and inclusion has a compounding </w:t>
      </w:r>
      <w:r w:rsidR="008848BE">
        <w:t>effect</w:t>
      </w:r>
      <w:r w:rsidR="008225E8">
        <w:t xml:space="preserve"> on an organisation as its </w:t>
      </w:r>
      <w:r w:rsidR="003F360D">
        <w:t>reputation</w:t>
      </w:r>
      <w:r w:rsidR="008225E8">
        <w:t xml:space="preserve"> improves</w:t>
      </w:r>
      <w:r w:rsidR="008848BE">
        <w:t>.</w:t>
      </w:r>
      <w:r w:rsidR="009841F9">
        <w:t xml:space="preserve"> Creating a diverse pool will drive different </w:t>
      </w:r>
      <w:r w:rsidR="009841F9">
        <w:lastRenderedPageBreak/>
        <w:t xml:space="preserve">perspectives, </w:t>
      </w:r>
      <w:r w:rsidR="00410136">
        <w:t>cultural understanding and social norms, which ultimately drives business forward</w:t>
      </w:r>
      <w:r w:rsidR="00356AE0">
        <w:t xml:space="preserve"> </w:t>
      </w:r>
      <w:sdt>
        <w:sdtPr>
          <w:id w:val="1876031508"/>
          <w:citation/>
        </w:sdtPr>
        <w:sdtContent>
          <w:r w:rsidR="00356AE0">
            <w:fldChar w:fldCharType="begin"/>
          </w:r>
          <w:r w:rsidR="00356AE0">
            <w:rPr>
              <w:lang w:val="en-US"/>
            </w:rPr>
            <w:instrText xml:space="preserve"> CITATION Gom191 \l 1033 </w:instrText>
          </w:r>
          <w:r w:rsidR="00356AE0">
            <w:fldChar w:fldCharType="separate"/>
          </w:r>
          <w:r w:rsidR="00356AE0" w:rsidRPr="00356AE0">
            <w:rPr>
              <w:noProof/>
              <w:lang w:val="en-US"/>
            </w:rPr>
            <w:t>(Gomez &amp; Bernet, 2019)</w:t>
          </w:r>
          <w:r w:rsidR="00356AE0">
            <w:fldChar w:fldCharType="end"/>
          </w:r>
        </w:sdtContent>
      </w:sdt>
      <w:r w:rsidR="00410136">
        <w:t>.</w:t>
      </w:r>
    </w:p>
    <w:p w14:paraId="70923463" w14:textId="04FA67B4" w:rsidR="005619C8" w:rsidRDefault="005619C8" w:rsidP="00A92E40">
      <w:pPr>
        <w:pStyle w:val="Nornal"/>
      </w:pPr>
      <w:r>
        <w:t>Group</w:t>
      </w:r>
    </w:p>
    <w:p w14:paraId="7DE1D901" w14:textId="769D2725" w:rsidR="005619C8" w:rsidRDefault="00476685" w:rsidP="00A92E40">
      <w:pPr>
        <w:pStyle w:val="Nornal"/>
      </w:pPr>
      <w:r>
        <w:t xml:space="preserve">People analytics can help to identify people metrics within the organisation. In conjunction with strategy, organisations can </w:t>
      </w:r>
      <w:r w:rsidR="006A70F1">
        <w:t>identify the strengths and weaknesses of their talent pools</w:t>
      </w:r>
      <w:r w:rsidR="00BD6574">
        <w:t xml:space="preserve"> </w:t>
      </w:r>
      <w:sdt>
        <w:sdtPr>
          <w:id w:val="-1613591321"/>
          <w:citation/>
        </w:sdtPr>
        <w:sdtContent>
          <w:r w:rsidR="00BD6574">
            <w:fldChar w:fldCharType="begin"/>
          </w:r>
          <w:r w:rsidR="00BD6574">
            <w:rPr>
              <w:lang w:val="en-US"/>
            </w:rPr>
            <w:instrText xml:space="preserve"> CITATION Pee201 \l 1033 </w:instrText>
          </w:r>
          <w:r w:rsidR="00BD6574">
            <w:fldChar w:fldCharType="separate"/>
          </w:r>
          <w:r w:rsidR="00BD6574" w:rsidRPr="00BD6574">
            <w:rPr>
              <w:noProof/>
              <w:lang w:val="en-US"/>
            </w:rPr>
            <w:t>(Peeters, et al., 2020)</w:t>
          </w:r>
          <w:r w:rsidR="00BD6574">
            <w:fldChar w:fldCharType="end"/>
          </w:r>
        </w:sdtContent>
      </w:sdt>
      <w:r w:rsidR="006A70F1">
        <w:t xml:space="preserve">. For example, </w:t>
      </w:r>
      <w:r w:rsidR="0060042B">
        <w:t xml:space="preserve">skill shortages can be identified utilising quantitative measured. This linear approach is an effective tool to </w:t>
      </w:r>
      <w:r w:rsidR="00347BD6">
        <w:t xml:space="preserve">ensure effective evidence-based decision making. </w:t>
      </w:r>
      <w:r w:rsidR="00444463">
        <w:t>Further</w:t>
      </w:r>
      <w:r w:rsidR="00D53E73">
        <w:t>,</w:t>
      </w:r>
      <w:r w:rsidR="00444463">
        <w:t xml:space="preserve"> analytics can help forecast resource shortages and trends</w:t>
      </w:r>
      <w:r w:rsidR="00C64271">
        <w:t xml:space="preserve"> </w:t>
      </w:r>
      <w:sdt>
        <w:sdtPr>
          <w:id w:val="-1294978149"/>
          <w:citation/>
        </w:sdtPr>
        <w:sdtContent>
          <w:r w:rsidR="00C64271">
            <w:fldChar w:fldCharType="begin"/>
          </w:r>
          <w:r w:rsidR="00C64271">
            <w:rPr>
              <w:lang w:val="en-US"/>
            </w:rPr>
            <w:instrText xml:space="preserve"> CITATION Tur21 \l 1033 </w:instrText>
          </w:r>
          <w:r w:rsidR="00C64271">
            <w:fldChar w:fldCharType="separate"/>
          </w:r>
          <w:r w:rsidR="00C64271" w:rsidRPr="00C64271">
            <w:rPr>
              <w:noProof/>
              <w:lang w:val="en-US"/>
            </w:rPr>
            <w:t>(Tursunbayeva, et al., 2021)</w:t>
          </w:r>
          <w:r w:rsidR="00C64271">
            <w:fldChar w:fldCharType="end"/>
          </w:r>
        </w:sdtContent>
      </w:sdt>
      <w:r w:rsidR="00444463">
        <w:t>.</w:t>
      </w:r>
    </w:p>
    <w:p w14:paraId="2A3E4F16" w14:textId="321380A4" w:rsidR="00444463" w:rsidRDefault="00444463" w:rsidP="00A92E40">
      <w:pPr>
        <w:pStyle w:val="Nornal"/>
      </w:pPr>
      <w:r>
        <w:t>Employee experience</w:t>
      </w:r>
      <w:r>
        <w:tab/>
      </w:r>
    </w:p>
    <w:p w14:paraId="3A0F71EF" w14:textId="36E94C93" w:rsidR="00444463" w:rsidRDefault="00444463" w:rsidP="00A92E40">
      <w:pPr>
        <w:pStyle w:val="Nornal"/>
      </w:pPr>
      <w:r>
        <w:t xml:space="preserve">Through the use of appraisals and employee voice, </w:t>
      </w:r>
      <w:r w:rsidR="0099757B">
        <w:t>organisations</w:t>
      </w:r>
      <w:r>
        <w:t xml:space="preserve"> can ensure they are identifying </w:t>
      </w:r>
      <w:r w:rsidR="0099757B">
        <w:t>motivation</w:t>
      </w:r>
      <w:r>
        <w:t xml:space="preserve"> </w:t>
      </w:r>
      <w:r w:rsidR="00D953AF">
        <w:t xml:space="preserve">to </w:t>
      </w:r>
      <w:r>
        <w:t>ensure th</w:t>
      </w:r>
      <w:r w:rsidR="00D953AF">
        <w:t>at e</w:t>
      </w:r>
      <w:r>
        <w:t xml:space="preserve">mployees are </w:t>
      </w:r>
      <w:r w:rsidR="006313CB">
        <w:t>engaged</w:t>
      </w:r>
      <w:r w:rsidR="00A37095">
        <w:t xml:space="preserve"> </w:t>
      </w:r>
      <w:sdt>
        <w:sdtPr>
          <w:id w:val="-610589141"/>
          <w:citation/>
        </w:sdtPr>
        <w:sdtContent>
          <w:r w:rsidR="00A37095">
            <w:fldChar w:fldCharType="begin"/>
          </w:r>
          <w:r w:rsidR="00A37095">
            <w:rPr>
              <w:lang w:val="en-US"/>
            </w:rPr>
            <w:instrText xml:space="preserve"> CITATION Wil20 \l 1033 </w:instrText>
          </w:r>
          <w:r w:rsidR="00A37095">
            <w:fldChar w:fldCharType="separate"/>
          </w:r>
          <w:r w:rsidR="00A37095" w:rsidRPr="00A37095">
            <w:rPr>
              <w:noProof/>
              <w:lang w:val="en-US"/>
            </w:rPr>
            <w:t>(Wilkinson, et al., 2020)</w:t>
          </w:r>
          <w:r w:rsidR="00A37095">
            <w:fldChar w:fldCharType="end"/>
          </w:r>
        </w:sdtContent>
      </w:sdt>
      <w:r w:rsidR="006313CB">
        <w:t xml:space="preserve">. Further, a better understanding of how employees feel can help drive change, </w:t>
      </w:r>
      <w:r w:rsidR="0099757B">
        <w:t xml:space="preserve">and </w:t>
      </w:r>
      <w:r w:rsidR="00D953AF">
        <w:t>identify</w:t>
      </w:r>
      <w:r w:rsidR="0099757B">
        <w:t xml:space="preserve"> underlying trends or departmental issue</w:t>
      </w:r>
      <w:sdt>
        <w:sdtPr>
          <w:id w:val="-925486025"/>
          <w:citation/>
        </w:sdtPr>
        <w:sdtContent>
          <w:r w:rsidR="00AB449B">
            <w:fldChar w:fldCharType="begin"/>
          </w:r>
          <w:r w:rsidR="00AB449B">
            <w:rPr>
              <w:lang w:val="en-US"/>
            </w:rPr>
            <w:instrText xml:space="preserve"> CITATION Pot23 \l 1033 </w:instrText>
          </w:r>
          <w:r w:rsidR="00AB449B">
            <w:fldChar w:fldCharType="separate"/>
          </w:r>
          <w:r w:rsidR="00AB449B">
            <w:rPr>
              <w:noProof/>
              <w:lang w:val="en-US"/>
            </w:rPr>
            <w:t xml:space="preserve"> </w:t>
          </w:r>
          <w:r w:rsidR="00AB449B" w:rsidRPr="00AB449B">
            <w:rPr>
              <w:noProof/>
              <w:lang w:val="en-US"/>
            </w:rPr>
            <w:t>(Potnuru, et al., 2023)</w:t>
          </w:r>
          <w:r w:rsidR="00AB449B">
            <w:fldChar w:fldCharType="end"/>
          </w:r>
        </w:sdtContent>
      </w:sdt>
      <w:r w:rsidR="00861958">
        <w:t xml:space="preserve"> </w:t>
      </w:r>
      <w:r w:rsidR="0099757B">
        <w:t>.</w:t>
      </w:r>
    </w:p>
    <w:p w14:paraId="24B47055" w14:textId="42E58044" w:rsidR="0099757B" w:rsidRDefault="0099757B" w:rsidP="00A92E40">
      <w:pPr>
        <w:pStyle w:val="Nornal"/>
      </w:pPr>
      <w:r>
        <w:t xml:space="preserve">The use of group tactics </w:t>
      </w:r>
      <w:r w:rsidR="00D953AF">
        <w:t>are invaluable when creating people strategies and business strategies so that organisations remain relevant with clear identification of employee motivators</w:t>
      </w:r>
      <w:r w:rsidR="00EC1017">
        <w:t xml:space="preserve"> </w:t>
      </w:r>
      <w:sdt>
        <w:sdtPr>
          <w:id w:val="566151351"/>
          <w:citation/>
        </w:sdtPr>
        <w:sdtContent>
          <w:r w:rsidR="00EC1017">
            <w:fldChar w:fldCharType="begin"/>
          </w:r>
          <w:r w:rsidR="00EC1017">
            <w:rPr>
              <w:lang w:val="en-US"/>
            </w:rPr>
            <w:instrText xml:space="preserve"> CITATION Kli18 \l 1033 </w:instrText>
          </w:r>
          <w:r w:rsidR="00EC1017">
            <w:fldChar w:fldCharType="separate"/>
          </w:r>
          <w:r w:rsidR="00EC1017" w:rsidRPr="00EC1017">
            <w:rPr>
              <w:noProof/>
              <w:lang w:val="en-US"/>
            </w:rPr>
            <w:t>(Klimchak, et al., 2018)</w:t>
          </w:r>
          <w:r w:rsidR="00EC1017">
            <w:fldChar w:fldCharType="end"/>
          </w:r>
        </w:sdtContent>
      </w:sdt>
      <w:r w:rsidR="00D953AF">
        <w:t>.</w:t>
      </w:r>
    </w:p>
    <w:p w14:paraId="4D18B2FB" w14:textId="77777777" w:rsidR="002A60F6" w:rsidRDefault="002A60F6" w:rsidP="002A60F6">
      <w:pPr>
        <w:pStyle w:val="Nornal"/>
      </w:pPr>
    </w:p>
    <w:p w14:paraId="7CD0A528" w14:textId="148D4BD1" w:rsidR="00FC6423" w:rsidRDefault="00FC6423" w:rsidP="00FC6423">
      <w:pPr>
        <w:pStyle w:val="Nornal"/>
        <w:numPr>
          <w:ilvl w:val="0"/>
          <w:numId w:val="2"/>
        </w:numPr>
      </w:pPr>
      <w:r>
        <w:t xml:space="preserve"> (AC 3.3)</w:t>
      </w:r>
    </w:p>
    <w:p w14:paraId="0BA5A0B6" w14:textId="7FBE39A3" w:rsidR="00EE7AB7" w:rsidRDefault="00A71C52" w:rsidP="00A71C52">
      <w:pPr>
        <w:pStyle w:val="Nornal"/>
      </w:pPr>
      <w:r>
        <w:t xml:space="preserve">Understand career goals and internal talent. </w:t>
      </w:r>
    </w:p>
    <w:p w14:paraId="4CD5C361" w14:textId="33D68AA5" w:rsidR="00AB6D4E" w:rsidRDefault="00211130" w:rsidP="00A71C52">
      <w:pPr>
        <w:pStyle w:val="Nornal"/>
      </w:pPr>
      <w:r>
        <w:t xml:space="preserve">With an increase in turnover intentions within the younger workforce, with the increase perception of a breakage of the psychological contract </w:t>
      </w:r>
      <w:sdt>
        <w:sdtPr>
          <w:id w:val="-1754504326"/>
          <w:citation/>
        </w:sdtPr>
        <w:sdtContent>
          <w:r>
            <w:fldChar w:fldCharType="begin"/>
          </w:r>
          <w:r>
            <w:rPr>
              <w:lang w:val="en-US"/>
            </w:rPr>
            <w:instrText xml:space="preserve"> CITATION All21 \l 1033 </w:instrText>
          </w:r>
          <w:r>
            <w:fldChar w:fldCharType="separate"/>
          </w:r>
          <w:r w:rsidRPr="00211130">
            <w:rPr>
              <w:noProof/>
              <w:lang w:val="en-US"/>
            </w:rPr>
            <w:t>(Allen &amp; Halkias, 2021)</w:t>
          </w:r>
          <w:r>
            <w:fldChar w:fldCharType="end"/>
          </w:r>
        </w:sdtContent>
      </w:sdt>
      <w:r w:rsidR="007A027A">
        <w:t xml:space="preserve">, organisations must ensure key motivators are identified and applied. </w:t>
      </w:r>
      <w:r>
        <w:t xml:space="preserve"> </w:t>
      </w:r>
      <w:r w:rsidR="00E855B4">
        <w:t xml:space="preserve">Therefore, </w:t>
      </w:r>
      <w:r w:rsidR="00A96F34">
        <w:t xml:space="preserve">developing and nurturing internal talent is integral to maintaining </w:t>
      </w:r>
      <w:r w:rsidR="008A4271">
        <w:t xml:space="preserve">and motivating </w:t>
      </w:r>
      <w:r w:rsidR="00A96F34">
        <w:t>key empl</w:t>
      </w:r>
      <w:r w:rsidR="008A4271">
        <w:t xml:space="preserve">oyees </w:t>
      </w:r>
      <w:sdt>
        <w:sdtPr>
          <w:id w:val="-1856798493"/>
          <w:citation/>
        </w:sdtPr>
        <w:sdtContent>
          <w:r w:rsidR="008A4271">
            <w:fldChar w:fldCharType="begin"/>
          </w:r>
          <w:r w:rsidR="008A4271">
            <w:rPr>
              <w:lang w:val="en-US"/>
            </w:rPr>
            <w:instrText xml:space="preserve"> CITATION Uke17 \l 1033 </w:instrText>
          </w:r>
          <w:r w:rsidR="008A4271">
            <w:fldChar w:fldCharType="separate"/>
          </w:r>
          <w:r w:rsidR="008A4271" w:rsidRPr="008A4271">
            <w:rPr>
              <w:noProof/>
              <w:lang w:val="en-US"/>
            </w:rPr>
            <w:t>(Ukeni &amp; Reynolds, 2017)</w:t>
          </w:r>
          <w:r w:rsidR="008A4271">
            <w:fldChar w:fldCharType="end"/>
          </w:r>
        </w:sdtContent>
      </w:sdt>
      <w:r w:rsidR="006A4DF4">
        <w:t>.</w:t>
      </w:r>
      <w:r w:rsidR="001137AC">
        <w:t xml:space="preserve"> Organisations can use tools such as </w:t>
      </w:r>
      <w:r w:rsidR="005D270D">
        <w:t>self-assessments</w:t>
      </w:r>
      <w:r w:rsidR="001137AC">
        <w:t xml:space="preserve">, appraisals, career mapping </w:t>
      </w:r>
      <w:r w:rsidR="005D270D">
        <w:t xml:space="preserve">and action plans. </w:t>
      </w:r>
      <w:r w:rsidR="00B02CC7">
        <w:t>Due to individual differences, it is important to clearly understand both individual motivators, and overall cultural expectation.</w:t>
      </w:r>
      <w:r w:rsidR="00AF592F">
        <w:t xml:space="preserve"> </w:t>
      </w:r>
      <w:r w:rsidR="00AB541E">
        <w:t>Organisations</w:t>
      </w:r>
      <w:r w:rsidR="00AF592F">
        <w:t xml:space="preserve"> who have an appreciation of the separation of these differences are able to both drive individual</w:t>
      </w:r>
      <w:r w:rsidR="00AB541E">
        <w:t xml:space="preserve"> employees</w:t>
      </w:r>
      <w:r w:rsidR="00AF592F">
        <w:t xml:space="preserve"> and </w:t>
      </w:r>
      <w:r w:rsidR="00490CDA">
        <w:t xml:space="preserve">forecast cultural shifts </w:t>
      </w:r>
      <w:sdt>
        <w:sdtPr>
          <w:id w:val="1861240117"/>
          <w:citation/>
        </w:sdtPr>
        <w:sdtContent>
          <w:r w:rsidR="00490CDA">
            <w:fldChar w:fldCharType="begin"/>
          </w:r>
          <w:r w:rsidR="00490CDA">
            <w:rPr>
              <w:lang w:val="en-US"/>
            </w:rPr>
            <w:instrText xml:space="preserve"> CITATION Nee16 \l 1033 </w:instrText>
          </w:r>
          <w:r w:rsidR="00490CDA">
            <w:fldChar w:fldCharType="separate"/>
          </w:r>
          <w:r w:rsidR="00490CDA" w:rsidRPr="00490CDA">
            <w:rPr>
              <w:noProof/>
              <w:lang w:val="en-US"/>
            </w:rPr>
            <w:t>(Neel, et al., 2016)</w:t>
          </w:r>
          <w:r w:rsidR="00490CDA">
            <w:fldChar w:fldCharType="end"/>
          </w:r>
        </w:sdtContent>
      </w:sdt>
      <w:r w:rsidR="00AB541E">
        <w:t>.</w:t>
      </w:r>
      <w:r w:rsidR="00EC18AD">
        <w:t xml:space="preserve"> </w:t>
      </w:r>
      <w:r w:rsidR="00F45A80">
        <w:t>Subsequently</w:t>
      </w:r>
      <w:r w:rsidR="00EC18AD">
        <w:t xml:space="preserve">, organisations can develop </w:t>
      </w:r>
      <w:r w:rsidR="00DA4349">
        <w:t>clearly defined and relevant career pathways to ensure engagement of the workforce.</w:t>
      </w:r>
      <w:r w:rsidR="00D206D7">
        <w:t xml:space="preserve"> </w:t>
      </w:r>
      <w:r w:rsidR="0021154F">
        <w:t xml:space="preserve">However, </w:t>
      </w:r>
      <w:r w:rsidR="00130DDD">
        <w:t xml:space="preserve">the </w:t>
      </w:r>
      <w:r w:rsidR="0051297B">
        <w:t>implementation</w:t>
      </w:r>
      <w:r w:rsidR="00130DDD">
        <w:t xml:space="preserve"> of tools such as </w:t>
      </w:r>
      <w:r w:rsidR="0051297B">
        <w:t>appraisals</w:t>
      </w:r>
      <w:r w:rsidR="00130DDD">
        <w:t xml:space="preserve"> must be </w:t>
      </w:r>
      <w:r w:rsidR="00EF2D2E">
        <w:t xml:space="preserve">executed </w:t>
      </w:r>
      <w:r w:rsidR="00E6062A">
        <w:t xml:space="preserve">effectively. </w:t>
      </w:r>
      <w:r w:rsidR="00C3123E">
        <w:t xml:space="preserve">For example, </w:t>
      </w:r>
      <w:r w:rsidR="00E6062A">
        <w:t xml:space="preserve">A lack of focus or attention will lead to </w:t>
      </w:r>
      <w:r w:rsidR="00D532E9">
        <w:t xml:space="preserve">employees becoming disengaged due to the perceived lack </w:t>
      </w:r>
      <w:r w:rsidR="00990529">
        <w:t>of</w:t>
      </w:r>
      <w:r w:rsidR="00D532E9">
        <w:t xml:space="preserve"> interest in their ambitions </w:t>
      </w:r>
      <w:sdt>
        <w:sdtPr>
          <w:id w:val="1701974379"/>
          <w:citation/>
        </w:sdtPr>
        <w:sdtContent>
          <w:r w:rsidR="00E8486B">
            <w:fldChar w:fldCharType="begin"/>
          </w:r>
          <w:r w:rsidR="00E8486B">
            <w:rPr>
              <w:lang w:val="en-US"/>
            </w:rPr>
            <w:instrText xml:space="preserve"> CITATION Hej19 \l 1033 </w:instrText>
          </w:r>
          <w:r w:rsidR="00E8486B">
            <w:fldChar w:fldCharType="separate"/>
          </w:r>
          <w:r w:rsidR="00E8486B" w:rsidRPr="00E8486B">
            <w:rPr>
              <w:noProof/>
              <w:lang w:val="en-US"/>
            </w:rPr>
            <w:t>(Hejjas, et al., 2019)</w:t>
          </w:r>
          <w:r w:rsidR="00E8486B">
            <w:fldChar w:fldCharType="end"/>
          </w:r>
        </w:sdtContent>
      </w:sdt>
      <w:r w:rsidR="0051297B">
        <w:t xml:space="preserve">. Therefore, </w:t>
      </w:r>
      <w:r w:rsidR="00C3123E">
        <w:t xml:space="preserve">strategy must be </w:t>
      </w:r>
      <w:r w:rsidR="004B6238">
        <w:t>implemented at all levels of the organisation.</w:t>
      </w:r>
    </w:p>
    <w:p w14:paraId="26E2BE19" w14:textId="0CE88C8F" w:rsidR="003811A9" w:rsidRPr="003811A9" w:rsidRDefault="003811A9" w:rsidP="003811A9">
      <w:pPr>
        <w:pStyle w:val="Nornal"/>
      </w:pPr>
      <w:r w:rsidRPr="003811A9">
        <w:t xml:space="preserve">Upskilling </w:t>
      </w:r>
    </w:p>
    <w:p w14:paraId="55F8B015" w14:textId="4A6B75C0" w:rsidR="003811A9" w:rsidRPr="003811A9" w:rsidRDefault="00FA6611" w:rsidP="003811A9">
      <w:pPr>
        <w:pStyle w:val="Nornal"/>
      </w:pPr>
      <w:r>
        <w:t>O</w:t>
      </w:r>
      <w:r w:rsidR="004D5642">
        <w:t xml:space="preserve">rganisations who drive upskilling </w:t>
      </w:r>
      <w:r w:rsidR="00B46A2B">
        <w:t>perform much better in most comparable metrics, such as retention, revenue</w:t>
      </w:r>
      <w:r w:rsidR="00A06C20">
        <w:t xml:space="preserve"> and</w:t>
      </w:r>
      <w:r w:rsidR="00B46A2B">
        <w:t xml:space="preserve"> expenditure</w:t>
      </w:r>
      <w:r w:rsidR="00A06C20">
        <w:t xml:space="preserve"> </w:t>
      </w:r>
      <w:sdt>
        <w:sdtPr>
          <w:id w:val="648255679"/>
          <w:citation/>
        </w:sdtPr>
        <w:sdtContent>
          <w:r w:rsidR="00A06C20">
            <w:fldChar w:fldCharType="begin"/>
          </w:r>
          <w:r w:rsidR="00A06C20">
            <w:rPr>
              <w:lang w:val="en-US"/>
            </w:rPr>
            <w:instrText xml:space="preserve">CITATION Leo21 \l 1033 </w:instrText>
          </w:r>
          <w:r w:rsidR="00A06C20">
            <w:fldChar w:fldCharType="separate"/>
          </w:r>
          <w:r w:rsidR="00A06C20" w:rsidRPr="00A06C20">
            <w:rPr>
              <w:noProof/>
              <w:lang w:val="en-US"/>
            </w:rPr>
            <w:t>(Consearo, 2021)</w:t>
          </w:r>
          <w:r w:rsidR="00A06C20">
            <w:fldChar w:fldCharType="end"/>
          </w:r>
        </w:sdtContent>
      </w:sdt>
      <w:r w:rsidR="00C60834">
        <w:t xml:space="preserve">. </w:t>
      </w:r>
      <w:r w:rsidR="0081168F">
        <w:t>Utilising</w:t>
      </w:r>
      <w:r w:rsidR="007E7FB3">
        <w:t xml:space="preserve"> </w:t>
      </w:r>
      <w:r w:rsidR="0094278A">
        <w:t xml:space="preserve">new skills to broaden knowledge within the </w:t>
      </w:r>
      <w:r w:rsidR="009834F3">
        <w:t>organisations</w:t>
      </w:r>
      <w:r w:rsidR="0094278A">
        <w:t xml:space="preserve">, providing a catalyst for </w:t>
      </w:r>
      <w:r w:rsidR="00F96A37">
        <w:t>competitive advantage.</w:t>
      </w:r>
      <w:r w:rsidR="00A608A5">
        <w:t xml:space="preserve"> </w:t>
      </w:r>
      <w:r w:rsidR="00504853">
        <w:t>Further, creating an organisation brand centred on upskilling and development will attract higher calibre candidates</w:t>
      </w:r>
      <w:r w:rsidR="00AC14BB">
        <w:t xml:space="preserve"> </w:t>
      </w:r>
      <w:sdt>
        <w:sdtPr>
          <w:id w:val="-1335525547"/>
          <w:citation/>
        </w:sdtPr>
        <w:sdtContent>
          <w:r w:rsidR="00B509AE">
            <w:fldChar w:fldCharType="begin"/>
          </w:r>
          <w:r w:rsidR="00B509AE">
            <w:rPr>
              <w:lang w:val="en-US"/>
            </w:rPr>
            <w:instrText xml:space="preserve"> CITATION Abe21 \l 1033 </w:instrText>
          </w:r>
          <w:r w:rsidR="00B509AE">
            <w:fldChar w:fldCharType="separate"/>
          </w:r>
          <w:r w:rsidR="00B509AE" w:rsidRPr="00B509AE">
            <w:rPr>
              <w:noProof/>
              <w:lang w:val="en-US"/>
            </w:rPr>
            <w:t>(Abe, et al., 2021)</w:t>
          </w:r>
          <w:r w:rsidR="00B509AE">
            <w:fldChar w:fldCharType="end"/>
          </w:r>
        </w:sdtContent>
      </w:sdt>
      <w:r w:rsidR="000236DD">
        <w:t>.</w:t>
      </w:r>
      <w:r w:rsidR="004B11B3">
        <w:t xml:space="preserve"> </w:t>
      </w:r>
      <w:r w:rsidR="00617F38">
        <w:t xml:space="preserve">Further, </w:t>
      </w:r>
      <w:r w:rsidR="00862A2D">
        <w:t xml:space="preserve">the development of key </w:t>
      </w:r>
      <w:r w:rsidR="00DB5C79">
        <w:t>personnel</w:t>
      </w:r>
      <w:r w:rsidR="00862A2D">
        <w:t xml:space="preserve"> can help with the development of succession planning. Strategic </w:t>
      </w:r>
      <w:r w:rsidR="00CA6451">
        <w:t xml:space="preserve">development can strengthen </w:t>
      </w:r>
      <w:r w:rsidR="00DB5C79">
        <w:t>individuals</w:t>
      </w:r>
      <w:r w:rsidR="00CA6451">
        <w:t xml:space="preserve"> to enable them to take the </w:t>
      </w:r>
      <w:r w:rsidR="00DB5C79">
        <w:t>reins</w:t>
      </w:r>
      <w:r w:rsidR="00CA6451">
        <w:t xml:space="preserve"> on the organisation</w:t>
      </w:r>
      <w:r w:rsidR="00B227FF">
        <w:t xml:space="preserve"> </w:t>
      </w:r>
      <w:sdt>
        <w:sdtPr>
          <w:id w:val="1029148881"/>
          <w:citation/>
        </w:sdtPr>
        <w:sdtContent>
          <w:r w:rsidR="00B227FF">
            <w:fldChar w:fldCharType="begin"/>
          </w:r>
          <w:r w:rsidR="00B227FF">
            <w:rPr>
              <w:lang w:val="en-US"/>
            </w:rPr>
            <w:instrText xml:space="preserve"> CITATION Oso19 \l 1033 </w:instrText>
          </w:r>
          <w:r w:rsidR="00B227FF">
            <w:fldChar w:fldCharType="separate"/>
          </w:r>
          <w:r w:rsidR="00B227FF" w:rsidRPr="00B227FF">
            <w:rPr>
              <w:noProof/>
              <w:lang w:val="en-US"/>
            </w:rPr>
            <w:t>(Osorio-Londono, 2019)</w:t>
          </w:r>
          <w:r w:rsidR="00B227FF">
            <w:fldChar w:fldCharType="end"/>
          </w:r>
        </w:sdtContent>
      </w:sdt>
      <w:r w:rsidR="00CA6451">
        <w:t xml:space="preserve">. For example, management courses for new leaders. This ensured that </w:t>
      </w:r>
      <w:r w:rsidR="00B5747F">
        <w:t xml:space="preserve">those identified for </w:t>
      </w:r>
      <w:r w:rsidR="00B5747F">
        <w:lastRenderedPageBreak/>
        <w:t>succession have the knowledge and tools to ensure the future success of the organisation. However, it is important to ensure tha</w:t>
      </w:r>
      <w:r w:rsidR="008430E8">
        <w:t xml:space="preserve">t identification </w:t>
      </w:r>
      <w:r w:rsidR="00DB629A">
        <w:t>criterions</w:t>
      </w:r>
      <w:r w:rsidR="008430E8">
        <w:t xml:space="preserve"> are fair. </w:t>
      </w:r>
      <w:r w:rsidR="001C3E28">
        <w:t>Further, organisations must ensure the upskilling remains relevant</w:t>
      </w:r>
      <w:r w:rsidR="00903188">
        <w:t xml:space="preserve">, as training can lead to capacity issues and </w:t>
      </w:r>
      <w:r w:rsidR="00DC6EEF">
        <w:t>unnecessary burden</w:t>
      </w:r>
      <w:r w:rsidR="00903188">
        <w:t xml:space="preserve"> for the </w:t>
      </w:r>
      <w:r w:rsidR="00DB5C79">
        <w:t>employee</w:t>
      </w:r>
      <w:r w:rsidR="00DC6EEF">
        <w:t xml:space="preserve"> </w:t>
      </w:r>
      <w:sdt>
        <w:sdtPr>
          <w:id w:val="1574928115"/>
          <w:citation/>
        </w:sdtPr>
        <w:sdtContent>
          <w:r w:rsidR="00B37489">
            <w:fldChar w:fldCharType="begin"/>
          </w:r>
          <w:r w:rsidR="00B37489">
            <w:rPr>
              <w:lang w:val="en-US"/>
            </w:rPr>
            <w:instrText xml:space="preserve"> CITATION Qur13 \l 1033 </w:instrText>
          </w:r>
          <w:r w:rsidR="00B37489">
            <w:fldChar w:fldCharType="separate"/>
          </w:r>
          <w:r w:rsidR="00B37489" w:rsidRPr="00B37489">
            <w:rPr>
              <w:noProof/>
              <w:lang w:val="en-US"/>
            </w:rPr>
            <w:t>(Qureshi, et al., 2013)</w:t>
          </w:r>
          <w:r w:rsidR="00B37489">
            <w:fldChar w:fldCharType="end"/>
          </w:r>
        </w:sdtContent>
      </w:sdt>
      <w:r w:rsidR="00DB5C79">
        <w:t>.</w:t>
      </w:r>
    </w:p>
    <w:p w14:paraId="24899D19" w14:textId="77777777" w:rsidR="003811A9" w:rsidRDefault="003811A9" w:rsidP="003811A9">
      <w:pPr>
        <w:pStyle w:val="Nornal"/>
      </w:pPr>
    </w:p>
    <w:p w14:paraId="6B5CEF95" w14:textId="0BA25EA1" w:rsidR="00FC6423" w:rsidRDefault="00FC6423" w:rsidP="00FC6423">
      <w:pPr>
        <w:pStyle w:val="Nornal"/>
        <w:numPr>
          <w:ilvl w:val="0"/>
          <w:numId w:val="2"/>
        </w:numPr>
      </w:pPr>
      <w:r>
        <w:t xml:space="preserve"> (AC 3.4).</w:t>
      </w:r>
    </w:p>
    <w:p w14:paraId="5F01DC0C" w14:textId="7869A7D3" w:rsidR="003B5EB1" w:rsidRDefault="00DB1761" w:rsidP="003B5EB1">
      <w:pPr>
        <w:pStyle w:val="Nornal"/>
      </w:pPr>
      <w:r>
        <w:t>Engagement</w:t>
      </w:r>
    </w:p>
    <w:p w14:paraId="3A6752BA" w14:textId="50194521" w:rsidR="00DB1761" w:rsidRDefault="00171132" w:rsidP="003B5EB1">
      <w:pPr>
        <w:pStyle w:val="Nornal"/>
      </w:pPr>
      <w:r>
        <w:t xml:space="preserve">Through driving </w:t>
      </w:r>
      <w:r w:rsidR="0089026A">
        <w:t>diversity</w:t>
      </w:r>
      <w:r>
        <w:t xml:space="preserve"> organisations can </w:t>
      </w:r>
      <w:r w:rsidR="0088192E">
        <w:t>creat</w:t>
      </w:r>
      <w:r>
        <w:t>e a</w:t>
      </w:r>
      <w:r w:rsidR="0088192E">
        <w:t xml:space="preserve"> sense of </w:t>
      </w:r>
      <w:r>
        <w:t>belonging</w:t>
      </w:r>
      <w:r w:rsidR="00A27224">
        <w:t>, which can result in better performance, retention</w:t>
      </w:r>
      <w:r w:rsidR="00436524">
        <w:t xml:space="preserve"> and work ethic. Therefore, </w:t>
      </w:r>
      <w:r w:rsidR="003E0E6D">
        <w:t>organisations</w:t>
      </w:r>
      <w:r>
        <w:t xml:space="preserve"> </w:t>
      </w:r>
      <w:r w:rsidR="003E0E6D">
        <w:t xml:space="preserve">who </w:t>
      </w:r>
      <w:r>
        <w:t xml:space="preserve">can </w:t>
      </w:r>
      <w:r w:rsidR="00436524">
        <w:t xml:space="preserve">improve </w:t>
      </w:r>
      <w:r w:rsidR="00DB1761">
        <w:t>diversi</w:t>
      </w:r>
      <w:r w:rsidR="009F675D">
        <w:t>ty can help to drive employee engagement</w:t>
      </w:r>
      <w:r w:rsidR="00666775">
        <w:t xml:space="preserve"> </w:t>
      </w:r>
      <w:sdt>
        <w:sdtPr>
          <w:id w:val="-247809743"/>
          <w:citation/>
        </w:sdtPr>
        <w:sdtContent>
          <w:r w:rsidR="00666775">
            <w:fldChar w:fldCharType="begin"/>
          </w:r>
          <w:r w:rsidR="00666775">
            <w:rPr>
              <w:lang w:val="en-US"/>
            </w:rPr>
            <w:instrText xml:space="preserve"> CITATION Del18 \l 1033 </w:instrText>
          </w:r>
          <w:r w:rsidR="00666775">
            <w:fldChar w:fldCharType="separate"/>
          </w:r>
          <w:r w:rsidR="00666775" w:rsidRPr="00666775">
            <w:rPr>
              <w:noProof/>
              <w:lang w:val="en-US"/>
            </w:rPr>
            <w:t>(Deloitte, 2018)</w:t>
          </w:r>
          <w:r w:rsidR="00666775">
            <w:fldChar w:fldCharType="end"/>
          </w:r>
        </w:sdtContent>
      </w:sdt>
      <w:r w:rsidR="009F675D">
        <w:t xml:space="preserve">, through </w:t>
      </w:r>
      <w:r w:rsidR="001E52A8">
        <w:t xml:space="preserve">creating a culture of openness and inclusivity </w:t>
      </w:r>
      <w:sdt>
        <w:sdtPr>
          <w:id w:val="1286013296"/>
          <w:citation/>
        </w:sdtPr>
        <w:sdtContent>
          <w:r w:rsidR="001E52A8">
            <w:fldChar w:fldCharType="begin"/>
          </w:r>
          <w:r w:rsidR="001E52A8">
            <w:rPr>
              <w:lang w:val="en-US"/>
            </w:rPr>
            <w:instrText xml:space="preserve"> CITATION Jim18 \l 1033 </w:instrText>
          </w:r>
          <w:r w:rsidR="001E52A8">
            <w:fldChar w:fldCharType="separate"/>
          </w:r>
          <w:r w:rsidR="001E52A8" w:rsidRPr="001E52A8">
            <w:rPr>
              <w:noProof/>
              <w:lang w:val="en-US"/>
            </w:rPr>
            <w:t>(Morris, 2018)</w:t>
          </w:r>
          <w:r w:rsidR="001E52A8">
            <w:fldChar w:fldCharType="end"/>
          </w:r>
        </w:sdtContent>
      </w:sdt>
      <w:r w:rsidR="008A1DB0">
        <w:t xml:space="preserve">. </w:t>
      </w:r>
      <w:r w:rsidR="00113B5B">
        <w:t xml:space="preserve">Those who work within an organisation with </w:t>
      </w:r>
      <w:r w:rsidR="006E335B">
        <w:t>fair representation are more likely to engage and perform with</w:t>
      </w:r>
      <w:r w:rsidR="003948FA">
        <w:t>in</w:t>
      </w:r>
      <w:r w:rsidR="006E335B">
        <w:t xml:space="preserve"> their role</w:t>
      </w:r>
      <w:r w:rsidR="003948FA">
        <w:t xml:space="preserve"> </w:t>
      </w:r>
      <w:sdt>
        <w:sdtPr>
          <w:id w:val="-670170404"/>
          <w:citation/>
        </w:sdtPr>
        <w:sdtContent>
          <w:r w:rsidR="003948FA">
            <w:fldChar w:fldCharType="begin"/>
          </w:r>
          <w:r w:rsidR="003948FA">
            <w:rPr>
              <w:lang w:val="en-US"/>
            </w:rPr>
            <w:instrText xml:space="preserve"> CITATION Gom19 \l 1033 </w:instrText>
          </w:r>
          <w:r w:rsidR="003948FA">
            <w:fldChar w:fldCharType="separate"/>
          </w:r>
          <w:r w:rsidR="003948FA" w:rsidRPr="003948FA">
            <w:rPr>
              <w:noProof/>
              <w:lang w:val="en-US"/>
            </w:rPr>
            <w:t>(Gomez &amp; Bernet, 2019)</w:t>
          </w:r>
          <w:r w:rsidR="003948FA">
            <w:fldChar w:fldCharType="end"/>
          </w:r>
        </w:sdtContent>
      </w:sdt>
      <w:r w:rsidR="009538F2">
        <w:t xml:space="preserve">. </w:t>
      </w:r>
      <w:r w:rsidR="00B7015C">
        <w:t>Ultimately</w:t>
      </w:r>
      <w:r w:rsidR="009538F2">
        <w:t xml:space="preserve">, this leads to improve retention and turnover </w:t>
      </w:r>
      <w:sdt>
        <w:sdtPr>
          <w:id w:val="2092343569"/>
          <w:citation/>
        </w:sdtPr>
        <w:sdtContent>
          <w:r w:rsidR="009538F2">
            <w:fldChar w:fldCharType="begin"/>
          </w:r>
          <w:r w:rsidR="009538F2">
            <w:rPr>
              <w:lang w:val="en-US"/>
            </w:rPr>
            <w:instrText xml:space="preserve"> CITATION Del18 \l 1033 </w:instrText>
          </w:r>
          <w:r w:rsidR="009538F2">
            <w:fldChar w:fldCharType="separate"/>
          </w:r>
          <w:r w:rsidR="009538F2" w:rsidRPr="009538F2">
            <w:rPr>
              <w:noProof/>
              <w:lang w:val="en-US"/>
            </w:rPr>
            <w:t>(Deloitte, 2018)</w:t>
          </w:r>
          <w:r w:rsidR="009538F2">
            <w:fldChar w:fldCharType="end"/>
          </w:r>
        </w:sdtContent>
      </w:sdt>
      <w:r w:rsidR="009538F2">
        <w:t xml:space="preserve">. </w:t>
      </w:r>
      <w:r w:rsidR="00B72FA9">
        <w:t xml:space="preserve">Therefore, a high performing workforce with low retention </w:t>
      </w:r>
      <w:r w:rsidR="00501006">
        <w:t xml:space="preserve">provides organisations with security of tenure, allowing greater accuracy within workforce planning. </w:t>
      </w:r>
      <w:r w:rsidR="002466C9">
        <w:t xml:space="preserve">Enjoying stability within the workforce can allow for strategic planners to </w:t>
      </w:r>
      <w:r w:rsidR="00BC5955">
        <w:t xml:space="preserve">identify performing employees </w:t>
      </w:r>
      <w:r w:rsidR="00471FF9">
        <w:t>and facilitate motivators and reward</w:t>
      </w:r>
      <w:r w:rsidR="00A44E13">
        <w:t xml:space="preserve"> </w:t>
      </w:r>
      <w:sdt>
        <w:sdtPr>
          <w:id w:val="512729451"/>
          <w:citation/>
        </w:sdtPr>
        <w:sdtContent>
          <w:r w:rsidR="00A44E13">
            <w:fldChar w:fldCharType="begin"/>
          </w:r>
          <w:r w:rsidR="00A44E13">
            <w:rPr>
              <w:lang w:val="en-US"/>
            </w:rPr>
            <w:instrText xml:space="preserve"> CITATION Daw23 \l 1033 </w:instrText>
          </w:r>
          <w:r w:rsidR="00A44E13">
            <w:fldChar w:fldCharType="separate"/>
          </w:r>
          <w:r w:rsidR="00A44E13" w:rsidRPr="00A44E13">
            <w:rPr>
              <w:noProof/>
              <w:lang w:val="en-US"/>
            </w:rPr>
            <w:t>(Dawson, et al., 2023)</w:t>
          </w:r>
          <w:r w:rsidR="00A44E13">
            <w:fldChar w:fldCharType="end"/>
          </w:r>
        </w:sdtContent>
      </w:sdt>
      <w:r w:rsidR="00471FF9">
        <w:t>.</w:t>
      </w:r>
      <w:r w:rsidR="00F94F9E">
        <w:t xml:space="preserve"> </w:t>
      </w:r>
      <w:r w:rsidR="00CA2EE0">
        <w:t xml:space="preserve">Having a brand which emulates true diversity will </w:t>
      </w:r>
      <w:r w:rsidR="00D57D22">
        <w:t xml:space="preserve">enjoy </w:t>
      </w:r>
      <w:r w:rsidR="00AA0179">
        <w:t xml:space="preserve">improved diversity within </w:t>
      </w:r>
      <w:r w:rsidR="00D57D22">
        <w:t>recruitment campaigns</w:t>
      </w:r>
      <w:r w:rsidR="00AA0179">
        <w:t>.</w:t>
      </w:r>
      <w:r w:rsidR="00667925">
        <w:t xml:space="preserve"> </w:t>
      </w:r>
      <w:r w:rsidR="00380C74">
        <w:t xml:space="preserve">Having diversity within recruitment, such as at interviews, will cause a compounding effect; further </w:t>
      </w:r>
      <w:r w:rsidR="00FC48E8">
        <w:t>solidifying the diversity within talent pools</w:t>
      </w:r>
      <w:r w:rsidR="00A15613">
        <w:t xml:space="preserve"> </w:t>
      </w:r>
      <w:sdt>
        <w:sdtPr>
          <w:id w:val="1114326333"/>
          <w:citation/>
        </w:sdtPr>
        <w:sdtContent>
          <w:r w:rsidR="00A15613">
            <w:fldChar w:fldCharType="begin"/>
          </w:r>
          <w:r w:rsidR="00A15613">
            <w:rPr>
              <w:lang w:val="en-US"/>
            </w:rPr>
            <w:instrText xml:space="preserve"> CITATION Pur061 \l 1033 </w:instrText>
          </w:r>
          <w:r w:rsidR="00A15613">
            <w:fldChar w:fldCharType="separate"/>
          </w:r>
          <w:r w:rsidR="00A15613" w:rsidRPr="00A15613">
            <w:rPr>
              <w:noProof/>
              <w:lang w:val="en-US"/>
            </w:rPr>
            <w:t>(Purkiss, et al., 2006)</w:t>
          </w:r>
          <w:r w:rsidR="00A15613">
            <w:fldChar w:fldCharType="end"/>
          </w:r>
        </w:sdtContent>
      </w:sdt>
      <w:r w:rsidR="00A15613">
        <w:t>.</w:t>
      </w:r>
    </w:p>
    <w:p w14:paraId="70DBAE49" w14:textId="492224F6" w:rsidR="00D505AD" w:rsidRDefault="00263DD3" w:rsidP="003B5EB1">
      <w:pPr>
        <w:pStyle w:val="Nornal"/>
      </w:pPr>
      <w:r>
        <w:t>Complimenting personalitie</w:t>
      </w:r>
      <w:r w:rsidR="00D505AD">
        <w:t>s</w:t>
      </w:r>
    </w:p>
    <w:p w14:paraId="5C066706" w14:textId="56219953" w:rsidR="00D505AD" w:rsidRDefault="00A93770" w:rsidP="003B5EB1">
      <w:pPr>
        <w:pStyle w:val="Nornal"/>
      </w:pPr>
      <w:r>
        <w:t>A diverse workforce enables individuals to provide perspective which others may not have considered</w:t>
      </w:r>
      <w:r w:rsidR="0028354C">
        <w:t xml:space="preserve">, which improves the resilience of decision making </w:t>
      </w:r>
      <w:sdt>
        <w:sdtPr>
          <w:id w:val="791486866"/>
          <w:citation/>
        </w:sdtPr>
        <w:sdtContent>
          <w:r w:rsidR="0028354C">
            <w:fldChar w:fldCharType="begin"/>
          </w:r>
          <w:r w:rsidR="0028354C">
            <w:rPr>
              <w:lang w:val="en-US"/>
            </w:rPr>
            <w:instrText xml:space="preserve"> CITATION Hun15 \l 1033 </w:instrText>
          </w:r>
          <w:r w:rsidR="0028354C">
            <w:fldChar w:fldCharType="separate"/>
          </w:r>
          <w:r w:rsidR="0028354C" w:rsidRPr="0028354C">
            <w:rPr>
              <w:noProof/>
              <w:lang w:val="en-US"/>
            </w:rPr>
            <w:t>(Hunt, et al., 2015)</w:t>
          </w:r>
          <w:r w:rsidR="0028354C">
            <w:fldChar w:fldCharType="end"/>
          </w:r>
        </w:sdtContent>
      </w:sdt>
      <w:r w:rsidR="00063627">
        <w:t xml:space="preserve">. </w:t>
      </w:r>
      <w:r w:rsidR="00C60516">
        <w:t>People who have differen</w:t>
      </w:r>
      <w:r w:rsidR="00E414A8">
        <w:t>ces such as</w:t>
      </w:r>
      <w:r w:rsidR="00C60516">
        <w:t xml:space="preserve"> backgrounds, beliefs,</w:t>
      </w:r>
      <w:r w:rsidR="00E414A8">
        <w:t xml:space="preserve"> </w:t>
      </w:r>
      <w:r w:rsidR="004E7364">
        <w:t xml:space="preserve">gender and </w:t>
      </w:r>
      <w:r w:rsidR="00E414A8">
        <w:t>sexual orientation can bring strength to business performance</w:t>
      </w:r>
      <w:r w:rsidR="00ED5C8A">
        <w:t xml:space="preserve"> </w:t>
      </w:r>
      <w:sdt>
        <w:sdtPr>
          <w:id w:val="1275517814"/>
          <w:citation/>
        </w:sdtPr>
        <w:sdtContent>
          <w:r w:rsidR="00ED5C8A">
            <w:fldChar w:fldCharType="begin"/>
          </w:r>
          <w:r w:rsidR="00ED5C8A">
            <w:rPr>
              <w:lang w:val="en-US"/>
            </w:rPr>
            <w:instrText xml:space="preserve"> CITATION Mar20 \l 1033 </w:instrText>
          </w:r>
          <w:r w:rsidR="00ED5C8A">
            <w:fldChar w:fldCharType="separate"/>
          </w:r>
          <w:r w:rsidR="00ED5C8A" w:rsidRPr="00ED5C8A">
            <w:rPr>
              <w:noProof/>
              <w:lang w:val="en-US"/>
            </w:rPr>
            <w:t>(Martinez-Jimenez, et al., 2020)</w:t>
          </w:r>
          <w:r w:rsidR="00ED5C8A">
            <w:fldChar w:fldCharType="end"/>
          </w:r>
        </w:sdtContent>
      </w:sdt>
      <w:r w:rsidR="00F70166">
        <w:t>.</w:t>
      </w:r>
      <w:r w:rsidR="00EA40FA">
        <w:t xml:space="preserve"> For example, a business seeking to enter new markets can </w:t>
      </w:r>
      <w:r w:rsidR="0031006C">
        <w:t>appraise its multicultural workforce to identify and understand cultural norm and the landscape</w:t>
      </w:r>
      <w:r w:rsidR="000E6F8C">
        <w:t xml:space="preserve"> </w:t>
      </w:r>
      <w:sdt>
        <w:sdtPr>
          <w:id w:val="1999842139"/>
          <w:citation/>
        </w:sdtPr>
        <w:sdtContent>
          <w:r w:rsidR="000E6F8C">
            <w:fldChar w:fldCharType="begin"/>
          </w:r>
          <w:r w:rsidR="000E6F8C">
            <w:rPr>
              <w:lang w:val="en-US"/>
            </w:rPr>
            <w:instrText xml:space="preserve"> CITATION Gor17 \l 1033 </w:instrText>
          </w:r>
          <w:r w:rsidR="000E6F8C">
            <w:fldChar w:fldCharType="separate"/>
          </w:r>
          <w:r w:rsidR="000E6F8C" w:rsidRPr="000E6F8C">
            <w:rPr>
              <w:noProof/>
              <w:lang w:val="en-US"/>
            </w:rPr>
            <w:t>(Gorostidi-Martinez &amp; Zhao, 2017)</w:t>
          </w:r>
          <w:r w:rsidR="000E6F8C">
            <w:fldChar w:fldCharType="end"/>
          </w:r>
        </w:sdtContent>
      </w:sdt>
      <w:r w:rsidR="00AE5957">
        <w:t xml:space="preserve"> Subsequently, alternate views can help to drive change within the organisation, with better identification of </w:t>
      </w:r>
      <w:r w:rsidR="00AF3F39">
        <w:t xml:space="preserve">worker </w:t>
      </w:r>
      <w:r w:rsidR="00AE5957">
        <w:t xml:space="preserve">motivators </w:t>
      </w:r>
      <w:sdt>
        <w:sdtPr>
          <w:id w:val="318705260"/>
          <w:citation/>
        </w:sdtPr>
        <w:sdtContent>
          <w:r w:rsidR="00AF3F39">
            <w:fldChar w:fldCharType="begin"/>
          </w:r>
          <w:r w:rsidR="00AF3F39">
            <w:rPr>
              <w:lang w:val="en-US"/>
            </w:rPr>
            <w:instrText xml:space="preserve"> CITATION Wil231 \l 1033 </w:instrText>
          </w:r>
          <w:r w:rsidR="00AF3F39">
            <w:fldChar w:fldCharType="separate"/>
          </w:r>
          <w:r w:rsidR="00AF3F39" w:rsidRPr="00AF3F39">
            <w:rPr>
              <w:noProof/>
              <w:lang w:val="en-US"/>
            </w:rPr>
            <w:t>(Williams &amp; Wade-Golden, 2023)</w:t>
          </w:r>
          <w:r w:rsidR="00AF3F39">
            <w:fldChar w:fldCharType="end"/>
          </w:r>
        </w:sdtContent>
      </w:sdt>
      <w:r w:rsidR="00DB2499">
        <w:t xml:space="preserve">. </w:t>
      </w:r>
      <w:r w:rsidR="00A74F65">
        <w:t xml:space="preserve">Further, </w:t>
      </w:r>
      <w:r w:rsidR="007366C5">
        <w:t xml:space="preserve">employees who can provide </w:t>
      </w:r>
      <w:r w:rsidR="005E19C6">
        <w:t xml:space="preserve">their individual </w:t>
      </w:r>
      <w:r w:rsidR="007366C5">
        <w:t xml:space="preserve">perspectives can lead to improved problem solving and business agility </w:t>
      </w:r>
      <w:sdt>
        <w:sdtPr>
          <w:id w:val="273595039"/>
          <w:citation/>
        </w:sdtPr>
        <w:sdtContent>
          <w:r w:rsidR="006146AA">
            <w:fldChar w:fldCharType="begin"/>
          </w:r>
          <w:r w:rsidR="006146AA">
            <w:rPr>
              <w:lang w:val="en-US"/>
            </w:rPr>
            <w:instrText xml:space="preserve"> CITATION Her051 \l 1033 </w:instrText>
          </w:r>
          <w:r w:rsidR="006146AA">
            <w:fldChar w:fldCharType="separate"/>
          </w:r>
          <w:r w:rsidR="006146AA" w:rsidRPr="006146AA">
            <w:rPr>
              <w:noProof/>
              <w:lang w:val="en-US"/>
            </w:rPr>
            <w:t>(Herriot &amp; Pemberton, 2005)</w:t>
          </w:r>
          <w:r w:rsidR="006146AA">
            <w:fldChar w:fldCharType="end"/>
          </w:r>
        </w:sdtContent>
      </w:sdt>
      <w:r w:rsidR="008A352A">
        <w:t xml:space="preserve">. </w:t>
      </w:r>
      <w:r w:rsidR="00DE3FB3">
        <w:t xml:space="preserve">This can lead to stronger working relationships due to employees </w:t>
      </w:r>
      <w:r w:rsidR="0064039B">
        <w:t xml:space="preserve">building deeper relationships through shared backgrounds and experiences. </w:t>
      </w:r>
      <w:r w:rsidR="00DF11A6">
        <w:t xml:space="preserve">However, organisations must ensure the diversity </w:t>
      </w:r>
      <w:r w:rsidR="008D1EFB">
        <w:t xml:space="preserve">mix must be driven based on merit, </w:t>
      </w:r>
      <w:r w:rsidR="00A902FB">
        <w:t xml:space="preserve">rather than based on </w:t>
      </w:r>
      <w:r w:rsidR="008D1EFB">
        <w:t xml:space="preserve">their </w:t>
      </w:r>
      <w:r w:rsidR="00A902FB">
        <w:t xml:space="preserve">backgrounds or beliefs, in pursuit of merely ‘ticking a box’ </w:t>
      </w:r>
      <w:sdt>
        <w:sdtPr>
          <w:id w:val="494545040"/>
          <w:citation/>
        </w:sdtPr>
        <w:sdtContent>
          <w:r w:rsidR="00A902FB">
            <w:fldChar w:fldCharType="begin"/>
          </w:r>
          <w:r w:rsidR="00A902FB">
            <w:rPr>
              <w:lang w:val="en-US"/>
            </w:rPr>
            <w:instrText xml:space="preserve"> CITATION Dwi23 \l 1033 </w:instrText>
          </w:r>
          <w:r w:rsidR="00A902FB">
            <w:fldChar w:fldCharType="separate"/>
          </w:r>
          <w:r w:rsidR="00A902FB" w:rsidRPr="00A902FB">
            <w:rPr>
              <w:noProof/>
              <w:lang w:val="en-US"/>
            </w:rPr>
            <w:t>(Dwivedi &amp; Paolella, 2023)</w:t>
          </w:r>
          <w:r w:rsidR="00A902FB">
            <w:fldChar w:fldCharType="end"/>
          </w:r>
        </w:sdtContent>
      </w:sdt>
    </w:p>
    <w:p w14:paraId="4C16F222" w14:textId="0D03B0A9" w:rsidR="003B5EB1" w:rsidRDefault="00FC6423" w:rsidP="002F3694">
      <w:pPr>
        <w:pStyle w:val="Nornal"/>
        <w:numPr>
          <w:ilvl w:val="0"/>
          <w:numId w:val="2"/>
        </w:numPr>
      </w:pPr>
      <w:r>
        <w:t xml:space="preserve"> (AC 3.5)</w:t>
      </w:r>
    </w:p>
    <w:p w14:paraId="3D96180A" w14:textId="77777777" w:rsidR="00495E24" w:rsidRDefault="00891B5B" w:rsidP="008C48BB">
      <w:pPr>
        <w:pStyle w:val="Nornal"/>
      </w:pPr>
      <w:r>
        <w:t>D</w:t>
      </w:r>
      <w:r w:rsidR="0046277F">
        <w:t xml:space="preserve">ysfunctional employee turnover can have a drastic impact on the performance, reputation and efficiency of an organisation. </w:t>
      </w:r>
      <w:r w:rsidR="003733A1">
        <w:t xml:space="preserve">Organisations must ensure that they are proactive in reducing the risk of </w:t>
      </w:r>
      <w:r w:rsidR="002C6B22">
        <w:t xml:space="preserve">high turnover. </w:t>
      </w:r>
      <w:r w:rsidR="009906BC">
        <w:t xml:space="preserve">Firstly, there can be considerable </w:t>
      </w:r>
      <w:r w:rsidR="00D01044">
        <w:t xml:space="preserve">direct and indirect </w:t>
      </w:r>
      <w:r w:rsidR="009906BC">
        <w:t>expens</w:t>
      </w:r>
      <w:r w:rsidR="00D01044">
        <w:t>e</w:t>
      </w:r>
      <w:r w:rsidR="009906BC">
        <w:t xml:space="preserve"> relating to the recruitment efforts</w:t>
      </w:r>
      <w:r w:rsidR="00AC7ABD">
        <w:t xml:space="preserve"> </w:t>
      </w:r>
      <w:sdt>
        <w:sdtPr>
          <w:id w:val="-1959167342"/>
          <w:citation/>
        </w:sdtPr>
        <w:sdtContent>
          <w:r w:rsidR="00AC7ABD">
            <w:fldChar w:fldCharType="begin"/>
          </w:r>
          <w:r w:rsidR="00AC7ABD">
            <w:rPr>
              <w:lang w:val="en-US"/>
            </w:rPr>
            <w:instrText xml:space="preserve"> CITATION Moh15 \l 1033 </w:instrText>
          </w:r>
          <w:r w:rsidR="00AC7ABD">
            <w:fldChar w:fldCharType="separate"/>
          </w:r>
          <w:r w:rsidR="00AC7ABD" w:rsidRPr="00AC7ABD">
            <w:rPr>
              <w:noProof/>
              <w:lang w:val="en-US"/>
            </w:rPr>
            <w:t>(Mohammed, et al., 2015)</w:t>
          </w:r>
          <w:r w:rsidR="00AC7ABD">
            <w:fldChar w:fldCharType="end"/>
          </w:r>
        </w:sdtContent>
      </w:sdt>
      <w:r w:rsidR="00D01044">
        <w:t xml:space="preserve">. For example, </w:t>
      </w:r>
      <w:r w:rsidR="00AA27AF">
        <w:t xml:space="preserve">the cost of </w:t>
      </w:r>
      <w:r w:rsidR="004C03E5">
        <w:t xml:space="preserve">hiring a new employee can be as much as 3 times the salary of the exiting employee </w:t>
      </w:r>
      <w:sdt>
        <w:sdtPr>
          <w:id w:val="-2081349992"/>
          <w:citation/>
        </w:sdtPr>
        <w:sdtContent>
          <w:r w:rsidR="004C03E5">
            <w:fldChar w:fldCharType="begin"/>
          </w:r>
          <w:r w:rsidR="004C03E5">
            <w:rPr>
              <w:lang w:val="en-US"/>
            </w:rPr>
            <w:instrText xml:space="preserve"> CITATION Mat21 \l 1033 </w:instrText>
          </w:r>
          <w:r w:rsidR="004C03E5">
            <w:fldChar w:fldCharType="separate"/>
          </w:r>
          <w:r w:rsidR="004C03E5" w:rsidRPr="004C03E5">
            <w:rPr>
              <w:noProof/>
              <w:lang w:val="en-US"/>
            </w:rPr>
            <w:t>(Matt, 2021)</w:t>
          </w:r>
          <w:r w:rsidR="004C03E5">
            <w:fldChar w:fldCharType="end"/>
          </w:r>
        </w:sdtContent>
      </w:sdt>
      <w:r w:rsidR="004C03E5">
        <w:t>.</w:t>
      </w:r>
      <w:r w:rsidR="00807829">
        <w:t xml:space="preserve"> </w:t>
      </w:r>
      <w:r w:rsidR="00742890">
        <w:t>Organisations</w:t>
      </w:r>
      <w:r w:rsidR="00A02468">
        <w:t xml:space="preserve"> may find that </w:t>
      </w:r>
      <w:r w:rsidR="00742890">
        <w:t>within</w:t>
      </w:r>
      <w:r w:rsidR="00A02468">
        <w:t xml:space="preserve"> tight labour markets, it can take a significant amount of time to </w:t>
      </w:r>
      <w:r w:rsidR="00EB7E3B">
        <w:t xml:space="preserve">obtain a replacement </w:t>
      </w:r>
      <w:sdt>
        <w:sdtPr>
          <w:id w:val="944888596"/>
          <w:citation/>
        </w:sdtPr>
        <w:sdtContent>
          <w:r w:rsidR="00742890">
            <w:fldChar w:fldCharType="begin"/>
          </w:r>
          <w:r w:rsidR="00742890">
            <w:rPr>
              <w:lang w:val="en-US"/>
            </w:rPr>
            <w:instrText xml:space="preserve"> CITATION CIP225 \l 1033 </w:instrText>
          </w:r>
          <w:r w:rsidR="00742890">
            <w:fldChar w:fldCharType="separate"/>
          </w:r>
          <w:r w:rsidR="00742890" w:rsidRPr="00742890">
            <w:rPr>
              <w:noProof/>
              <w:lang w:val="en-US"/>
            </w:rPr>
            <w:t>(CIPD, 2022)</w:t>
          </w:r>
          <w:r w:rsidR="00742890">
            <w:fldChar w:fldCharType="end"/>
          </w:r>
        </w:sdtContent>
      </w:sdt>
      <w:r w:rsidR="0072097B">
        <w:t>, which may lead to a number of months missing key workers</w:t>
      </w:r>
      <w:r w:rsidR="00006228">
        <w:t>, putting additional pressure and time on other members of the team</w:t>
      </w:r>
      <w:r w:rsidR="00742890">
        <w:t>.</w:t>
      </w:r>
      <w:r w:rsidR="006E4F61">
        <w:t xml:space="preserve"> Organisations struggling to replace workers may engage with agencies </w:t>
      </w:r>
      <w:r w:rsidR="00140599">
        <w:t xml:space="preserve">or paid for </w:t>
      </w:r>
      <w:r w:rsidR="00140599">
        <w:lastRenderedPageBreak/>
        <w:t>ads, but this can add significant costs, with some agencies charging 20% introduction fee</w:t>
      </w:r>
      <w:r w:rsidR="007701FE">
        <w:t xml:space="preserve">, based on salary </w:t>
      </w:r>
      <w:sdt>
        <w:sdtPr>
          <w:id w:val="1804732864"/>
          <w:citation/>
        </w:sdtPr>
        <w:sdtContent>
          <w:r w:rsidR="007701FE">
            <w:fldChar w:fldCharType="begin"/>
          </w:r>
          <w:r w:rsidR="007701FE">
            <w:rPr>
              <w:lang w:val="en-US"/>
            </w:rPr>
            <w:instrText xml:space="preserve"> CITATION HAY24 \l 1033 </w:instrText>
          </w:r>
          <w:r w:rsidR="007701FE">
            <w:fldChar w:fldCharType="separate"/>
          </w:r>
          <w:r w:rsidR="007701FE" w:rsidRPr="007701FE">
            <w:rPr>
              <w:noProof/>
              <w:lang w:val="en-US"/>
            </w:rPr>
            <w:t>(HAYS, 2024)</w:t>
          </w:r>
          <w:r w:rsidR="007701FE">
            <w:fldChar w:fldCharType="end"/>
          </w:r>
        </w:sdtContent>
      </w:sdt>
      <w:r w:rsidR="007701FE">
        <w:t>.</w:t>
      </w:r>
      <w:r w:rsidR="00742890">
        <w:t xml:space="preserve"> </w:t>
      </w:r>
    </w:p>
    <w:p w14:paraId="38E1B082" w14:textId="676F8D8C" w:rsidR="008C48BB" w:rsidRDefault="00CE7B28" w:rsidP="008C48BB">
      <w:pPr>
        <w:pStyle w:val="Nornal"/>
      </w:pPr>
      <w:r>
        <w:t>Indirect</w:t>
      </w:r>
      <w:r w:rsidR="00807829">
        <w:t xml:space="preserve"> cost is the culmination of </w:t>
      </w:r>
      <w:r w:rsidR="00006228">
        <w:t xml:space="preserve">several </w:t>
      </w:r>
      <w:r w:rsidR="00807829">
        <w:t>factors, such as the time investment by HR professionals and management in sourcing, selecting and interviewing</w:t>
      </w:r>
      <w:r w:rsidR="00C16342">
        <w:t>. It also includes costs relating to new salary negotiations, IT integration and onboarding</w:t>
      </w:r>
      <w:r w:rsidR="00367869">
        <w:t xml:space="preserve"> </w:t>
      </w:r>
      <w:sdt>
        <w:sdtPr>
          <w:id w:val="647480199"/>
          <w:citation/>
        </w:sdtPr>
        <w:sdtContent>
          <w:r w:rsidR="006F3C11">
            <w:fldChar w:fldCharType="begin"/>
          </w:r>
          <w:r w:rsidR="006F3C11">
            <w:rPr>
              <w:lang w:val="en-US"/>
            </w:rPr>
            <w:instrText xml:space="preserve"> CITATION Ari10 \l 1033 </w:instrText>
          </w:r>
          <w:r w:rsidR="006F3C11">
            <w:fldChar w:fldCharType="separate"/>
          </w:r>
          <w:r w:rsidR="006F3C11" w:rsidRPr="006F3C11">
            <w:rPr>
              <w:noProof/>
              <w:lang w:val="en-US"/>
            </w:rPr>
            <w:t>(Arindrajit, et al., 2010)</w:t>
          </w:r>
          <w:r w:rsidR="006F3C11">
            <w:fldChar w:fldCharType="end"/>
          </w:r>
        </w:sdtContent>
      </w:sdt>
      <w:r w:rsidR="00CF3DFE">
        <w:t>.</w:t>
      </w:r>
      <w:r>
        <w:t xml:space="preserve"> </w:t>
      </w:r>
      <w:r w:rsidR="00704B4B">
        <w:t xml:space="preserve">Further, </w:t>
      </w:r>
      <w:r w:rsidR="00A1571C">
        <w:t xml:space="preserve">it can take some time for new employees to ‘bed in’ and become </w:t>
      </w:r>
      <w:r w:rsidR="00EF580B">
        <w:t xml:space="preserve">financially viable, with some occasions taking up to 12 months </w:t>
      </w:r>
      <w:sdt>
        <w:sdtPr>
          <w:id w:val="666215263"/>
          <w:citation/>
        </w:sdtPr>
        <w:sdtContent>
          <w:r w:rsidR="00EF580B">
            <w:fldChar w:fldCharType="begin"/>
          </w:r>
          <w:r w:rsidR="00EF580B">
            <w:rPr>
              <w:lang w:val="en-US"/>
            </w:rPr>
            <w:instrText xml:space="preserve"> CITATION Jul24 \l 1033 </w:instrText>
          </w:r>
          <w:r w:rsidR="00EF580B">
            <w:fldChar w:fldCharType="separate"/>
          </w:r>
          <w:r w:rsidR="00EF580B" w:rsidRPr="00EF580B">
            <w:rPr>
              <w:noProof/>
              <w:lang w:val="en-US"/>
            </w:rPr>
            <w:t>(Phelan, 2024)</w:t>
          </w:r>
          <w:r w:rsidR="00EF580B">
            <w:fldChar w:fldCharType="end"/>
          </w:r>
        </w:sdtContent>
      </w:sdt>
      <w:r w:rsidR="00EF580B">
        <w:t>.</w:t>
      </w:r>
      <w:r w:rsidR="00891B5B">
        <w:t xml:space="preserve"> There can also be additional revenue risks</w:t>
      </w:r>
      <w:r w:rsidR="00E259BA">
        <w:t xml:space="preserve">, such as customer retention. Successful customer relations are based upon a positive rapport between the organisation and customer. Hence, </w:t>
      </w:r>
      <w:r w:rsidR="00C622C7">
        <w:t>a constant turnover of workers will lead to inconsistencies in relationship building</w:t>
      </w:r>
      <w:r w:rsidR="00EF74DC">
        <w:t>, with likely frustrations from the customer having to</w:t>
      </w:r>
      <w:r w:rsidR="00037DFD">
        <w:t xml:space="preserve"> regularly</w:t>
      </w:r>
      <w:r w:rsidR="00EF74DC">
        <w:t xml:space="preserve"> re</w:t>
      </w:r>
      <w:r w:rsidR="00037DFD">
        <w:t xml:space="preserve">set the relationship </w:t>
      </w:r>
      <w:sdt>
        <w:sdtPr>
          <w:id w:val="466170439"/>
          <w:citation/>
        </w:sdtPr>
        <w:sdtContent>
          <w:r w:rsidR="00037DFD">
            <w:fldChar w:fldCharType="begin"/>
          </w:r>
          <w:r w:rsidR="00037DFD">
            <w:rPr>
              <w:lang w:val="en-US"/>
            </w:rPr>
            <w:instrText xml:space="preserve"> CITATION Jon23 \l 1033 </w:instrText>
          </w:r>
          <w:r w:rsidR="00037DFD">
            <w:fldChar w:fldCharType="separate"/>
          </w:r>
          <w:r w:rsidR="00037DFD" w:rsidRPr="00037DFD">
            <w:rPr>
              <w:noProof/>
              <w:lang w:val="en-US"/>
            </w:rPr>
            <w:t>(Boys, 2023)</w:t>
          </w:r>
          <w:r w:rsidR="00037DFD">
            <w:fldChar w:fldCharType="end"/>
          </w:r>
        </w:sdtContent>
      </w:sdt>
      <w:r w:rsidR="00EF74DC">
        <w:t xml:space="preserve">. </w:t>
      </w:r>
      <w:r w:rsidR="00037DFD">
        <w:t xml:space="preserve"> Finally, there is the negative effects on the reputation, both </w:t>
      </w:r>
      <w:r w:rsidR="0092431F">
        <w:t>in terms of recruitment and customer attraction. A</w:t>
      </w:r>
      <w:r w:rsidR="00AB7DDE">
        <w:t>n</w:t>
      </w:r>
      <w:r w:rsidR="0092431F">
        <w:t xml:space="preserve"> organisation with high </w:t>
      </w:r>
      <w:r w:rsidR="002F01FB">
        <w:t>turnover</w:t>
      </w:r>
      <w:r w:rsidR="0092431F">
        <w:t xml:space="preserve"> will be perceived as </w:t>
      </w:r>
      <w:r w:rsidR="002F01FB">
        <w:t xml:space="preserve">an unattractive place to work, or </w:t>
      </w:r>
      <w:r w:rsidR="00BA7E54">
        <w:t xml:space="preserve">to commercially engage with </w:t>
      </w:r>
      <w:sdt>
        <w:sdtPr>
          <w:id w:val="1069623156"/>
          <w:citation/>
        </w:sdtPr>
        <w:sdtContent>
          <w:r w:rsidR="00BA7E54">
            <w:fldChar w:fldCharType="begin"/>
          </w:r>
          <w:r w:rsidR="00BA7E54">
            <w:rPr>
              <w:lang w:val="en-US"/>
            </w:rPr>
            <w:instrText xml:space="preserve"> CITATION Gia14 \l 1033 </w:instrText>
          </w:r>
          <w:r w:rsidR="00BA7E54">
            <w:fldChar w:fldCharType="separate"/>
          </w:r>
          <w:r w:rsidR="00BA7E54" w:rsidRPr="00BA7E54">
            <w:rPr>
              <w:noProof/>
              <w:lang w:val="en-US"/>
            </w:rPr>
            <w:t>(Gialiuisi &amp; Coetzer, 2014)</w:t>
          </w:r>
          <w:r w:rsidR="00BA7E54">
            <w:fldChar w:fldCharType="end"/>
          </w:r>
        </w:sdtContent>
      </w:sdt>
      <w:r w:rsidR="00BA7E54">
        <w:t>.</w:t>
      </w:r>
    </w:p>
    <w:p w14:paraId="7F358D41" w14:textId="77777777" w:rsidR="003B5EB1" w:rsidRDefault="003B5EB1" w:rsidP="003B5EB1">
      <w:pPr>
        <w:pStyle w:val="Nornal"/>
      </w:pPr>
    </w:p>
    <w:p w14:paraId="6B849FA5" w14:textId="4F05F84B" w:rsidR="00FC6423" w:rsidRDefault="00FC6423" w:rsidP="003B5EB1">
      <w:pPr>
        <w:pStyle w:val="Nornal"/>
        <w:numPr>
          <w:ilvl w:val="0"/>
          <w:numId w:val="2"/>
        </w:numPr>
      </w:pPr>
      <w:r>
        <w:t xml:space="preserve"> (AC 4.1)</w:t>
      </w:r>
    </w:p>
    <w:p w14:paraId="243F6577" w14:textId="34D89B53" w:rsidR="00223DBA" w:rsidRDefault="00C42213" w:rsidP="00223DBA">
      <w:pPr>
        <w:pStyle w:val="Nornal"/>
      </w:pPr>
      <w:r>
        <w:t>A</w:t>
      </w:r>
      <w:r w:rsidR="00BD317C">
        <w:t xml:space="preserve"> permanent contract is an agreement for guaranteed work, </w:t>
      </w:r>
      <w:r w:rsidR="000F569F">
        <w:t xml:space="preserve">for an </w:t>
      </w:r>
      <w:r w:rsidR="00DB629A">
        <w:t>open-ended</w:t>
      </w:r>
      <w:r w:rsidR="000F569F">
        <w:t xml:space="preserve"> period. This type of contract best suits for a role which is required for a continuous and extended period of time</w:t>
      </w:r>
      <w:r w:rsidR="00F83476">
        <w:t xml:space="preserve">, </w:t>
      </w:r>
      <w:r w:rsidR="0047406A">
        <w:t>until</w:t>
      </w:r>
      <w:r w:rsidR="00F83476">
        <w:t xml:space="preserve"> the employee resigns or terminated</w:t>
      </w:r>
      <w:r w:rsidR="0013232C">
        <w:t xml:space="preserve"> </w:t>
      </w:r>
      <w:sdt>
        <w:sdtPr>
          <w:id w:val="1821230391"/>
          <w:citation/>
        </w:sdtPr>
        <w:sdtContent>
          <w:r w:rsidR="0013232C">
            <w:fldChar w:fldCharType="begin"/>
          </w:r>
          <w:r w:rsidR="0013232C">
            <w:rPr>
              <w:lang w:val="en-US"/>
            </w:rPr>
            <w:instrText xml:space="preserve"> CITATION Une23 \l 1033 </w:instrText>
          </w:r>
          <w:r w:rsidR="0013232C">
            <w:fldChar w:fldCharType="separate"/>
          </w:r>
          <w:r w:rsidR="0013232C" w:rsidRPr="0013232C">
            <w:rPr>
              <w:noProof/>
              <w:lang w:val="en-US"/>
            </w:rPr>
            <w:t>(Unesco, 2023)</w:t>
          </w:r>
          <w:r w:rsidR="0013232C">
            <w:fldChar w:fldCharType="end"/>
          </w:r>
        </w:sdtContent>
      </w:sdt>
      <w:r w:rsidR="00F83476">
        <w:t xml:space="preserve">. This type of contract enables stability for both the employee and </w:t>
      </w:r>
      <w:r w:rsidR="00556A35">
        <w:t xml:space="preserve">employer. The employee and employer both have </w:t>
      </w:r>
      <w:r w:rsidR="00B65D94">
        <w:t>duty to each</w:t>
      </w:r>
      <w:r w:rsidR="00F00F68">
        <w:t xml:space="preserve"> </w:t>
      </w:r>
      <w:r w:rsidR="00B65D94">
        <w:t xml:space="preserve">other, such as payment, </w:t>
      </w:r>
      <w:r>
        <w:t xml:space="preserve">rights and responsibilities to work. </w:t>
      </w:r>
    </w:p>
    <w:p w14:paraId="01EDFC3B" w14:textId="0C1D5808" w:rsidR="00C42213" w:rsidRDefault="00334B22" w:rsidP="00223DBA">
      <w:pPr>
        <w:pStyle w:val="Nornal"/>
        <w:rPr>
          <w:i/>
          <w:iCs/>
        </w:rPr>
      </w:pPr>
      <w:r>
        <w:t xml:space="preserve">A fixed term contract </w:t>
      </w:r>
      <w:r w:rsidR="00B63754">
        <w:t xml:space="preserve">is similar to a permanent contract, but there are set </w:t>
      </w:r>
      <w:r w:rsidR="009E3B92">
        <w:t>date</w:t>
      </w:r>
      <w:r w:rsidR="00B63754">
        <w:t xml:space="preserve"> limits for work. For example, this may suit </w:t>
      </w:r>
      <w:r w:rsidR="00901FB7">
        <w:t xml:space="preserve">for maternity cover. </w:t>
      </w:r>
      <w:r w:rsidR="00F15F0C">
        <w:t xml:space="preserve">Fixed term workers are protected by the Fixed-term </w:t>
      </w:r>
      <w:r w:rsidR="00F00F68">
        <w:t>employees</w:t>
      </w:r>
      <w:r w:rsidR="00F15F0C">
        <w:t xml:space="preserve"> (Prevention of Favourable T</w:t>
      </w:r>
      <w:r w:rsidR="00992357">
        <w:t>reatment) Regulations</w:t>
      </w:r>
      <w:r w:rsidR="00DC3C9C">
        <w:t xml:space="preserve"> 2002</w:t>
      </w:r>
      <w:r w:rsidR="00992357">
        <w:t xml:space="preserve">, as such they cannot be treated less favourably than their permanent colleagues. </w:t>
      </w:r>
      <w:r w:rsidR="00960232">
        <w:t>However, if a worker is employed</w:t>
      </w:r>
      <w:r w:rsidR="00E339DB">
        <w:t xml:space="preserve"> continuously for over 4 years, then the contract is viewed as permanent, as seen in </w:t>
      </w:r>
      <w:r w:rsidR="00E339DB">
        <w:rPr>
          <w:i/>
          <w:iCs/>
        </w:rPr>
        <w:t>Perez Lopez v Servicio Madrileno (2016).</w:t>
      </w:r>
    </w:p>
    <w:p w14:paraId="7BC3FA8A" w14:textId="3D523F8C" w:rsidR="0014752F" w:rsidRDefault="00BC4902" w:rsidP="00223DBA">
      <w:pPr>
        <w:pStyle w:val="Nornal"/>
      </w:pPr>
      <w:r>
        <w:t xml:space="preserve">Casual workers are not obligated </w:t>
      </w:r>
      <w:r w:rsidR="00D11B13">
        <w:t xml:space="preserve">to work or be provided work, known as the </w:t>
      </w:r>
      <w:r w:rsidR="00A30F25">
        <w:t xml:space="preserve">mutual obligation test. They do not enjoy the same rights as an employee. </w:t>
      </w:r>
      <w:r w:rsidR="0014752F">
        <w:t xml:space="preserve">Zero hour contracts </w:t>
      </w:r>
      <w:r w:rsidR="00007EEA">
        <w:t xml:space="preserve">create flexibility to the workforce. </w:t>
      </w:r>
      <w:r w:rsidR="0085477C">
        <w:t>T</w:t>
      </w:r>
      <w:r w:rsidR="00007EEA">
        <w:t>he employer is not obligated to provide work</w:t>
      </w:r>
      <w:r w:rsidR="00A33AEE">
        <w:t>, nor is the employee obligated to accept any work</w:t>
      </w:r>
      <w:r w:rsidR="005C7316">
        <w:t>, thus failing the mutual obligations test.</w:t>
      </w:r>
      <w:r w:rsidR="00D03289">
        <w:t xml:space="preserve"> This is popular within seasonal work, for example hotels over </w:t>
      </w:r>
      <w:r w:rsidR="0085477C">
        <w:t>summer</w:t>
      </w:r>
      <w:r w:rsidR="00D03289">
        <w:t xml:space="preserve">. However, there are negative views on this type of contract, due to </w:t>
      </w:r>
      <w:r w:rsidR="00E06C2A">
        <w:t>its uncertainty of work and pay.</w:t>
      </w:r>
    </w:p>
    <w:p w14:paraId="006B5BEE" w14:textId="7AF58DF2" w:rsidR="004977DC" w:rsidRDefault="00037488" w:rsidP="00223DBA">
      <w:pPr>
        <w:pStyle w:val="Nornal"/>
      </w:pPr>
      <w:r>
        <w:t xml:space="preserve">Part time workers </w:t>
      </w:r>
      <w:r w:rsidR="00C94C66">
        <w:t xml:space="preserve">are those who’s hours, on average </w:t>
      </w:r>
      <w:r w:rsidR="00444961">
        <w:t xml:space="preserve">less than the normal hours of a comparable full time employee. </w:t>
      </w:r>
      <w:r w:rsidR="00753924">
        <w:t>Part-time workers have the same rights as full-time, and cannot be treated any less favourably</w:t>
      </w:r>
      <w:r w:rsidR="00CF69AB">
        <w:t>, as set out in the Part-Time Workers (Prevention</w:t>
      </w:r>
      <w:r w:rsidR="00012404">
        <w:t xml:space="preserve"> of Less Favourable Treatment) Regulations 2000 (amended 2002). This type of work may be offered </w:t>
      </w:r>
      <w:r w:rsidR="00A72C00">
        <w:t xml:space="preserve">where there is </w:t>
      </w:r>
      <w:r w:rsidR="00A13283">
        <w:t>insufficient work to support a full time employee</w:t>
      </w:r>
      <w:r w:rsidR="004977DC">
        <w:t>.</w:t>
      </w:r>
    </w:p>
    <w:p w14:paraId="51EB458B" w14:textId="170A652E" w:rsidR="004977DC" w:rsidRPr="0014752F" w:rsidRDefault="004977DC" w:rsidP="00223DBA">
      <w:pPr>
        <w:pStyle w:val="Nornal"/>
      </w:pPr>
      <w:r>
        <w:t xml:space="preserve">Agency workers are </w:t>
      </w:r>
      <w:r w:rsidR="000B546D">
        <w:t>provided by an employment agency, so have no direct relationship with the organisation.</w:t>
      </w:r>
      <w:r w:rsidR="00365922">
        <w:t xml:space="preserve"> </w:t>
      </w:r>
      <w:r w:rsidR="00047B61">
        <w:t xml:space="preserve">These </w:t>
      </w:r>
      <w:r w:rsidR="005E02EE">
        <w:t xml:space="preserve">can be helpful when covering short term capacity issues, </w:t>
      </w:r>
      <w:r w:rsidR="007322CF">
        <w:t>where the organisation looks to outsource the administrative burden of recruitment and contracts.</w:t>
      </w:r>
      <w:r w:rsidR="00B31845">
        <w:t xml:space="preserve"> T</w:t>
      </w:r>
      <w:r w:rsidR="007D5F73">
        <w:t xml:space="preserve">hese workers may still be protected under the Agency Workers Regulations 2010, if they work over 12 </w:t>
      </w:r>
      <w:r w:rsidR="00F448CE">
        <w:t>weeks</w:t>
      </w:r>
      <w:r w:rsidR="007D5F73">
        <w:t xml:space="preserve"> for the same organisation</w:t>
      </w:r>
      <w:r w:rsidR="00F448CE">
        <w:t>, such as holidays, sick pay.</w:t>
      </w:r>
    </w:p>
    <w:p w14:paraId="3DA5CFB4" w14:textId="2463314A" w:rsidR="00641526" w:rsidRDefault="00641526" w:rsidP="00641526">
      <w:pPr>
        <w:pStyle w:val="Nornal"/>
        <w:ind w:left="720"/>
      </w:pPr>
    </w:p>
    <w:p w14:paraId="59ED73A0" w14:textId="33132E56" w:rsidR="00FC6423" w:rsidRDefault="00FC6423" w:rsidP="00FC6423">
      <w:pPr>
        <w:pStyle w:val="Nornal"/>
        <w:numPr>
          <w:ilvl w:val="0"/>
          <w:numId w:val="2"/>
        </w:numPr>
      </w:pPr>
      <w:r>
        <w:lastRenderedPageBreak/>
        <w:t xml:space="preserve"> (AC 4.2)</w:t>
      </w:r>
    </w:p>
    <w:p w14:paraId="499E1922" w14:textId="7617EBCC" w:rsidR="00137B66" w:rsidRDefault="003053A1" w:rsidP="00137B66">
      <w:pPr>
        <w:pStyle w:val="Nornal"/>
      </w:pPr>
      <w:r>
        <w:t xml:space="preserve">Express terms are those agreements which are written or </w:t>
      </w:r>
      <w:r w:rsidR="00C413FF">
        <w:t>provided verbally</w:t>
      </w:r>
      <w:r w:rsidR="002C1CA0">
        <w:t xml:space="preserve"> </w:t>
      </w:r>
      <w:sdt>
        <w:sdtPr>
          <w:id w:val="-262458347"/>
          <w:citation/>
        </w:sdtPr>
        <w:sdtContent>
          <w:r w:rsidR="00E74E94">
            <w:fldChar w:fldCharType="begin"/>
          </w:r>
          <w:r w:rsidR="00E74E94">
            <w:rPr>
              <w:lang w:val="en-US"/>
            </w:rPr>
            <w:instrText xml:space="preserve"> CITATION ACA238 \l 1033 </w:instrText>
          </w:r>
          <w:r w:rsidR="00E74E94">
            <w:fldChar w:fldCharType="separate"/>
          </w:r>
          <w:r w:rsidR="00E74E94" w:rsidRPr="00E74E94">
            <w:rPr>
              <w:noProof/>
              <w:lang w:val="en-US"/>
            </w:rPr>
            <w:t>(ACAS, 2023)</w:t>
          </w:r>
          <w:r w:rsidR="00E74E94">
            <w:fldChar w:fldCharType="end"/>
          </w:r>
        </w:sdtContent>
      </w:sdt>
      <w:r w:rsidR="00C413FF">
        <w:t xml:space="preserve">. Usually they are </w:t>
      </w:r>
      <w:r w:rsidR="007D3FD7">
        <w:t>contained</w:t>
      </w:r>
      <w:r w:rsidR="00C413FF">
        <w:t xml:space="preserve"> within the employment contract, however, additions or variations can apply </w:t>
      </w:r>
      <w:r w:rsidR="009D0616">
        <w:t>through email communications or office manuals. Express terms must comply with all legal requirements</w:t>
      </w:r>
      <w:r w:rsidR="00306FD8">
        <w:t xml:space="preserve">, such as </w:t>
      </w:r>
      <w:r w:rsidR="007D3FD7">
        <w:t>minimum</w:t>
      </w:r>
      <w:r w:rsidR="00306FD8">
        <w:t xml:space="preserve"> wage or annual leave. These terms are usually written by legal professionals d</w:t>
      </w:r>
      <w:r w:rsidR="007D3FD7">
        <w:t xml:space="preserve">ue to the legal complexity and any potential repercussions. </w:t>
      </w:r>
      <w:r w:rsidR="00F44BD3">
        <w:t xml:space="preserve">There is a statutory right for workers to have a written contract or statement of particulars, which sets out </w:t>
      </w:r>
      <w:r w:rsidR="00E25C83">
        <w:t>employment terms from day one.</w:t>
      </w:r>
      <w:r w:rsidR="00AE1C72">
        <w:t xml:space="preserve"> For example, </w:t>
      </w:r>
      <w:r w:rsidR="00F1326D">
        <w:t>working hours.</w:t>
      </w:r>
    </w:p>
    <w:p w14:paraId="4673EBDD" w14:textId="1F054BB8" w:rsidR="00E25C83" w:rsidRDefault="00550149" w:rsidP="00137B66">
      <w:pPr>
        <w:pStyle w:val="Nornal"/>
      </w:pPr>
      <w:r>
        <w:t xml:space="preserve">Implied terms </w:t>
      </w:r>
      <w:r w:rsidR="002D3AE1">
        <w:t>are those which</w:t>
      </w:r>
      <w:r w:rsidR="004A7B05">
        <w:t>, while not directly agreed, are presumed to be agreed through a number of avenues</w:t>
      </w:r>
      <w:r w:rsidR="003A0BCB">
        <w:t xml:space="preserve"> </w:t>
      </w:r>
      <w:sdt>
        <w:sdtPr>
          <w:id w:val="1267649271"/>
          <w:citation/>
        </w:sdtPr>
        <w:sdtContent>
          <w:r w:rsidR="003A0BCB">
            <w:fldChar w:fldCharType="begin"/>
          </w:r>
          <w:r w:rsidR="003A0BCB">
            <w:rPr>
              <w:lang w:val="en-US"/>
            </w:rPr>
            <w:instrText xml:space="preserve"> CITATION ACA238 \l 1033 </w:instrText>
          </w:r>
          <w:r w:rsidR="003A0BCB">
            <w:fldChar w:fldCharType="separate"/>
          </w:r>
          <w:r w:rsidR="003A0BCB" w:rsidRPr="003A0BCB">
            <w:rPr>
              <w:noProof/>
              <w:lang w:val="en-US"/>
            </w:rPr>
            <w:t>(ACAS, 2023)</w:t>
          </w:r>
          <w:r w:rsidR="003A0BCB">
            <w:fldChar w:fldCharType="end"/>
          </w:r>
        </w:sdtContent>
      </w:sdt>
      <w:r w:rsidR="004A7B05">
        <w:t xml:space="preserve">. </w:t>
      </w:r>
      <w:r w:rsidR="00D2277F">
        <w:t>These terms are not written into the contract. T</w:t>
      </w:r>
      <w:r w:rsidR="004A7B05">
        <w:t xml:space="preserve">hese can be </w:t>
      </w:r>
      <w:r w:rsidR="001409D8">
        <w:t xml:space="preserve">implied </w:t>
      </w:r>
      <w:r w:rsidR="004A7B05">
        <w:t xml:space="preserve">through </w:t>
      </w:r>
      <w:r w:rsidR="00354C31">
        <w:t xml:space="preserve">firstly, </w:t>
      </w:r>
      <w:r w:rsidR="00806EB8">
        <w:t>collective agreements</w:t>
      </w:r>
      <w:r w:rsidR="00E04686">
        <w:t xml:space="preserve">; this would be where recognised trade unions agree additional terms with an employer. </w:t>
      </w:r>
      <w:r w:rsidR="00806EB8">
        <w:t xml:space="preserve"> </w:t>
      </w:r>
      <w:r w:rsidR="00354C31">
        <w:t>Secondly, statutory this would be where a term is implied as it legal</w:t>
      </w:r>
      <w:r w:rsidR="004C5FFC">
        <w:t>, such as health and safety standards. Thirdly</w:t>
      </w:r>
      <w:r w:rsidR="00806EB8">
        <w:t xml:space="preserve">, </w:t>
      </w:r>
      <w:r w:rsidR="004C5FFC">
        <w:t xml:space="preserve">practice </w:t>
      </w:r>
      <w:r w:rsidR="00806EB8">
        <w:t>custom</w:t>
      </w:r>
      <w:r w:rsidR="004C5FFC">
        <w:t xml:space="preserve"> implies that because a certain action or benefit is so regular it becomes assumed, and therefore implied.</w:t>
      </w:r>
      <w:r w:rsidR="00806EB8">
        <w:t xml:space="preserve"> </w:t>
      </w:r>
      <w:r w:rsidR="004C5FFC">
        <w:t xml:space="preserve">Finally, a term can be implied if it is so obvious, for example </w:t>
      </w:r>
      <w:r w:rsidR="0037534D">
        <w:t>not being rude to customers</w:t>
      </w:r>
      <w:r w:rsidR="007A6596">
        <w:t xml:space="preserve"> </w:t>
      </w:r>
      <w:sdt>
        <w:sdtPr>
          <w:id w:val="1980334470"/>
          <w:citation/>
        </w:sdtPr>
        <w:sdtContent>
          <w:r w:rsidR="007A6596">
            <w:fldChar w:fldCharType="begin"/>
          </w:r>
          <w:r w:rsidR="007A6596">
            <w:rPr>
              <w:lang w:val="en-US"/>
            </w:rPr>
            <w:instrText xml:space="preserve"> CITATION TUC22 \l 1033 </w:instrText>
          </w:r>
          <w:r w:rsidR="007A6596">
            <w:fldChar w:fldCharType="separate"/>
          </w:r>
          <w:r w:rsidR="007A6596" w:rsidRPr="007A6596">
            <w:rPr>
              <w:noProof/>
              <w:lang w:val="en-US"/>
            </w:rPr>
            <w:t>(TUC, 2022)</w:t>
          </w:r>
          <w:r w:rsidR="007A6596">
            <w:fldChar w:fldCharType="end"/>
          </w:r>
        </w:sdtContent>
      </w:sdt>
      <w:r w:rsidR="0037534D">
        <w:t>.</w:t>
      </w:r>
      <w:r w:rsidR="00806EB8">
        <w:t xml:space="preserve"> </w:t>
      </w:r>
      <w:r w:rsidR="00D2277F">
        <w:t xml:space="preserve">Examples could be </w:t>
      </w:r>
      <w:r w:rsidR="00DC68CE">
        <w:t>equal pay and minimum notice periods.</w:t>
      </w:r>
      <w:r w:rsidR="004B3C5E">
        <w:t xml:space="preserve"> Terms can also be implied if they are for business efficacy or conduct.</w:t>
      </w:r>
      <w:r w:rsidR="00D944FD">
        <w:t xml:space="preserve"> Business efficacy relates to terms which are needed to make the working relationship function. </w:t>
      </w:r>
      <w:r w:rsidR="00A6599D">
        <w:t xml:space="preserve">Conduct relates to worker behaviours, which suggest they have agreed something, </w:t>
      </w:r>
      <w:r w:rsidR="00E312EA">
        <w:t>even though</w:t>
      </w:r>
      <w:r w:rsidR="00A6599D">
        <w:t xml:space="preserve"> they have not officially or formally</w:t>
      </w:r>
      <w:r w:rsidR="00177A7D">
        <w:t xml:space="preserve"> </w:t>
      </w:r>
      <w:sdt>
        <w:sdtPr>
          <w:id w:val="1830101840"/>
          <w:citation/>
        </w:sdtPr>
        <w:sdtContent>
          <w:r w:rsidR="00177A7D">
            <w:fldChar w:fldCharType="begin"/>
          </w:r>
          <w:r w:rsidR="00177A7D">
            <w:rPr>
              <w:lang w:val="en-US"/>
            </w:rPr>
            <w:instrText xml:space="preserve"> CITATION ACA238 \l 1033 </w:instrText>
          </w:r>
          <w:r w:rsidR="00177A7D">
            <w:fldChar w:fldCharType="separate"/>
          </w:r>
          <w:r w:rsidR="00177A7D" w:rsidRPr="00177A7D">
            <w:rPr>
              <w:noProof/>
              <w:lang w:val="en-US"/>
            </w:rPr>
            <w:t>(ACAS, 2023)</w:t>
          </w:r>
          <w:r w:rsidR="00177A7D">
            <w:fldChar w:fldCharType="end"/>
          </w:r>
        </w:sdtContent>
      </w:sdt>
      <w:sdt>
        <w:sdtPr>
          <w:id w:val="-371998549"/>
          <w:citation/>
        </w:sdtPr>
        <w:sdtContent>
          <w:r w:rsidR="00710C55">
            <w:fldChar w:fldCharType="begin"/>
          </w:r>
          <w:r w:rsidR="00710C55">
            <w:rPr>
              <w:lang w:val="en-US"/>
            </w:rPr>
            <w:instrText xml:space="preserve"> CITATION Dav18 \l 1033 </w:instrText>
          </w:r>
          <w:r w:rsidR="00710C55">
            <w:fldChar w:fldCharType="separate"/>
          </w:r>
          <w:r w:rsidR="00710C55">
            <w:rPr>
              <w:noProof/>
              <w:lang w:val="en-US"/>
            </w:rPr>
            <w:t xml:space="preserve"> </w:t>
          </w:r>
          <w:r w:rsidR="00710C55" w:rsidRPr="00710C55">
            <w:rPr>
              <w:noProof/>
              <w:lang w:val="en-US"/>
            </w:rPr>
            <w:t>(Davila &amp; Pina-Rimirez, 2018)</w:t>
          </w:r>
          <w:r w:rsidR="00710C55">
            <w:fldChar w:fldCharType="end"/>
          </w:r>
        </w:sdtContent>
      </w:sdt>
      <w:r w:rsidR="00A6599D">
        <w:t>.</w:t>
      </w:r>
    </w:p>
    <w:p w14:paraId="0579B68B" w14:textId="01E571F6" w:rsidR="00FC6423" w:rsidRPr="00ED4D26" w:rsidRDefault="00FC6423" w:rsidP="00FC6423">
      <w:pPr>
        <w:pStyle w:val="Nornal"/>
        <w:numPr>
          <w:ilvl w:val="0"/>
          <w:numId w:val="2"/>
        </w:numPr>
      </w:pPr>
      <w:r>
        <w:t xml:space="preserve"> (AC 4.3)</w:t>
      </w:r>
    </w:p>
    <w:p w14:paraId="330B1A43" w14:textId="6FF8092D" w:rsidR="00FC6423" w:rsidRDefault="003902AF" w:rsidP="00FA67BE">
      <w:pPr>
        <w:pStyle w:val="Nornal"/>
        <w:spacing w:after="0" w:line="240" w:lineRule="auto"/>
      </w:pPr>
      <w:r>
        <w:t>Components</w:t>
      </w:r>
    </w:p>
    <w:p w14:paraId="1D8479CE" w14:textId="77777777" w:rsidR="003902AF" w:rsidRDefault="003902AF" w:rsidP="00FA67BE">
      <w:pPr>
        <w:pStyle w:val="Nornal"/>
        <w:spacing w:after="0" w:line="240" w:lineRule="auto"/>
      </w:pPr>
    </w:p>
    <w:p w14:paraId="3418EC6A" w14:textId="0813EFD9" w:rsidR="003902AF" w:rsidRDefault="00A65D8C" w:rsidP="00FA67BE">
      <w:pPr>
        <w:pStyle w:val="Nornal"/>
        <w:spacing w:after="0" w:line="240" w:lineRule="auto"/>
      </w:pPr>
      <w:r>
        <w:t xml:space="preserve">Firstly, </w:t>
      </w:r>
      <w:r w:rsidR="00560A73">
        <w:t>onboarding begins before the first day</w:t>
      </w:r>
      <w:r w:rsidR="006B5964">
        <w:t xml:space="preserve">. This can begin at recruitment, such as </w:t>
      </w:r>
      <w:r w:rsidR="00E4654B">
        <w:t>organisational brand and culture within the job advert and at interview. It also</w:t>
      </w:r>
      <w:r w:rsidR="006B5964">
        <w:t xml:space="preserve"> includes </w:t>
      </w:r>
      <w:r w:rsidR="000B594B">
        <w:t>pre-employment</w:t>
      </w:r>
      <w:r w:rsidR="006B5964">
        <w:t xml:space="preserve"> checks, </w:t>
      </w:r>
      <w:r w:rsidR="00E4654B">
        <w:t>liaising</w:t>
      </w:r>
      <w:r w:rsidR="006B5964">
        <w:t xml:space="preserve"> with the employee and </w:t>
      </w:r>
      <w:r w:rsidR="00E4654B">
        <w:t>agreeing terms</w:t>
      </w:r>
      <w:sdt>
        <w:sdtPr>
          <w:id w:val="467167503"/>
          <w:citation/>
        </w:sdtPr>
        <w:sdtContent>
          <w:r w:rsidR="00CE4765">
            <w:fldChar w:fldCharType="begin"/>
          </w:r>
          <w:r w:rsidR="00CE4765">
            <w:rPr>
              <w:lang w:val="en-US"/>
            </w:rPr>
            <w:instrText xml:space="preserve"> CITATION Dav18 \l 1033 </w:instrText>
          </w:r>
          <w:r w:rsidR="00CE4765">
            <w:fldChar w:fldCharType="separate"/>
          </w:r>
          <w:r w:rsidR="00CE4765">
            <w:rPr>
              <w:noProof/>
              <w:lang w:val="en-US"/>
            </w:rPr>
            <w:t xml:space="preserve"> </w:t>
          </w:r>
          <w:r w:rsidR="00CE4765" w:rsidRPr="00CE4765">
            <w:rPr>
              <w:noProof/>
              <w:lang w:val="en-US"/>
            </w:rPr>
            <w:t>(Davila &amp; Pina-Rimirez, 2018)</w:t>
          </w:r>
          <w:r w:rsidR="00CE4765">
            <w:fldChar w:fldCharType="end"/>
          </w:r>
        </w:sdtContent>
      </w:sdt>
      <w:r w:rsidR="00E4654B">
        <w:t>.</w:t>
      </w:r>
    </w:p>
    <w:p w14:paraId="3F59FC43" w14:textId="6D4BC12A" w:rsidR="005173F8" w:rsidRDefault="005173F8" w:rsidP="00FA67BE">
      <w:pPr>
        <w:pStyle w:val="Nornal"/>
        <w:spacing w:after="0" w:line="240" w:lineRule="auto"/>
      </w:pPr>
    </w:p>
    <w:p w14:paraId="0B068AF2" w14:textId="53269F07" w:rsidR="005173F8" w:rsidRDefault="005173F8" w:rsidP="00FA67BE">
      <w:pPr>
        <w:pStyle w:val="Nornal"/>
        <w:spacing w:after="0" w:line="240" w:lineRule="auto"/>
      </w:pPr>
      <w:r>
        <w:t xml:space="preserve">Secondly, it is important to explain the organisational and department structure, </w:t>
      </w:r>
      <w:r w:rsidR="00A73695">
        <w:t xml:space="preserve">how the organisation works and the culture within. </w:t>
      </w:r>
      <w:r w:rsidR="0016542E">
        <w:t xml:space="preserve">This can include contractual information such as line managers, but also </w:t>
      </w:r>
      <w:r w:rsidR="00174F19">
        <w:t>cultural norms, such as level of professionalism</w:t>
      </w:r>
      <w:r w:rsidR="00166213">
        <w:t xml:space="preserve"> </w:t>
      </w:r>
      <w:sdt>
        <w:sdtPr>
          <w:id w:val="774142161"/>
          <w:citation/>
        </w:sdtPr>
        <w:sdtContent>
          <w:r w:rsidR="00166213">
            <w:fldChar w:fldCharType="begin"/>
          </w:r>
          <w:r w:rsidR="00166213">
            <w:rPr>
              <w:lang w:val="en-US"/>
            </w:rPr>
            <w:instrText xml:space="preserve"> CITATION Byf171 \l 1033 </w:instrText>
          </w:r>
          <w:r w:rsidR="00166213">
            <w:fldChar w:fldCharType="separate"/>
          </w:r>
          <w:r w:rsidR="00166213" w:rsidRPr="00166213">
            <w:rPr>
              <w:noProof/>
              <w:lang w:val="en-US"/>
            </w:rPr>
            <w:t>(Byford, et al., 2017)</w:t>
          </w:r>
          <w:r w:rsidR="00166213">
            <w:fldChar w:fldCharType="end"/>
          </w:r>
        </w:sdtContent>
      </w:sdt>
      <w:r w:rsidR="00174F19">
        <w:t>.</w:t>
      </w:r>
    </w:p>
    <w:p w14:paraId="7D428B6B" w14:textId="77777777" w:rsidR="00174F19" w:rsidRDefault="00174F19" w:rsidP="00FA67BE">
      <w:pPr>
        <w:pStyle w:val="Nornal"/>
        <w:spacing w:after="0" w:line="240" w:lineRule="auto"/>
      </w:pPr>
    </w:p>
    <w:p w14:paraId="590EBC95" w14:textId="360DC2B8" w:rsidR="00B90AFE" w:rsidRDefault="00174F19" w:rsidP="00FA67BE">
      <w:pPr>
        <w:pStyle w:val="Nornal"/>
        <w:spacing w:after="0" w:line="240" w:lineRule="auto"/>
      </w:pPr>
      <w:r>
        <w:t xml:space="preserve">Thirdly, </w:t>
      </w:r>
      <w:r w:rsidR="007E5149">
        <w:t xml:space="preserve">employees need to understand and appreciate the expectation of the organisations and the </w:t>
      </w:r>
      <w:r w:rsidR="00CC23DA">
        <w:t xml:space="preserve">role itself. This can include information on how the first 30 days will look, and how expectation may evolve during the tenure. Further, it can help to identify success within the role, and the specific requirements </w:t>
      </w:r>
      <w:r w:rsidR="00B90AFE">
        <w:t>and job description</w:t>
      </w:r>
      <w:r w:rsidR="009F4934">
        <w:t xml:space="preserve"> </w:t>
      </w:r>
      <w:sdt>
        <w:sdtPr>
          <w:id w:val="-1958705842"/>
          <w:citation/>
        </w:sdtPr>
        <w:sdtContent>
          <w:r w:rsidR="009F4934">
            <w:fldChar w:fldCharType="begin"/>
          </w:r>
          <w:r w:rsidR="009F4934">
            <w:rPr>
              <w:lang w:val="en-US"/>
            </w:rPr>
            <w:instrText xml:space="preserve"> CITATION Chi20 \l 1033 </w:instrText>
          </w:r>
          <w:r w:rsidR="009F4934">
            <w:fldChar w:fldCharType="separate"/>
          </w:r>
          <w:r w:rsidR="009F4934" w:rsidRPr="009F4934">
            <w:rPr>
              <w:noProof/>
              <w:lang w:val="en-US"/>
            </w:rPr>
            <w:t>(Chillakuri, 2020)</w:t>
          </w:r>
          <w:r w:rsidR="009F4934">
            <w:fldChar w:fldCharType="end"/>
          </w:r>
        </w:sdtContent>
      </w:sdt>
      <w:r w:rsidR="00B90AFE">
        <w:t>.</w:t>
      </w:r>
    </w:p>
    <w:p w14:paraId="00147A8C" w14:textId="77777777" w:rsidR="00B90AFE" w:rsidRDefault="00B90AFE" w:rsidP="00FA67BE">
      <w:pPr>
        <w:pStyle w:val="Nornal"/>
        <w:spacing w:after="0" w:line="240" w:lineRule="auto"/>
      </w:pPr>
    </w:p>
    <w:p w14:paraId="112B0947" w14:textId="462CB7E7" w:rsidR="004254AA" w:rsidRDefault="00B90AFE" w:rsidP="00FA67BE">
      <w:pPr>
        <w:pStyle w:val="Nornal"/>
        <w:spacing w:after="0" w:line="240" w:lineRule="auto"/>
      </w:pPr>
      <w:r>
        <w:t xml:space="preserve">Fourthly, employees need to </w:t>
      </w:r>
      <w:r w:rsidR="007E3434">
        <w:t xml:space="preserve">be socially </w:t>
      </w:r>
      <w:r w:rsidR="00541462">
        <w:t>embedding</w:t>
      </w:r>
      <w:r w:rsidR="007E3434">
        <w:t xml:space="preserve"> into the organisation. Introductions can help ease first day nerves and </w:t>
      </w:r>
      <w:r w:rsidR="00F06ECF">
        <w:t xml:space="preserve">create strong working relationship. </w:t>
      </w:r>
      <w:r w:rsidR="004254AA">
        <w:t>It can help to explain any social gatherings and after hour events at this point</w:t>
      </w:r>
      <w:r w:rsidR="000F4EF9">
        <w:t xml:space="preserve"> </w:t>
      </w:r>
      <w:sdt>
        <w:sdtPr>
          <w:id w:val="-1644961280"/>
          <w:citation/>
        </w:sdtPr>
        <w:sdtContent>
          <w:r w:rsidR="000F4EF9">
            <w:fldChar w:fldCharType="begin"/>
          </w:r>
          <w:r w:rsidR="000F4EF9">
            <w:rPr>
              <w:lang w:val="en-US"/>
            </w:rPr>
            <w:instrText xml:space="preserve"> CITATION Hei19 \l 1033 </w:instrText>
          </w:r>
          <w:r w:rsidR="000F4EF9">
            <w:fldChar w:fldCharType="separate"/>
          </w:r>
          <w:r w:rsidR="000F4EF9" w:rsidRPr="000F4EF9">
            <w:rPr>
              <w:noProof/>
              <w:lang w:val="en-US"/>
            </w:rPr>
            <w:t>(Heimburger, et al., 2019)</w:t>
          </w:r>
          <w:r w:rsidR="000F4EF9">
            <w:fldChar w:fldCharType="end"/>
          </w:r>
        </w:sdtContent>
      </w:sdt>
      <w:r w:rsidR="004254AA">
        <w:t>.</w:t>
      </w:r>
    </w:p>
    <w:p w14:paraId="4FE8F5CE" w14:textId="77777777" w:rsidR="004254AA" w:rsidRDefault="004254AA" w:rsidP="00FA67BE">
      <w:pPr>
        <w:pStyle w:val="Nornal"/>
        <w:spacing w:after="0" w:line="240" w:lineRule="auto"/>
      </w:pPr>
    </w:p>
    <w:p w14:paraId="00694DC3" w14:textId="3B9EA649" w:rsidR="004254AA" w:rsidRDefault="00EC6C33" w:rsidP="00FA67BE">
      <w:pPr>
        <w:pStyle w:val="Nornal"/>
        <w:spacing w:after="0" w:line="240" w:lineRule="auto"/>
      </w:pPr>
      <w:r>
        <w:t>Filthy</w:t>
      </w:r>
      <w:r w:rsidR="004254AA">
        <w:t xml:space="preserve">, identify with the employee any development needs they may require and their aspirations. Provide them with </w:t>
      </w:r>
      <w:r>
        <w:t>signposting for support including who to contact for help</w:t>
      </w:r>
      <w:r w:rsidR="003B6328">
        <w:t xml:space="preserve"> </w:t>
      </w:r>
      <w:sdt>
        <w:sdtPr>
          <w:id w:val="1117267525"/>
          <w:citation/>
        </w:sdtPr>
        <w:sdtContent>
          <w:r w:rsidR="003B6328">
            <w:fldChar w:fldCharType="begin"/>
          </w:r>
          <w:r w:rsidR="003B6328">
            <w:rPr>
              <w:lang w:val="en-US"/>
            </w:rPr>
            <w:instrText xml:space="preserve"> CITATION Did24 \l 1033 </w:instrText>
          </w:r>
          <w:r w:rsidR="003B6328">
            <w:fldChar w:fldCharType="separate"/>
          </w:r>
          <w:r w:rsidR="003B6328" w:rsidRPr="003B6328">
            <w:rPr>
              <w:noProof/>
              <w:lang w:val="en-US"/>
            </w:rPr>
            <w:t>(Didion, et al., 2024)</w:t>
          </w:r>
          <w:r w:rsidR="003B6328">
            <w:fldChar w:fldCharType="end"/>
          </w:r>
        </w:sdtContent>
      </w:sdt>
      <w:r>
        <w:t>.</w:t>
      </w:r>
    </w:p>
    <w:p w14:paraId="62833184" w14:textId="77777777" w:rsidR="00EC6C33" w:rsidRDefault="00EC6C33" w:rsidP="00FA67BE">
      <w:pPr>
        <w:pStyle w:val="Nornal"/>
        <w:spacing w:after="0" w:line="240" w:lineRule="auto"/>
      </w:pPr>
    </w:p>
    <w:p w14:paraId="18330DCA" w14:textId="1C915D71" w:rsidR="00EC6C33" w:rsidRDefault="00EC6C33" w:rsidP="00FA67BE">
      <w:pPr>
        <w:pStyle w:val="Nornal"/>
        <w:spacing w:after="0" w:line="240" w:lineRule="auto"/>
      </w:pPr>
      <w:r>
        <w:t xml:space="preserve">Benefits </w:t>
      </w:r>
      <w:r w:rsidR="00541462">
        <w:t>following the above would be;</w:t>
      </w:r>
      <w:r w:rsidR="00FD2B12">
        <w:t xml:space="preserve"> effectiveness and turnover. Firstly, employees who have had an effective onboarding process have proven to perform better</w:t>
      </w:r>
      <w:r w:rsidR="00827A36">
        <w:t xml:space="preserve"> </w:t>
      </w:r>
      <w:sdt>
        <w:sdtPr>
          <w:id w:val="-209111321"/>
          <w:citation/>
        </w:sdtPr>
        <w:sdtContent>
          <w:r w:rsidR="00827A36">
            <w:fldChar w:fldCharType="begin"/>
          </w:r>
          <w:r w:rsidR="00827A36">
            <w:rPr>
              <w:lang w:val="en-US"/>
            </w:rPr>
            <w:instrText xml:space="preserve"> CITATION Jos15 \l 1033 </w:instrText>
          </w:r>
          <w:r w:rsidR="00827A36">
            <w:fldChar w:fldCharType="separate"/>
          </w:r>
          <w:r w:rsidR="00827A36" w:rsidRPr="00827A36">
            <w:rPr>
              <w:noProof/>
              <w:lang w:val="en-US"/>
            </w:rPr>
            <w:t>(Joseph &amp; Sandhya, 2015)</w:t>
          </w:r>
          <w:r w:rsidR="00827A36">
            <w:fldChar w:fldCharType="end"/>
          </w:r>
        </w:sdtContent>
      </w:sdt>
      <w:r w:rsidR="00FD2B12">
        <w:t xml:space="preserve">. </w:t>
      </w:r>
      <w:r w:rsidR="004B11FB">
        <w:t xml:space="preserve">A better understanding of KPI’s and culture creates clarity within the role </w:t>
      </w:r>
      <w:r w:rsidR="00F5762E">
        <w:t>allowing for greater performance</w:t>
      </w:r>
      <w:r w:rsidR="006F0D99">
        <w:t xml:space="preserve">. </w:t>
      </w:r>
      <w:r w:rsidR="00676513">
        <w:t xml:space="preserve">Further, providing key information such as signposting for </w:t>
      </w:r>
      <w:r w:rsidR="00676513">
        <w:lastRenderedPageBreak/>
        <w:t xml:space="preserve">help will lead to less downtime </w:t>
      </w:r>
      <w:r w:rsidR="007A5E27">
        <w:t xml:space="preserve">if there is </w:t>
      </w:r>
      <w:r w:rsidR="001D494E">
        <w:t>a</w:t>
      </w:r>
      <w:r w:rsidR="007A5E27">
        <w:t xml:space="preserve"> query</w:t>
      </w:r>
      <w:r w:rsidR="00B45743">
        <w:t xml:space="preserve"> </w:t>
      </w:r>
      <w:sdt>
        <w:sdtPr>
          <w:id w:val="1408803922"/>
          <w:citation/>
        </w:sdtPr>
        <w:sdtContent>
          <w:r w:rsidR="00B45743">
            <w:fldChar w:fldCharType="begin"/>
          </w:r>
          <w:r w:rsidR="00B45743">
            <w:rPr>
              <w:lang w:val="en-US"/>
            </w:rPr>
            <w:instrText xml:space="preserve"> CITATION Ste22 \l 1033 </w:instrText>
          </w:r>
          <w:r w:rsidR="00B45743">
            <w:fldChar w:fldCharType="separate"/>
          </w:r>
          <w:r w:rsidR="00B45743" w:rsidRPr="00B45743">
            <w:rPr>
              <w:noProof/>
              <w:lang w:val="en-US"/>
            </w:rPr>
            <w:t>(Smith, 2022)</w:t>
          </w:r>
          <w:r w:rsidR="00B45743">
            <w:fldChar w:fldCharType="end"/>
          </w:r>
        </w:sdtContent>
      </w:sdt>
      <w:r w:rsidR="007A5E27">
        <w:t xml:space="preserve">. </w:t>
      </w:r>
      <w:r w:rsidR="006F0D99">
        <w:t xml:space="preserve">Secondly, due to social integration and job understanding </w:t>
      </w:r>
      <w:r w:rsidR="00744A3B">
        <w:t xml:space="preserve">successful onboarding will lead to a reduction in employee turnover. This is due to higher engagement </w:t>
      </w:r>
      <w:r w:rsidR="000014E1">
        <w:t xml:space="preserve">and a sense of belonging. </w:t>
      </w:r>
      <w:r w:rsidR="007A5E27">
        <w:t xml:space="preserve">A mutual understanding of the role and the expectations can lead to a reduction in performance management, which will lead to a reduction in </w:t>
      </w:r>
      <w:r w:rsidR="00541462">
        <w:t>disengagement</w:t>
      </w:r>
      <w:r w:rsidR="000C033F">
        <w:t xml:space="preserve"> </w:t>
      </w:r>
      <w:sdt>
        <w:sdtPr>
          <w:id w:val="-1101336778"/>
          <w:citation/>
        </w:sdtPr>
        <w:sdtContent>
          <w:r w:rsidR="000C033F">
            <w:fldChar w:fldCharType="begin"/>
          </w:r>
          <w:r w:rsidR="000C033F">
            <w:rPr>
              <w:lang w:val="en-US"/>
            </w:rPr>
            <w:instrText xml:space="preserve"> CITATION The21 \l 1033 </w:instrText>
          </w:r>
          <w:r w:rsidR="000C033F">
            <w:fldChar w:fldCharType="separate"/>
          </w:r>
          <w:r w:rsidR="000C033F" w:rsidRPr="000C033F">
            <w:rPr>
              <w:noProof/>
              <w:lang w:val="en-US"/>
            </w:rPr>
            <w:t>(Bell, 2021)</w:t>
          </w:r>
          <w:r w:rsidR="000C033F">
            <w:fldChar w:fldCharType="end"/>
          </w:r>
        </w:sdtContent>
      </w:sdt>
      <w:r w:rsidR="00541462">
        <w:t xml:space="preserve">. </w:t>
      </w:r>
    </w:p>
    <w:p w14:paraId="2F2DDE65" w14:textId="77777777" w:rsidR="009F60D7" w:rsidRDefault="009F60D7"/>
    <w:sdt>
      <w:sdtPr>
        <w:id w:val="1290322411"/>
        <w:docPartObj>
          <w:docPartGallery w:val="Bibliographies"/>
          <w:docPartUnique/>
        </w:docPartObj>
      </w:sdtPr>
      <w:sdtEndPr>
        <w:rPr>
          <w:rFonts w:asciiTheme="minorHAnsi" w:eastAsiaTheme="minorHAnsi" w:hAnsiTheme="minorHAnsi" w:cstheme="minorBidi"/>
          <w:color w:val="auto"/>
          <w:sz w:val="22"/>
          <w:szCs w:val="22"/>
        </w:rPr>
      </w:sdtEndPr>
      <w:sdtContent>
        <w:p w14:paraId="1BAF6CA4" w14:textId="3AB40019" w:rsidR="001E7468" w:rsidRDefault="001E7468">
          <w:pPr>
            <w:pStyle w:val="Heading1"/>
          </w:pPr>
          <w:r>
            <w:t>Bibliography</w:t>
          </w:r>
        </w:p>
        <w:sdt>
          <w:sdtPr>
            <w:id w:val="111145805"/>
            <w:bibliography/>
          </w:sdtPr>
          <w:sdtContent>
            <w:p w14:paraId="148F2A47" w14:textId="77777777" w:rsidR="001E7468" w:rsidRDefault="001E7468" w:rsidP="001E7468">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Abe, E., Abe, I. &amp; Adisa, O., 2021. </w:t>
              </w:r>
              <w:r>
                <w:rPr>
                  <w:i/>
                  <w:iCs/>
                  <w:noProof/>
                </w:rPr>
                <w:t xml:space="preserve">Future of Work: Skill Obsolescence, Acquisition of New Skills, and Upskilling in the 4IR. </w:t>
              </w:r>
              <w:r>
                <w:rPr>
                  <w:noProof/>
                </w:rPr>
                <w:t>s.l.:s.n.</w:t>
              </w:r>
            </w:p>
            <w:p w14:paraId="5355AFAC" w14:textId="77777777" w:rsidR="001E7468" w:rsidRDefault="001E7468" w:rsidP="001E7468">
              <w:pPr>
                <w:pStyle w:val="Bibliography"/>
                <w:rPr>
                  <w:noProof/>
                </w:rPr>
              </w:pPr>
              <w:r>
                <w:rPr>
                  <w:noProof/>
                </w:rPr>
                <w:t xml:space="preserve">Abelsen, B., 2020. Plan, recruit, retain: a framework for local healthcare organizations to achieve a stable remote rural workforce. </w:t>
              </w:r>
              <w:r>
                <w:rPr>
                  <w:i/>
                  <w:iCs/>
                  <w:noProof/>
                </w:rPr>
                <w:t xml:space="preserve">Human Resources for health, </w:t>
              </w:r>
              <w:r>
                <w:rPr>
                  <w:noProof/>
                </w:rPr>
                <w:t>18(63).</w:t>
              </w:r>
            </w:p>
            <w:p w14:paraId="19414E13" w14:textId="77777777" w:rsidR="001E7468" w:rsidRDefault="001E7468" w:rsidP="001E7468">
              <w:pPr>
                <w:pStyle w:val="Bibliography"/>
                <w:rPr>
                  <w:noProof/>
                </w:rPr>
              </w:pPr>
              <w:r>
                <w:rPr>
                  <w:noProof/>
                </w:rPr>
                <w:t xml:space="preserve">ACAS, 2023. </w:t>
              </w:r>
              <w:r>
                <w:rPr>
                  <w:i/>
                  <w:iCs/>
                  <w:noProof/>
                </w:rPr>
                <w:t xml:space="preserve">Employment contracts and the law. </w:t>
              </w:r>
              <w:r>
                <w:rPr>
                  <w:noProof/>
                </w:rPr>
                <w:t xml:space="preserve">[Online] </w:t>
              </w:r>
              <w:r>
                <w:rPr>
                  <w:noProof/>
                </w:rPr>
                <w:br/>
                <w:t xml:space="preserve">Available at: </w:t>
              </w:r>
              <w:r>
                <w:rPr>
                  <w:noProof/>
                  <w:u w:val="single"/>
                </w:rPr>
                <w:t>https://www.acas.org.uk/employment-contracts-and-the-law/types-of-terms-in-a-contract#:~:text='express%20terms'%20%E2%80%93%20specific%20terms,that%20come%20from%20employment%20law</w:t>
              </w:r>
              <w:r>
                <w:rPr>
                  <w:noProof/>
                </w:rPr>
                <w:br/>
                <w:t>[Accessed 5 6 2024].</w:t>
              </w:r>
            </w:p>
            <w:p w14:paraId="795CFAA7" w14:textId="77777777" w:rsidR="001E7468" w:rsidRDefault="001E7468" w:rsidP="001E7468">
              <w:pPr>
                <w:pStyle w:val="Bibliography"/>
                <w:rPr>
                  <w:noProof/>
                </w:rPr>
              </w:pPr>
              <w:r>
                <w:rPr>
                  <w:noProof/>
                </w:rPr>
                <w:t xml:space="preserve">Adeoye-Olatunde, O. &amp; Olenik, N., 2021. Research and scholarly methods: Semi-structured interviews. </w:t>
              </w:r>
              <w:r>
                <w:rPr>
                  <w:i/>
                  <w:iCs/>
                  <w:noProof/>
                </w:rPr>
                <w:t xml:space="preserve">Journal of the american college of clinical pharmacy, </w:t>
              </w:r>
              <w:r>
                <w:rPr>
                  <w:noProof/>
                </w:rPr>
                <w:t>4(10), pp. 1358-1367.</w:t>
              </w:r>
            </w:p>
            <w:p w14:paraId="7F08CB01" w14:textId="77777777" w:rsidR="001E7468" w:rsidRDefault="001E7468" w:rsidP="001E7468">
              <w:pPr>
                <w:pStyle w:val="Bibliography"/>
                <w:rPr>
                  <w:noProof/>
                </w:rPr>
              </w:pPr>
              <w:r>
                <w:rPr>
                  <w:noProof/>
                </w:rPr>
                <w:t xml:space="preserve">Allen, D. &amp; Halkias, D., 2021. Millennial Employees, Psychological Contract Breach, Cultural Differences and Turnover Intentions in the Construction Industry: An Integrative Literature Review. </w:t>
              </w:r>
              <w:r>
                <w:rPr>
                  <w:i/>
                  <w:iCs/>
                  <w:noProof/>
                </w:rPr>
                <w:t>International School of Management Paris.</w:t>
              </w:r>
            </w:p>
            <w:p w14:paraId="0F60ECC3" w14:textId="77777777" w:rsidR="001E7468" w:rsidRDefault="001E7468" w:rsidP="001E7468">
              <w:pPr>
                <w:pStyle w:val="Bibliography"/>
                <w:rPr>
                  <w:noProof/>
                </w:rPr>
              </w:pPr>
              <w:r>
                <w:rPr>
                  <w:noProof/>
                </w:rPr>
                <w:t xml:space="preserve">Arambhan, P. &amp; Seetharaman, A., 2022. Perceptions of succession planning in family-owned businesses. </w:t>
              </w:r>
              <w:r>
                <w:rPr>
                  <w:i/>
                  <w:iCs/>
                  <w:noProof/>
                </w:rPr>
                <w:t xml:space="preserve">Journal of the international council for small business, </w:t>
              </w:r>
              <w:r>
                <w:rPr>
                  <w:noProof/>
                </w:rPr>
                <w:t>3(4), pp. 337-349.</w:t>
              </w:r>
            </w:p>
            <w:p w14:paraId="1467B103" w14:textId="77777777" w:rsidR="001E7468" w:rsidRDefault="001E7468" w:rsidP="001E7468">
              <w:pPr>
                <w:pStyle w:val="Bibliography"/>
                <w:rPr>
                  <w:noProof/>
                </w:rPr>
              </w:pPr>
              <w:r>
                <w:rPr>
                  <w:noProof/>
                </w:rPr>
                <w:t xml:space="preserve">Arambhan, P., Seow, J. &amp; Ranjan, B., 2023. </w:t>
              </w:r>
              <w:r>
                <w:rPr>
                  <w:i/>
                  <w:iCs/>
                  <w:noProof/>
                </w:rPr>
                <w:t xml:space="preserve">Gender-Inclusive, Sustainable, Frugal and Innovative Methods in Succession Planning for Indian Small and Medium Enterprises Family-Owned Businesses. </w:t>
              </w:r>
              <w:r>
                <w:rPr>
                  <w:noProof/>
                </w:rPr>
                <w:t>s.l., Springer.</w:t>
              </w:r>
            </w:p>
            <w:p w14:paraId="68FE6E18" w14:textId="77777777" w:rsidR="001E7468" w:rsidRDefault="001E7468" w:rsidP="001E7468">
              <w:pPr>
                <w:pStyle w:val="Bibliography"/>
                <w:rPr>
                  <w:noProof/>
                </w:rPr>
              </w:pPr>
              <w:r>
                <w:rPr>
                  <w:noProof/>
                </w:rPr>
                <w:t xml:space="preserve">Arindrajit, D., Freeman, E. &amp; Reich, M., 2010. Employee Replacement Costs. </w:t>
              </w:r>
              <w:r>
                <w:rPr>
                  <w:i/>
                  <w:iCs/>
                  <w:noProof/>
                </w:rPr>
                <w:t>Institute for Research on Labor and Employment.</w:t>
              </w:r>
            </w:p>
            <w:p w14:paraId="03D27CCB" w14:textId="77777777" w:rsidR="001E7468" w:rsidRDefault="001E7468" w:rsidP="001E7468">
              <w:pPr>
                <w:pStyle w:val="Bibliography"/>
                <w:rPr>
                  <w:noProof/>
                </w:rPr>
              </w:pPr>
              <w:r>
                <w:rPr>
                  <w:noProof/>
                </w:rPr>
                <w:t xml:space="preserve">Atwood, C., 2020. </w:t>
              </w:r>
              <w:r>
                <w:rPr>
                  <w:i/>
                  <w:iCs/>
                  <w:noProof/>
                </w:rPr>
                <w:t xml:space="preserve">Succession Planning Basics. </w:t>
              </w:r>
              <w:r>
                <w:rPr>
                  <w:noProof/>
                </w:rPr>
                <w:t>2nd ed. s.l.:s.n.</w:t>
              </w:r>
            </w:p>
            <w:p w14:paraId="3D0A24B4" w14:textId="77777777" w:rsidR="001E7468" w:rsidRDefault="001E7468" w:rsidP="001E7468">
              <w:pPr>
                <w:pStyle w:val="Bibliography"/>
                <w:rPr>
                  <w:noProof/>
                </w:rPr>
              </w:pPr>
              <w:r>
                <w:rPr>
                  <w:noProof/>
                </w:rPr>
                <w:t xml:space="preserve">Bailey, R., 2017. HR Applications of Psychometrics. In: </w:t>
              </w:r>
              <w:r>
                <w:rPr>
                  <w:i/>
                  <w:iCs/>
                  <w:noProof/>
                </w:rPr>
                <w:t xml:space="preserve">Psychometric Testing: Critical Perspectives, First Edition. </w:t>
              </w:r>
              <w:r>
                <w:rPr>
                  <w:noProof/>
                </w:rPr>
                <w:t>s.l.:John Wiley &amp; Sons.</w:t>
              </w:r>
            </w:p>
            <w:p w14:paraId="492EE6A1" w14:textId="77777777" w:rsidR="001E7468" w:rsidRDefault="001E7468" w:rsidP="001E7468">
              <w:pPr>
                <w:pStyle w:val="Bibliography"/>
                <w:rPr>
                  <w:noProof/>
                </w:rPr>
              </w:pPr>
              <w:r>
                <w:rPr>
                  <w:noProof/>
                </w:rPr>
                <w:t xml:space="preserve">Bateson, J., Wirtz, J., Burke, E. &amp; Vaughan, C., 2014. Psychometric sifting to efficiently select the right service employees. </w:t>
              </w:r>
              <w:r>
                <w:rPr>
                  <w:i/>
                  <w:iCs/>
                  <w:noProof/>
                </w:rPr>
                <w:t xml:space="preserve">Managing service quality: An international journal, </w:t>
              </w:r>
              <w:r>
                <w:rPr>
                  <w:noProof/>
                </w:rPr>
                <w:t>24(5).</w:t>
              </w:r>
            </w:p>
            <w:p w14:paraId="27529524" w14:textId="77777777" w:rsidR="001E7468" w:rsidRDefault="001E7468" w:rsidP="001E7468">
              <w:pPr>
                <w:pStyle w:val="Bibliography"/>
                <w:rPr>
                  <w:noProof/>
                </w:rPr>
              </w:pPr>
              <w:r>
                <w:rPr>
                  <w:noProof/>
                </w:rPr>
                <w:t xml:space="preserve">Bell, T., 2021. Onboarding: Improving Employee an employer relations. </w:t>
              </w:r>
              <w:r>
                <w:rPr>
                  <w:i/>
                  <w:iCs/>
                  <w:noProof/>
                </w:rPr>
                <w:t xml:space="preserve">Certified Public Manager, </w:t>
              </w:r>
              <w:r>
                <w:rPr>
                  <w:noProof/>
                </w:rPr>
                <w:t>2(1).</w:t>
              </w:r>
            </w:p>
            <w:p w14:paraId="26305A13" w14:textId="77777777" w:rsidR="001E7468" w:rsidRDefault="001E7468" w:rsidP="001E7468">
              <w:pPr>
                <w:pStyle w:val="Bibliography"/>
                <w:rPr>
                  <w:noProof/>
                </w:rPr>
              </w:pPr>
              <w:r>
                <w:rPr>
                  <w:noProof/>
                </w:rPr>
                <w:t xml:space="preserve">Bergelson, I., Tracy, C. &amp; Takacs, E., 2022. Best Practices for Reducing Bias in the Interview Process. </w:t>
              </w:r>
              <w:r>
                <w:rPr>
                  <w:i/>
                  <w:iCs/>
                  <w:noProof/>
                </w:rPr>
                <w:t xml:space="preserve">Current Urology reports, </w:t>
              </w:r>
              <w:r>
                <w:rPr>
                  <w:noProof/>
                </w:rPr>
                <w:t>Volume 23, pp. 319-325.</w:t>
              </w:r>
            </w:p>
            <w:p w14:paraId="27FC5622" w14:textId="77777777" w:rsidR="001E7468" w:rsidRDefault="001E7468" w:rsidP="001E7468">
              <w:pPr>
                <w:pStyle w:val="Bibliography"/>
                <w:rPr>
                  <w:noProof/>
                </w:rPr>
              </w:pPr>
              <w:r>
                <w:rPr>
                  <w:noProof/>
                </w:rPr>
                <w:lastRenderedPageBreak/>
                <w:t xml:space="preserve">Boutmaghzoute, H., 2021. Exploring the relationship between corporate social responsibility actions and employee retention: A human resource management perspective. </w:t>
              </w:r>
              <w:r>
                <w:rPr>
                  <w:i/>
                  <w:iCs/>
                  <w:noProof/>
                </w:rPr>
                <w:t xml:space="preserve">Human Systems Management, </w:t>
              </w:r>
              <w:r>
                <w:rPr>
                  <w:noProof/>
                </w:rPr>
                <w:t>40(6), pp. 789-80.</w:t>
              </w:r>
            </w:p>
            <w:p w14:paraId="168117EB" w14:textId="77777777" w:rsidR="001E7468" w:rsidRDefault="001E7468" w:rsidP="001E7468">
              <w:pPr>
                <w:pStyle w:val="Bibliography"/>
                <w:rPr>
                  <w:noProof/>
                </w:rPr>
              </w:pPr>
              <w:r>
                <w:rPr>
                  <w:noProof/>
                </w:rPr>
                <w:t xml:space="preserve">Boys, J., 2023. </w:t>
              </w:r>
              <w:r>
                <w:rPr>
                  <w:i/>
                  <w:iCs/>
                  <w:noProof/>
                </w:rPr>
                <w:t xml:space="preserve">Why staff turnover data matters. </w:t>
              </w:r>
              <w:r>
                <w:rPr>
                  <w:noProof/>
                </w:rPr>
                <w:t xml:space="preserve">[Online] </w:t>
              </w:r>
              <w:r>
                <w:rPr>
                  <w:noProof/>
                </w:rPr>
                <w:br/>
                <w:t xml:space="preserve">Available at: </w:t>
              </w:r>
              <w:r>
                <w:rPr>
                  <w:noProof/>
                  <w:u w:val="single"/>
                </w:rPr>
                <w:t>https://community.cipd.co.uk/cipd-blogs/b/cipd_voice_on/posts/why-staff-turnover-data-matters</w:t>
              </w:r>
              <w:r>
                <w:rPr>
                  <w:noProof/>
                </w:rPr>
                <w:br/>
                <w:t>[Accessed 3 6 2024].</w:t>
              </w:r>
            </w:p>
            <w:p w14:paraId="717F435F" w14:textId="77777777" w:rsidR="001E7468" w:rsidRDefault="001E7468" w:rsidP="001E7468">
              <w:pPr>
                <w:pStyle w:val="Bibliography"/>
                <w:rPr>
                  <w:noProof/>
                </w:rPr>
              </w:pPr>
              <w:r>
                <w:rPr>
                  <w:noProof/>
                </w:rPr>
                <w:t xml:space="preserve">Byford, M., Watkins, M. &amp; Triantogiannis, L., 2017. Onboarding Isn’t Enough. </w:t>
              </w:r>
              <w:r>
                <w:rPr>
                  <w:i/>
                  <w:iCs/>
                  <w:noProof/>
                </w:rPr>
                <w:t>Harvard Business Review</w:t>
              </w:r>
              <w:r>
                <w:rPr>
                  <w:noProof/>
                </w:rPr>
                <w:t xml:space="preserve">, 17 December. </w:t>
              </w:r>
            </w:p>
            <w:p w14:paraId="3A488BC6" w14:textId="77777777" w:rsidR="001E7468" w:rsidRDefault="001E7468" w:rsidP="001E7468">
              <w:pPr>
                <w:pStyle w:val="Bibliography"/>
                <w:rPr>
                  <w:noProof/>
                </w:rPr>
              </w:pPr>
              <w:r>
                <w:rPr>
                  <w:noProof/>
                </w:rPr>
                <w:t xml:space="preserve">Capacity Insights, 2023. </w:t>
              </w:r>
              <w:r>
                <w:rPr>
                  <w:i/>
                  <w:iCs/>
                  <w:noProof/>
                </w:rPr>
                <w:t xml:space="preserve">Average Employee Turnover Rate By Industry. </w:t>
              </w:r>
              <w:r>
                <w:rPr>
                  <w:noProof/>
                </w:rPr>
                <w:t xml:space="preserve">[Online] </w:t>
              </w:r>
              <w:r>
                <w:rPr>
                  <w:noProof/>
                </w:rPr>
                <w:br/>
                <w:t xml:space="preserve">Available at: </w:t>
              </w:r>
              <w:r>
                <w:rPr>
                  <w:noProof/>
                  <w:u w:val="single"/>
                </w:rPr>
                <w:t>https://capacityinsights.co.uk/news-and-insights/average-employee-turnover-industry/#:~:text=Studies%20from%20UK%20Money%20suggest,UK%20employees%20leave%20their%20jobs.</w:t>
              </w:r>
              <w:r>
                <w:rPr>
                  <w:noProof/>
                </w:rPr>
                <w:br/>
                <w:t>[Accessed 3 6 2024].</w:t>
              </w:r>
            </w:p>
            <w:p w14:paraId="0C26F2F0" w14:textId="77777777" w:rsidR="001E7468" w:rsidRDefault="001E7468" w:rsidP="001E7468">
              <w:pPr>
                <w:pStyle w:val="Bibliography"/>
                <w:rPr>
                  <w:noProof/>
                </w:rPr>
              </w:pPr>
              <w:r>
                <w:rPr>
                  <w:noProof/>
                </w:rPr>
                <w:t xml:space="preserve">Cardoso, A., Mourao, F. &amp; Rocha, L., 2021. The matching scarcity problem: When recommenders do not connect the edges in recruitment services. </w:t>
              </w:r>
              <w:r>
                <w:rPr>
                  <w:i/>
                  <w:iCs/>
                  <w:noProof/>
                </w:rPr>
                <w:t xml:space="preserve">Expert Systems with Applications, </w:t>
              </w:r>
              <w:r>
                <w:rPr>
                  <w:noProof/>
                </w:rPr>
                <w:t>Volume 175.</w:t>
              </w:r>
            </w:p>
            <w:p w14:paraId="4D42AA04" w14:textId="77777777" w:rsidR="001E7468" w:rsidRDefault="001E7468" w:rsidP="001E7468">
              <w:pPr>
                <w:pStyle w:val="Bibliography"/>
                <w:rPr>
                  <w:noProof/>
                </w:rPr>
              </w:pPr>
              <w:r>
                <w:rPr>
                  <w:noProof/>
                </w:rPr>
                <w:t xml:space="preserve">Chillakuri, B., 2020. Understanding Generation Z expectations for effective onboarding. </w:t>
              </w:r>
              <w:r>
                <w:rPr>
                  <w:i/>
                  <w:iCs/>
                  <w:noProof/>
                </w:rPr>
                <w:t xml:space="preserve">Journal of Organizational Change Management, </w:t>
              </w:r>
              <w:r>
                <w:rPr>
                  <w:noProof/>
                </w:rPr>
                <w:t>33(7).</w:t>
              </w:r>
            </w:p>
            <w:p w14:paraId="11814A93" w14:textId="77777777" w:rsidR="001E7468" w:rsidRDefault="001E7468" w:rsidP="001E7468">
              <w:pPr>
                <w:pStyle w:val="Bibliography"/>
                <w:rPr>
                  <w:noProof/>
                </w:rPr>
              </w:pPr>
              <w:r>
                <w:rPr>
                  <w:noProof/>
                </w:rPr>
                <w:t xml:space="preserve">CIPD, 2022. </w:t>
              </w:r>
              <w:r>
                <w:rPr>
                  <w:i/>
                  <w:iCs/>
                  <w:noProof/>
                </w:rPr>
                <w:t xml:space="preserve">Employer views on skills policy in the UK, </w:t>
              </w:r>
              <w:r>
                <w:rPr>
                  <w:noProof/>
                </w:rPr>
                <w:t>s.l.: CIPD.</w:t>
              </w:r>
            </w:p>
            <w:p w14:paraId="2816AB31" w14:textId="77777777" w:rsidR="001E7468" w:rsidRDefault="001E7468" w:rsidP="001E7468">
              <w:pPr>
                <w:pStyle w:val="Bibliography"/>
                <w:rPr>
                  <w:noProof/>
                </w:rPr>
              </w:pPr>
              <w:r>
                <w:rPr>
                  <w:noProof/>
                </w:rPr>
                <w:t xml:space="preserve">CIPD, 2022. </w:t>
              </w:r>
              <w:r>
                <w:rPr>
                  <w:i/>
                  <w:iCs/>
                  <w:noProof/>
                </w:rPr>
                <w:t xml:space="preserve">Tight labour market will force organisations to strengthen employment offer to attract and retain staff. </w:t>
              </w:r>
              <w:r>
                <w:rPr>
                  <w:noProof/>
                </w:rPr>
                <w:t xml:space="preserve">[Online] </w:t>
              </w:r>
              <w:r>
                <w:rPr>
                  <w:noProof/>
                </w:rPr>
                <w:br/>
                <w:t xml:space="preserve">Available at: </w:t>
              </w:r>
              <w:r>
                <w:rPr>
                  <w:noProof/>
                  <w:u w:val="single"/>
                </w:rPr>
                <w:t>https://www.cipd.org/uk/about/press-releases/150222tight-labour-market-employment-offer/</w:t>
              </w:r>
              <w:r>
                <w:rPr>
                  <w:noProof/>
                </w:rPr>
                <w:br/>
                <w:t>[Accessed 3 6 2024].</w:t>
              </w:r>
            </w:p>
            <w:p w14:paraId="08B23CB6" w14:textId="77777777" w:rsidR="001E7468" w:rsidRDefault="001E7468" w:rsidP="001E7468">
              <w:pPr>
                <w:pStyle w:val="Bibliography"/>
                <w:rPr>
                  <w:noProof/>
                </w:rPr>
              </w:pPr>
              <w:r>
                <w:rPr>
                  <w:noProof/>
                </w:rPr>
                <w:t xml:space="preserve">CIPD, 2023. </w:t>
              </w:r>
              <w:r>
                <w:rPr>
                  <w:i/>
                  <w:iCs/>
                  <w:noProof/>
                </w:rPr>
                <w:t xml:space="preserve">Strategic workforce planning: Guide for people professionals. </w:t>
              </w:r>
              <w:r>
                <w:rPr>
                  <w:noProof/>
                </w:rPr>
                <w:t xml:space="preserve">[Online] </w:t>
              </w:r>
              <w:r>
                <w:rPr>
                  <w:noProof/>
                </w:rPr>
                <w:br/>
                <w:t xml:space="preserve">Available at: </w:t>
              </w:r>
              <w:r>
                <w:rPr>
                  <w:noProof/>
                  <w:u w:val="single"/>
                </w:rPr>
                <w:t>https://www.cipd.org/uk/knowledge/guides/strategic-workforce-planning/#what-is-workforce-planning</w:t>
              </w:r>
              <w:r>
                <w:rPr>
                  <w:noProof/>
                </w:rPr>
                <w:br/>
                <w:t>[Accessed 15 5 2024].</w:t>
              </w:r>
            </w:p>
            <w:p w14:paraId="38CFD7A7" w14:textId="77777777" w:rsidR="001E7468" w:rsidRDefault="001E7468" w:rsidP="001E7468">
              <w:pPr>
                <w:pStyle w:val="Bibliography"/>
                <w:rPr>
                  <w:noProof/>
                </w:rPr>
              </w:pPr>
              <w:r>
                <w:rPr>
                  <w:noProof/>
                </w:rPr>
                <w:t xml:space="preserve">CIPD, 2023. </w:t>
              </w:r>
              <w:r>
                <w:rPr>
                  <w:i/>
                  <w:iCs/>
                  <w:noProof/>
                </w:rPr>
                <w:t xml:space="preserve">Workforce planning. </w:t>
              </w:r>
              <w:r>
                <w:rPr>
                  <w:noProof/>
                </w:rPr>
                <w:t xml:space="preserve">[Online] </w:t>
              </w:r>
              <w:r>
                <w:rPr>
                  <w:noProof/>
                </w:rPr>
                <w:br/>
                <w:t xml:space="preserve">Available at: </w:t>
              </w:r>
              <w:r>
                <w:rPr>
                  <w:noProof/>
                  <w:u w:val="single"/>
                </w:rPr>
                <w:t>https://www.cipd.org/uk/knowledge/factsheets/workforce-planning-factsheet/#what-is-workforce-planning</w:t>
              </w:r>
              <w:r>
                <w:rPr>
                  <w:noProof/>
                </w:rPr>
                <w:br/>
                <w:t>[Accessed 15 5 2024].</w:t>
              </w:r>
            </w:p>
            <w:p w14:paraId="1890EABA" w14:textId="77777777" w:rsidR="001E7468" w:rsidRDefault="001E7468" w:rsidP="001E7468">
              <w:pPr>
                <w:pStyle w:val="Bibliography"/>
                <w:rPr>
                  <w:noProof/>
                </w:rPr>
              </w:pPr>
              <w:r>
                <w:rPr>
                  <w:noProof/>
                </w:rPr>
                <w:t xml:space="preserve">CIPD, 2024. </w:t>
              </w:r>
              <w:r>
                <w:rPr>
                  <w:i/>
                  <w:iCs/>
                  <w:noProof/>
                </w:rPr>
                <w:t xml:space="preserve">Succession Planning. </w:t>
              </w:r>
              <w:r>
                <w:rPr>
                  <w:noProof/>
                </w:rPr>
                <w:t xml:space="preserve">[Online] </w:t>
              </w:r>
              <w:r>
                <w:rPr>
                  <w:noProof/>
                </w:rPr>
                <w:br/>
                <w:t xml:space="preserve">Available at: </w:t>
              </w:r>
              <w:r>
                <w:rPr>
                  <w:noProof/>
                  <w:u w:val="single"/>
                </w:rPr>
                <w:t>https://www.cipd.org/uk/knowledge/factsheets/succession-planning-factsheet/</w:t>
              </w:r>
              <w:r>
                <w:rPr>
                  <w:noProof/>
                </w:rPr>
                <w:br/>
                <w:t>[Accessed 25 6 2024].</w:t>
              </w:r>
            </w:p>
            <w:p w14:paraId="0A8998DF" w14:textId="77777777" w:rsidR="001E7468" w:rsidRDefault="001E7468" w:rsidP="001E7468">
              <w:pPr>
                <w:pStyle w:val="Bibliography"/>
                <w:rPr>
                  <w:noProof/>
                </w:rPr>
              </w:pPr>
              <w:r>
                <w:rPr>
                  <w:noProof/>
                </w:rPr>
                <w:t xml:space="preserve">Consearo, L., 2021. Economic Substantiality: Skills in the UK Labour Market. </w:t>
              </w:r>
              <w:r>
                <w:rPr>
                  <w:i/>
                  <w:iCs/>
                  <w:noProof/>
                </w:rPr>
                <w:t xml:space="preserve">The Sustainability Debate, </w:t>
              </w:r>
              <w:r>
                <w:rPr>
                  <w:noProof/>
                </w:rPr>
                <w:t>Volume 14, pp. 35-56.</w:t>
              </w:r>
            </w:p>
            <w:p w14:paraId="5BBA586F" w14:textId="77777777" w:rsidR="001E7468" w:rsidRDefault="001E7468" w:rsidP="001E7468">
              <w:pPr>
                <w:pStyle w:val="Bibliography"/>
                <w:rPr>
                  <w:noProof/>
                </w:rPr>
              </w:pPr>
              <w:r>
                <w:rPr>
                  <w:noProof/>
                </w:rPr>
                <w:t xml:space="preserve">Davila, N. &amp; Pina-Rimirez, W., 2018. </w:t>
              </w:r>
              <w:r>
                <w:rPr>
                  <w:i/>
                  <w:iCs/>
                  <w:noProof/>
                </w:rPr>
                <w:t xml:space="preserve">Effective Onboarding. </w:t>
              </w:r>
              <w:r>
                <w:rPr>
                  <w:noProof/>
                </w:rPr>
                <w:t>New York: ATD press.</w:t>
              </w:r>
            </w:p>
            <w:p w14:paraId="16DF87B9" w14:textId="77777777" w:rsidR="001E7468" w:rsidRDefault="001E7468" w:rsidP="001E7468">
              <w:pPr>
                <w:pStyle w:val="Bibliography"/>
                <w:rPr>
                  <w:noProof/>
                </w:rPr>
              </w:pPr>
              <w:r>
                <w:rPr>
                  <w:noProof/>
                </w:rPr>
                <w:lastRenderedPageBreak/>
                <w:t xml:space="preserve">Dawson, N., Stacey, P. &amp; Okimoto, T., 2023. Profiles of diversity and inclusion motivation: Toward an employee-centered understanding of why employees put effort into inclusion and exclusion. </w:t>
              </w:r>
              <w:r>
                <w:rPr>
                  <w:i/>
                  <w:iCs/>
                  <w:noProof/>
                </w:rPr>
                <w:t xml:space="preserve">Huma Resource Management, </w:t>
              </w:r>
              <w:r>
                <w:rPr>
                  <w:noProof/>
                </w:rPr>
                <w:t>63(1), pp. 45-66.</w:t>
              </w:r>
            </w:p>
            <w:p w14:paraId="18667F2E" w14:textId="77777777" w:rsidR="001E7468" w:rsidRDefault="001E7468" w:rsidP="001E7468">
              <w:pPr>
                <w:pStyle w:val="Bibliography"/>
                <w:rPr>
                  <w:noProof/>
                </w:rPr>
              </w:pPr>
              <w:r>
                <w:rPr>
                  <w:noProof/>
                </w:rPr>
                <w:t xml:space="preserve">De Bruecker, P., Van Den Bergh, J., Belien, J. &amp; Demeulemeester, E., 2013. Workforce planning incorporating skills: State of the art. </w:t>
              </w:r>
              <w:r>
                <w:rPr>
                  <w:i/>
                  <w:iCs/>
                  <w:noProof/>
                </w:rPr>
                <w:t xml:space="preserve">European Journal of Operational Research, </w:t>
              </w:r>
              <w:r>
                <w:rPr>
                  <w:noProof/>
                </w:rPr>
                <w:t>243(1), pp. 1-16.</w:t>
              </w:r>
            </w:p>
            <w:p w14:paraId="2F29B951" w14:textId="77777777" w:rsidR="001E7468" w:rsidRDefault="001E7468" w:rsidP="001E7468">
              <w:pPr>
                <w:pStyle w:val="Bibliography"/>
                <w:rPr>
                  <w:noProof/>
                </w:rPr>
              </w:pPr>
              <w:r>
                <w:rPr>
                  <w:noProof/>
                </w:rPr>
                <w:t xml:space="preserve">Deloitte, 2018. </w:t>
              </w:r>
              <w:r>
                <w:rPr>
                  <w:i/>
                  <w:iCs/>
                  <w:noProof/>
                </w:rPr>
                <w:t xml:space="preserve">Inclusive Mobility: How Mobilizing a Diverse Workforce Can Drive Business Performance, </w:t>
              </w:r>
              <w:r>
                <w:rPr>
                  <w:noProof/>
                </w:rPr>
                <w:t>s.l.: Delloitte.</w:t>
              </w:r>
            </w:p>
            <w:p w14:paraId="6EB71557" w14:textId="77777777" w:rsidR="001E7468" w:rsidRDefault="001E7468" w:rsidP="001E7468">
              <w:pPr>
                <w:pStyle w:val="Bibliography"/>
                <w:rPr>
                  <w:noProof/>
                </w:rPr>
              </w:pPr>
              <w:r>
                <w:rPr>
                  <w:noProof/>
                </w:rPr>
                <w:t xml:space="preserve">Didion, E., Perello-Marin, M., Catala-Perez, D. &amp; Ambrosius, U., 2024. Mapping the organizational socialization and onboarding literature: a bibliometric analysis of the field. </w:t>
              </w:r>
              <w:r>
                <w:rPr>
                  <w:i/>
                  <w:iCs/>
                  <w:noProof/>
                </w:rPr>
                <w:t xml:space="preserve">Cogent Business &amp; Management, </w:t>
              </w:r>
              <w:r>
                <w:rPr>
                  <w:noProof/>
                </w:rPr>
                <w:t>11(1).</w:t>
              </w:r>
            </w:p>
            <w:p w14:paraId="00BA9E4D" w14:textId="77777777" w:rsidR="001E7468" w:rsidRDefault="001E7468" w:rsidP="001E7468">
              <w:pPr>
                <w:pStyle w:val="Bibliography"/>
                <w:rPr>
                  <w:noProof/>
                </w:rPr>
              </w:pPr>
              <w:r>
                <w:rPr>
                  <w:noProof/>
                </w:rPr>
                <w:t xml:space="preserve">Dwivedi, P. &amp; Paolella, L., 2023. Tick Off the Gender Diversity Box: Examining the Cross-Level Effects of Women’s Representation in Senior Management. </w:t>
              </w:r>
              <w:r>
                <w:rPr>
                  <w:i/>
                  <w:iCs/>
                  <w:noProof/>
                </w:rPr>
                <w:t>Academy of Management.</w:t>
              </w:r>
            </w:p>
            <w:p w14:paraId="12578E79" w14:textId="77777777" w:rsidR="001E7468" w:rsidRDefault="001E7468" w:rsidP="001E7468">
              <w:pPr>
                <w:pStyle w:val="Bibliography"/>
                <w:rPr>
                  <w:noProof/>
                </w:rPr>
              </w:pPr>
              <w:r>
                <w:rPr>
                  <w:noProof/>
                </w:rPr>
                <w:t xml:space="preserve">Edmans, A., Pu, D., Zhang, C. &amp; Li, L., 2023. Employee Satisfaction, Labor Market Flexibility, and Stock Returns Around the World. </w:t>
              </w:r>
              <w:r>
                <w:rPr>
                  <w:i/>
                  <w:iCs/>
                  <w:noProof/>
                </w:rPr>
                <w:t>Institute for Operations Research and the Management Sciences.</w:t>
              </w:r>
            </w:p>
            <w:p w14:paraId="440168A9" w14:textId="77777777" w:rsidR="001E7468" w:rsidRDefault="001E7468" w:rsidP="001E7468">
              <w:pPr>
                <w:pStyle w:val="Bibliography"/>
                <w:rPr>
                  <w:noProof/>
                </w:rPr>
              </w:pPr>
              <w:r>
                <w:rPr>
                  <w:noProof/>
                </w:rPr>
                <w:t xml:space="preserve">Erickson, R. A., 2015. Communication and Employee Retention. </w:t>
              </w:r>
              <w:r>
                <w:rPr>
                  <w:i/>
                  <w:iCs/>
                  <w:noProof/>
                </w:rPr>
                <w:t>Encyclopedia of interpersonal communication.</w:t>
              </w:r>
            </w:p>
            <w:p w14:paraId="05190349" w14:textId="77777777" w:rsidR="001E7468" w:rsidRDefault="001E7468" w:rsidP="001E7468">
              <w:pPr>
                <w:pStyle w:val="Bibliography"/>
                <w:rPr>
                  <w:noProof/>
                </w:rPr>
              </w:pPr>
              <w:r>
                <w:rPr>
                  <w:noProof/>
                </w:rPr>
                <w:t xml:space="preserve">Gialiuisi, O. &amp; Coetzer, A., 2014. An exploratory investigation into voluntary employee turnover and retention in small businesses. </w:t>
              </w:r>
              <w:r>
                <w:rPr>
                  <w:i/>
                  <w:iCs/>
                  <w:noProof/>
                </w:rPr>
                <w:t xml:space="preserve">Small Enterprise Research, </w:t>
              </w:r>
              <w:r>
                <w:rPr>
                  <w:noProof/>
                </w:rPr>
                <w:t>20(1), pp. 55-68.</w:t>
              </w:r>
            </w:p>
            <w:p w14:paraId="2B9FC842" w14:textId="77777777" w:rsidR="001E7468" w:rsidRDefault="001E7468" w:rsidP="001E7468">
              <w:pPr>
                <w:pStyle w:val="Bibliography"/>
                <w:rPr>
                  <w:noProof/>
                </w:rPr>
              </w:pPr>
              <w:r>
                <w:rPr>
                  <w:noProof/>
                </w:rPr>
                <w:t xml:space="preserve">Gomez, L. &amp; Bernet, P., 2019. Diversity improves performance and outcomes. </w:t>
              </w:r>
              <w:r>
                <w:rPr>
                  <w:i/>
                  <w:iCs/>
                  <w:noProof/>
                </w:rPr>
                <w:t xml:space="preserve">Journla of the National Medical Association, </w:t>
              </w:r>
              <w:r>
                <w:rPr>
                  <w:noProof/>
                </w:rPr>
                <w:t>111(4), pp. 383-392.</w:t>
              </w:r>
            </w:p>
            <w:p w14:paraId="2BD2636B" w14:textId="77777777" w:rsidR="001E7468" w:rsidRDefault="001E7468" w:rsidP="001E7468">
              <w:pPr>
                <w:pStyle w:val="Bibliography"/>
                <w:rPr>
                  <w:noProof/>
                </w:rPr>
              </w:pPr>
              <w:r>
                <w:rPr>
                  <w:noProof/>
                </w:rPr>
                <w:t xml:space="preserve">Gomez, L. &amp; Bernet, P., 2019. Diversity improves performance and outcomes. </w:t>
              </w:r>
              <w:r>
                <w:rPr>
                  <w:i/>
                  <w:iCs/>
                  <w:noProof/>
                </w:rPr>
                <w:t xml:space="preserve">Journal of the National Medical Association, </w:t>
              </w:r>
              <w:r>
                <w:rPr>
                  <w:noProof/>
                </w:rPr>
                <w:t>111(4), pp. 383-392.</w:t>
              </w:r>
            </w:p>
            <w:p w14:paraId="413CD8BC" w14:textId="77777777" w:rsidR="001E7468" w:rsidRDefault="001E7468" w:rsidP="001E7468">
              <w:pPr>
                <w:pStyle w:val="Bibliography"/>
                <w:rPr>
                  <w:noProof/>
                </w:rPr>
              </w:pPr>
              <w:r>
                <w:rPr>
                  <w:noProof/>
                </w:rPr>
                <w:t xml:space="preserve">Gorostidi-Martinez, H. &amp; Zhao, X., 2017. Strategies to avoid liability of foreignness when entering a new market. </w:t>
              </w:r>
              <w:r>
                <w:rPr>
                  <w:i/>
                  <w:iCs/>
                  <w:noProof/>
                </w:rPr>
                <w:t xml:space="preserve">Journal of Advances in Management Research, </w:t>
              </w:r>
              <w:r>
                <w:rPr>
                  <w:noProof/>
                </w:rPr>
                <w:t>14(1), pp. 46-68.</w:t>
              </w:r>
            </w:p>
            <w:p w14:paraId="56538E78" w14:textId="77777777" w:rsidR="001E7468" w:rsidRDefault="001E7468" w:rsidP="001E7468">
              <w:pPr>
                <w:pStyle w:val="Bibliography"/>
                <w:rPr>
                  <w:noProof/>
                </w:rPr>
              </w:pPr>
              <w:r>
                <w:rPr>
                  <w:noProof/>
                </w:rPr>
                <w:t xml:space="preserve">Gruetzemacher, R., Paradice, D. &amp; Bok, L., 2020. Forecasting extreme labor displacement: A survey of AI practitioners. </w:t>
              </w:r>
              <w:r>
                <w:rPr>
                  <w:i/>
                  <w:iCs/>
                  <w:noProof/>
                </w:rPr>
                <w:t xml:space="preserve">Technological Forecasting and Social Change, </w:t>
              </w:r>
              <w:r>
                <w:rPr>
                  <w:noProof/>
                </w:rPr>
                <w:t>Volume 161.</w:t>
              </w:r>
            </w:p>
            <w:p w14:paraId="5E8D7A31" w14:textId="77777777" w:rsidR="001E7468" w:rsidRDefault="001E7468" w:rsidP="001E7468">
              <w:pPr>
                <w:pStyle w:val="Bibliography"/>
                <w:rPr>
                  <w:noProof/>
                </w:rPr>
              </w:pPr>
              <w:r>
                <w:rPr>
                  <w:noProof/>
                </w:rPr>
                <w:t xml:space="preserve">HAYS, 2024. </w:t>
              </w:r>
              <w:r>
                <w:rPr>
                  <w:i/>
                  <w:iCs/>
                  <w:noProof/>
                </w:rPr>
                <w:t xml:space="preserve">Our Fees. </w:t>
              </w:r>
              <w:r>
                <w:rPr>
                  <w:noProof/>
                </w:rPr>
                <w:t xml:space="preserve">[Online] </w:t>
              </w:r>
              <w:r>
                <w:rPr>
                  <w:noProof/>
                </w:rPr>
                <w:br/>
                <w:t xml:space="preserve">Available at: </w:t>
              </w:r>
              <w:r>
                <w:rPr>
                  <w:noProof/>
                  <w:u w:val="single"/>
                </w:rPr>
                <w:t>https://www.hays.co.uk/</w:t>
              </w:r>
              <w:r>
                <w:rPr>
                  <w:noProof/>
                </w:rPr>
                <w:br/>
                <w:t>[Accessed 3 6 2024].</w:t>
              </w:r>
            </w:p>
            <w:p w14:paraId="74959984" w14:textId="77777777" w:rsidR="001E7468" w:rsidRDefault="001E7468" w:rsidP="001E7468">
              <w:pPr>
                <w:pStyle w:val="Bibliography"/>
                <w:rPr>
                  <w:noProof/>
                </w:rPr>
              </w:pPr>
              <w:r>
                <w:rPr>
                  <w:noProof/>
                </w:rPr>
                <w:t xml:space="preserve">Heery, E. &amp; Abbott, B., 2000. Trade Unions and the insecure workforce. In: </w:t>
              </w:r>
              <w:r>
                <w:rPr>
                  <w:i/>
                  <w:iCs/>
                  <w:noProof/>
                </w:rPr>
                <w:t xml:space="preserve">The insecure workforce. </w:t>
              </w:r>
              <w:r>
                <w:rPr>
                  <w:noProof/>
                </w:rPr>
                <w:t>s.l.:Routledge, p. 26.</w:t>
              </w:r>
            </w:p>
            <w:p w14:paraId="2A2F567D" w14:textId="77777777" w:rsidR="001E7468" w:rsidRDefault="001E7468" w:rsidP="001E7468">
              <w:pPr>
                <w:pStyle w:val="Bibliography"/>
                <w:rPr>
                  <w:noProof/>
                </w:rPr>
              </w:pPr>
              <w:r>
                <w:rPr>
                  <w:noProof/>
                </w:rPr>
                <w:t xml:space="preserve">Heimburger, L., Buchweitz, L., Gouveia, R. &amp; Korn, O., 2019. Gamifying Onboarding: How to Increase Both Engagement and Integration of New Employees. </w:t>
              </w:r>
              <w:r>
                <w:rPr>
                  <w:i/>
                  <w:iCs/>
                  <w:noProof/>
                </w:rPr>
                <w:t xml:space="preserve">Advances in Social and Occupational Ergonomics, </w:t>
              </w:r>
              <w:r>
                <w:rPr>
                  <w:noProof/>
                </w:rPr>
                <w:t>pp. 3-14.</w:t>
              </w:r>
            </w:p>
            <w:p w14:paraId="7515C4DC" w14:textId="77777777" w:rsidR="001E7468" w:rsidRDefault="001E7468" w:rsidP="001E7468">
              <w:pPr>
                <w:pStyle w:val="Bibliography"/>
                <w:rPr>
                  <w:noProof/>
                </w:rPr>
              </w:pPr>
              <w:r>
                <w:rPr>
                  <w:noProof/>
                </w:rPr>
                <w:t xml:space="preserve">Hejjas, K., Miller, G. &amp; Scarles, C., 2019. “It’s Like Hating Puppies!” Employee Disengagement and Corporate Social Responsibility. </w:t>
              </w:r>
              <w:r>
                <w:rPr>
                  <w:i/>
                  <w:iCs/>
                  <w:noProof/>
                </w:rPr>
                <w:t xml:space="preserve">Journal of Business Ethics, </w:t>
              </w:r>
              <w:r>
                <w:rPr>
                  <w:noProof/>
                </w:rPr>
                <w:t>Volume 157, pp. 319-337.</w:t>
              </w:r>
            </w:p>
            <w:p w14:paraId="5F2E28C0" w14:textId="77777777" w:rsidR="001E7468" w:rsidRDefault="001E7468" w:rsidP="001E7468">
              <w:pPr>
                <w:pStyle w:val="Bibliography"/>
                <w:rPr>
                  <w:noProof/>
                </w:rPr>
              </w:pPr>
              <w:r>
                <w:rPr>
                  <w:noProof/>
                </w:rPr>
                <w:t xml:space="preserve">Herriot, P. &amp; Pemberton, C., 2005. </w:t>
              </w:r>
              <w:r>
                <w:rPr>
                  <w:i/>
                  <w:iCs/>
                  <w:noProof/>
                </w:rPr>
                <w:t xml:space="preserve">Competitive advantage through diversity: Organizational learning from difference.. </w:t>
              </w:r>
              <w:r>
                <w:rPr>
                  <w:noProof/>
                </w:rPr>
                <w:t>s.l.:Sage Publications.</w:t>
              </w:r>
            </w:p>
            <w:p w14:paraId="08DE3F45" w14:textId="77777777" w:rsidR="001E7468" w:rsidRDefault="001E7468" w:rsidP="001E7468">
              <w:pPr>
                <w:pStyle w:val="Bibliography"/>
                <w:rPr>
                  <w:noProof/>
                </w:rPr>
              </w:pPr>
              <w:r>
                <w:rPr>
                  <w:noProof/>
                </w:rPr>
                <w:lastRenderedPageBreak/>
                <w:t xml:space="preserve">Hirsh, W., 2000. </w:t>
              </w:r>
              <w:r>
                <w:rPr>
                  <w:i/>
                  <w:iCs/>
                  <w:noProof/>
                </w:rPr>
                <w:t xml:space="preserve">Succession Planning Demystified, </w:t>
              </w:r>
              <w:r>
                <w:rPr>
                  <w:noProof/>
                </w:rPr>
                <w:t>Brighton: IES Research.</w:t>
              </w:r>
            </w:p>
            <w:p w14:paraId="512DF4A9" w14:textId="77777777" w:rsidR="001E7468" w:rsidRDefault="001E7468" w:rsidP="001E7468">
              <w:pPr>
                <w:pStyle w:val="Bibliography"/>
                <w:rPr>
                  <w:noProof/>
                </w:rPr>
              </w:pPr>
              <w:r>
                <w:rPr>
                  <w:noProof/>
                </w:rPr>
                <w:t xml:space="preserve">Hunt, V., Layton, D. &amp; Prince, S., 2015. </w:t>
              </w:r>
              <w:r>
                <w:rPr>
                  <w:i/>
                  <w:iCs/>
                  <w:noProof/>
                </w:rPr>
                <w:t xml:space="preserve">Diversty Matters, </w:t>
              </w:r>
              <w:r>
                <w:rPr>
                  <w:noProof/>
                </w:rPr>
                <w:t>California: McKinsey &amp; Company.</w:t>
              </w:r>
            </w:p>
            <w:p w14:paraId="6B0FD2E1" w14:textId="77777777" w:rsidR="001E7468" w:rsidRDefault="001E7468" w:rsidP="001E7468">
              <w:pPr>
                <w:pStyle w:val="Bibliography"/>
                <w:rPr>
                  <w:noProof/>
                </w:rPr>
              </w:pPr>
              <w:r>
                <w:rPr>
                  <w:noProof/>
                </w:rPr>
                <w:t xml:space="preserve">Indeed, 2017. </w:t>
              </w:r>
              <w:r>
                <w:rPr>
                  <w:i/>
                  <w:iCs/>
                  <w:noProof/>
                </w:rPr>
                <w:t xml:space="preserve">What is the vacatioon policy of Indeed?. </w:t>
              </w:r>
              <w:r>
                <w:rPr>
                  <w:noProof/>
                </w:rPr>
                <w:t xml:space="preserve">[Online] </w:t>
              </w:r>
              <w:r>
                <w:rPr>
                  <w:noProof/>
                </w:rPr>
                <w:br/>
                <w:t xml:space="preserve">Available at: </w:t>
              </w:r>
              <w:r>
                <w:rPr>
                  <w:noProof/>
                  <w:u w:val="single"/>
                </w:rPr>
                <w:t>https://www.indeed.com/cmp/Indeed/faq/what-is-the-vacation-policy-of-indeed?quid=1b9hnj6h5ak5bdo2</w:t>
              </w:r>
              <w:r>
                <w:rPr>
                  <w:noProof/>
                </w:rPr>
                <w:br/>
                <w:t>[Accessed 15 May 2024].</w:t>
              </w:r>
            </w:p>
            <w:p w14:paraId="5919F99F" w14:textId="77777777" w:rsidR="001E7468" w:rsidRDefault="001E7468" w:rsidP="001E7468">
              <w:pPr>
                <w:pStyle w:val="Bibliography"/>
                <w:rPr>
                  <w:noProof/>
                </w:rPr>
              </w:pPr>
              <w:r>
                <w:rPr>
                  <w:noProof/>
                </w:rPr>
                <w:t xml:space="preserve">Jaiswal, A., Arun, J. &amp; Verma, A., 2020. Rebooting employees: upskilling for artificial intelligence in multinational corporations. </w:t>
              </w:r>
              <w:r>
                <w:rPr>
                  <w:i/>
                  <w:iCs/>
                  <w:noProof/>
                </w:rPr>
                <w:t xml:space="preserve">The International Journal of Human Resource Management, </w:t>
              </w:r>
              <w:r>
                <w:rPr>
                  <w:noProof/>
                </w:rPr>
                <w:t>33(6), pp. 1179-1208.</w:t>
              </w:r>
            </w:p>
            <w:p w14:paraId="548A3A94" w14:textId="77777777" w:rsidR="001E7468" w:rsidRDefault="001E7468" w:rsidP="001E7468">
              <w:pPr>
                <w:pStyle w:val="Bibliography"/>
                <w:rPr>
                  <w:noProof/>
                </w:rPr>
              </w:pPr>
              <w:r>
                <w:rPr>
                  <w:noProof/>
                </w:rPr>
                <w:t xml:space="preserve">Joseph, D. &amp; Sandhya, S., 2015. Effective onboarding as a talent management tool for employee retention. </w:t>
              </w:r>
              <w:r>
                <w:rPr>
                  <w:i/>
                  <w:iCs/>
                  <w:noProof/>
                </w:rPr>
                <w:t xml:space="preserve">International Journal in Management &amp; Social Science, </w:t>
              </w:r>
              <w:r>
                <w:rPr>
                  <w:noProof/>
                </w:rPr>
                <w:t>3(7), pp. 175-186.</w:t>
              </w:r>
            </w:p>
            <w:p w14:paraId="55F6163B" w14:textId="77777777" w:rsidR="001E7468" w:rsidRDefault="001E7468" w:rsidP="001E7468">
              <w:pPr>
                <w:pStyle w:val="Bibliography"/>
                <w:rPr>
                  <w:noProof/>
                </w:rPr>
              </w:pPr>
              <w:r>
                <w:rPr>
                  <w:noProof/>
                </w:rPr>
                <w:t xml:space="preserve">Karia, A., Omaru, S., Mwanaongoro, S. &amp; Ondieki, A., 2016. Impact of recruitment and selection in performance of the public watesr utilities in Tanzania. </w:t>
              </w:r>
              <w:r>
                <w:rPr>
                  <w:i/>
                  <w:iCs/>
                  <w:noProof/>
                </w:rPr>
                <w:t xml:space="preserve">African journal of education and human development, </w:t>
              </w:r>
              <w:r>
                <w:rPr>
                  <w:noProof/>
                </w:rPr>
                <w:t>2(1), pp. 39-45.</w:t>
              </w:r>
            </w:p>
            <w:p w14:paraId="5CBFC6CC" w14:textId="77777777" w:rsidR="001E7468" w:rsidRDefault="001E7468" w:rsidP="001E7468">
              <w:pPr>
                <w:pStyle w:val="Bibliography"/>
                <w:rPr>
                  <w:noProof/>
                </w:rPr>
              </w:pPr>
              <w:r>
                <w:rPr>
                  <w:noProof/>
                </w:rPr>
                <w:t xml:space="preserve">Keramati, A. &amp; Salehi, M., 2013. Website success comparison in the context of e-recruitment: An analytic network process (ANP) approach. </w:t>
              </w:r>
              <w:r>
                <w:rPr>
                  <w:i/>
                  <w:iCs/>
                  <w:noProof/>
                </w:rPr>
                <w:t xml:space="preserve">Applied soft computing, </w:t>
              </w:r>
              <w:r>
                <w:rPr>
                  <w:noProof/>
                </w:rPr>
                <w:t>13(1), pp. 173-180.</w:t>
              </w:r>
            </w:p>
            <w:p w14:paraId="443A797E" w14:textId="77777777" w:rsidR="001E7468" w:rsidRDefault="001E7468" w:rsidP="001E7468">
              <w:pPr>
                <w:pStyle w:val="Bibliography"/>
                <w:rPr>
                  <w:noProof/>
                </w:rPr>
              </w:pPr>
              <w:r>
                <w:rPr>
                  <w:noProof/>
                </w:rPr>
                <w:t xml:space="preserve">Kim, M., Knutson, B. &amp; Choi, L., 2015. The Effects of Employee Voice and Delight on Job Satisfaction and Behaviors: Comparison Between Employee Generations. </w:t>
              </w:r>
              <w:r>
                <w:rPr>
                  <w:i/>
                  <w:iCs/>
                  <w:noProof/>
                </w:rPr>
                <w:t xml:space="preserve">Journal of Hospitality Marketing &amp; Management , </w:t>
              </w:r>
              <w:r>
                <w:rPr>
                  <w:noProof/>
                </w:rPr>
                <w:t>25(5), pp. 563-588.</w:t>
              </w:r>
            </w:p>
            <w:p w14:paraId="1253BA82" w14:textId="77777777" w:rsidR="001E7468" w:rsidRDefault="001E7468" w:rsidP="001E7468">
              <w:pPr>
                <w:pStyle w:val="Bibliography"/>
                <w:rPr>
                  <w:noProof/>
                </w:rPr>
              </w:pPr>
              <w:r>
                <w:rPr>
                  <w:noProof/>
                </w:rPr>
                <w:t xml:space="preserve">Klimchak, M. et al., 2018. When Does What Other People Think Matter? The Influence of Age on the Motivators of Organizational Identification. </w:t>
              </w:r>
              <w:r>
                <w:rPr>
                  <w:i/>
                  <w:iCs/>
                  <w:noProof/>
                </w:rPr>
                <w:t xml:space="preserve">Journal of Business and Psychology, </w:t>
              </w:r>
              <w:r>
                <w:rPr>
                  <w:noProof/>
                </w:rPr>
                <w:t>Volume 34, pp. 879-891.</w:t>
              </w:r>
            </w:p>
            <w:p w14:paraId="3126B7A3" w14:textId="77777777" w:rsidR="001E7468" w:rsidRDefault="001E7468" w:rsidP="001E7468">
              <w:pPr>
                <w:pStyle w:val="Bibliography"/>
                <w:rPr>
                  <w:noProof/>
                </w:rPr>
              </w:pPr>
              <w:r>
                <w:rPr>
                  <w:noProof/>
                </w:rPr>
                <w:t xml:space="preserve">Leandro, P. et al., 2021. The New SWOT for a Sustainable World. </w:t>
              </w:r>
              <w:r>
                <w:rPr>
                  <w:i/>
                  <w:iCs/>
                  <w:noProof/>
                </w:rPr>
                <w:t xml:space="preserve">Journal of Open Innovation: Technology, Market, and Complexity, </w:t>
              </w:r>
              <w:r>
                <w:rPr>
                  <w:noProof/>
                </w:rPr>
                <w:t>7(1).</w:t>
              </w:r>
            </w:p>
            <w:p w14:paraId="355FBAB6" w14:textId="77777777" w:rsidR="001E7468" w:rsidRDefault="001E7468" w:rsidP="001E7468">
              <w:pPr>
                <w:pStyle w:val="Bibliography"/>
                <w:rPr>
                  <w:noProof/>
                </w:rPr>
              </w:pPr>
              <w:r>
                <w:rPr>
                  <w:noProof/>
                </w:rPr>
                <w:t xml:space="preserve">Martinez-Jimenez, R., Herandez-Ortiz, M. &amp; Fernandez, A., 2020. Gender diversity influence on board effectiveness and business performance. </w:t>
              </w:r>
              <w:r>
                <w:rPr>
                  <w:i/>
                  <w:iCs/>
                  <w:noProof/>
                </w:rPr>
                <w:t xml:space="preserve">Coporate Governance, </w:t>
              </w:r>
              <w:r>
                <w:rPr>
                  <w:noProof/>
                </w:rPr>
                <w:t>20(2), pp. 307-323.</w:t>
              </w:r>
            </w:p>
            <w:p w14:paraId="348AB16F" w14:textId="77777777" w:rsidR="001E7468" w:rsidRDefault="001E7468" w:rsidP="001E7468">
              <w:pPr>
                <w:pStyle w:val="Bibliography"/>
                <w:rPr>
                  <w:noProof/>
                </w:rPr>
              </w:pPr>
              <w:r>
                <w:rPr>
                  <w:noProof/>
                </w:rPr>
                <w:t xml:space="preserve">Matt, J., 2021. Rehiring Employees After COVID Cutbacks. </w:t>
              </w:r>
              <w:r>
                <w:rPr>
                  <w:i/>
                  <w:iCs/>
                  <w:noProof/>
                </w:rPr>
                <w:t xml:space="preserve">Risk Management, </w:t>
              </w:r>
              <w:r>
                <w:rPr>
                  <w:noProof/>
                </w:rPr>
                <w:t>68(2), pp. 10-11.</w:t>
              </w:r>
            </w:p>
            <w:p w14:paraId="47C5B695" w14:textId="77777777" w:rsidR="001E7468" w:rsidRDefault="001E7468" w:rsidP="001E7468">
              <w:pPr>
                <w:pStyle w:val="Bibliography"/>
                <w:rPr>
                  <w:noProof/>
                </w:rPr>
              </w:pPr>
              <w:r>
                <w:rPr>
                  <w:noProof/>
                </w:rPr>
                <w:t xml:space="preserve">McCollum, D. &amp; Findlay, A., 2019. Oiling the wheels? Flexible labour markets and the migration industry. In: </w:t>
              </w:r>
              <w:r>
                <w:rPr>
                  <w:i/>
                  <w:iCs/>
                  <w:noProof/>
                </w:rPr>
                <w:t xml:space="preserve">Exploring the migration industries. </w:t>
              </w:r>
              <w:r>
                <w:rPr>
                  <w:noProof/>
                </w:rPr>
                <w:t>s.l.:Routledge, p. 17.</w:t>
              </w:r>
            </w:p>
            <w:p w14:paraId="06FA4202" w14:textId="77777777" w:rsidR="001E7468" w:rsidRDefault="001E7468" w:rsidP="001E7468">
              <w:pPr>
                <w:pStyle w:val="Bibliography"/>
                <w:rPr>
                  <w:noProof/>
                </w:rPr>
              </w:pPr>
              <w:r>
                <w:rPr>
                  <w:noProof/>
                </w:rPr>
                <w:t xml:space="preserve">Melanthiou, Y., Pavlou, F. &amp; Constantinou, E., 2015. The Use of Social Network Sites as an E-Recruitment Tool. </w:t>
              </w:r>
              <w:r>
                <w:rPr>
                  <w:i/>
                  <w:iCs/>
                  <w:noProof/>
                </w:rPr>
                <w:t xml:space="preserve">Journal of transnational management, </w:t>
              </w:r>
              <w:r>
                <w:rPr>
                  <w:noProof/>
                </w:rPr>
                <w:t>20(1), pp. 31-49.</w:t>
              </w:r>
            </w:p>
            <w:p w14:paraId="49C2EBF7" w14:textId="77777777" w:rsidR="001E7468" w:rsidRDefault="001E7468" w:rsidP="001E7468">
              <w:pPr>
                <w:pStyle w:val="Bibliography"/>
                <w:rPr>
                  <w:noProof/>
                </w:rPr>
              </w:pPr>
              <w:r>
                <w:rPr>
                  <w:noProof/>
                </w:rPr>
                <w:t xml:space="preserve">Mohammed, A.-M., Lai, Y., Daskalaki, M. &amp; Saridakis, G., 2015. Research Handbook on Employee Turnover. In: </w:t>
              </w:r>
              <w:r>
                <w:rPr>
                  <w:i/>
                  <w:iCs/>
                  <w:noProof/>
                </w:rPr>
                <w:t xml:space="preserve">Chapter 6: Employee turnover as a cost factor of organizations. </w:t>
              </w:r>
              <w:r>
                <w:rPr>
                  <w:noProof/>
                </w:rPr>
                <w:t>s.l.:Elgar, pp. 109-126.</w:t>
              </w:r>
            </w:p>
            <w:p w14:paraId="55E34722" w14:textId="77777777" w:rsidR="001E7468" w:rsidRDefault="001E7468" w:rsidP="001E7468">
              <w:pPr>
                <w:pStyle w:val="Bibliography"/>
                <w:rPr>
                  <w:noProof/>
                </w:rPr>
              </w:pPr>
              <w:r>
                <w:rPr>
                  <w:noProof/>
                </w:rPr>
                <w:t xml:space="preserve">Morris, J., 2018. 5 advantages of a diverse workplace no one is talking about. </w:t>
              </w:r>
              <w:r>
                <w:rPr>
                  <w:i/>
                  <w:iCs/>
                  <w:noProof/>
                </w:rPr>
                <w:t xml:space="preserve">Stragetic HR Review, </w:t>
              </w:r>
              <w:r>
                <w:rPr>
                  <w:noProof/>
                </w:rPr>
                <w:t>17(6), pp. 305-306.</w:t>
              </w:r>
            </w:p>
            <w:p w14:paraId="0B2CCC7B" w14:textId="77777777" w:rsidR="001E7468" w:rsidRDefault="001E7468" w:rsidP="001E7468">
              <w:pPr>
                <w:pStyle w:val="Bibliography"/>
                <w:rPr>
                  <w:noProof/>
                </w:rPr>
              </w:pPr>
              <w:r>
                <w:rPr>
                  <w:noProof/>
                </w:rPr>
                <w:t xml:space="preserve">Moss, R., 2023. </w:t>
              </w:r>
              <w:r>
                <w:rPr>
                  <w:i/>
                  <w:iCs/>
                  <w:noProof/>
                </w:rPr>
                <w:t xml:space="preserve">One in five workers to quit in 2024. </w:t>
              </w:r>
              <w:r>
                <w:rPr>
                  <w:noProof/>
                </w:rPr>
                <w:t xml:space="preserve">[Online] </w:t>
              </w:r>
              <w:r>
                <w:rPr>
                  <w:noProof/>
                </w:rPr>
                <w:br/>
                <w:t xml:space="preserve">Available at: </w:t>
              </w:r>
              <w:r>
                <w:rPr>
                  <w:noProof/>
                  <w:u w:val="single"/>
                </w:rPr>
                <w:t>https://www.personneltoday.com/hr/uk-attrition-2024-culture-amp/</w:t>
              </w:r>
              <w:r>
                <w:rPr>
                  <w:noProof/>
                </w:rPr>
                <w:br/>
                <w:t>[Accessed 2 6 2024].</w:t>
              </w:r>
            </w:p>
            <w:p w14:paraId="50AD3817" w14:textId="77777777" w:rsidR="001E7468" w:rsidRDefault="001E7468" w:rsidP="001E7468">
              <w:pPr>
                <w:pStyle w:val="Bibliography"/>
                <w:rPr>
                  <w:noProof/>
                </w:rPr>
              </w:pPr>
              <w:r>
                <w:rPr>
                  <w:noProof/>
                </w:rPr>
                <w:lastRenderedPageBreak/>
                <w:t xml:space="preserve">Neel, R., Kenrick, D., White, A. &amp; Neuberg, S., 2016. Individual differences in fundamental social motives.. </w:t>
              </w:r>
              <w:r>
                <w:rPr>
                  <w:i/>
                  <w:iCs/>
                  <w:noProof/>
                </w:rPr>
                <w:t xml:space="preserve">ournal of Personality and Social Psychology, </w:t>
              </w:r>
              <w:r>
                <w:rPr>
                  <w:noProof/>
                </w:rPr>
                <w:t>110(6), pp. 887-907.</w:t>
              </w:r>
            </w:p>
            <w:p w14:paraId="204DA70B" w14:textId="77777777" w:rsidR="001E7468" w:rsidRDefault="001E7468" w:rsidP="001E7468">
              <w:pPr>
                <w:pStyle w:val="Bibliography"/>
                <w:rPr>
                  <w:noProof/>
                </w:rPr>
              </w:pPr>
              <w:r>
                <w:rPr>
                  <w:noProof/>
                </w:rPr>
                <w:t xml:space="preserve">Osorio-Londono, A., 2019. Training and its influence on competitive strategy implementation. </w:t>
              </w:r>
              <w:r>
                <w:rPr>
                  <w:i/>
                  <w:iCs/>
                  <w:noProof/>
                </w:rPr>
                <w:t xml:space="preserve">Human Resource Development Quarterly, </w:t>
              </w:r>
              <w:r>
                <w:rPr>
                  <w:noProof/>
                </w:rPr>
                <w:t>31(2), pp. 149-172.</w:t>
              </w:r>
            </w:p>
            <w:p w14:paraId="5E0E1EEC" w14:textId="77777777" w:rsidR="001E7468" w:rsidRDefault="001E7468" w:rsidP="001E7468">
              <w:pPr>
                <w:pStyle w:val="Bibliography"/>
                <w:rPr>
                  <w:noProof/>
                </w:rPr>
              </w:pPr>
              <w:r>
                <w:rPr>
                  <w:noProof/>
                </w:rPr>
                <w:t xml:space="preserve">Parry, E. &amp; Tyson, S., 2008. An analysis of the use and success of online recruitment methods in the UK. </w:t>
              </w:r>
              <w:r>
                <w:rPr>
                  <w:i/>
                  <w:iCs/>
                  <w:noProof/>
                </w:rPr>
                <w:t xml:space="preserve">Human Resource Management Journal, </w:t>
              </w:r>
              <w:r>
                <w:rPr>
                  <w:noProof/>
                </w:rPr>
                <w:t>18(3), pp. 257-274.</w:t>
              </w:r>
            </w:p>
            <w:p w14:paraId="5EC519FA" w14:textId="77777777" w:rsidR="001E7468" w:rsidRDefault="001E7468" w:rsidP="001E7468">
              <w:pPr>
                <w:pStyle w:val="Bibliography"/>
                <w:rPr>
                  <w:noProof/>
                </w:rPr>
              </w:pPr>
              <w:r>
                <w:rPr>
                  <w:noProof/>
                </w:rPr>
                <w:t xml:space="preserve">Pedraza, P., Guzi, M. &amp; Tijdens, K., 2020. Life satisfaction of employees, labour market tightness and matching efficiency. </w:t>
              </w:r>
              <w:r>
                <w:rPr>
                  <w:i/>
                  <w:iCs/>
                  <w:noProof/>
                </w:rPr>
                <w:t xml:space="preserve">International Journal of Manpower, </w:t>
              </w:r>
              <w:r>
                <w:rPr>
                  <w:noProof/>
                </w:rPr>
                <w:t>42(3), pp. 341-355.</w:t>
              </w:r>
            </w:p>
            <w:p w14:paraId="4A826848" w14:textId="77777777" w:rsidR="001E7468" w:rsidRDefault="001E7468" w:rsidP="001E7468">
              <w:pPr>
                <w:pStyle w:val="Bibliography"/>
                <w:rPr>
                  <w:noProof/>
                </w:rPr>
              </w:pPr>
              <w:r>
                <w:rPr>
                  <w:noProof/>
                </w:rPr>
                <w:t xml:space="preserve">Peeters, T., Paauwe, J. &amp; Van De Voorde, K., 2020. People analytics effectiveness: developing a framework. </w:t>
              </w:r>
              <w:r>
                <w:rPr>
                  <w:i/>
                  <w:iCs/>
                  <w:noProof/>
                </w:rPr>
                <w:t xml:space="preserve">Journal of Organizational Effectiveness: People and Performance, </w:t>
              </w:r>
              <w:r>
                <w:rPr>
                  <w:noProof/>
                </w:rPr>
                <w:t>7(2).</w:t>
              </w:r>
            </w:p>
            <w:p w14:paraId="07E7718B" w14:textId="77777777" w:rsidR="001E7468" w:rsidRDefault="001E7468" w:rsidP="001E7468">
              <w:pPr>
                <w:pStyle w:val="Bibliography"/>
                <w:rPr>
                  <w:noProof/>
                </w:rPr>
              </w:pPr>
              <w:r>
                <w:rPr>
                  <w:i/>
                  <w:iCs/>
                  <w:noProof/>
                </w:rPr>
                <w:t xml:space="preserve">Perez Lopez v Servicio Madrileno IRLR 970 </w:t>
              </w:r>
              <w:r>
                <w:rPr>
                  <w:noProof/>
                </w:rPr>
                <w:t xml:space="preserve">(2016). </w:t>
              </w:r>
            </w:p>
            <w:p w14:paraId="54FB9DBD" w14:textId="77777777" w:rsidR="001E7468" w:rsidRDefault="001E7468" w:rsidP="001E7468">
              <w:pPr>
                <w:pStyle w:val="Bibliography"/>
                <w:rPr>
                  <w:noProof/>
                </w:rPr>
              </w:pPr>
              <w:r>
                <w:rPr>
                  <w:noProof/>
                </w:rPr>
                <w:t xml:space="preserve">Perwatiningsih, E. &amp; Sawitri, H., 2021. Analysis on the effect of work-life balance and career development on turnover intention for millennial generations. </w:t>
              </w:r>
              <w:r>
                <w:rPr>
                  <w:i/>
                  <w:iCs/>
                  <w:noProof/>
                </w:rPr>
                <w:t xml:space="preserve">Management and Entrepreneurship: Trends of Development, </w:t>
              </w:r>
              <w:r>
                <w:rPr>
                  <w:noProof/>
                </w:rPr>
                <w:t>1(15).</w:t>
              </w:r>
            </w:p>
            <w:p w14:paraId="53DF36FF" w14:textId="77777777" w:rsidR="001E7468" w:rsidRDefault="001E7468" w:rsidP="001E7468">
              <w:pPr>
                <w:pStyle w:val="Bibliography"/>
                <w:rPr>
                  <w:noProof/>
                </w:rPr>
              </w:pPr>
              <w:r>
                <w:rPr>
                  <w:noProof/>
                </w:rPr>
                <w:t xml:space="preserve">Phelan, J., 2024. </w:t>
              </w:r>
              <w:r>
                <w:rPr>
                  <w:i/>
                  <w:iCs/>
                  <w:noProof/>
                </w:rPr>
                <w:t xml:space="preserve">Onboarding New Employees — Without Overwhelming Them. </w:t>
              </w:r>
              <w:r>
                <w:rPr>
                  <w:noProof/>
                </w:rPr>
                <w:t xml:space="preserve">[Online] </w:t>
              </w:r>
              <w:r>
                <w:rPr>
                  <w:noProof/>
                </w:rPr>
                <w:br/>
                <w:t xml:space="preserve">Available at: </w:t>
              </w:r>
              <w:r>
                <w:rPr>
                  <w:noProof/>
                  <w:u w:val="single"/>
                </w:rPr>
                <w:t>https://hbr.org/2024/04/onboarding-new-employees-without-overwhelming-them</w:t>
              </w:r>
              <w:r>
                <w:rPr>
                  <w:noProof/>
                </w:rPr>
                <w:br/>
                <w:t>[Accessed 3 6 2024].</w:t>
              </w:r>
            </w:p>
            <w:p w14:paraId="354DBE96" w14:textId="77777777" w:rsidR="001E7468" w:rsidRDefault="001E7468" w:rsidP="001E7468">
              <w:pPr>
                <w:pStyle w:val="Bibliography"/>
                <w:rPr>
                  <w:noProof/>
                </w:rPr>
              </w:pPr>
              <w:r>
                <w:rPr>
                  <w:noProof/>
                </w:rPr>
                <w:t xml:space="preserve">Potnuru, R., Sharma, R. &amp; Sahoo, C., 2023. mployee Voice, Employee Involvement, and Organizational Change Readiness: Mediating Role of Commitment-to-Change and Moderating Role of Transformational Leadership.. </w:t>
              </w:r>
              <w:r>
                <w:rPr>
                  <w:i/>
                  <w:iCs/>
                  <w:noProof/>
                </w:rPr>
                <w:t xml:space="preserve">Business Perspectives and Research, </w:t>
              </w:r>
              <w:r>
                <w:rPr>
                  <w:noProof/>
                </w:rPr>
                <w:t>11(3), pp. 355-371.</w:t>
              </w:r>
            </w:p>
            <w:p w14:paraId="02955431" w14:textId="77777777" w:rsidR="001E7468" w:rsidRDefault="001E7468" w:rsidP="001E7468">
              <w:pPr>
                <w:pStyle w:val="Bibliography"/>
                <w:rPr>
                  <w:noProof/>
                </w:rPr>
              </w:pPr>
              <w:r>
                <w:rPr>
                  <w:noProof/>
                </w:rPr>
                <w:t xml:space="preserve">Price, S. &amp; Reichert, C., 2017. The Importance of Continuing Professional Development to Career Satisfaction and Patient Care: Meeting the Needs of Novice to Mid- to Late-Career Nurses throughout Their Career Span. </w:t>
              </w:r>
              <w:r>
                <w:rPr>
                  <w:i/>
                  <w:iCs/>
                  <w:noProof/>
                </w:rPr>
                <w:t xml:space="preserve">Administrative Sciences , </w:t>
              </w:r>
              <w:r>
                <w:rPr>
                  <w:noProof/>
                </w:rPr>
                <w:t>7(2).</w:t>
              </w:r>
            </w:p>
            <w:p w14:paraId="35CB8B28" w14:textId="77777777" w:rsidR="001E7468" w:rsidRDefault="001E7468" w:rsidP="001E7468">
              <w:pPr>
                <w:pStyle w:val="Bibliography"/>
                <w:rPr>
                  <w:noProof/>
                </w:rPr>
              </w:pPr>
              <w:r>
                <w:rPr>
                  <w:noProof/>
                </w:rPr>
                <w:t xml:space="preserve">Purkiss, S. et al., 2006. Implicit sources of bias in employment interview judgments and decisions. </w:t>
              </w:r>
              <w:r>
                <w:rPr>
                  <w:i/>
                  <w:iCs/>
                  <w:noProof/>
                </w:rPr>
                <w:t xml:space="preserve">Organisational behaviour and human decision process, </w:t>
              </w:r>
              <w:r>
                <w:rPr>
                  <w:noProof/>
                </w:rPr>
                <w:t>101(2), pp. 152-167.</w:t>
              </w:r>
            </w:p>
            <w:p w14:paraId="5CA64F94" w14:textId="77777777" w:rsidR="001E7468" w:rsidRDefault="001E7468" w:rsidP="001E7468">
              <w:pPr>
                <w:pStyle w:val="Bibliography"/>
                <w:rPr>
                  <w:noProof/>
                </w:rPr>
              </w:pPr>
              <w:r>
                <w:rPr>
                  <w:noProof/>
                </w:rPr>
                <w:t xml:space="preserve">Qureshi, M. et al., 2013. Relationship between job stress, workload, environment and employee turnover intentions: What we know, what should be know. </w:t>
              </w:r>
              <w:r>
                <w:rPr>
                  <w:i/>
                  <w:iCs/>
                  <w:noProof/>
                </w:rPr>
                <w:t xml:space="preserve">World Applied Sciences Journal, </w:t>
              </w:r>
              <w:r>
                <w:rPr>
                  <w:noProof/>
                </w:rPr>
                <w:t>23(6), pp. 764-770.</w:t>
              </w:r>
            </w:p>
            <w:p w14:paraId="7347CDA2" w14:textId="77777777" w:rsidR="001E7468" w:rsidRDefault="001E7468" w:rsidP="001E7468">
              <w:pPr>
                <w:pStyle w:val="Bibliography"/>
                <w:rPr>
                  <w:noProof/>
                </w:rPr>
              </w:pPr>
              <w:r>
                <w:rPr>
                  <w:noProof/>
                </w:rPr>
                <w:t xml:space="preserve">Rahaman, A. &amp; Bari, H., 2024. Predictive Analytics for Strategic Workforce Planning: A CrossIndustry Perspective from Energy and Telecommunications. </w:t>
              </w:r>
              <w:r>
                <w:rPr>
                  <w:i/>
                  <w:iCs/>
                  <w:noProof/>
                </w:rPr>
                <w:t xml:space="preserve">International Journal of Business Diplomacy and Economy, </w:t>
              </w:r>
              <w:r>
                <w:rPr>
                  <w:noProof/>
                </w:rPr>
                <w:t>3(2).</w:t>
              </w:r>
            </w:p>
            <w:p w14:paraId="24A8BD22" w14:textId="77777777" w:rsidR="001E7468" w:rsidRDefault="001E7468" w:rsidP="001E7468">
              <w:pPr>
                <w:pStyle w:val="Bibliography"/>
                <w:rPr>
                  <w:noProof/>
                </w:rPr>
              </w:pPr>
              <w:r>
                <w:rPr>
                  <w:noProof/>
                </w:rPr>
                <w:t xml:space="preserve">Rodrigues, R., 2020. Evaluating the employability paradox: When does organizational investment in human capital pay off?. </w:t>
              </w:r>
              <w:r>
                <w:rPr>
                  <w:i/>
                  <w:iCs/>
                  <w:noProof/>
                </w:rPr>
                <w:t xml:space="preserve">The International Journal of Human Resource Management , </w:t>
              </w:r>
              <w:r>
                <w:rPr>
                  <w:noProof/>
                </w:rPr>
                <w:t>31(9), pp. 1134-1156.</w:t>
              </w:r>
            </w:p>
            <w:p w14:paraId="786C8FCC" w14:textId="77777777" w:rsidR="001E7468" w:rsidRDefault="001E7468" w:rsidP="001E7468">
              <w:pPr>
                <w:pStyle w:val="Bibliography"/>
                <w:rPr>
                  <w:noProof/>
                </w:rPr>
              </w:pPr>
              <w:r>
                <w:rPr>
                  <w:noProof/>
                </w:rPr>
                <w:t xml:space="preserve">Scholarios, D. &amp; Hurrell, S., 2020. Chapter 2: Fishing for diversity in legal talent pools: Recruiting early talent at Pinsent Mason. In: </w:t>
              </w:r>
              <w:r>
                <w:rPr>
                  <w:i/>
                  <w:iCs/>
                  <w:noProof/>
                </w:rPr>
                <w:t xml:space="preserve">Case Studies in Work, Employment and Human Resource Management. </w:t>
              </w:r>
              <w:r>
                <w:rPr>
                  <w:noProof/>
                </w:rPr>
                <w:t>s.l.:s.n., pp. 7-13.</w:t>
              </w:r>
            </w:p>
            <w:p w14:paraId="77D58C21" w14:textId="77777777" w:rsidR="001E7468" w:rsidRDefault="001E7468" w:rsidP="001E7468">
              <w:pPr>
                <w:pStyle w:val="Bibliography"/>
                <w:rPr>
                  <w:noProof/>
                </w:rPr>
              </w:pPr>
              <w:r>
                <w:rPr>
                  <w:noProof/>
                </w:rPr>
                <w:lastRenderedPageBreak/>
                <w:t xml:space="preserve">Shipton, H., Whysall, Z. &amp; Abe, C., 2021. Global Talent Retention: Understanding Employee Turnover Around the World. In: </w:t>
              </w:r>
              <w:r>
                <w:rPr>
                  <w:i/>
                  <w:iCs/>
                  <w:noProof/>
                </w:rPr>
                <w:t xml:space="preserve">Turnover and Retention in the United Kingdom: Change, Uncertainty and Opportunity. </w:t>
              </w:r>
              <w:r>
                <w:rPr>
                  <w:noProof/>
                </w:rPr>
                <w:t>Leeds: Emerald Publishing, pp. 17-39.</w:t>
              </w:r>
            </w:p>
            <w:p w14:paraId="566DB41D" w14:textId="77777777" w:rsidR="001E7468" w:rsidRDefault="001E7468" w:rsidP="001E7468">
              <w:pPr>
                <w:pStyle w:val="Bibliography"/>
                <w:rPr>
                  <w:noProof/>
                </w:rPr>
              </w:pPr>
              <w:r>
                <w:rPr>
                  <w:noProof/>
                </w:rPr>
                <w:t xml:space="preserve">Singh, S. &amp; Vanka, S., 2019. Voice matters: why HR should listen to employee voice?. </w:t>
              </w:r>
              <w:r>
                <w:rPr>
                  <w:i/>
                  <w:iCs/>
                  <w:noProof/>
                </w:rPr>
                <w:t xml:space="preserve">Stragetic HR Review, </w:t>
              </w:r>
              <w:r>
                <w:rPr>
                  <w:noProof/>
                </w:rPr>
                <w:t>18(6).</w:t>
              </w:r>
            </w:p>
            <w:p w14:paraId="49A3AC8D" w14:textId="77777777" w:rsidR="001E7468" w:rsidRDefault="001E7468" w:rsidP="001E7468">
              <w:pPr>
                <w:pStyle w:val="Bibliography"/>
                <w:rPr>
                  <w:noProof/>
                </w:rPr>
              </w:pPr>
              <w:r>
                <w:rPr>
                  <w:noProof/>
                </w:rPr>
                <w:t xml:space="preserve">Smith, S., 2022. Driving company culture in a post-pandemic world. </w:t>
              </w:r>
              <w:r>
                <w:rPr>
                  <w:i/>
                  <w:iCs/>
                  <w:noProof/>
                </w:rPr>
                <w:t xml:space="preserve">Stragetic HR Review, </w:t>
              </w:r>
              <w:r>
                <w:rPr>
                  <w:noProof/>
                </w:rPr>
                <w:t>21(4).</w:t>
              </w:r>
            </w:p>
            <w:p w14:paraId="271F8C45" w14:textId="77777777" w:rsidR="001E7468" w:rsidRDefault="001E7468" w:rsidP="001E7468">
              <w:pPr>
                <w:pStyle w:val="Bibliography"/>
                <w:rPr>
                  <w:noProof/>
                </w:rPr>
              </w:pPr>
              <w:r>
                <w:rPr>
                  <w:noProof/>
                </w:rPr>
                <w:t xml:space="preserve">Sokol, M. &amp; Tarulli, B., 2024. Adaptive workforce planning approaches that are business-led. In: </w:t>
              </w:r>
              <w:r>
                <w:rPr>
                  <w:i/>
                  <w:iCs/>
                  <w:noProof/>
                </w:rPr>
                <w:t xml:space="preserve">Strategic Workforce Planning: Best Practices and Emerging Directions. </w:t>
              </w:r>
              <w:r>
                <w:rPr>
                  <w:noProof/>
                </w:rPr>
                <w:t>Oxford: Oxford University Press, p. 247.</w:t>
              </w:r>
            </w:p>
            <w:p w14:paraId="0054EDE4" w14:textId="77777777" w:rsidR="001E7468" w:rsidRDefault="001E7468" w:rsidP="001E7468">
              <w:pPr>
                <w:pStyle w:val="Bibliography"/>
                <w:rPr>
                  <w:noProof/>
                </w:rPr>
              </w:pPr>
              <w:r>
                <w:rPr>
                  <w:noProof/>
                </w:rPr>
                <w:t xml:space="preserve">TUC, 2022. </w:t>
              </w:r>
              <w:r>
                <w:rPr>
                  <w:i/>
                  <w:iCs/>
                  <w:noProof/>
                </w:rPr>
                <w:t xml:space="preserve">What is the difference between implied and express terms in an employment contract?. </w:t>
              </w:r>
              <w:r>
                <w:rPr>
                  <w:noProof/>
                </w:rPr>
                <w:t xml:space="preserve">[Online] </w:t>
              </w:r>
              <w:r>
                <w:rPr>
                  <w:noProof/>
                </w:rPr>
                <w:br/>
                <w:t xml:space="preserve">Available at: </w:t>
              </w:r>
              <w:r>
                <w:rPr>
                  <w:noProof/>
                  <w:u w:val="single"/>
                </w:rPr>
                <w:t>https://www.tuc.org.uk/guidance/what-difference-between-implied-and-express-terms-employment-contract</w:t>
              </w:r>
              <w:r>
                <w:rPr>
                  <w:noProof/>
                </w:rPr>
                <w:br/>
                <w:t>[Accessed 3 6 2024].</w:t>
              </w:r>
            </w:p>
            <w:p w14:paraId="5536E77E" w14:textId="77777777" w:rsidR="001E7468" w:rsidRDefault="001E7468" w:rsidP="001E7468">
              <w:pPr>
                <w:pStyle w:val="Bibliography"/>
                <w:rPr>
                  <w:noProof/>
                </w:rPr>
              </w:pPr>
              <w:r>
                <w:rPr>
                  <w:noProof/>
                </w:rPr>
                <w:t xml:space="preserve">TUC, 2023. </w:t>
              </w:r>
              <w:r>
                <w:rPr>
                  <w:i/>
                  <w:iCs/>
                  <w:noProof/>
                </w:rPr>
                <w:t xml:space="preserve">Impact of the rising cost of living on women. </w:t>
              </w:r>
              <w:r>
                <w:rPr>
                  <w:noProof/>
                </w:rPr>
                <w:t xml:space="preserve">[Online] </w:t>
              </w:r>
              <w:r>
                <w:rPr>
                  <w:noProof/>
                </w:rPr>
                <w:br/>
                <w:t xml:space="preserve">Available at: </w:t>
              </w:r>
              <w:r>
                <w:rPr>
                  <w:noProof/>
                  <w:u w:val="single"/>
                </w:rPr>
                <w:t>https://www.tuc.org.uk/research-analysis/reports/impact-rising-cost-living-women</w:t>
              </w:r>
              <w:r>
                <w:rPr>
                  <w:noProof/>
                </w:rPr>
                <w:br/>
                <w:t>[Accessed 22 5 2024].</w:t>
              </w:r>
            </w:p>
            <w:p w14:paraId="365BB84C" w14:textId="77777777" w:rsidR="001E7468" w:rsidRDefault="001E7468" w:rsidP="001E7468">
              <w:pPr>
                <w:pStyle w:val="Bibliography"/>
                <w:rPr>
                  <w:noProof/>
                </w:rPr>
              </w:pPr>
              <w:r>
                <w:rPr>
                  <w:noProof/>
                </w:rPr>
                <w:t xml:space="preserve">Tursunbayeva, A., Pagliari, C. &amp; Di Lauro, S., 2021. The ethics of people analytics: risks, opportunities and recommendations. </w:t>
              </w:r>
              <w:r>
                <w:rPr>
                  <w:i/>
                  <w:iCs/>
                  <w:noProof/>
                </w:rPr>
                <w:t xml:space="preserve">Personnel Review, </w:t>
              </w:r>
              <w:r>
                <w:rPr>
                  <w:noProof/>
                </w:rPr>
                <w:t>51(3).</w:t>
              </w:r>
            </w:p>
            <w:p w14:paraId="77BA1692" w14:textId="77777777" w:rsidR="001E7468" w:rsidRDefault="001E7468" w:rsidP="001E7468">
              <w:pPr>
                <w:pStyle w:val="Bibliography"/>
                <w:rPr>
                  <w:noProof/>
                </w:rPr>
              </w:pPr>
              <w:r>
                <w:rPr>
                  <w:noProof/>
                </w:rPr>
                <w:t xml:space="preserve">Ukeni, I. &amp; Reynolds, K., 2017. </w:t>
              </w:r>
              <w:r>
                <w:rPr>
                  <w:i/>
                  <w:iCs/>
                  <w:noProof/>
                </w:rPr>
                <w:t xml:space="preserve">entoring and Retention of Millennials in United Kingdom: Experiences and Perceptions. In: British Academy of Management (BAM) Conference. </w:t>
              </w:r>
              <w:r>
                <w:rPr>
                  <w:noProof/>
                </w:rPr>
                <w:t>Warwick, Warwick Business School.</w:t>
              </w:r>
            </w:p>
            <w:p w14:paraId="3900CC83" w14:textId="77777777" w:rsidR="001E7468" w:rsidRDefault="001E7468" w:rsidP="001E7468">
              <w:pPr>
                <w:pStyle w:val="Bibliography"/>
                <w:rPr>
                  <w:noProof/>
                </w:rPr>
              </w:pPr>
              <w:r>
                <w:rPr>
                  <w:noProof/>
                </w:rPr>
                <w:t xml:space="preserve">Unesco, 2023. </w:t>
              </w:r>
              <w:r>
                <w:rPr>
                  <w:i/>
                  <w:iCs/>
                  <w:noProof/>
                </w:rPr>
                <w:t xml:space="preserve">Permanent Contract. </w:t>
              </w:r>
              <w:r>
                <w:rPr>
                  <w:noProof/>
                </w:rPr>
                <w:t xml:space="preserve">[Online] </w:t>
              </w:r>
              <w:r>
                <w:rPr>
                  <w:noProof/>
                </w:rPr>
                <w:br/>
                <w:t xml:space="preserve">Available at: </w:t>
              </w:r>
              <w:r>
                <w:rPr>
                  <w:noProof/>
                  <w:u w:val="single"/>
                </w:rPr>
                <w:t>https://uis.unesco.org/node/3297477</w:t>
              </w:r>
              <w:r>
                <w:rPr>
                  <w:noProof/>
                </w:rPr>
                <w:br/>
                <w:t>[Accessed 20 6 2024].</w:t>
              </w:r>
            </w:p>
            <w:p w14:paraId="6EB27F99" w14:textId="77777777" w:rsidR="001E7468" w:rsidRDefault="001E7468" w:rsidP="001E7468">
              <w:pPr>
                <w:pStyle w:val="Bibliography"/>
                <w:rPr>
                  <w:noProof/>
                </w:rPr>
              </w:pPr>
              <w:r>
                <w:rPr>
                  <w:noProof/>
                </w:rPr>
                <w:t xml:space="preserve">Van Der Zee, K., Bakker, A. &amp; Bakker, P., 2002. Why are structured interviews so rarely used in personnel selection?. </w:t>
              </w:r>
              <w:r>
                <w:rPr>
                  <w:i/>
                  <w:iCs/>
                  <w:noProof/>
                </w:rPr>
                <w:t xml:space="preserve">Journal of applied psychology, </w:t>
              </w:r>
              <w:r>
                <w:rPr>
                  <w:noProof/>
                </w:rPr>
                <w:t>87(1), pp. 176-184.</w:t>
              </w:r>
            </w:p>
            <w:p w14:paraId="50D611C2" w14:textId="77777777" w:rsidR="001E7468" w:rsidRDefault="001E7468" w:rsidP="001E7468">
              <w:pPr>
                <w:pStyle w:val="Bibliography"/>
                <w:rPr>
                  <w:noProof/>
                </w:rPr>
              </w:pPr>
              <w:r>
                <w:rPr>
                  <w:noProof/>
                </w:rPr>
                <w:t xml:space="preserve">Walumbwa, F. &amp; Hartnell, C., 2011. Understanding transformational leadership–employee performance links: The role of relational identification and self-efficacy. </w:t>
              </w:r>
              <w:r>
                <w:rPr>
                  <w:i/>
                  <w:iCs/>
                  <w:noProof/>
                </w:rPr>
                <w:t xml:space="preserve">Journal of occupational and organisational psychology, </w:t>
              </w:r>
              <w:r>
                <w:rPr>
                  <w:noProof/>
                </w:rPr>
                <w:t>84(1), pp. 153-172.</w:t>
              </w:r>
            </w:p>
            <w:p w14:paraId="3F741F03" w14:textId="77777777" w:rsidR="001E7468" w:rsidRDefault="001E7468" w:rsidP="001E7468">
              <w:pPr>
                <w:pStyle w:val="Bibliography"/>
                <w:rPr>
                  <w:noProof/>
                </w:rPr>
              </w:pPr>
              <w:r>
                <w:rPr>
                  <w:noProof/>
                </w:rPr>
                <w:t xml:space="preserve">Ward-Brennan, M., 2023. </w:t>
              </w:r>
              <w:r>
                <w:rPr>
                  <w:i/>
                  <w:iCs/>
                  <w:noProof/>
                </w:rPr>
                <w:t xml:space="preserve">All magic circle law firms now pay newly-qualified lawyers £125,000. </w:t>
              </w:r>
              <w:r>
                <w:rPr>
                  <w:noProof/>
                </w:rPr>
                <w:t xml:space="preserve">[Online] </w:t>
              </w:r>
              <w:r>
                <w:rPr>
                  <w:noProof/>
                </w:rPr>
                <w:br/>
                <w:t xml:space="preserve">Available at: </w:t>
              </w:r>
              <w:r>
                <w:rPr>
                  <w:noProof/>
                  <w:u w:val="single"/>
                </w:rPr>
                <w:t>https://www.cityam.com/all-magic-circle-law-firms-now-pay-newly-qualified-lawyers-125000-but-still-lag-us-rivals/</w:t>
              </w:r>
              <w:r>
                <w:rPr>
                  <w:noProof/>
                </w:rPr>
                <w:br/>
                <w:t>[Accessed 15 May 2024].</w:t>
              </w:r>
            </w:p>
            <w:p w14:paraId="64D68044" w14:textId="77777777" w:rsidR="001E7468" w:rsidRDefault="001E7468" w:rsidP="001E7468">
              <w:pPr>
                <w:pStyle w:val="Bibliography"/>
                <w:rPr>
                  <w:noProof/>
                </w:rPr>
              </w:pPr>
              <w:r>
                <w:rPr>
                  <w:noProof/>
                </w:rPr>
                <w:t xml:space="preserve">Wilkinson, A., Barry, M. &amp; Morrison, E., 2020. Toward an integration of research on employee voice. </w:t>
              </w:r>
              <w:r>
                <w:rPr>
                  <w:i/>
                  <w:iCs/>
                  <w:noProof/>
                </w:rPr>
                <w:t xml:space="preserve">Human Resource Management Review, </w:t>
              </w:r>
              <w:r>
                <w:rPr>
                  <w:noProof/>
                </w:rPr>
                <w:t>30(1).</w:t>
              </w:r>
            </w:p>
            <w:p w14:paraId="1403AA2A" w14:textId="77777777" w:rsidR="001E7468" w:rsidRDefault="001E7468" w:rsidP="001E7468">
              <w:pPr>
                <w:pStyle w:val="Bibliography"/>
                <w:rPr>
                  <w:noProof/>
                </w:rPr>
              </w:pPr>
              <w:r>
                <w:rPr>
                  <w:noProof/>
                </w:rPr>
                <w:t xml:space="preserve">Williams, D. &amp; Wade-Golden, K., 2023. </w:t>
              </w:r>
              <w:r>
                <w:rPr>
                  <w:i/>
                  <w:iCs/>
                  <w:noProof/>
                </w:rPr>
                <w:t xml:space="preserve">The Chief Diversity Officer. </w:t>
              </w:r>
              <w:r>
                <w:rPr>
                  <w:noProof/>
                </w:rPr>
                <w:t>London: Taylor &amp; Francis.</w:t>
              </w:r>
            </w:p>
            <w:p w14:paraId="6BA3D197" w14:textId="77777777" w:rsidR="001E7468" w:rsidRDefault="001E7468" w:rsidP="001E7468">
              <w:pPr>
                <w:pStyle w:val="Bibliography"/>
                <w:rPr>
                  <w:noProof/>
                </w:rPr>
              </w:pPr>
              <w:r>
                <w:rPr>
                  <w:noProof/>
                </w:rPr>
                <w:t xml:space="preserve">World Economic Forum, 2023. </w:t>
              </w:r>
              <w:r>
                <w:rPr>
                  <w:i/>
                  <w:iCs/>
                  <w:noProof/>
                </w:rPr>
                <w:t xml:space="preserve">The Future of Jobs report, </w:t>
              </w:r>
              <w:r>
                <w:rPr>
                  <w:noProof/>
                </w:rPr>
                <w:t>s.l.: s.n.</w:t>
              </w:r>
            </w:p>
            <w:p w14:paraId="33E78A53" w14:textId="6FFC3CC3" w:rsidR="001E7468" w:rsidRDefault="001E7468" w:rsidP="001E7468">
              <w:r>
                <w:rPr>
                  <w:b/>
                  <w:bCs/>
                  <w:noProof/>
                </w:rPr>
                <w:lastRenderedPageBreak/>
                <w:fldChar w:fldCharType="end"/>
              </w:r>
            </w:p>
          </w:sdtContent>
        </w:sdt>
      </w:sdtContent>
    </w:sdt>
    <w:p w14:paraId="7EC17FF1" w14:textId="77777777" w:rsidR="00B45743" w:rsidRDefault="00B45743"/>
    <w:sectPr w:rsidR="00B457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BB15C1" w14:textId="77777777" w:rsidR="00A367F9" w:rsidRDefault="00A367F9" w:rsidP="001E52A8">
      <w:pPr>
        <w:spacing w:after="0" w:line="240" w:lineRule="auto"/>
      </w:pPr>
      <w:r>
        <w:separator/>
      </w:r>
    </w:p>
  </w:endnote>
  <w:endnote w:type="continuationSeparator" w:id="0">
    <w:p w14:paraId="4CB5DF2F" w14:textId="77777777" w:rsidR="00A367F9" w:rsidRDefault="00A367F9" w:rsidP="001E5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F4FBC8" w14:textId="77777777" w:rsidR="00A367F9" w:rsidRDefault="00A367F9" w:rsidP="001E52A8">
      <w:pPr>
        <w:spacing w:after="0" w:line="240" w:lineRule="auto"/>
      </w:pPr>
      <w:r>
        <w:separator/>
      </w:r>
    </w:p>
  </w:footnote>
  <w:footnote w:type="continuationSeparator" w:id="0">
    <w:p w14:paraId="1F8E38D3" w14:textId="77777777" w:rsidR="00A367F9" w:rsidRDefault="00A367F9" w:rsidP="001E52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BF4E14"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CD922A7"/>
    <w:multiLevelType w:val="hybridMultilevel"/>
    <w:tmpl w:val="45C4E352"/>
    <w:lvl w:ilvl="0" w:tplc="7654D876">
      <w:start w:val="1"/>
      <w:numFmt w:val="bullet"/>
      <w:lvlText w:val="•"/>
      <w:lvlJc w:val="left"/>
      <w:pPr>
        <w:tabs>
          <w:tab w:val="num" w:pos="720"/>
        </w:tabs>
        <w:ind w:left="720" w:hanging="360"/>
      </w:pPr>
      <w:rPr>
        <w:rFonts w:ascii="Arial" w:hAnsi="Arial" w:hint="default"/>
      </w:rPr>
    </w:lvl>
    <w:lvl w:ilvl="1" w:tplc="B4E65DEE" w:tentative="1">
      <w:start w:val="1"/>
      <w:numFmt w:val="bullet"/>
      <w:lvlText w:val="•"/>
      <w:lvlJc w:val="left"/>
      <w:pPr>
        <w:tabs>
          <w:tab w:val="num" w:pos="1440"/>
        </w:tabs>
        <w:ind w:left="1440" w:hanging="360"/>
      </w:pPr>
      <w:rPr>
        <w:rFonts w:ascii="Arial" w:hAnsi="Arial" w:hint="default"/>
      </w:rPr>
    </w:lvl>
    <w:lvl w:ilvl="2" w:tplc="F21472EE" w:tentative="1">
      <w:start w:val="1"/>
      <w:numFmt w:val="bullet"/>
      <w:lvlText w:val="•"/>
      <w:lvlJc w:val="left"/>
      <w:pPr>
        <w:tabs>
          <w:tab w:val="num" w:pos="2160"/>
        </w:tabs>
        <w:ind w:left="2160" w:hanging="360"/>
      </w:pPr>
      <w:rPr>
        <w:rFonts w:ascii="Arial" w:hAnsi="Arial" w:hint="default"/>
      </w:rPr>
    </w:lvl>
    <w:lvl w:ilvl="3" w:tplc="7DEC46A0" w:tentative="1">
      <w:start w:val="1"/>
      <w:numFmt w:val="bullet"/>
      <w:lvlText w:val="•"/>
      <w:lvlJc w:val="left"/>
      <w:pPr>
        <w:tabs>
          <w:tab w:val="num" w:pos="2880"/>
        </w:tabs>
        <w:ind w:left="2880" w:hanging="360"/>
      </w:pPr>
      <w:rPr>
        <w:rFonts w:ascii="Arial" w:hAnsi="Arial" w:hint="default"/>
      </w:rPr>
    </w:lvl>
    <w:lvl w:ilvl="4" w:tplc="C5528A4C" w:tentative="1">
      <w:start w:val="1"/>
      <w:numFmt w:val="bullet"/>
      <w:lvlText w:val="•"/>
      <w:lvlJc w:val="left"/>
      <w:pPr>
        <w:tabs>
          <w:tab w:val="num" w:pos="3600"/>
        </w:tabs>
        <w:ind w:left="3600" w:hanging="360"/>
      </w:pPr>
      <w:rPr>
        <w:rFonts w:ascii="Arial" w:hAnsi="Arial" w:hint="default"/>
      </w:rPr>
    </w:lvl>
    <w:lvl w:ilvl="5" w:tplc="08840FB4" w:tentative="1">
      <w:start w:val="1"/>
      <w:numFmt w:val="bullet"/>
      <w:lvlText w:val="•"/>
      <w:lvlJc w:val="left"/>
      <w:pPr>
        <w:tabs>
          <w:tab w:val="num" w:pos="4320"/>
        </w:tabs>
        <w:ind w:left="4320" w:hanging="360"/>
      </w:pPr>
      <w:rPr>
        <w:rFonts w:ascii="Arial" w:hAnsi="Arial" w:hint="default"/>
      </w:rPr>
    </w:lvl>
    <w:lvl w:ilvl="6" w:tplc="AF389A6A" w:tentative="1">
      <w:start w:val="1"/>
      <w:numFmt w:val="bullet"/>
      <w:lvlText w:val="•"/>
      <w:lvlJc w:val="left"/>
      <w:pPr>
        <w:tabs>
          <w:tab w:val="num" w:pos="5040"/>
        </w:tabs>
        <w:ind w:left="5040" w:hanging="360"/>
      </w:pPr>
      <w:rPr>
        <w:rFonts w:ascii="Arial" w:hAnsi="Arial" w:hint="default"/>
      </w:rPr>
    </w:lvl>
    <w:lvl w:ilvl="7" w:tplc="587C00C6" w:tentative="1">
      <w:start w:val="1"/>
      <w:numFmt w:val="bullet"/>
      <w:lvlText w:val="•"/>
      <w:lvlJc w:val="left"/>
      <w:pPr>
        <w:tabs>
          <w:tab w:val="num" w:pos="5760"/>
        </w:tabs>
        <w:ind w:left="5760" w:hanging="360"/>
      </w:pPr>
      <w:rPr>
        <w:rFonts w:ascii="Arial" w:hAnsi="Arial" w:hint="default"/>
      </w:rPr>
    </w:lvl>
    <w:lvl w:ilvl="8" w:tplc="1BF858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FA81AB4"/>
    <w:multiLevelType w:val="hybridMultilevel"/>
    <w:tmpl w:val="2646B04A"/>
    <w:lvl w:ilvl="0" w:tplc="992219C4">
      <w:start w:val="1"/>
      <w:numFmt w:val="bullet"/>
      <w:lvlText w:val="•"/>
      <w:lvlJc w:val="left"/>
      <w:pPr>
        <w:tabs>
          <w:tab w:val="num" w:pos="720"/>
        </w:tabs>
        <w:ind w:left="720" w:hanging="360"/>
      </w:pPr>
      <w:rPr>
        <w:rFonts w:ascii="Arial" w:hAnsi="Arial" w:hint="default"/>
      </w:rPr>
    </w:lvl>
    <w:lvl w:ilvl="1" w:tplc="B5E819EC">
      <w:numFmt w:val="bullet"/>
      <w:lvlText w:val="–"/>
      <w:lvlJc w:val="left"/>
      <w:pPr>
        <w:tabs>
          <w:tab w:val="num" w:pos="1440"/>
        </w:tabs>
        <w:ind w:left="1440" w:hanging="360"/>
      </w:pPr>
      <w:rPr>
        <w:rFonts w:ascii="Arial" w:hAnsi="Arial" w:hint="default"/>
      </w:rPr>
    </w:lvl>
    <w:lvl w:ilvl="2" w:tplc="F62A473A" w:tentative="1">
      <w:start w:val="1"/>
      <w:numFmt w:val="bullet"/>
      <w:lvlText w:val="•"/>
      <w:lvlJc w:val="left"/>
      <w:pPr>
        <w:tabs>
          <w:tab w:val="num" w:pos="2160"/>
        </w:tabs>
        <w:ind w:left="2160" w:hanging="360"/>
      </w:pPr>
      <w:rPr>
        <w:rFonts w:ascii="Arial" w:hAnsi="Arial" w:hint="default"/>
      </w:rPr>
    </w:lvl>
    <w:lvl w:ilvl="3" w:tplc="EBACDEE8" w:tentative="1">
      <w:start w:val="1"/>
      <w:numFmt w:val="bullet"/>
      <w:lvlText w:val="•"/>
      <w:lvlJc w:val="left"/>
      <w:pPr>
        <w:tabs>
          <w:tab w:val="num" w:pos="2880"/>
        </w:tabs>
        <w:ind w:left="2880" w:hanging="360"/>
      </w:pPr>
      <w:rPr>
        <w:rFonts w:ascii="Arial" w:hAnsi="Arial" w:hint="default"/>
      </w:rPr>
    </w:lvl>
    <w:lvl w:ilvl="4" w:tplc="06A8C57C" w:tentative="1">
      <w:start w:val="1"/>
      <w:numFmt w:val="bullet"/>
      <w:lvlText w:val="•"/>
      <w:lvlJc w:val="left"/>
      <w:pPr>
        <w:tabs>
          <w:tab w:val="num" w:pos="3600"/>
        </w:tabs>
        <w:ind w:left="3600" w:hanging="360"/>
      </w:pPr>
      <w:rPr>
        <w:rFonts w:ascii="Arial" w:hAnsi="Arial" w:hint="default"/>
      </w:rPr>
    </w:lvl>
    <w:lvl w:ilvl="5" w:tplc="A38CBD44" w:tentative="1">
      <w:start w:val="1"/>
      <w:numFmt w:val="bullet"/>
      <w:lvlText w:val="•"/>
      <w:lvlJc w:val="left"/>
      <w:pPr>
        <w:tabs>
          <w:tab w:val="num" w:pos="4320"/>
        </w:tabs>
        <w:ind w:left="4320" w:hanging="360"/>
      </w:pPr>
      <w:rPr>
        <w:rFonts w:ascii="Arial" w:hAnsi="Arial" w:hint="default"/>
      </w:rPr>
    </w:lvl>
    <w:lvl w:ilvl="6" w:tplc="85C0A846" w:tentative="1">
      <w:start w:val="1"/>
      <w:numFmt w:val="bullet"/>
      <w:lvlText w:val="•"/>
      <w:lvlJc w:val="left"/>
      <w:pPr>
        <w:tabs>
          <w:tab w:val="num" w:pos="5040"/>
        </w:tabs>
        <w:ind w:left="5040" w:hanging="360"/>
      </w:pPr>
      <w:rPr>
        <w:rFonts w:ascii="Arial" w:hAnsi="Arial" w:hint="default"/>
      </w:rPr>
    </w:lvl>
    <w:lvl w:ilvl="7" w:tplc="F19A6AAA" w:tentative="1">
      <w:start w:val="1"/>
      <w:numFmt w:val="bullet"/>
      <w:lvlText w:val="•"/>
      <w:lvlJc w:val="left"/>
      <w:pPr>
        <w:tabs>
          <w:tab w:val="num" w:pos="5760"/>
        </w:tabs>
        <w:ind w:left="5760" w:hanging="360"/>
      </w:pPr>
      <w:rPr>
        <w:rFonts w:ascii="Arial" w:hAnsi="Arial" w:hint="default"/>
      </w:rPr>
    </w:lvl>
    <w:lvl w:ilvl="8" w:tplc="7916D37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82A070D"/>
    <w:multiLevelType w:val="hybridMultilevel"/>
    <w:tmpl w:val="3B7EADD6"/>
    <w:lvl w:ilvl="0" w:tplc="8DBA7E9A">
      <w:start w:val="1"/>
      <w:numFmt w:val="bullet"/>
      <w:lvlText w:val="•"/>
      <w:lvlJc w:val="left"/>
      <w:pPr>
        <w:tabs>
          <w:tab w:val="num" w:pos="720"/>
        </w:tabs>
        <w:ind w:left="720" w:hanging="360"/>
      </w:pPr>
      <w:rPr>
        <w:rFonts w:ascii="Arial" w:hAnsi="Arial" w:hint="default"/>
      </w:rPr>
    </w:lvl>
    <w:lvl w:ilvl="1" w:tplc="59EAD354" w:tentative="1">
      <w:start w:val="1"/>
      <w:numFmt w:val="bullet"/>
      <w:lvlText w:val="•"/>
      <w:lvlJc w:val="left"/>
      <w:pPr>
        <w:tabs>
          <w:tab w:val="num" w:pos="1440"/>
        </w:tabs>
        <w:ind w:left="1440" w:hanging="360"/>
      </w:pPr>
      <w:rPr>
        <w:rFonts w:ascii="Arial" w:hAnsi="Arial" w:hint="default"/>
      </w:rPr>
    </w:lvl>
    <w:lvl w:ilvl="2" w:tplc="E39C6E52" w:tentative="1">
      <w:start w:val="1"/>
      <w:numFmt w:val="bullet"/>
      <w:lvlText w:val="•"/>
      <w:lvlJc w:val="left"/>
      <w:pPr>
        <w:tabs>
          <w:tab w:val="num" w:pos="2160"/>
        </w:tabs>
        <w:ind w:left="2160" w:hanging="360"/>
      </w:pPr>
      <w:rPr>
        <w:rFonts w:ascii="Arial" w:hAnsi="Arial" w:hint="default"/>
      </w:rPr>
    </w:lvl>
    <w:lvl w:ilvl="3" w:tplc="E30E3DA8" w:tentative="1">
      <w:start w:val="1"/>
      <w:numFmt w:val="bullet"/>
      <w:lvlText w:val="•"/>
      <w:lvlJc w:val="left"/>
      <w:pPr>
        <w:tabs>
          <w:tab w:val="num" w:pos="2880"/>
        </w:tabs>
        <w:ind w:left="2880" w:hanging="360"/>
      </w:pPr>
      <w:rPr>
        <w:rFonts w:ascii="Arial" w:hAnsi="Arial" w:hint="default"/>
      </w:rPr>
    </w:lvl>
    <w:lvl w:ilvl="4" w:tplc="A66C2492" w:tentative="1">
      <w:start w:val="1"/>
      <w:numFmt w:val="bullet"/>
      <w:lvlText w:val="•"/>
      <w:lvlJc w:val="left"/>
      <w:pPr>
        <w:tabs>
          <w:tab w:val="num" w:pos="3600"/>
        </w:tabs>
        <w:ind w:left="3600" w:hanging="360"/>
      </w:pPr>
      <w:rPr>
        <w:rFonts w:ascii="Arial" w:hAnsi="Arial" w:hint="default"/>
      </w:rPr>
    </w:lvl>
    <w:lvl w:ilvl="5" w:tplc="5880B428" w:tentative="1">
      <w:start w:val="1"/>
      <w:numFmt w:val="bullet"/>
      <w:lvlText w:val="•"/>
      <w:lvlJc w:val="left"/>
      <w:pPr>
        <w:tabs>
          <w:tab w:val="num" w:pos="4320"/>
        </w:tabs>
        <w:ind w:left="4320" w:hanging="360"/>
      </w:pPr>
      <w:rPr>
        <w:rFonts w:ascii="Arial" w:hAnsi="Arial" w:hint="default"/>
      </w:rPr>
    </w:lvl>
    <w:lvl w:ilvl="6" w:tplc="D346A294" w:tentative="1">
      <w:start w:val="1"/>
      <w:numFmt w:val="bullet"/>
      <w:lvlText w:val="•"/>
      <w:lvlJc w:val="left"/>
      <w:pPr>
        <w:tabs>
          <w:tab w:val="num" w:pos="5040"/>
        </w:tabs>
        <w:ind w:left="5040" w:hanging="360"/>
      </w:pPr>
      <w:rPr>
        <w:rFonts w:ascii="Arial" w:hAnsi="Arial" w:hint="default"/>
      </w:rPr>
    </w:lvl>
    <w:lvl w:ilvl="7" w:tplc="715C5574" w:tentative="1">
      <w:start w:val="1"/>
      <w:numFmt w:val="bullet"/>
      <w:lvlText w:val="•"/>
      <w:lvlJc w:val="left"/>
      <w:pPr>
        <w:tabs>
          <w:tab w:val="num" w:pos="5760"/>
        </w:tabs>
        <w:ind w:left="5760" w:hanging="360"/>
      </w:pPr>
      <w:rPr>
        <w:rFonts w:ascii="Arial" w:hAnsi="Arial" w:hint="default"/>
      </w:rPr>
    </w:lvl>
    <w:lvl w:ilvl="8" w:tplc="ADF2D0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0C90E32"/>
    <w:multiLevelType w:val="hybridMultilevel"/>
    <w:tmpl w:val="7E8C6148"/>
    <w:lvl w:ilvl="0" w:tplc="6F743AE6">
      <w:start w:val="1"/>
      <w:numFmt w:val="bullet"/>
      <w:lvlText w:val="•"/>
      <w:lvlJc w:val="left"/>
      <w:pPr>
        <w:tabs>
          <w:tab w:val="num" w:pos="720"/>
        </w:tabs>
        <w:ind w:left="720" w:hanging="360"/>
      </w:pPr>
      <w:rPr>
        <w:rFonts w:ascii="Arial" w:hAnsi="Arial" w:hint="default"/>
      </w:rPr>
    </w:lvl>
    <w:lvl w:ilvl="1" w:tplc="1048174A" w:tentative="1">
      <w:start w:val="1"/>
      <w:numFmt w:val="bullet"/>
      <w:lvlText w:val="•"/>
      <w:lvlJc w:val="left"/>
      <w:pPr>
        <w:tabs>
          <w:tab w:val="num" w:pos="1440"/>
        </w:tabs>
        <w:ind w:left="1440" w:hanging="360"/>
      </w:pPr>
      <w:rPr>
        <w:rFonts w:ascii="Arial" w:hAnsi="Arial" w:hint="default"/>
      </w:rPr>
    </w:lvl>
    <w:lvl w:ilvl="2" w:tplc="BAA4D404" w:tentative="1">
      <w:start w:val="1"/>
      <w:numFmt w:val="bullet"/>
      <w:lvlText w:val="•"/>
      <w:lvlJc w:val="left"/>
      <w:pPr>
        <w:tabs>
          <w:tab w:val="num" w:pos="2160"/>
        </w:tabs>
        <w:ind w:left="2160" w:hanging="360"/>
      </w:pPr>
      <w:rPr>
        <w:rFonts w:ascii="Arial" w:hAnsi="Arial" w:hint="default"/>
      </w:rPr>
    </w:lvl>
    <w:lvl w:ilvl="3" w:tplc="45040184" w:tentative="1">
      <w:start w:val="1"/>
      <w:numFmt w:val="bullet"/>
      <w:lvlText w:val="•"/>
      <w:lvlJc w:val="left"/>
      <w:pPr>
        <w:tabs>
          <w:tab w:val="num" w:pos="2880"/>
        </w:tabs>
        <w:ind w:left="2880" w:hanging="360"/>
      </w:pPr>
      <w:rPr>
        <w:rFonts w:ascii="Arial" w:hAnsi="Arial" w:hint="default"/>
      </w:rPr>
    </w:lvl>
    <w:lvl w:ilvl="4" w:tplc="6D92F11E" w:tentative="1">
      <w:start w:val="1"/>
      <w:numFmt w:val="bullet"/>
      <w:lvlText w:val="•"/>
      <w:lvlJc w:val="left"/>
      <w:pPr>
        <w:tabs>
          <w:tab w:val="num" w:pos="3600"/>
        </w:tabs>
        <w:ind w:left="3600" w:hanging="360"/>
      </w:pPr>
      <w:rPr>
        <w:rFonts w:ascii="Arial" w:hAnsi="Arial" w:hint="default"/>
      </w:rPr>
    </w:lvl>
    <w:lvl w:ilvl="5" w:tplc="A522751E" w:tentative="1">
      <w:start w:val="1"/>
      <w:numFmt w:val="bullet"/>
      <w:lvlText w:val="•"/>
      <w:lvlJc w:val="left"/>
      <w:pPr>
        <w:tabs>
          <w:tab w:val="num" w:pos="4320"/>
        </w:tabs>
        <w:ind w:left="4320" w:hanging="360"/>
      </w:pPr>
      <w:rPr>
        <w:rFonts w:ascii="Arial" w:hAnsi="Arial" w:hint="default"/>
      </w:rPr>
    </w:lvl>
    <w:lvl w:ilvl="6" w:tplc="66068416" w:tentative="1">
      <w:start w:val="1"/>
      <w:numFmt w:val="bullet"/>
      <w:lvlText w:val="•"/>
      <w:lvlJc w:val="left"/>
      <w:pPr>
        <w:tabs>
          <w:tab w:val="num" w:pos="5040"/>
        </w:tabs>
        <w:ind w:left="5040" w:hanging="360"/>
      </w:pPr>
      <w:rPr>
        <w:rFonts w:ascii="Arial" w:hAnsi="Arial" w:hint="default"/>
      </w:rPr>
    </w:lvl>
    <w:lvl w:ilvl="7" w:tplc="C4AEB90E" w:tentative="1">
      <w:start w:val="1"/>
      <w:numFmt w:val="bullet"/>
      <w:lvlText w:val="•"/>
      <w:lvlJc w:val="left"/>
      <w:pPr>
        <w:tabs>
          <w:tab w:val="num" w:pos="5760"/>
        </w:tabs>
        <w:ind w:left="5760" w:hanging="360"/>
      </w:pPr>
      <w:rPr>
        <w:rFonts w:ascii="Arial" w:hAnsi="Arial" w:hint="default"/>
      </w:rPr>
    </w:lvl>
    <w:lvl w:ilvl="8" w:tplc="EC4835DA" w:tentative="1">
      <w:start w:val="1"/>
      <w:numFmt w:val="bullet"/>
      <w:lvlText w:val="•"/>
      <w:lvlJc w:val="left"/>
      <w:pPr>
        <w:tabs>
          <w:tab w:val="num" w:pos="6480"/>
        </w:tabs>
        <w:ind w:left="6480" w:hanging="360"/>
      </w:pPr>
      <w:rPr>
        <w:rFonts w:ascii="Arial" w:hAnsi="Arial" w:hint="default"/>
      </w:rPr>
    </w:lvl>
  </w:abstractNum>
  <w:num w:numId="1" w16cid:durableId="2086107083">
    <w:abstractNumId w:val="1"/>
  </w:num>
  <w:num w:numId="2" w16cid:durableId="1205025706">
    <w:abstractNumId w:val="0"/>
  </w:num>
  <w:num w:numId="3" w16cid:durableId="507134166">
    <w:abstractNumId w:val="5"/>
  </w:num>
  <w:num w:numId="4" w16cid:durableId="1908760478">
    <w:abstractNumId w:val="2"/>
  </w:num>
  <w:num w:numId="5" w16cid:durableId="1658338718">
    <w:abstractNumId w:val="4"/>
  </w:num>
  <w:num w:numId="6" w16cid:durableId="15831823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423"/>
    <w:rsid w:val="0000022F"/>
    <w:rsid w:val="000014E1"/>
    <w:rsid w:val="00003278"/>
    <w:rsid w:val="00006228"/>
    <w:rsid w:val="00007EEA"/>
    <w:rsid w:val="00012404"/>
    <w:rsid w:val="000236DD"/>
    <w:rsid w:val="00033B69"/>
    <w:rsid w:val="00037488"/>
    <w:rsid w:val="00037DFD"/>
    <w:rsid w:val="000449CB"/>
    <w:rsid w:val="00047B61"/>
    <w:rsid w:val="0005373E"/>
    <w:rsid w:val="00055E1A"/>
    <w:rsid w:val="00063627"/>
    <w:rsid w:val="00072AE7"/>
    <w:rsid w:val="00083152"/>
    <w:rsid w:val="00091B09"/>
    <w:rsid w:val="00092BD5"/>
    <w:rsid w:val="00093927"/>
    <w:rsid w:val="000968CE"/>
    <w:rsid w:val="000B016E"/>
    <w:rsid w:val="000B479B"/>
    <w:rsid w:val="000B546D"/>
    <w:rsid w:val="000B5791"/>
    <w:rsid w:val="000B594B"/>
    <w:rsid w:val="000B70A0"/>
    <w:rsid w:val="000B724B"/>
    <w:rsid w:val="000C033F"/>
    <w:rsid w:val="000C2E23"/>
    <w:rsid w:val="000C4155"/>
    <w:rsid w:val="000C5C6A"/>
    <w:rsid w:val="000D4529"/>
    <w:rsid w:val="000D60EB"/>
    <w:rsid w:val="000E086B"/>
    <w:rsid w:val="000E2391"/>
    <w:rsid w:val="000E5D27"/>
    <w:rsid w:val="000E6F8C"/>
    <w:rsid w:val="000E72A0"/>
    <w:rsid w:val="000E7C93"/>
    <w:rsid w:val="000F030D"/>
    <w:rsid w:val="000F4EF9"/>
    <w:rsid w:val="000F569F"/>
    <w:rsid w:val="000F78FD"/>
    <w:rsid w:val="00104E12"/>
    <w:rsid w:val="001137AC"/>
    <w:rsid w:val="00113B5B"/>
    <w:rsid w:val="001166E9"/>
    <w:rsid w:val="00117643"/>
    <w:rsid w:val="00124A22"/>
    <w:rsid w:val="00124E0B"/>
    <w:rsid w:val="001262A7"/>
    <w:rsid w:val="00130DDD"/>
    <w:rsid w:val="0013232C"/>
    <w:rsid w:val="00133F81"/>
    <w:rsid w:val="00135F21"/>
    <w:rsid w:val="00137B66"/>
    <w:rsid w:val="00140599"/>
    <w:rsid w:val="001409D8"/>
    <w:rsid w:val="0014752F"/>
    <w:rsid w:val="00154D89"/>
    <w:rsid w:val="00165216"/>
    <w:rsid w:val="0016542E"/>
    <w:rsid w:val="00166213"/>
    <w:rsid w:val="00171132"/>
    <w:rsid w:val="00172BBA"/>
    <w:rsid w:val="00172DB8"/>
    <w:rsid w:val="00172E9F"/>
    <w:rsid w:val="00174F19"/>
    <w:rsid w:val="00177A7D"/>
    <w:rsid w:val="00183CA2"/>
    <w:rsid w:val="0019168F"/>
    <w:rsid w:val="00191893"/>
    <w:rsid w:val="00191AC7"/>
    <w:rsid w:val="001A4722"/>
    <w:rsid w:val="001B082D"/>
    <w:rsid w:val="001B0DDB"/>
    <w:rsid w:val="001C3E28"/>
    <w:rsid w:val="001C4075"/>
    <w:rsid w:val="001C5DE6"/>
    <w:rsid w:val="001D450B"/>
    <w:rsid w:val="001D494E"/>
    <w:rsid w:val="001D7AD8"/>
    <w:rsid w:val="001E2234"/>
    <w:rsid w:val="001E52A8"/>
    <w:rsid w:val="001E7468"/>
    <w:rsid w:val="001F68FF"/>
    <w:rsid w:val="002006CA"/>
    <w:rsid w:val="00204653"/>
    <w:rsid w:val="00211130"/>
    <w:rsid w:val="0021154F"/>
    <w:rsid w:val="00223DBA"/>
    <w:rsid w:val="00231D70"/>
    <w:rsid w:val="002357F4"/>
    <w:rsid w:val="00237E33"/>
    <w:rsid w:val="00240097"/>
    <w:rsid w:val="0024580D"/>
    <w:rsid w:val="002466C9"/>
    <w:rsid w:val="00246918"/>
    <w:rsid w:val="0024704B"/>
    <w:rsid w:val="00261361"/>
    <w:rsid w:val="00263DD3"/>
    <w:rsid w:val="002713F0"/>
    <w:rsid w:val="0028354C"/>
    <w:rsid w:val="002946A2"/>
    <w:rsid w:val="002A60F6"/>
    <w:rsid w:val="002A6EF1"/>
    <w:rsid w:val="002C1CA0"/>
    <w:rsid w:val="002C6B22"/>
    <w:rsid w:val="002D3AE1"/>
    <w:rsid w:val="002D67EF"/>
    <w:rsid w:val="002E0A09"/>
    <w:rsid w:val="002F01FB"/>
    <w:rsid w:val="002F067A"/>
    <w:rsid w:val="002F3CD2"/>
    <w:rsid w:val="003053A1"/>
    <w:rsid w:val="00306FD8"/>
    <w:rsid w:val="0031006C"/>
    <w:rsid w:val="00315CA5"/>
    <w:rsid w:val="0031665E"/>
    <w:rsid w:val="00332981"/>
    <w:rsid w:val="003333B5"/>
    <w:rsid w:val="00334B22"/>
    <w:rsid w:val="00336D3B"/>
    <w:rsid w:val="003370AE"/>
    <w:rsid w:val="003407EA"/>
    <w:rsid w:val="00340E0C"/>
    <w:rsid w:val="00343BD1"/>
    <w:rsid w:val="00347BD6"/>
    <w:rsid w:val="00354C31"/>
    <w:rsid w:val="00356AE0"/>
    <w:rsid w:val="0036189E"/>
    <w:rsid w:val="00365922"/>
    <w:rsid w:val="00366B6A"/>
    <w:rsid w:val="00367869"/>
    <w:rsid w:val="003733A1"/>
    <w:rsid w:val="0037534D"/>
    <w:rsid w:val="00375BF3"/>
    <w:rsid w:val="00380C74"/>
    <w:rsid w:val="003811A9"/>
    <w:rsid w:val="0038120B"/>
    <w:rsid w:val="00386087"/>
    <w:rsid w:val="003902AF"/>
    <w:rsid w:val="003948FA"/>
    <w:rsid w:val="003A0BCB"/>
    <w:rsid w:val="003A76BF"/>
    <w:rsid w:val="003B5EB1"/>
    <w:rsid w:val="003B6328"/>
    <w:rsid w:val="003C7941"/>
    <w:rsid w:val="003D7B6F"/>
    <w:rsid w:val="003E0CB0"/>
    <w:rsid w:val="003E0E6D"/>
    <w:rsid w:val="003F360D"/>
    <w:rsid w:val="003F6646"/>
    <w:rsid w:val="00407578"/>
    <w:rsid w:val="00410136"/>
    <w:rsid w:val="004139DE"/>
    <w:rsid w:val="0041776E"/>
    <w:rsid w:val="004236D7"/>
    <w:rsid w:val="004254AA"/>
    <w:rsid w:val="00433090"/>
    <w:rsid w:val="00436524"/>
    <w:rsid w:val="00437BDD"/>
    <w:rsid w:val="00443C03"/>
    <w:rsid w:val="00444463"/>
    <w:rsid w:val="00444961"/>
    <w:rsid w:val="00445AEF"/>
    <w:rsid w:val="00454BAB"/>
    <w:rsid w:val="004570E2"/>
    <w:rsid w:val="004572CB"/>
    <w:rsid w:val="0046277F"/>
    <w:rsid w:val="00466F6F"/>
    <w:rsid w:val="00471FF9"/>
    <w:rsid w:val="00473141"/>
    <w:rsid w:val="0047406A"/>
    <w:rsid w:val="00476685"/>
    <w:rsid w:val="00481258"/>
    <w:rsid w:val="004903BB"/>
    <w:rsid w:val="00490CDA"/>
    <w:rsid w:val="00494BBA"/>
    <w:rsid w:val="00495E24"/>
    <w:rsid w:val="004977DC"/>
    <w:rsid w:val="004A2FB2"/>
    <w:rsid w:val="004A7B05"/>
    <w:rsid w:val="004A7CFB"/>
    <w:rsid w:val="004B11B3"/>
    <w:rsid w:val="004B11FB"/>
    <w:rsid w:val="004B23AD"/>
    <w:rsid w:val="004B3C5E"/>
    <w:rsid w:val="004B6238"/>
    <w:rsid w:val="004C03E5"/>
    <w:rsid w:val="004C073D"/>
    <w:rsid w:val="004C5FAE"/>
    <w:rsid w:val="004C5FFC"/>
    <w:rsid w:val="004C7D7E"/>
    <w:rsid w:val="004D5642"/>
    <w:rsid w:val="004D76E9"/>
    <w:rsid w:val="004E7364"/>
    <w:rsid w:val="00501006"/>
    <w:rsid w:val="005035C4"/>
    <w:rsid w:val="00504853"/>
    <w:rsid w:val="0051297B"/>
    <w:rsid w:val="005173F8"/>
    <w:rsid w:val="00524957"/>
    <w:rsid w:val="005267BB"/>
    <w:rsid w:val="005363FC"/>
    <w:rsid w:val="00541462"/>
    <w:rsid w:val="005421E9"/>
    <w:rsid w:val="005457B0"/>
    <w:rsid w:val="00546BDD"/>
    <w:rsid w:val="00550149"/>
    <w:rsid w:val="005525B6"/>
    <w:rsid w:val="00556A35"/>
    <w:rsid w:val="00560A73"/>
    <w:rsid w:val="005613BA"/>
    <w:rsid w:val="005619C8"/>
    <w:rsid w:val="005675E6"/>
    <w:rsid w:val="0057264F"/>
    <w:rsid w:val="00583D36"/>
    <w:rsid w:val="00595C09"/>
    <w:rsid w:val="0059718C"/>
    <w:rsid w:val="005A004A"/>
    <w:rsid w:val="005A7A84"/>
    <w:rsid w:val="005B2F61"/>
    <w:rsid w:val="005B5C49"/>
    <w:rsid w:val="005C0115"/>
    <w:rsid w:val="005C29CD"/>
    <w:rsid w:val="005C7316"/>
    <w:rsid w:val="005D270D"/>
    <w:rsid w:val="005E02EE"/>
    <w:rsid w:val="005E19C6"/>
    <w:rsid w:val="0060042B"/>
    <w:rsid w:val="00601735"/>
    <w:rsid w:val="0060545F"/>
    <w:rsid w:val="006069DD"/>
    <w:rsid w:val="00606FA1"/>
    <w:rsid w:val="006133C1"/>
    <w:rsid w:val="006146AA"/>
    <w:rsid w:val="006148B8"/>
    <w:rsid w:val="00617F38"/>
    <w:rsid w:val="006248BB"/>
    <w:rsid w:val="00630C86"/>
    <w:rsid w:val="006313CB"/>
    <w:rsid w:val="006347F2"/>
    <w:rsid w:val="0064039B"/>
    <w:rsid w:val="006404BB"/>
    <w:rsid w:val="00641526"/>
    <w:rsid w:val="006460E6"/>
    <w:rsid w:val="00647D49"/>
    <w:rsid w:val="00657238"/>
    <w:rsid w:val="006627AB"/>
    <w:rsid w:val="0066363E"/>
    <w:rsid w:val="00665014"/>
    <w:rsid w:val="00666626"/>
    <w:rsid w:val="00666775"/>
    <w:rsid w:val="00667774"/>
    <w:rsid w:val="00667925"/>
    <w:rsid w:val="00676513"/>
    <w:rsid w:val="00677D68"/>
    <w:rsid w:val="00683769"/>
    <w:rsid w:val="00693321"/>
    <w:rsid w:val="00693FDD"/>
    <w:rsid w:val="006A043A"/>
    <w:rsid w:val="006A4DF4"/>
    <w:rsid w:val="006A63D8"/>
    <w:rsid w:val="006A70F1"/>
    <w:rsid w:val="006A7AF3"/>
    <w:rsid w:val="006B447E"/>
    <w:rsid w:val="006B5964"/>
    <w:rsid w:val="006D7E19"/>
    <w:rsid w:val="006E07DE"/>
    <w:rsid w:val="006E335B"/>
    <w:rsid w:val="006E34BC"/>
    <w:rsid w:val="006E4F61"/>
    <w:rsid w:val="006E7F9F"/>
    <w:rsid w:val="006F0D99"/>
    <w:rsid w:val="006F213F"/>
    <w:rsid w:val="006F3C11"/>
    <w:rsid w:val="006F6FA9"/>
    <w:rsid w:val="00704B4B"/>
    <w:rsid w:val="00710C55"/>
    <w:rsid w:val="007156D5"/>
    <w:rsid w:val="00720951"/>
    <w:rsid w:val="0072097B"/>
    <w:rsid w:val="007322CF"/>
    <w:rsid w:val="00732E88"/>
    <w:rsid w:val="00733CEF"/>
    <w:rsid w:val="00734489"/>
    <w:rsid w:val="007366C5"/>
    <w:rsid w:val="00742890"/>
    <w:rsid w:val="00744A3B"/>
    <w:rsid w:val="00744A97"/>
    <w:rsid w:val="00753924"/>
    <w:rsid w:val="00756272"/>
    <w:rsid w:val="0076746A"/>
    <w:rsid w:val="007701FE"/>
    <w:rsid w:val="0077552A"/>
    <w:rsid w:val="00782823"/>
    <w:rsid w:val="00784CB9"/>
    <w:rsid w:val="00791C7E"/>
    <w:rsid w:val="00794B8A"/>
    <w:rsid w:val="007971F0"/>
    <w:rsid w:val="007A027A"/>
    <w:rsid w:val="007A1177"/>
    <w:rsid w:val="007A1E62"/>
    <w:rsid w:val="007A3540"/>
    <w:rsid w:val="007A5E27"/>
    <w:rsid w:val="007A6596"/>
    <w:rsid w:val="007B2E9A"/>
    <w:rsid w:val="007C53D9"/>
    <w:rsid w:val="007C625F"/>
    <w:rsid w:val="007D3FD7"/>
    <w:rsid w:val="007D5F73"/>
    <w:rsid w:val="007E105F"/>
    <w:rsid w:val="007E3434"/>
    <w:rsid w:val="007E5149"/>
    <w:rsid w:val="007E7FB3"/>
    <w:rsid w:val="007F3248"/>
    <w:rsid w:val="007F3A23"/>
    <w:rsid w:val="007F4186"/>
    <w:rsid w:val="00800E89"/>
    <w:rsid w:val="00806EB8"/>
    <w:rsid w:val="00807829"/>
    <w:rsid w:val="0081068C"/>
    <w:rsid w:val="0081165D"/>
    <w:rsid w:val="0081168F"/>
    <w:rsid w:val="00817B01"/>
    <w:rsid w:val="008225E8"/>
    <w:rsid w:val="008232DE"/>
    <w:rsid w:val="00827A36"/>
    <w:rsid w:val="00841192"/>
    <w:rsid w:val="00842993"/>
    <w:rsid w:val="008430E8"/>
    <w:rsid w:val="00851383"/>
    <w:rsid w:val="008525D2"/>
    <w:rsid w:val="0085477C"/>
    <w:rsid w:val="00855100"/>
    <w:rsid w:val="00861958"/>
    <w:rsid w:val="00862A2D"/>
    <w:rsid w:val="00870D6C"/>
    <w:rsid w:val="00875E81"/>
    <w:rsid w:val="0088192E"/>
    <w:rsid w:val="008848BE"/>
    <w:rsid w:val="0089026A"/>
    <w:rsid w:val="00891A32"/>
    <w:rsid w:val="00891B5B"/>
    <w:rsid w:val="008969A4"/>
    <w:rsid w:val="008A0757"/>
    <w:rsid w:val="008A1DB0"/>
    <w:rsid w:val="008A336D"/>
    <w:rsid w:val="008A352A"/>
    <w:rsid w:val="008A4271"/>
    <w:rsid w:val="008A653D"/>
    <w:rsid w:val="008B7FEB"/>
    <w:rsid w:val="008C48BB"/>
    <w:rsid w:val="008D1EFB"/>
    <w:rsid w:val="008E513B"/>
    <w:rsid w:val="008E7C4D"/>
    <w:rsid w:val="008F56B2"/>
    <w:rsid w:val="00901FB7"/>
    <w:rsid w:val="009027AB"/>
    <w:rsid w:val="00903188"/>
    <w:rsid w:val="009103E7"/>
    <w:rsid w:val="00915ABB"/>
    <w:rsid w:val="0092431F"/>
    <w:rsid w:val="00931E6A"/>
    <w:rsid w:val="0093454D"/>
    <w:rsid w:val="0094278A"/>
    <w:rsid w:val="009538F2"/>
    <w:rsid w:val="00960232"/>
    <w:rsid w:val="00963842"/>
    <w:rsid w:val="0096540C"/>
    <w:rsid w:val="009834F3"/>
    <w:rsid w:val="009841F9"/>
    <w:rsid w:val="00990529"/>
    <w:rsid w:val="009906BC"/>
    <w:rsid w:val="00992357"/>
    <w:rsid w:val="00995B6F"/>
    <w:rsid w:val="0099757B"/>
    <w:rsid w:val="009A1B61"/>
    <w:rsid w:val="009A3A2E"/>
    <w:rsid w:val="009A45E2"/>
    <w:rsid w:val="009A6767"/>
    <w:rsid w:val="009B431C"/>
    <w:rsid w:val="009B62EB"/>
    <w:rsid w:val="009B7C99"/>
    <w:rsid w:val="009C001E"/>
    <w:rsid w:val="009C396C"/>
    <w:rsid w:val="009C453B"/>
    <w:rsid w:val="009C47FE"/>
    <w:rsid w:val="009C7CBC"/>
    <w:rsid w:val="009D0616"/>
    <w:rsid w:val="009D4A3C"/>
    <w:rsid w:val="009E3B92"/>
    <w:rsid w:val="009F2561"/>
    <w:rsid w:val="009F4934"/>
    <w:rsid w:val="009F60D7"/>
    <w:rsid w:val="009F675D"/>
    <w:rsid w:val="009F6E8A"/>
    <w:rsid w:val="00A02468"/>
    <w:rsid w:val="00A03352"/>
    <w:rsid w:val="00A06C20"/>
    <w:rsid w:val="00A13283"/>
    <w:rsid w:val="00A15613"/>
    <w:rsid w:val="00A1571C"/>
    <w:rsid w:val="00A2588E"/>
    <w:rsid w:val="00A27224"/>
    <w:rsid w:val="00A30F25"/>
    <w:rsid w:val="00A33AEE"/>
    <w:rsid w:val="00A367F9"/>
    <w:rsid w:val="00A37095"/>
    <w:rsid w:val="00A42E9A"/>
    <w:rsid w:val="00A44E13"/>
    <w:rsid w:val="00A51A3F"/>
    <w:rsid w:val="00A51EC1"/>
    <w:rsid w:val="00A52C33"/>
    <w:rsid w:val="00A608A5"/>
    <w:rsid w:val="00A6599D"/>
    <w:rsid w:val="00A65D8C"/>
    <w:rsid w:val="00A71C52"/>
    <w:rsid w:val="00A72C00"/>
    <w:rsid w:val="00A733F8"/>
    <w:rsid w:val="00A73695"/>
    <w:rsid w:val="00A74F65"/>
    <w:rsid w:val="00A8471D"/>
    <w:rsid w:val="00A850D8"/>
    <w:rsid w:val="00A902FB"/>
    <w:rsid w:val="00A92E40"/>
    <w:rsid w:val="00A93770"/>
    <w:rsid w:val="00A96F34"/>
    <w:rsid w:val="00AA0179"/>
    <w:rsid w:val="00AA27AF"/>
    <w:rsid w:val="00AA36D1"/>
    <w:rsid w:val="00AB378C"/>
    <w:rsid w:val="00AB449B"/>
    <w:rsid w:val="00AB5283"/>
    <w:rsid w:val="00AB541E"/>
    <w:rsid w:val="00AB56E3"/>
    <w:rsid w:val="00AB6D4E"/>
    <w:rsid w:val="00AB7DDE"/>
    <w:rsid w:val="00AC0AE0"/>
    <w:rsid w:val="00AC14BB"/>
    <w:rsid w:val="00AC2B39"/>
    <w:rsid w:val="00AC3D13"/>
    <w:rsid w:val="00AC4CDD"/>
    <w:rsid w:val="00AC7ABD"/>
    <w:rsid w:val="00AD0A0B"/>
    <w:rsid w:val="00AD67A6"/>
    <w:rsid w:val="00AE1C72"/>
    <w:rsid w:val="00AE5957"/>
    <w:rsid w:val="00AE6D3E"/>
    <w:rsid w:val="00AF1648"/>
    <w:rsid w:val="00AF3F39"/>
    <w:rsid w:val="00AF55D3"/>
    <w:rsid w:val="00AF592F"/>
    <w:rsid w:val="00AF7631"/>
    <w:rsid w:val="00B02CC7"/>
    <w:rsid w:val="00B03267"/>
    <w:rsid w:val="00B1556D"/>
    <w:rsid w:val="00B227FF"/>
    <w:rsid w:val="00B22E42"/>
    <w:rsid w:val="00B31845"/>
    <w:rsid w:val="00B31A1E"/>
    <w:rsid w:val="00B33AB7"/>
    <w:rsid w:val="00B37489"/>
    <w:rsid w:val="00B40F59"/>
    <w:rsid w:val="00B4566F"/>
    <w:rsid w:val="00B45743"/>
    <w:rsid w:val="00B46A2B"/>
    <w:rsid w:val="00B509AE"/>
    <w:rsid w:val="00B55431"/>
    <w:rsid w:val="00B5747F"/>
    <w:rsid w:val="00B574CE"/>
    <w:rsid w:val="00B63754"/>
    <w:rsid w:val="00B65468"/>
    <w:rsid w:val="00B65D94"/>
    <w:rsid w:val="00B65E5F"/>
    <w:rsid w:val="00B65F1E"/>
    <w:rsid w:val="00B7015C"/>
    <w:rsid w:val="00B70A1B"/>
    <w:rsid w:val="00B72500"/>
    <w:rsid w:val="00B72FA9"/>
    <w:rsid w:val="00B751F7"/>
    <w:rsid w:val="00B82EA1"/>
    <w:rsid w:val="00B90027"/>
    <w:rsid w:val="00B90AFE"/>
    <w:rsid w:val="00B97301"/>
    <w:rsid w:val="00BA0570"/>
    <w:rsid w:val="00BA7E54"/>
    <w:rsid w:val="00BB3CD0"/>
    <w:rsid w:val="00BC4902"/>
    <w:rsid w:val="00BC5955"/>
    <w:rsid w:val="00BD0AD7"/>
    <w:rsid w:val="00BD13C8"/>
    <w:rsid w:val="00BD1B64"/>
    <w:rsid w:val="00BD317C"/>
    <w:rsid w:val="00BD6574"/>
    <w:rsid w:val="00BE5F95"/>
    <w:rsid w:val="00BF030D"/>
    <w:rsid w:val="00BF2EA9"/>
    <w:rsid w:val="00BF3E57"/>
    <w:rsid w:val="00BF46F1"/>
    <w:rsid w:val="00C024CF"/>
    <w:rsid w:val="00C044C2"/>
    <w:rsid w:val="00C05A3A"/>
    <w:rsid w:val="00C13CF8"/>
    <w:rsid w:val="00C13F0E"/>
    <w:rsid w:val="00C16342"/>
    <w:rsid w:val="00C16AF6"/>
    <w:rsid w:val="00C3123E"/>
    <w:rsid w:val="00C413FF"/>
    <w:rsid w:val="00C42213"/>
    <w:rsid w:val="00C45B64"/>
    <w:rsid w:val="00C5342B"/>
    <w:rsid w:val="00C60516"/>
    <w:rsid w:val="00C60834"/>
    <w:rsid w:val="00C622C7"/>
    <w:rsid w:val="00C64271"/>
    <w:rsid w:val="00C668E6"/>
    <w:rsid w:val="00C83C82"/>
    <w:rsid w:val="00C861A2"/>
    <w:rsid w:val="00C91990"/>
    <w:rsid w:val="00C929C1"/>
    <w:rsid w:val="00C94A53"/>
    <w:rsid w:val="00C94C66"/>
    <w:rsid w:val="00CA2EE0"/>
    <w:rsid w:val="00CA47AB"/>
    <w:rsid w:val="00CA6451"/>
    <w:rsid w:val="00CA7FDE"/>
    <w:rsid w:val="00CB1DCA"/>
    <w:rsid w:val="00CB653F"/>
    <w:rsid w:val="00CC23DA"/>
    <w:rsid w:val="00CC2A1C"/>
    <w:rsid w:val="00CC788F"/>
    <w:rsid w:val="00CD0DB3"/>
    <w:rsid w:val="00CD267A"/>
    <w:rsid w:val="00CD55D4"/>
    <w:rsid w:val="00CE1E1C"/>
    <w:rsid w:val="00CE4765"/>
    <w:rsid w:val="00CE7B28"/>
    <w:rsid w:val="00CF3DFE"/>
    <w:rsid w:val="00CF5E5D"/>
    <w:rsid w:val="00CF69AB"/>
    <w:rsid w:val="00CF7A28"/>
    <w:rsid w:val="00D00DF2"/>
    <w:rsid w:val="00D01044"/>
    <w:rsid w:val="00D03289"/>
    <w:rsid w:val="00D037B8"/>
    <w:rsid w:val="00D04538"/>
    <w:rsid w:val="00D07CF8"/>
    <w:rsid w:val="00D11B13"/>
    <w:rsid w:val="00D14B52"/>
    <w:rsid w:val="00D16B26"/>
    <w:rsid w:val="00D206D7"/>
    <w:rsid w:val="00D2277F"/>
    <w:rsid w:val="00D2652D"/>
    <w:rsid w:val="00D27F8D"/>
    <w:rsid w:val="00D41873"/>
    <w:rsid w:val="00D47D49"/>
    <w:rsid w:val="00D505AD"/>
    <w:rsid w:val="00D51458"/>
    <w:rsid w:val="00D532E9"/>
    <w:rsid w:val="00D53E73"/>
    <w:rsid w:val="00D55BE5"/>
    <w:rsid w:val="00D57D22"/>
    <w:rsid w:val="00D60F32"/>
    <w:rsid w:val="00D65CDF"/>
    <w:rsid w:val="00D77042"/>
    <w:rsid w:val="00D9281F"/>
    <w:rsid w:val="00D944FD"/>
    <w:rsid w:val="00D953AF"/>
    <w:rsid w:val="00D963B1"/>
    <w:rsid w:val="00DA06E0"/>
    <w:rsid w:val="00DA2825"/>
    <w:rsid w:val="00DA4349"/>
    <w:rsid w:val="00DB1761"/>
    <w:rsid w:val="00DB2499"/>
    <w:rsid w:val="00DB2C47"/>
    <w:rsid w:val="00DB5C79"/>
    <w:rsid w:val="00DB629A"/>
    <w:rsid w:val="00DB7272"/>
    <w:rsid w:val="00DC0034"/>
    <w:rsid w:val="00DC0679"/>
    <w:rsid w:val="00DC0787"/>
    <w:rsid w:val="00DC3C9C"/>
    <w:rsid w:val="00DC68CE"/>
    <w:rsid w:val="00DC6EEF"/>
    <w:rsid w:val="00DE00FC"/>
    <w:rsid w:val="00DE3FB3"/>
    <w:rsid w:val="00DE503D"/>
    <w:rsid w:val="00DE69A7"/>
    <w:rsid w:val="00DF11A6"/>
    <w:rsid w:val="00DF2F4C"/>
    <w:rsid w:val="00E04686"/>
    <w:rsid w:val="00E06C2A"/>
    <w:rsid w:val="00E22888"/>
    <w:rsid w:val="00E248B0"/>
    <w:rsid w:val="00E259BA"/>
    <w:rsid w:val="00E25C83"/>
    <w:rsid w:val="00E312EA"/>
    <w:rsid w:val="00E339DB"/>
    <w:rsid w:val="00E3621A"/>
    <w:rsid w:val="00E414A8"/>
    <w:rsid w:val="00E4289C"/>
    <w:rsid w:val="00E44935"/>
    <w:rsid w:val="00E4654B"/>
    <w:rsid w:val="00E5556D"/>
    <w:rsid w:val="00E6062A"/>
    <w:rsid w:val="00E65031"/>
    <w:rsid w:val="00E65586"/>
    <w:rsid w:val="00E66F90"/>
    <w:rsid w:val="00E7373C"/>
    <w:rsid w:val="00E74E94"/>
    <w:rsid w:val="00E800D9"/>
    <w:rsid w:val="00E82228"/>
    <w:rsid w:val="00E82F0A"/>
    <w:rsid w:val="00E83129"/>
    <w:rsid w:val="00E83B35"/>
    <w:rsid w:val="00E8486B"/>
    <w:rsid w:val="00E855B4"/>
    <w:rsid w:val="00E917A4"/>
    <w:rsid w:val="00E94254"/>
    <w:rsid w:val="00EA40FA"/>
    <w:rsid w:val="00EA6229"/>
    <w:rsid w:val="00EB0A0D"/>
    <w:rsid w:val="00EB6449"/>
    <w:rsid w:val="00EB7E3B"/>
    <w:rsid w:val="00EC1017"/>
    <w:rsid w:val="00EC18AD"/>
    <w:rsid w:val="00EC6C33"/>
    <w:rsid w:val="00ED21DB"/>
    <w:rsid w:val="00ED5C8A"/>
    <w:rsid w:val="00ED7851"/>
    <w:rsid w:val="00EE549A"/>
    <w:rsid w:val="00EE7AB7"/>
    <w:rsid w:val="00EF2D2E"/>
    <w:rsid w:val="00EF580B"/>
    <w:rsid w:val="00EF74DC"/>
    <w:rsid w:val="00F00F68"/>
    <w:rsid w:val="00F0264C"/>
    <w:rsid w:val="00F02E76"/>
    <w:rsid w:val="00F06ECF"/>
    <w:rsid w:val="00F12673"/>
    <w:rsid w:val="00F1326D"/>
    <w:rsid w:val="00F158D3"/>
    <w:rsid w:val="00F15F0C"/>
    <w:rsid w:val="00F221FE"/>
    <w:rsid w:val="00F274E2"/>
    <w:rsid w:val="00F27638"/>
    <w:rsid w:val="00F4146E"/>
    <w:rsid w:val="00F448CE"/>
    <w:rsid w:val="00F44BD3"/>
    <w:rsid w:val="00F45A80"/>
    <w:rsid w:val="00F52263"/>
    <w:rsid w:val="00F5762E"/>
    <w:rsid w:val="00F6780F"/>
    <w:rsid w:val="00F70166"/>
    <w:rsid w:val="00F71286"/>
    <w:rsid w:val="00F76F30"/>
    <w:rsid w:val="00F82B29"/>
    <w:rsid w:val="00F83476"/>
    <w:rsid w:val="00F861B5"/>
    <w:rsid w:val="00F90477"/>
    <w:rsid w:val="00F94661"/>
    <w:rsid w:val="00F94F9E"/>
    <w:rsid w:val="00F96A37"/>
    <w:rsid w:val="00F97397"/>
    <w:rsid w:val="00FA6611"/>
    <w:rsid w:val="00FA67BE"/>
    <w:rsid w:val="00FB2093"/>
    <w:rsid w:val="00FC03DE"/>
    <w:rsid w:val="00FC131B"/>
    <w:rsid w:val="00FC1734"/>
    <w:rsid w:val="00FC48E8"/>
    <w:rsid w:val="00FC6423"/>
    <w:rsid w:val="00FD1A2A"/>
    <w:rsid w:val="00FD2B12"/>
    <w:rsid w:val="00FD398D"/>
    <w:rsid w:val="00FD4EF0"/>
    <w:rsid w:val="00FE04CF"/>
    <w:rsid w:val="00FE7541"/>
    <w:rsid w:val="00FF0F18"/>
    <w:rsid w:val="00FF6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B20DA"/>
  <w15:chartTrackingRefBased/>
  <w15:docId w15:val="{8EE8DD67-45E0-4533-BF2C-713ACEBB6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4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6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6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64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64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64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64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64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64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4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64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64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64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64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64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64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64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6423"/>
    <w:rPr>
      <w:rFonts w:eastAsiaTheme="majorEastAsia" w:cstheme="majorBidi"/>
      <w:color w:val="272727" w:themeColor="text1" w:themeTint="D8"/>
    </w:rPr>
  </w:style>
  <w:style w:type="paragraph" w:styleId="Title">
    <w:name w:val="Title"/>
    <w:basedOn w:val="Normal"/>
    <w:next w:val="Normal"/>
    <w:link w:val="TitleChar"/>
    <w:uiPriority w:val="10"/>
    <w:qFormat/>
    <w:rsid w:val="00FC64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64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64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64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6423"/>
    <w:pPr>
      <w:spacing w:before="160"/>
      <w:jc w:val="center"/>
    </w:pPr>
    <w:rPr>
      <w:i/>
      <w:iCs/>
      <w:color w:val="404040" w:themeColor="text1" w:themeTint="BF"/>
    </w:rPr>
  </w:style>
  <w:style w:type="character" w:customStyle="1" w:styleId="QuoteChar">
    <w:name w:val="Quote Char"/>
    <w:basedOn w:val="DefaultParagraphFont"/>
    <w:link w:val="Quote"/>
    <w:uiPriority w:val="29"/>
    <w:rsid w:val="00FC6423"/>
    <w:rPr>
      <w:i/>
      <w:iCs/>
      <w:color w:val="404040" w:themeColor="text1" w:themeTint="BF"/>
    </w:rPr>
  </w:style>
  <w:style w:type="paragraph" w:styleId="ListParagraph">
    <w:name w:val="List Paragraph"/>
    <w:basedOn w:val="Normal"/>
    <w:uiPriority w:val="34"/>
    <w:qFormat/>
    <w:rsid w:val="00FC6423"/>
    <w:pPr>
      <w:ind w:left="720"/>
      <w:contextualSpacing/>
    </w:pPr>
  </w:style>
  <w:style w:type="character" w:styleId="IntenseEmphasis">
    <w:name w:val="Intense Emphasis"/>
    <w:basedOn w:val="DefaultParagraphFont"/>
    <w:uiPriority w:val="21"/>
    <w:qFormat/>
    <w:rsid w:val="00FC6423"/>
    <w:rPr>
      <w:i/>
      <w:iCs/>
      <w:color w:val="0F4761" w:themeColor="accent1" w:themeShade="BF"/>
    </w:rPr>
  </w:style>
  <w:style w:type="paragraph" w:styleId="IntenseQuote">
    <w:name w:val="Intense Quote"/>
    <w:basedOn w:val="Normal"/>
    <w:next w:val="Normal"/>
    <w:link w:val="IntenseQuoteChar"/>
    <w:uiPriority w:val="30"/>
    <w:qFormat/>
    <w:rsid w:val="00FC64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6423"/>
    <w:rPr>
      <w:i/>
      <w:iCs/>
      <w:color w:val="0F4761" w:themeColor="accent1" w:themeShade="BF"/>
    </w:rPr>
  </w:style>
  <w:style w:type="character" w:styleId="IntenseReference">
    <w:name w:val="Intense Reference"/>
    <w:basedOn w:val="DefaultParagraphFont"/>
    <w:uiPriority w:val="32"/>
    <w:qFormat/>
    <w:rsid w:val="00FC6423"/>
    <w:rPr>
      <w:b/>
      <w:bCs/>
      <w:smallCaps/>
      <w:color w:val="0F4761" w:themeColor="accent1" w:themeShade="BF"/>
      <w:spacing w:val="5"/>
    </w:rPr>
  </w:style>
  <w:style w:type="character" w:styleId="CommentReference">
    <w:name w:val="annotation reference"/>
    <w:basedOn w:val="DefaultParagraphFont"/>
    <w:uiPriority w:val="99"/>
    <w:semiHidden/>
    <w:unhideWhenUsed/>
    <w:rsid w:val="00FC6423"/>
    <w:rPr>
      <w:sz w:val="16"/>
      <w:szCs w:val="16"/>
    </w:rPr>
  </w:style>
  <w:style w:type="paragraph" w:styleId="CommentText">
    <w:name w:val="annotation text"/>
    <w:basedOn w:val="Normal"/>
    <w:link w:val="CommentTextChar"/>
    <w:uiPriority w:val="99"/>
    <w:unhideWhenUsed/>
    <w:rsid w:val="00FC6423"/>
    <w:pPr>
      <w:spacing w:after="0"/>
    </w:pPr>
    <w:rPr>
      <w:rFonts w:ascii="Arial" w:hAnsi="Arial"/>
      <w:kern w:val="0"/>
      <w:sz w:val="20"/>
      <w:szCs w:val="20"/>
      <w14:ligatures w14:val="none"/>
    </w:rPr>
  </w:style>
  <w:style w:type="character" w:customStyle="1" w:styleId="CommentTextChar">
    <w:name w:val="Comment Text Char"/>
    <w:basedOn w:val="DefaultParagraphFont"/>
    <w:link w:val="CommentText"/>
    <w:uiPriority w:val="99"/>
    <w:rsid w:val="00FC6423"/>
    <w:rPr>
      <w:rFonts w:ascii="Arial" w:hAnsi="Arial"/>
      <w:kern w:val="0"/>
      <w:sz w:val="20"/>
      <w:szCs w:val="20"/>
      <w14:ligatures w14:val="none"/>
    </w:rPr>
  </w:style>
  <w:style w:type="paragraph" w:customStyle="1" w:styleId="Nornal">
    <w:name w:val="Nornal"/>
    <w:basedOn w:val="Normal"/>
    <w:link w:val="NornalChar"/>
    <w:qFormat/>
    <w:rsid w:val="00FC6423"/>
    <w:pPr>
      <w:spacing w:line="264" w:lineRule="auto"/>
    </w:pPr>
    <w:rPr>
      <w:rFonts w:ascii="Arial" w:hAnsi="Arial" w:cs="Arial"/>
      <w:kern w:val="0"/>
      <w14:ligatures w14:val="none"/>
    </w:rPr>
  </w:style>
  <w:style w:type="character" w:customStyle="1" w:styleId="NornalChar">
    <w:name w:val="Nornal Char"/>
    <w:basedOn w:val="DefaultParagraphFont"/>
    <w:link w:val="Nornal"/>
    <w:rsid w:val="00FC6423"/>
    <w:rPr>
      <w:rFonts w:ascii="Arial" w:hAnsi="Arial" w:cs="Arial"/>
      <w:kern w:val="0"/>
      <w14:ligatures w14:val="none"/>
    </w:rPr>
  </w:style>
  <w:style w:type="paragraph" w:styleId="FootnoteText">
    <w:name w:val="footnote text"/>
    <w:basedOn w:val="Normal"/>
    <w:link w:val="FootnoteTextChar"/>
    <w:uiPriority w:val="99"/>
    <w:semiHidden/>
    <w:unhideWhenUsed/>
    <w:rsid w:val="001E52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52A8"/>
    <w:rPr>
      <w:sz w:val="20"/>
      <w:szCs w:val="20"/>
    </w:rPr>
  </w:style>
  <w:style w:type="character" w:styleId="FootnoteReference">
    <w:name w:val="footnote reference"/>
    <w:basedOn w:val="DefaultParagraphFont"/>
    <w:uiPriority w:val="99"/>
    <w:semiHidden/>
    <w:unhideWhenUsed/>
    <w:rsid w:val="001E52A8"/>
    <w:rPr>
      <w:vertAlign w:val="superscript"/>
    </w:rPr>
  </w:style>
  <w:style w:type="paragraph" w:styleId="Bibliography">
    <w:name w:val="Bibliography"/>
    <w:basedOn w:val="Normal"/>
    <w:next w:val="Normal"/>
    <w:uiPriority w:val="37"/>
    <w:unhideWhenUsed/>
    <w:rsid w:val="001E74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97686">
      <w:bodyDiv w:val="1"/>
      <w:marLeft w:val="0"/>
      <w:marRight w:val="0"/>
      <w:marTop w:val="0"/>
      <w:marBottom w:val="0"/>
      <w:divBdr>
        <w:top w:val="none" w:sz="0" w:space="0" w:color="auto"/>
        <w:left w:val="none" w:sz="0" w:space="0" w:color="auto"/>
        <w:bottom w:val="none" w:sz="0" w:space="0" w:color="auto"/>
        <w:right w:val="none" w:sz="0" w:space="0" w:color="auto"/>
      </w:divBdr>
    </w:div>
    <w:div w:id="20597007">
      <w:bodyDiv w:val="1"/>
      <w:marLeft w:val="0"/>
      <w:marRight w:val="0"/>
      <w:marTop w:val="0"/>
      <w:marBottom w:val="0"/>
      <w:divBdr>
        <w:top w:val="none" w:sz="0" w:space="0" w:color="auto"/>
        <w:left w:val="none" w:sz="0" w:space="0" w:color="auto"/>
        <w:bottom w:val="none" w:sz="0" w:space="0" w:color="auto"/>
        <w:right w:val="none" w:sz="0" w:space="0" w:color="auto"/>
      </w:divBdr>
    </w:div>
    <w:div w:id="36512187">
      <w:bodyDiv w:val="1"/>
      <w:marLeft w:val="0"/>
      <w:marRight w:val="0"/>
      <w:marTop w:val="0"/>
      <w:marBottom w:val="0"/>
      <w:divBdr>
        <w:top w:val="none" w:sz="0" w:space="0" w:color="auto"/>
        <w:left w:val="none" w:sz="0" w:space="0" w:color="auto"/>
        <w:bottom w:val="none" w:sz="0" w:space="0" w:color="auto"/>
        <w:right w:val="none" w:sz="0" w:space="0" w:color="auto"/>
      </w:divBdr>
    </w:div>
    <w:div w:id="49037723">
      <w:bodyDiv w:val="1"/>
      <w:marLeft w:val="0"/>
      <w:marRight w:val="0"/>
      <w:marTop w:val="0"/>
      <w:marBottom w:val="0"/>
      <w:divBdr>
        <w:top w:val="none" w:sz="0" w:space="0" w:color="auto"/>
        <w:left w:val="none" w:sz="0" w:space="0" w:color="auto"/>
        <w:bottom w:val="none" w:sz="0" w:space="0" w:color="auto"/>
        <w:right w:val="none" w:sz="0" w:space="0" w:color="auto"/>
      </w:divBdr>
    </w:div>
    <w:div w:id="79910572">
      <w:bodyDiv w:val="1"/>
      <w:marLeft w:val="0"/>
      <w:marRight w:val="0"/>
      <w:marTop w:val="0"/>
      <w:marBottom w:val="0"/>
      <w:divBdr>
        <w:top w:val="none" w:sz="0" w:space="0" w:color="auto"/>
        <w:left w:val="none" w:sz="0" w:space="0" w:color="auto"/>
        <w:bottom w:val="none" w:sz="0" w:space="0" w:color="auto"/>
        <w:right w:val="none" w:sz="0" w:space="0" w:color="auto"/>
      </w:divBdr>
    </w:div>
    <w:div w:id="151263264">
      <w:bodyDiv w:val="1"/>
      <w:marLeft w:val="0"/>
      <w:marRight w:val="0"/>
      <w:marTop w:val="0"/>
      <w:marBottom w:val="0"/>
      <w:divBdr>
        <w:top w:val="none" w:sz="0" w:space="0" w:color="auto"/>
        <w:left w:val="none" w:sz="0" w:space="0" w:color="auto"/>
        <w:bottom w:val="none" w:sz="0" w:space="0" w:color="auto"/>
        <w:right w:val="none" w:sz="0" w:space="0" w:color="auto"/>
      </w:divBdr>
    </w:div>
    <w:div w:id="180971169">
      <w:bodyDiv w:val="1"/>
      <w:marLeft w:val="0"/>
      <w:marRight w:val="0"/>
      <w:marTop w:val="0"/>
      <w:marBottom w:val="0"/>
      <w:divBdr>
        <w:top w:val="none" w:sz="0" w:space="0" w:color="auto"/>
        <w:left w:val="none" w:sz="0" w:space="0" w:color="auto"/>
        <w:bottom w:val="none" w:sz="0" w:space="0" w:color="auto"/>
        <w:right w:val="none" w:sz="0" w:space="0" w:color="auto"/>
      </w:divBdr>
    </w:div>
    <w:div w:id="231544491">
      <w:bodyDiv w:val="1"/>
      <w:marLeft w:val="0"/>
      <w:marRight w:val="0"/>
      <w:marTop w:val="0"/>
      <w:marBottom w:val="0"/>
      <w:divBdr>
        <w:top w:val="none" w:sz="0" w:space="0" w:color="auto"/>
        <w:left w:val="none" w:sz="0" w:space="0" w:color="auto"/>
        <w:bottom w:val="none" w:sz="0" w:space="0" w:color="auto"/>
        <w:right w:val="none" w:sz="0" w:space="0" w:color="auto"/>
      </w:divBdr>
    </w:div>
    <w:div w:id="235240829">
      <w:bodyDiv w:val="1"/>
      <w:marLeft w:val="0"/>
      <w:marRight w:val="0"/>
      <w:marTop w:val="0"/>
      <w:marBottom w:val="0"/>
      <w:divBdr>
        <w:top w:val="none" w:sz="0" w:space="0" w:color="auto"/>
        <w:left w:val="none" w:sz="0" w:space="0" w:color="auto"/>
        <w:bottom w:val="none" w:sz="0" w:space="0" w:color="auto"/>
        <w:right w:val="none" w:sz="0" w:space="0" w:color="auto"/>
      </w:divBdr>
    </w:div>
    <w:div w:id="259071609">
      <w:bodyDiv w:val="1"/>
      <w:marLeft w:val="0"/>
      <w:marRight w:val="0"/>
      <w:marTop w:val="0"/>
      <w:marBottom w:val="0"/>
      <w:divBdr>
        <w:top w:val="none" w:sz="0" w:space="0" w:color="auto"/>
        <w:left w:val="none" w:sz="0" w:space="0" w:color="auto"/>
        <w:bottom w:val="none" w:sz="0" w:space="0" w:color="auto"/>
        <w:right w:val="none" w:sz="0" w:space="0" w:color="auto"/>
      </w:divBdr>
    </w:div>
    <w:div w:id="259726036">
      <w:bodyDiv w:val="1"/>
      <w:marLeft w:val="0"/>
      <w:marRight w:val="0"/>
      <w:marTop w:val="0"/>
      <w:marBottom w:val="0"/>
      <w:divBdr>
        <w:top w:val="none" w:sz="0" w:space="0" w:color="auto"/>
        <w:left w:val="none" w:sz="0" w:space="0" w:color="auto"/>
        <w:bottom w:val="none" w:sz="0" w:space="0" w:color="auto"/>
        <w:right w:val="none" w:sz="0" w:space="0" w:color="auto"/>
      </w:divBdr>
    </w:div>
    <w:div w:id="265232955">
      <w:bodyDiv w:val="1"/>
      <w:marLeft w:val="0"/>
      <w:marRight w:val="0"/>
      <w:marTop w:val="0"/>
      <w:marBottom w:val="0"/>
      <w:divBdr>
        <w:top w:val="none" w:sz="0" w:space="0" w:color="auto"/>
        <w:left w:val="none" w:sz="0" w:space="0" w:color="auto"/>
        <w:bottom w:val="none" w:sz="0" w:space="0" w:color="auto"/>
        <w:right w:val="none" w:sz="0" w:space="0" w:color="auto"/>
      </w:divBdr>
    </w:div>
    <w:div w:id="269169248">
      <w:bodyDiv w:val="1"/>
      <w:marLeft w:val="0"/>
      <w:marRight w:val="0"/>
      <w:marTop w:val="0"/>
      <w:marBottom w:val="0"/>
      <w:divBdr>
        <w:top w:val="none" w:sz="0" w:space="0" w:color="auto"/>
        <w:left w:val="none" w:sz="0" w:space="0" w:color="auto"/>
        <w:bottom w:val="none" w:sz="0" w:space="0" w:color="auto"/>
        <w:right w:val="none" w:sz="0" w:space="0" w:color="auto"/>
      </w:divBdr>
    </w:div>
    <w:div w:id="298609584">
      <w:bodyDiv w:val="1"/>
      <w:marLeft w:val="0"/>
      <w:marRight w:val="0"/>
      <w:marTop w:val="0"/>
      <w:marBottom w:val="0"/>
      <w:divBdr>
        <w:top w:val="none" w:sz="0" w:space="0" w:color="auto"/>
        <w:left w:val="none" w:sz="0" w:space="0" w:color="auto"/>
        <w:bottom w:val="none" w:sz="0" w:space="0" w:color="auto"/>
        <w:right w:val="none" w:sz="0" w:space="0" w:color="auto"/>
      </w:divBdr>
    </w:div>
    <w:div w:id="367920135">
      <w:bodyDiv w:val="1"/>
      <w:marLeft w:val="0"/>
      <w:marRight w:val="0"/>
      <w:marTop w:val="0"/>
      <w:marBottom w:val="0"/>
      <w:divBdr>
        <w:top w:val="none" w:sz="0" w:space="0" w:color="auto"/>
        <w:left w:val="none" w:sz="0" w:space="0" w:color="auto"/>
        <w:bottom w:val="none" w:sz="0" w:space="0" w:color="auto"/>
        <w:right w:val="none" w:sz="0" w:space="0" w:color="auto"/>
      </w:divBdr>
    </w:div>
    <w:div w:id="382169710">
      <w:bodyDiv w:val="1"/>
      <w:marLeft w:val="0"/>
      <w:marRight w:val="0"/>
      <w:marTop w:val="0"/>
      <w:marBottom w:val="0"/>
      <w:divBdr>
        <w:top w:val="none" w:sz="0" w:space="0" w:color="auto"/>
        <w:left w:val="none" w:sz="0" w:space="0" w:color="auto"/>
        <w:bottom w:val="none" w:sz="0" w:space="0" w:color="auto"/>
        <w:right w:val="none" w:sz="0" w:space="0" w:color="auto"/>
      </w:divBdr>
    </w:div>
    <w:div w:id="445858167">
      <w:bodyDiv w:val="1"/>
      <w:marLeft w:val="0"/>
      <w:marRight w:val="0"/>
      <w:marTop w:val="0"/>
      <w:marBottom w:val="0"/>
      <w:divBdr>
        <w:top w:val="none" w:sz="0" w:space="0" w:color="auto"/>
        <w:left w:val="none" w:sz="0" w:space="0" w:color="auto"/>
        <w:bottom w:val="none" w:sz="0" w:space="0" w:color="auto"/>
        <w:right w:val="none" w:sz="0" w:space="0" w:color="auto"/>
      </w:divBdr>
    </w:div>
    <w:div w:id="530581259">
      <w:bodyDiv w:val="1"/>
      <w:marLeft w:val="0"/>
      <w:marRight w:val="0"/>
      <w:marTop w:val="0"/>
      <w:marBottom w:val="0"/>
      <w:divBdr>
        <w:top w:val="none" w:sz="0" w:space="0" w:color="auto"/>
        <w:left w:val="none" w:sz="0" w:space="0" w:color="auto"/>
        <w:bottom w:val="none" w:sz="0" w:space="0" w:color="auto"/>
        <w:right w:val="none" w:sz="0" w:space="0" w:color="auto"/>
      </w:divBdr>
    </w:div>
    <w:div w:id="563564568">
      <w:bodyDiv w:val="1"/>
      <w:marLeft w:val="0"/>
      <w:marRight w:val="0"/>
      <w:marTop w:val="0"/>
      <w:marBottom w:val="0"/>
      <w:divBdr>
        <w:top w:val="none" w:sz="0" w:space="0" w:color="auto"/>
        <w:left w:val="none" w:sz="0" w:space="0" w:color="auto"/>
        <w:bottom w:val="none" w:sz="0" w:space="0" w:color="auto"/>
        <w:right w:val="none" w:sz="0" w:space="0" w:color="auto"/>
      </w:divBdr>
    </w:div>
    <w:div w:id="607157739">
      <w:bodyDiv w:val="1"/>
      <w:marLeft w:val="0"/>
      <w:marRight w:val="0"/>
      <w:marTop w:val="0"/>
      <w:marBottom w:val="0"/>
      <w:divBdr>
        <w:top w:val="none" w:sz="0" w:space="0" w:color="auto"/>
        <w:left w:val="none" w:sz="0" w:space="0" w:color="auto"/>
        <w:bottom w:val="none" w:sz="0" w:space="0" w:color="auto"/>
        <w:right w:val="none" w:sz="0" w:space="0" w:color="auto"/>
      </w:divBdr>
    </w:div>
    <w:div w:id="643464437">
      <w:bodyDiv w:val="1"/>
      <w:marLeft w:val="0"/>
      <w:marRight w:val="0"/>
      <w:marTop w:val="0"/>
      <w:marBottom w:val="0"/>
      <w:divBdr>
        <w:top w:val="none" w:sz="0" w:space="0" w:color="auto"/>
        <w:left w:val="none" w:sz="0" w:space="0" w:color="auto"/>
        <w:bottom w:val="none" w:sz="0" w:space="0" w:color="auto"/>
        <w:right w:val="none" w:sz="0" w:space="0" w:color="auto"/>
      </w:divBdr>
    </w:div>
    <w:div w:id="692536347">
      <w:bodyDiv w:val="1"/>
      <w:marLeft w:val="0"/>
      <w:marRight w:val="0"/>
      <w:marTop w:val="0"/>
      <w:marBottom w:val="0"/>
      <w:divBdr>
        <w:top w:val="none" w:sz="0" w:space="0" w:color="auto"/>
        <w:left w:val="none" w:sz="0" w:space="0" w:color="auto"/>
        <w:bottom w:val="none" w:sz="0" w:space="0" w:color="auto"/>
        <w:right w:val="none" w:sz="0" w:space="0" w:color="auto"/>
      </w:divBdr>
    </w:div>
    <w:div w:id="720789983">
      <w:bodyDiv w:val="1"/>
      <w:marLeft w:val="0"/>
      <w:marRight w:val="0"/>
      <w:marTop w:val="0"/>
      <w:marBottom w:val="0"/>
      <w:divBdr>
        <w:top w:val="none" w:sz="0" w:space="0" w:color="auto"/>
        <w:left w:val="none" w:sz="0" w:space="0" w:color="auto"/>
        <w:bottom w:val="none" w:sz="0" w:space="0" w:color="auto"/>
        <w:right w:val="none" w:sz="0" w:space="0" w:color="auto"/>
      </w:divBdr>
    </w:div>
    <w:div w:id="743067337">
      <w:bodyDiv w:val="1"/>
      <w:marLeft w:val="0"/>
      <w:marRight w:val="0"/>
      <w:marTop w:val="0"/>
      <w:marBottom w:val="0"/>
      <w:divBdr>
        <w:top w:val="none" w:sz="0" w:space="0" w:color="auto"/>
        <w:left w:val="none" w:sz="0" w:space="0" w:color="auto"/>
        <w:bottom w:val="none" w:sz="0" w:space="0" w:color="auto"/>
        <w:right w:val="none" w:sz="0" w:space="0" w:color="auto"/>
      </w:divBdr>
    </w:div>
    <w:div w:id="849099375">
      <w:bodyDiv w:val="1"/>
      <w:marLeft w:val="0"/>
      <w:marRight w:val="0"/>
      <w:marTop w:val="0"/>
      <w:marBottom w:val="0"/>
      <w:divBdr>
        <w:top w:val="none" w:sz="0" w:space="0" w:color="auto"/>
        <w:left w:val="none" w:sz="0" w:space="0" w:color="auto"/>
        <w:bottom w:val="none" w:sz="0" w:space="0" w:color="auto"/>
        <w:right w:val="none" w:sz="0" w:space="0" w:color="auto"/>
      </w:divBdr>
    </w:div>
    <w:div w:id="851183138">
      <w:bodyDiv w:val="1"/>
      <w:marLeft w:val="0"/>
      <w:marRight w:val="0"/>
      <w:marTop w:val="0"/>
      <w:marBottom w:val="0"/>
      <w:divBdr>
        <w:top w:val="none" w:sz="0" w:space="0" w:color="auto"/>
        <w:left w:val="none" w:sz="0" w:space="0" w:color="auto"/>
        <w:bottom w:val="none" w:sz="0" w:space="0" w:color="auto"/>
        <w:right w:val="none" w:sz="0" w:space="0" w:color="auto"/>
      </w:divBdr>
    </w:div>
    <w:div w:id="860751666">
      <w:bodyDiv w:val="1"/>
      <w:marLeft w:val="0"/>
      <w:marRight w:val="0"/>
      <w:marTop w:val="0"/>
      <w:marBottom w:val="0"/>
      <w:divBdr>
        <w:top w:val="none" w:sz="0" w:space="0" w:color="auto"/>
        <w:left w:val="none" w:sz="0" w:space="0" w:color="auto"/>
        <w:bottom w:val="none" w:sz="0" w:space="0" w:color="auto"/>
        <w:right w:val="none" w:sz="0" w:space="0" w:color="auto"/>
      </w:divBdr>
    </w:div>
    <w:div w:id="890962142">
      <w:bodyDiv w:val="1"/>
      <w:marLeft w:val="0"/>
      <w:marRight w:val="0"/>
      <w:marTop w:val="0"/>
      <w:marBottom w:val="0"/>
      <w:divBdr>
        <w:top w:val="none" w:sz="0" w:space="0" w:color="auto"/>
        <w:left w:val="none" w:sz="0" w:space="0" w:color="auto"/>
        <w:bottom w:val="none" w:sz="0" w:space="0" w:color="auto"/>
        <w:right w:val="none" w:sz="0" w:space="0" w:color="auto"/>
      </w:divBdr>
    </w:div>
    <w:div w:id="899481686">
      <w:bodyDiv w:val="1"/>
      <w:marLeft w:val="0"/>
      <w:marRight w:val="0"/>
      <w:marTop w:val="0"/>
      <w:marBottom w:val="0"/>
      <w:divBdr>
        <w:top w:val="none" w:sz="0" w:space="0" w:color="auto"/>
        <w:left w:val="none" w:sz="0" w:space="0" w:color="auto"/>
        <w:bottom w:val="none" w:sz="0" w:space="0" w:color="auto"/>
        <w:right w:val="none" w:sz="0" w:space="0" w:color="auto"/>
      </w:divBdr>
    </w:div>
    <w:div w:id="909509262">
      <w:bodyDiv w:val="1"/>
      <w:marLeft w:val="0"/>
      <w:marRight w:val="0"/>
      <w:marTop w:val="0"/>
      <w:marBottom w:val="0"/>
      <w:divBdr>
        <w:top w:val="none" w:sz="0" w:space="0" w:color="auto"/>
        <w:left w:val="none" w:sz="0" w:space="0" w:color="auto"/>
        <w:bottom w:val="none" w:sz="0" w:space="0" w:color="auto"/>
        <w:right w:val="none" w:sz="0" w:space="0" w:color="auto"/>
      </w:divBdr>
    </w:div>
    <w:div w:id="945036385">
      <w:bodyDiv w:val="1"/>
      <w:marLeft w:val="0"/>
      <w:marRight w:val="0"/>
      <w:marTop w:val="0"/>
      <w:marBottom w:val="0"/>
      <w:divBdr>
        <w:top w:val="none" w:sz="0" w:space="0" w:color="auto"/>
        <w:left w:val="none" w:sz="0" w:space="0" w:color="auto"/>
        <w:bottom w:val="none" w:sz="0" w:space="0" w:color="auto"/>
        <w:right w:val="none" w:sz="0" w:space="0" w:color="auto"/>
      </w:divBdr>
    </w:div>
    <w:div w:id="957875058">
      <w:bodyDiv w:val="1"/>
      <w:marLeft w:val="0"/>
      <w:marRight w:val="0"/>
      <w:marTop w:val="0"/>
      <w:marBottom w:val="0"/>
      <w:divBdr>
        <w:top w:val="none" w:sz="0" w:space="0" w:color="auto"/>
        <w:left w:val="none" w:sz="0" w:space="0" w:color="auto"/>
        <w:bottom w:val="none" w:sz="0" w:space="0" w:color="auto"/>
        <w:right w:val="none" w:sz="0" w:space="0" w:color="auto"/>
      </w:divBdr>
      <w:divsChild>
        <w:div w:id="381944628">
          <w:marLeft w:val="547"/>
          <w:marRight w:val="0"/>
          <w:marTop w:val="115"/>
          <w:marBottom w:val="0"/>
          <w:divBdr>
            <w:top w:val="none" w:sz="0" w:space="0" w:color="auto"/>
            <w:left w:val="none" w:sz="0" w:space="0" w:color="auto"/>
            <w:bottom w:val="none" w:sz="0" w:space="0" w:color="auto"/>
            <w:right w:val="none" w:sz="0" w:space="0" w:color="auto"/>
          </w:divBdr>
        </w:div>
        <w:div w:id="1114443407">
          <w:marLeft w:val="547"/>
          <w:marRight w:val="0"/>
          <w:marTop w:val="115"/>
          <w:marBottom w:val="0"/>
          <w:divBdr>
            <w:top w:val="none" w:sz="0" w:space="0" w:color="auto"/>
            <w:left w:val="none" w:sz="0" w:space="0" w:color="auto"/>
            <w:bottom w:val="none" w:sz="0" w:space="0" w:color="auto"/>
            <w:right w:val="none" w:sz="0" w:space="0" w:color="auto"/>
          </w:divBdr>
        </w:div>
        <w:div w:id="863589805">
          <w:marLeft w:val="547"/>
          <w:marRight w:val="0"/>
          <w:marTop w:val="115"/>
          <w:marBottom w:val="0"/>
          <w:divBdr>
            <w:top w:val="none" w:sz="0" w:space="0" w:color="auto"/>
            <w:left w:val="none" w:sz="0" w:space="0" w:color="auto"/>
            <w:bottom w:val="none" w:sz="0" w:space="0" w:color="auto"/>
            <w:right w:val="none" w:sz="0" w:space="0" w:color="auto"/>
          </w:divBdr>
        </w:div>
        <w:div w:id="167332777">
          <w:marLeft w:val="547"/>
          <w:marRight w:val="0"/>
          <w:marTop w:val="115"/>
          <w:marBottom w:val="0"/>
          <w:divBdr>
            <w:top w:val="none" w:sz="0" w:space="0" w:color="auto"/>
            <w:left w:val="none" w:sz="0" w:space="0" w:color="auto"/>
            <w:bottom w:val="none" w:sz="0" w:space="0" w:color="auto"/>
            <w:right w:val="none" w:sz="0" w:space="0" w:color="auto"/>
          </w:divBdr>
        </w:div>
      </w:divsChild>
    </w:div>
    <w:div w:id="997881462">
      <w:bodyDiv w:val="1"/>
      <w:marLeft w:val="0"/>
      <w:marRight w:val="0"/>
      <w:marTop w:val="0"/>
      <w:marBottom w:val="0"/>
      <w:divBdr>
        <w:top w:val="none" w:sz="0" w:space="0" w:color="auto"/>
        <w:left w:val="none" w:sz="0" w:space="0" w:color="auto"/>
        <w:bottom w:val="none" w:sz="0" w:space="0" w:color="auto"/>
        <w:right w:val="none" w:sz="0" w:space="0" w:color="auto"/>
      </w:divBdr>
    </w:div>
    <w:div w:id="1004014968">
      <w:bodyDiv w:val="1"/>
      <w:marLeft w:val="0"/>
      <w:marRight w:val="0"/>
      <w:marTop w:val="0"/>
      <w:marBottom w:val="0"/>
      <w:divBdr>
        <w:top w:val="none" w:sz="0" w:space="0" w:color="auto"/>
        <w:left w:val="none" w:sz="0" w:space="0" w:color="auto"/>
        <w:bottom w:val="none" w:sz="0" w:space="0" w:color="auto"/>
        <w:right w:val="none" w:sz="0" w:space="0" w:color="auto"/>
      </w:divBdr>
    </w:div>
    <w:div w:id="1009141517">
      <w:bodyDiv w:val="1"/>
      <w:marLeft w:val="0"/>
      <w:marRight w:val="0"/>
      <w:marTop w:val="0"/>
      <w:marBottom w:val="0"/>
      <w:divBdr>
        <w:top w:val="none" w:sz="0" w:space="0" w:color="auto"/>
        <w:left w:val="none" w:sz="0" w:space="0" w:color="auto"/>
        <w:bottom w:val="none" w:sz="0" w:space="0" w:color="auto"/>
        <w:right w:val="none" w:sz="0" w:space="0" w:color="auto"/>
      </w:divBdr>
    </w:div>
    <w:div w:id="1014917459">
      <w:bodyDiv w:val="1"/>
      <w:marLeft w:val="0"/>
      <w:marRight w:val="0"/>
      <w:marTop w:val="0"/>
      <w:marBottom w:val="0"/>
      <w:divBdr>
        <w:top w:val="none" w:sz="0" w:space="0" w:color="auto"/>
        <w:left w:val="none" w:sz="0" w:space="0" w:color="auto"/>
        <w:bottom w:val="none" w:sz="0" w:space="0" w:color="auto"/>
        <w:right w:val="none" w:sz="0" w:space="0" w:color="auto"/>
      </w:divBdr>
    </w:div>
    <w:div w:id="1055472995">
      <w:bodyDiv w:val="1"/>
      <w:marLeft w:val="0"/>
      <w:marRight w:val="0"/>
      <w:marTop w:val="0"/>
      <w:marBottom w:val="0"/>
      <w:divBdr>
        <w:top w:val="none" w:sz="0" w:space="0" w:color="auto"/>
        <w:left w:val="none" w:sz="0" w:space="0" w:color="auto"/>
        <w:bottom w:val="none" w:sz="0" w:space="0" w:color="auto"/>
        <w:right w:val="none" w:sz="0" w:space="0" w:color="auto"/>
      </w:divBdr>
    </w:div>
    <w:div w:id="1090272137">
      <w:bodyDiv w:val="1"/>
      <w:marLeft w:val="0"/>
      <w:marRight w:val="0"/>
      <w:marTop w:val="0"/>
      <w:marBottom w:val="0"/>
      <w:divBdr>
        <w:top w:val="none" w:sz="0" w:space="0" w:color="auto"/>
        <w:left w:val="none" w:sz="0" w:space="0" w:color="auto"/>
        <w:bottom w:val="none" w:sz="0" w:space="0" w:color="auto"/>
        <w:right w:val="none" w:sz="0" w:space="0" w:color="auto"/>
      </w:divBdr>
    </w:div>
    <w:div w:id="1102454022">
      <w:bodyDiv w:val="1"/>
      <w:marLeft w:val="0"/>
      <w:marRight w:val="0"/>
      <w:marTop w:val="0"/>
      <w:marBottom w:val="0"/>
      <w:divBdr>
        <w:top w:val="none" w:sz="0" w:space="0" w:color="auto"/>
        <w:left w:val="none" w:sz="0" w:space="0" w:color="auto"/>
        <w:bottom w:val="none" w:sz="0" w:space="0" w:color="auto"/>
        <w:right w:val="none" w:sz="0" w:space="0" w:color="auto"/>
      </w:divBdr>
    </w:div>
    <w:div w:id="1106387725">
      <w:bodyDiv w:val="1"/>
      <w:marLeft w:val="0"/>
      <w:marRight w:val="0"/>
      <w:marTop w:val="0"/>
      <w:marBottom w:val="0"/>
      <w:divBdr>
        <w:top w:val="none" w:sz="0" w:space="0" w:color="auto"/>
        <w:left w:val="none" w:sz="0" w:space="0" w:color="auto"/>
        <w:bottom w:val="none" w:sz="0" w:space="0" w:color="auto"/>
        <w:right w:val="none" w:sz="0" w:space="0" w:color="auto"/>
      </w:divBdr>
    </w:div>
    <w:div w:id="1140612177">
      <w:bodyDiv w:val="1"/>
      <w:marLeft w:val="0"/>
      <w:marRight w:val="0"/>
      <w:marTop w:val="0"/>
      <w:marBottom w:val="0"/>
      <w:divBdr>
        <w:top w:val="none" w:sz="0" w:space="0" w:color="auto"/>
        <w:left w:val="none" w:sz="0" w:space="0" w:color="auto"/>
        <w:bottom w:val="none" w:sz="0" w:space="0" w:color="auto"/>
        <w:right w:val="none" w:sz="0" w:space="0" w:color="auto"/>
      </w:divBdr>
    </w:div>
    <w:div w:id="1151753046">
      <w:bodyDiv w:val="1"/>
      <w:marLeft w:val="0"/>
      <w:marRight w:val="0"/>
      <w:marTop w:val="0"/>
      <w:marBottom w:val="0"/>
      <w:divBdr>
        <w:top w:val="none" w:sz="0" w:space="0" w:color="auto"/>
        <w:left w:val="none" w:sz="0" w:space="0" w:color="auto"/>
        <w:bottom w:val="none" w:sz="0" w:space="0" w:color="auto"/>
        <w:right w:val="none" w:sz="0" w:space="0" w:color="auto"/>
      </w:divBdr>
    </w:div>
    <w:div w:id="1188830198">
      <w:bodyDiv w:val="1"/>
      <w:marLeft w:val="0"/>
      <w:marRight w:val="0"/>
      <w:marTop w:val="0"/>
      <w:marBottom w:val="0"/>
      <w:divBdr>
        <w:top w:val="none" w:sz="0" w:space="0" w:color="auto"/>
        <w:left w:val="none" w:sz="0" w:space="0" w:color="auto"/>
        <w:bottom w:val="none" w:sz="0" w:space="0" w:color="auto"/>
        <w:right w:val="none" w:sz="0" w:space="0" w:color="auto"/>
      </w:divBdr>
    </w:div>
    <w:div w:id="1199775204">
      <w:bodyDiv w:val="1"/>
      <w:marLeft w:val="0"/>
      <w:marRight w:val="0"/>
      <w:marTop w:val="0"/>
      <w:marBottom w:val="0"/>
      <w:divBdr>
        <w:top w:val="none" w:sz="0" w:space="0" w:color="auto"/>
        <w:left w:val="none" w:sz="0" w:space="0" w:color="auto"/>
        <w:bottom w:val="none" w:sz="0" w:space="0" w:color="auto"/>
        <w:right w:val="none" w:sz="0" w:space="0" w:color="auto"/>
      </w:divBdr>
    </w:div>
    <w:div w:id="1219433826">
      <w:bodyDiv w:val="1"/>
      <w:marLeft w:val="0"/>
      <w:marRight w:val="0"/>
      <w:marTop w:val="0"/>
      <w:marBottom w:val="0"/>
      <w:divBdr>
        <w:top w:val="none" w:sz="0" w:space="0" w:color="auto"/>
        <w:left w:val="none" w:sz="0" w:space="0" w:color="auto"/>
        <w:bottom w:val="none" w:sz="0" w:space="0" w:color="auto"/>
        <w:right w:val="none" w:sz="0" w:space="0" w:color="auto"/>
      </w:divBdr>
    </w:div>
    <w:div w:id="1219631291">
      <w:bodyDiv w:val="1"/>
      <w:marLeft w:val="0"/>
      <w:marRight w:val="0"/>
      <w:marTop w:val="0"/>
      <w:marBottom w:val="0"/>
      <w:divBdr>
        <w:top w:val="none" w:sz="0" w:space="0" w:color="auto"/>
        <w:left w:val="none" w:sz="0" w:space="0" w:color="auto"/>
        <w:bottom w:val="none" w:sz="0" w:space="0" w:color="auto"/>
        <w:right w:val="none" w:sz="0" w:space="0" w:color="auto"/>
      </w:divBdr>
    </w:div>
    <w:div w:id="1221289109">
      <w:bodyDiv w:val="1"/>
      <w:marLeft w:val="0"/>
      <w:marRight w:val="0"/>
      <w:marTop w:val="0"/>
      <w:marBottom w:val="0"/>
      <w:divBdr>
        <w:top w:val="none" w:sz="0" w:space="0" w:color="auto"/>
        <w:left w:val="none" w:sz="0" w:space="0" w:color="auto"/>
        <w:bottom w:val="none" w:sz="0" w:space="0" w:color="auto"/>
        <w:right w:val="none" w:sz="0" w:space="0" w:color="auto"/>
      </w:divBdr>
    </w:div>
    <w:div w:id="1229421392">
      <w:bodyDiv w:val="1"/>
      <w:marLeft w:val="0"/>
      <w:marRight w:val="0"/>
      <w:marTop w:val="0"/>
      <w:marBottom w:val="0"/>
      <w:divBdr>
        <w:top w:val="none" w:sz="0" w:space="0" w:color="auto"/>
        <w:left w:val="none" w:sz="0" w:space="0" w:color="auto"/>
        <w:bottom w:val="none" w:sz="0" w:space="0" w:color="auto"/>
        <w:right w:val="none" w:sz="0" w:space="0" w:color="auto"/>
      </w:divBdr>
    </w:div>
    <w:div w:id="1249853204">
      <w:bodyDiv w:val="1"/>
      <w:marLeft w:val="0"/>
      <w:marRight w:val="0"/>
      <w:marTop w:val="0"/>
      <w:marBottom w:val="0"/>
      <w:divBdr>
        <w:top w:val="none" w:sz="0" w:space="0" w:color="auto"/>
        <w:left w:val="none" w:sz="0" w:space="0" w:color="auto"/>
        <w:bottom w:val="none" w:sz="0" w:space="0" w:color="auto"/>
        <w:right w:val="none" w:sz="0" w:space="0" w:color="auto"/>
      </w:divBdr>
    </w:div>
    <w:div w:id="1264999203">
      <w:bodyDiv w:val="1"/>
      <w:marLeft w:val="0"/>
      <w:marRight w:val="0"/>
      <w:marTop w:val="0"/>
      <w:marBottom w:val="0"/>
      <w:divBdr>
        <w:top w:val="none" w:sz="0" w:space="0" w:color="auto"/>
        <w:left w:val="none" w:sz="0" w:space="0" w:color="auto"/>
        <w:bottom w:val="none" w:sz="0" w:space="0" w:color="auto"/>
        <w:right w:val="none" w:sz="0" w:space="0" w:color="auto"/>
      </w:divBdr>
    </w:div>
    <w:div w:id="1271859589">
      <w:bodyDiv w:val="1"/>
      <w:marLeft w:val="0"/>
      <w:marRight w:val="0"/>
      <w:marTop w:val="0"/>
      <w:marBottom w:val="0"/>
      <w:divBdr>
        <w:top w:val="none" w:sz="0" w:space="0" w:color="auto"/>
        <w:left w:val="none" w:sz="0" w:space="0" w:color="auto"/>
        <w:bottom w:val="none" w:sz="0" w:space="0" w:color="auto"/>
        <w:right w:val="none" w:sz="0" w:space="0" w:color="auto"/>
      </w:divBdr>
    </w:div>
    <w:div w:id="1272739402">
      <w:bodyDiv w:val="1"/>
      <w:marLeft w:val="0"/>
      <w:marRight w:val="0"/>
      <w:marTop w:val="0"/>
      <w:marBottom w:val="0"/>
      <w:divBdr>
        <w:top w:val="none" w:sz="0" w:space="0" w:color="auto"/>
        <w:left w:val="none" w:sz="0" w:space="0" w:color="auto"/>
        <w:bottom w:val="none" w:sz="0" w:space="0" w:color="auto"/>
        <w:right w:val="none" w:sz="0" w:space="0" w:color="auto"/>
      </w:divBdr>
    </w:div>
    <w:div w:id="1309742939">
      <w:bodyDiv w:val="1"/>
      <w:marLeft w:val="0"/>
      <w:marRight w:val="0"/>
      <w:marTop w:val="0"/>
      <w:marBottom w:val="0"/>
      <w:divBdr>
        <w:top w:val="none" w:sz="0" w:space="0" w:color="auto"/>
        <w:left w:val="none" w:sz="0" w:space="0" w:color="auto"/>
        <w:bottom w:val="none" w:sz="0" w:space="0" w:color="auto"/>
        <w:right w:val="none" w:sz="0" w:space="0" w:color="auto"/>
      </w:divBdr>
    </w:div>
    <w:div w:id="1323435026">
      <w:bodyDiv w:val="1"/>
      <w:marLeft w:val="0"/>
      <w:marRight w:val="0"/>
      <w:marTop w:val="0"/>
      <w:marBottom w:val="0"/>
      <w:divBdr>
        <w:top w:val="none" w:sz="0" w:space="0" w:color="auto"/>
        <w:left w:val="none" w:sz="0" w:space="0" w:color="auto"/>
        <w:bottom w:val="none" w:sz="0" w:space="0" w:color="auto"/>
        <w:right w:val="none" w:sz="0" w:space="0" w:color="auto"/>
      </w:divBdr>
    </w:div>
    <w:div w:id="1323897955">
      <w:bodyDiv w:val="1"/>
      <w:marLeft w:val="0"/>
      <w:marRight w:val="0"/>
      <w:marTop w:val="0"/>
      <w:marBottom w:val="0"/>
      <w:divBdr>
        <w:top w:val="none" w:sz="0" w:space="0" w:color="auto"/>
        <w:left w:val="none" w:sz="0" w:space="0" w:color="auto"/>
        <w:bottom w:val="none" w:sz="0" w:space="0" w:color="auto"/>
        <w:right w:val="none" w:sz="0" w:space="0" w:color="auto"/>
      </w:divBdr>
    </w:div>
    <w:div w:id="1344162743">
      <w:bodyDiv w:val="1"/>
      <w:marLeft w:val="0"/>
      <w:marRight w:val="0"/>
      <w:marTop w:val="0"/>
      <w:marBottom w:val="0"/>
      <w:divBdr>
        <w:top w:val="none" w:sz="0" w:space="0" w:color="auto"/>
        <w:left w:val="none" w:sz="0" w:space="0" w:color="auto"/>
        <w:bottom w:val="none" w:sz="0" w:space="0" w:color="auto"/>
        <w:right w:val="none" w:sz="0" w:space="0" w:color="auto"/>
      </w:divBdr>
    </w:div>
    <w:div w:id="1359433875">
      <w:bodyDiv w:val="1"/>
      <w:marLeft w:val="0"/>
      <w:marRight w:val="0"/>
      <w:marTop w:val="0"/>
      <w:marBottom w:val="0"/>
      <w:divBdr>
        <w:top w:val="none" w:sz="0" w:space="0" w:color="auto"/>
        <w:left w:val="none" w:sz="0" w:space="0" w:color="auto"/>
        <w:bottom w:val="none" w:sz="0" w:space="0" w:color="auto"/>
        <w:right w:val="none" w:sz="0" w:space="0" w:color="auto"/>
      </w:divBdr>
    </w:div>
    <w:div w:id="1375349703">
      <w:bodyDiv w:val="1"/>
      <w:marLeft w:val="0"/>
      <w:marRight w:val="0"/>
      <w:marTop w:val="0"/>
      <w:marBottom w:val="0"/>
      <w:divBdr>
        <w:top w:val="none" w:sz="0" w:space="0" w:color="auto"/>
        <w:left w:val="none" w:sz="0" w:space="0" w:color="auto"/>
        <w:bottom w:val="none" w:sz="0" w:space="0" w:color="auto"/>
        <w:right w:val="none" w:sz="0" w:space="0" w:color="auto"/>
      </w:divBdr>
    </w:div>
    <w:div w:id="1376201905">
      <w:bodyDiv w:val="1"/>
      <w:marLeft w:val="0"/>
      <w:marRight w:val="0"/>
      <w:marTop w:val="0"/>
      <w:marBottom w:val="0"/>
      <w:divBdr>
        <w:top w:val="none" w:sz="0" w:space="0" w:color="auto"/>
        <w:left w:val="none" w:sz="0" w:space="0" w:color="auto"/>
        <w:bottom w:val="none" w:sz="0" w:space="0" w:color="auto"/>
        <w:right w:val="none" w:sz="0" w:space="0" w:color="auto"/>
      </w:divBdr>
      <w:divsChild>
        <w:div w:id="2005820137">
          <w:marLeft w:val="547"/>
          <w:marRight w:val="0"/>
          <w:marTop w:val="154"/>
          <w:marBottom w:val="0"/>
          <w:divBdr>
            <w:top w:val="none" w:sz="0" w:space="0" w:color="auto"/>
            <w:left w:val="none" w:sz="0" w:space="0" w:color="auto"/>
            <w:bottom w:val="none" w:sz="0" w:space="0" w:color="auto"/>
            <w:right w:val="none" w:sz="0" w:space="0" w:color="auto"/>
          </w:divBdr>
        </w:div>
        <w:div w:id="1918900238">
          <w:marLeft w:val="1166"/>
          <w:marRight w:val="0"/>
          <w:marTop w:val="134"/>
          <w:marBottom w:val="0"/>
          <w:divBdr>
            <w:top w:val="none" w:sz="0" w:space="0" w:color="auto"/>
            <w:left w:val="none" w:sz="0" w:space="0" w:color="auto"/>
            <w:bottom w:val="none" w:sz="0" w:space="0" w:color="auto"/>
            <w:right w:val="none" w:sz="0" w:space="0" w:color="auto"/>
          </w:divBdr>
        </w:div>
        <w:div w:id="592935405">
          <w:marLeft w:val="1166"/>
          <w:marRight w:val="0"/>
          <w:marTop w:val="134"/>
          <w:marBottom w:val="0"/>
          <w:divBdr>
            <w:top w:val="none" w:sz="0" w:space="0" w:color="auto"/>
            <w:left w:val="none" w:sz="0" w:space="0" w:color="auto"/>
            <w:bottom w:val="none" w:sz="0" w:space="0" w:color="auto"/>
            <w:right w:val="none" w:sz="0" w:space="0" w:color="auto"/>
          </w:divBdr>
        </w:div>
        <w:div w:id="126171780">
          <w:marLeft w:val="1166"/>
          <w:marRight w:val="0"/>
          <w:marTop w:val="134"/>
          <w:marBottom w:val="0"/>
          <w:divBdr>
            <w:top w:val="none" w:sz="0" w:space="0" w:color="auto"/>
            <w:left w:val="none" w:sz="0" w:space="0" w:color="auto"/>
            <w:bottom w:val="none" w:sz="0" w:space="0" w:color="auto"/>
            <w:right w:val="none" w:sz="0" w:space="0" w:color="auto"/>
          </w:divBdr>
        </w:div>
        <w:div w:id="1208029303">
          <w:marLeft w:val="1166"/>
          <w:marRight w:val="0"/>
          <w:marTop w:val="134"/>
          <w:marBottom w:val="0"/>
          <w:divBdr>
            <w:top w:val="none" w:sz="0" w:space="0" w:color="auto"/>
            <w:left w:val="none" w:sz="0" w:space="0" w:color="auto"/>
            <w:bottom w:val="none" w:sz="0" w:space="0" w:color="auto"/>
            <w:right w:val="none" w:sz="0" w:space="0" w:color="auto"/>
          </w:divBdr>
        </w:div>
        <w:div w:id="500580067">
          <w:marLeft w:val="1166"/>
          <w:marRight w:val="0"/>
          <w:marTop w:val="134"/>
          <w:marBottom w:val="0"/>
          <w:divBdr>
            <w:top w:val="none" w:sz="0" w:space="0" w:color="auto"/>
            <w:left w:val="none" w:sz="0" w:space="0" w:color="auto"/>
            <w:bottom w:val="none" w:sz="0" w:space="0" w:color="auto"/>
            <w:right w:val="none" w:sz="0" w:space="0" w:color="auto"/>
          </w:divBdr>
        </w:div>
        <w:div w:id="370811231">
          <w:marLeft w:val="1166"/>
          <w:marRight w:val="0"/>
          <w:marTop w:val="134"/>
          <w:marBottom w:val="0"/>
          <w:divBdr>
            <w:top w:val="none" w:sz="0" w:space="0" w:color="auto"/>
            <w:left w:val="none" w:sz="0" w:space="0" w:color="auto"/>
            <w:bottom w:val="none" w:sz="0" w:space="0" w:color="auto"/>
            <w:right w:val="none" w:sz="0" w:space="0" w:color="auto"/>
          </w:divBdr>
        </w:div>
      </w:divsChild>
    </w:div>
    <w:div w:id="1415862831">
      <w:bodyDiv w:val="1"/>
      <w:marLeft w:val="0"/>
      <w:marRight w:val="0"/>
      <w:marTop w:val="0"/>
      <w:marBottom w:val="0"/>
      <w:divBdr>
        <w:top w:val="none" w:sz="0" w:space="0" w:color="auto"/>
        <w:left w:val="none" w:sz="0" w:space="0" w:color="auto"/>
        <w:bottom w:val="none" w:sz="0" w:space="0" w:color="auto"/>
        <w:right w:val="none" w:sz="0" w:space="0" w:color="auto"/>
      </w:divBdr>
    </w:div>
    <w:div w:id="1422994350">
      <w:bodyDiv w:val="1"/>
      <w:marLeft w:val="0"/>
      <w:marRight w:val="0"/>
      <w:marTop w:val="0"/>
      <w:marBottom w:val="0"/>
      <w:divBdr>
        <w:top w:val="none" w:sz="0" w:space="0" w:color="auto"/>
        <w:left w:val="none" w:sz="0" w:space="0" w:color="auto"/>
        <w:bottom w:val="none" w:sz="0" w:space="0" w:color="auto"/>
        <w:right w:val="none" w:sz="0" w:space="0" w:color="auto"/>
      </w:divBdr>
    </w:div>
    <w:div w:id="1430002293">
      <w:bodyDiv w:val="1"/>
      <w:marLeft w:val="0"/>
      <w:marRight w:val="0"/>
      <w:marTop w:val="0"/>
      <w:marBottom w:val="0"/>
      <w:divBdr>
        <w:top w:val="none" w:sz="0" w:space="0" w:color="auto"/>
        <w:left w:val="none" w:sz="0" w:space="0" w:color="auto"/>
        <w:bottom w:val="none" w:sz="0" w:space="0" w:color="auto"/>
        <w:right w:val="none" w:sz="0" w:space="0" w:color="auto"/>
      </w:divBdr>
      <w:divsChild>
        <w:div w:id="1829902781">
          <w:marLeft w:val="547"/>
          <w:marRight w:val="0"/>
          <w:marTop w:val="154"/>
          <w:marBottom w:val="0"/>
          <w:divBdr>
            <w:top w:val="none" w:sz="0" w:space="0" w:color="auto"/>
            <w:left w:val="none" w:sz="0" w:space="0" w:color="auto"/>
            <w:bottom w:val="none" w:sz="0" w:space="0" w:color="auto"/>
            <w:right w:val="none" w:sz="0" w:space="0" w:color="auto"/>
          </w:divBdr>
        </w:div>
        <w:div w:id="380984624">
          <w:marLeft w:val="547"/>
          <w:marRight w:val="0"/>
          <w:marTop w:val="154"/>
          <w:marBottom w:val="0"/>
          <w:divBdr>
            <w:top w:val="none" w:sz="0" w:space="0" w:color="auto"/>
            <w:left w:val="none" w:sz="0" w:space="0" w:color="auto"/>
            <w:bottom w:val="none" w:sz="0" w:space="0" w:color="auto"/>
            <w:right w:val="none" w:sz="0" w:space="0" w:color="auto"/>
          </w:divBdr>
        </w:div>
        <w:div w:id="214852934">
          <w:marLeft w:val="547"/>
          <w:marRight w:val="0"/>
          <w:marTop w:val="154"/>
          <w:marBottom w:val="0"/>
          <w:divBdr>
            <w:top w:val="none" w:sz="0" w:space="0" w:color="auto"/>
            <w:left w:val="none" w:sz="0" w:space="0" w:color="auto"/>
            <w:bottom w:val="none" w:sz="0" w:space="0" w:color="auto"/>
            <w:right w:val="none" w:sz="0" w:space="0" w:color="auto"/>
          </w:divBdr>
        </w:div>
        <w:div w:id="408234047">
          <w:marLeft w:val="547"/>
          <w:marRight w:val="0"/>
          <w:marTop w:val="154"/>
          <w:marBottom w:val="0"/>
          <w:divBdr>
            <w:top w:val="none" w:sz="0" w:space="0" w:color="auto"/>
            <w:left w:val="none" w:sz="0" w:space="0" w:color="auto"/>
            <w:bottom w:val="none" w:sz="0" w:space="0" w:color="auto"/>
            <w:right w:val="none" w:sz="0" w:space="0" w:color="auto"/>
          </w:divBdr>
        </w:div>
        <w:div w:id="1102651426">
          <w:marLeft w:val="547"/>
          <w:marRight w:val="0"/>
          <w:marTop w:val="154"/>
          <w:marBottom w:val="0"/>
          <w:divBdr>
            <w:top w:val="none" w:sz="0" w:space="0" w:color="auto"/>
            <w:left w:val="none" w:sz="0" w:space="0" w:color="auto"/>
            <w:bottom w:val="none" w:sz="0" w:space="0" w:color="auto"/>
            <w:right w:val="none" w:sz="0" w:space="0" w:color="auto"/>
          </w:divBdr>
        </w:div>
        <w:div w:id="661011909">
          <w:marLeft w:val="547"/>
          <w:marRight w:val="0"/>
          <w:marTop w:val="154"/>
          <w:marBottom w:val="0"/>
          <w:divBdr>
            <w:top w:val="none" w:sz="0" w:space="0" w:color="auto"/>
            <w:left w:val="none" w:sz="0" w:space="0" w:color="auto"/>
            <w:bottom w:val="none" w:sz="0" w:space="0" w:color="auto"/>
            <w:right w:val="none" w:sz="0" w:space="0" w:color="auto"/>
          </w:divBdr>
        </w:div>
      </w:divsChild>
    </w:div>
    <w:div w:id="1436443480">
      <w:bodyDiv w:val="1"/>
      <w:marLeft w:val="0"/>
      <w:marRight w:val="0"/>
      <w:marTop w:val="0"/>
      <w:marBottom w:val="0"/>
      <w:divBdr>
        <w:top w:val="none" w:sz="0" w:space="0" w:color="auto"/>
        <w:left w:val="none" w:sz="0" w:space="0" w:color="auto"/>
        <w:bottom w:val="none" w:sz="0" w:space="0" w:color="auto"/>
        <w:right w:val="none" w:sz="0" w:space="0" w:color="auto"/>
      </w:divBdr>
    </w:div>
    <w:div w:id="1470593301">
      <w:bodyDiv w:val="1"/>
      <w:marLeft w:val="0"/>
      <w:marRight w:val="0"/>
      <w:marTop w:val="0"/>
      <w:marBottom w:val="0"/>
      <w:divBdr>
        <w:top w:val="none" w:sz="0" w:space="0" w:color="auto"/>
        <w:left w:val="none" w:sz="0" w:space="0" w:color="auto"/>
        <w:bottom w:val="none" w:sz="0" w:space="0" w:color="auto"/>
        <w:right w:val="none" w:sz="0" w:space="0" w:color="auto"/>
      </w:divBdr>
    </w:div>
    <w:div w:id="1509129980">
      <w:bodyDiv w:val="1"/>
      <w:marLeft w:val="0"/>
      <w:marRight w:val="0"/>
      <w:marTop w:val="0"/>
      <w:marBottom w:val="0"/>
      <w:divBdr>
        <w:top w:val="none" w:sz="0" w:space="0" w:color="auto"/>
        <w:left w:val="none" w:sz="0" w:space="0" w:color="auto"/>
        <w:bottom w:val="none" w:sz="0" w:space="0" w:color="auto"/>
        <w:right w:val="none" w:sz="0" w:space="0" w:color="auto"/>
      </w:divBdr>
    </w:div>
    <w:div w:id="1515413948">
      <w:bodyDiv w:val="1"/>
      <w:marLeft w:val="0"/>
      <w:marRight w:val="0"/>
      <w:marTop w:val="0"/>
      <w:marBottom w:val="0"/>
      <w:divBdr>
        <w:top w:val="none" w:sz="0" w:space="0" w:color="auto"/>
        <w:left w:val="none" w:sz="0" w:space="0" w:color="auto"/>
        <w:bottom w:val="none" w:sz="0" w:space="0" w:color="auto"/>
        <w:right w:val="none" w:sz="0" w:space="0" w:color="auto"/>
      </w:divBdr>
    </w:div>
    <w:div w:id="1518930820">
      <w:bodyDiv w:val="1"/>
      <w:marLeft w:val="0"/>
      <w:marRight w:val="0"/>
      <w:marTop w:val="0"/>
      <w:marBottom w:val="0"/>
      <w:divBdr>
        <w:top w:val="none" w:sz="0" w:space="0" w:color="auto"/>
        <w:left w:val="none" w:sz="0" w:space="0" w:color="auto"/>
        <w:bottom w:val="none" w:sz="0" w:space="0" w:color="auto"/>
        <w:right w:val="none" w:sz="0" w:space="0" w:color="auto"/>
      </w:divBdr>
    </w:div>
    <w:div w:id="1526483543">
      <w:bodyDiv w:val="1"/>
      <w:marLeft w:val="0"/>
      <w:marRight w:val="0"/>
      <w:marTop w:val="0"/>
      <w:marBottom w:val="0"/>
      <w:divBdr>
        <w:top w:val="none" w:sz="0" w:space="0" w:color="auto"/>
        <w:left w:val="none" w:sz="0" w:space="0" w:color="auto"/>
        <w:bottom w:val="none" w:sz="0" w:space="0" w:color="auto"/>
        <w:right w:val="none" w:sz="0" w:space="0" w:color="auto"/>
      </w:divBdr>
    </w:div>
    <w:div w:id="1533113309">
      <w:bodyDiv w:val="1"/>
      <w:marLeft w:val="0"/>
      <w:marRight w:val="0"/>
      <w:marTop w:val="0"/>
      <w:marBottom w:val="0"/>
      <w:divBdr>
        <w:top w:val="none" w:sz="0" w:space="0" w:color="auto"/>
        <w:left w:val="none" w:sz="0" w:space="0" w:color="auto"/>
        <w:bottom w:val="none" w:sz="0" w:space="0" w:color="auto"/>
        <w:right w:val="none" w:sz="0" w:space="0" w:color="auto"/>
      </w:divBdr>
    </w:div>
    <w:div w:id="1537541128">
      <w:bodyDiv w:val="1"/>
      <w:marLeft w:val="0"/>
      <w:marRight w:val="0"/>
      <w:marTop w:val="0"/>
      <w:marBottom w:val="0"/>
      <w:divBdr>
        <w:top w:val="none" w:sz="0" w:space="0" w:color="auto"/>
        <w:left w:val="none" w:sz="0" w:space="0" w:color="auto"/>
        <w:bottom w:val="none" w:sz="0" w:space="0" w:color="auto"/>
        <w:right w:val="none" w:sz="0" w:space="0" w:color="auto"/>
      </w:divBdr>
    </w:div>
    <w:div w:id="1540437232">
      <w:bodyDiv w:val="1"/>
      <w:marLeft w:val="0"/>
      <w:marRight w:val="0"/>
      <w:marTop w:val="0"/>
      <w:marBottom w:val="0"/>
      <w:divBdr>
        <w:top w:val="none" w:sz="0" w:space="0" w:color="auto"/>
        <w:left w:val="none" w:sz="0" w:space="0" w:color="auto"/>
        <w:bottom w:val="none" w:sz="0" w:space="0" w:color="auto"/>
        <w:right w:val="none" w:sz="0" w:space="0" w:color="auto"/>
      </w:divBdr>
    </w:div>
    <w:div w:id="1576740430">
      <w:bodyDiv w:val="1"/>
      <w:marLeft w:val="0"/>
      <w:marRight w:val="0"/>
      <w:marTop w:val="0"/>
      <w:marBottom w:val="0"/>
      <w:divBdr>
        <w:top w:val="none" w:sz="0" w:space="0" w:color="auto"/>
        <w:left w:val="none" w:sz="0" w:space="0" w:color="auto"/>
        <w:bottom w:val="none" w:sz="0" w:space="0" w:color="auto"/>
        <w:right w:val="none" w:sz="0" w:space="0" w:color="auto"/>
      </w:divBdr>
    </w:div>
    <w:div w:id="1616868845">
      <w:bodyDiv w:val="1"/>
      <w:marLeft w:val="0"/>
      <w:marRight w:val="0"/>
      <w:marTop w:val="0"/>
      <w:marBottom w:val="0"/>
      <w:divBdr>
        <w:top w:val="none" w:sz="0" w:space="0" w:color="auto"/>
        <w:left w:val="none" w:sz="0" w:space="0" w:color="auto"/>
        <w:bottom w:val="none" w:sz="0" w:space="0" w:color="auto"/>
        <w:right w:val="none" w:sz="0" w:space="0" w:color="auto"/>
      </w:divBdr>
    </w:div>
    <w:div w:id="1618101784">
      <w:bodyDiv w:val="1"/>
      <w:marLeft w:val="0"/>
      <w:marRight w:val="0"/>
      <w:marTop w:val="0"/>
      <w:marBottom w:val="0"/>
      <w:divBdr>
        <w:top w:val="none" w:sz="0" w:space="0" w:color="auto"/>
        <w:left w:val="none" w:sz="0" w:space="0" w:color="auto"/>
        <w:bottom w:val="none" w:sz="0" w:space="0" w:color="auto"/>
        <w:right w:val="none" w:sz="0" w:space="0" w:color="auto"/>
      </w:divBdr>
    </w:div>
    <w:div w:id="1641033124">
      <w:bodyDiv w:val="1"/>
      <w:marLeft w:val="0"/>
      <w:marRight w:val="0"/>
      <w:marTop w:val="0"/>
      <w:marBottom w:val="0"/>
      <w:divBdr>
        <w:top w:val="none" w:sz="0" w:space="0" w:color="auto"/>
        <w:left w:val="none" w:sz="0" w:space="0" w:color="auto"/>
        <w:bottom w:val="none" w:sz="0" w:space="0" w:color="auto"/>
        <w:right w:val="none" w:sz="0" w:space="0" w:color="auto"/>
      </w:divBdr>
    </w:div>
    <w:div w:id="1710496320">
      <w:bodyDiv w:val="1"/>
      <w:marLeft w:val="0"/>
      <w:marRight w:val="0"/>
      <w:marTop w:val="0"/>
      <w:marBottom w:val="0"/>
      <w:divBdr>
        <w:top w:val="none" w:sz="0" w:space="0" w:color="auto"/>
        <w:left w:val="none" w:sz="0" w:space="0" w:color="auto"/>
        <w:bottom w:val="none" w:sz="0" w:space="0" w:color="auto"/>
        <w:right w:val="none" w:sz="0" w:space="0" w:color="auto"/>
      </w:divBdr>
    </w:div>
    <w:div w:id="1731032992">
      <w:bodyDiv w:val="1"/>
      <w:marLeft w:val="0"/>
      <w:marRight w:val="0"/>
      <w:marTop w:val="0"/>
      <w:marBottom w:val="0"/>
      <w:divBdr>
        <w:top w:val="none" w:sz="0" w:space="0" w:color="auto"/>
        <w:left w:val="none" w:sz="0" w:space="0" w:color="auto"/>
        <w:bottom w:val="none" w:sz="0" w:space="0" w:color="auto"/>
        <w:right w:val="none" w:sz="0" w:space="0" w:color="auto"/>
      </w:divBdr>
      <w:divsChild>
        <w:div w:id="1555509729">
          <w:marLeft w:val="547"/>
          <w:marRight w:val="0"/>
          <w:marTop w:val="134"/>
          <w:marBottom w:val="0"/>
          <w:divBdr>
            <w:top w:val="none" w:sz="0" w:space="0" w:color="auto"/>
            <w:left w:val="none" w:sz="0" w:space="0" w:color="auto"/>
            <w:bottom w:val="none" w:sz="0" w:space="0" w:color="auto"/>
            <w:right w:val="none" w:sz="0" w:space="0" w:color="auto"/>
          </w:divBdr>
        </w:div>
        <w:div w:id="1566532083">
          <w:marLeft w:val="547"/>
          <w:marRight w:val="0"/>
          <w:marTop w:val="134"/>
          <w:marBottom w:val="0"/>
          <w:divBdr>
            <w:top w:val="none" w:sz="0" w:space="0" w:color="auto"/>
            <w:left w:val="none" w:sz="0" w:space="0" w:color="auto"/>
            <w:bottom w:val="none" w:sz="0" w:space="0" w:color="auto"/>
            <w:right w:val="none" w:sz="0" w:space="0" w:color="auto"/>
          </w:divBdr>
        </w:div>
        <w:div w:id="1097990437">
          <w:marLeft w:val="547"/>
          <w:marRight w:val="0"/>
          <w:marTop w:val="134"/>
          <w:marBottom w:val="0"/>
          <w:divBdr>
            <w:top w:val="none" w:sz="0" w:space="0" w:color="auto"/>
            <w:left w:val="none" w:sz="0" w:space="0" w:color="auto"/>
            <w:bottom w:val="none" w:sz="0" w:space="0" w:color="auto"/>
            <w:right w:val="none" w:sz="0" w:space="0" w:color="auto"/>
          </w:divBdr>
        </w:div>
        <w:div w:id="1675525378">
          <w:marLeft w:val="547"/>
          <w:marRight w:val="0"/>
          <w:marTop w:val="134"/>
          <w:marBottom w:val="0"/>
          <w:divBdr>
            <w:top w:val="none" w:sz="0" w:space="0" w:color="auto"/>
            <w:left w:val="none" w:sz="0" w:space="0" w:color="auto"/>
            <w:bottom w:val="none" w:sz="0" w:space="0" w:color="auto"/>
            <w:right w:val="none" w:sz="0" w:space="0" w:color="auto"/>
          </w:divBdr>
        </w:div>
        <w:div w:id="424544278">
          <w:marLeft w:val="547"/>
          <w:marRight w:val="0"/>
          <w:marTop w:val="134"/>
          <w:marBottom w:val="0"/>
          <w:divBdr>
            <w:top w:val="none" w:sz="0" w:space="0" w:color="auto"/>
            <w:left w:val="none" w:sz="0" w:space="0" w:color="auto"/>
            <w:bottom w:val="none" w:sz="0" w:space="0" w:color="auto"/>
            <w:right w:val="none" w:sz="0" w:space="0" w:color="auto"/>
          </w:divBdr>
        </w:div>
        <w:div w:id="764887143">
          <w:marLeft w:val="547"/>
          <w:marRight w:val="0"/>
          <w:marTop w:val="134"/>
          <w:marBottom w:val="0"/>
          <w:divBdr>
            <w:top w:val="none" w:sz="0" w:space="0" w:color="auto"/>
            <w:left w:val="none" w:sz="0" w:space="0" w:color="auto"/>
            <w:bottom w:val="none" w:sz="0" w:space="0" w:color="auto"/>
            <w:right w:val="none" w:sz="0" w:space="0" w:color="auto"/>
          </w:divBdr>
        </w:div>
        <w:div w:id="1929271475">
          <w:marLeft w:val="547"/>
          <w:marRight w:val="0"/>
          <w:marTop w:val="134"/>
          <w:marBottom w:val="0"/>
          <w:divBdr>
            <w:top w:val="none" w:sz="0" w:space="0" w:color="auto"/>
            <w:left w:val="none" w:sz="0" w:space="0" w:color="auto"/>
            <w:bottom w:val="none" w:sz="0" w:space="0" w:color="auto"/>
            <w:right w:val="none" w:sz="0" w:space="0" w:color="auto"/>
          </w:divBdr>
        </w:div>
        <w:div w:id="159782246">
          <w:marLeft w:val="547"/>
          <w:marRight w:val="0"/>
          <w:marTop w:val="134"/>
          <w:marBottom w:val="0"/>
          <w:divBdr>
            <w:top w:val="none" w:sz="0" w:space="0" w:color="auto"/>
            <w:left w:val="none" w:sz="0" w:space="0" w:color="auto"/>
            <w:bottom w:val="none" w:sz="0" w:space="0" w:color="auto"/>
            <w:right w:val="none" w:sz="0" w:space="0" w:color="auto"/>
          </w:divBdr>
        </w:div>
      </w:divsChild>
    </w:div>
    <w:div w:id="1753579010">
      <w:bodyDiv w:val="1"/>
      <w:marLeft w:val="0"/>
      <w:marRight w:val="0"/>
      <w:marTop w:val="0"/>
      <w:marBottom w:val="0"/>
      <w:divBdr>
        <w:top w:val="none" w:sz="0" w:space="0" w:color="auto"/>
        <w:left w:val="none" w:sz="0" w:space="0" w:color="auto"/>
        <w:bottom w:val="none" w:sz="0" w:space="0" w:color="auto"/>
        <w:right w:val="none" w:sz="0" w:space="0" w:color="auto"/>
      </w:divBdr>
    </w:div>
    <w:div w:id="1770926552">
      <w:bodyDiv w:val="1"/>
      <w:marLeft w:val="0"/>
      <w:marRight w:val="0"/>
      <w:marTop w:val="0"/>
      <w:marBottom w:val="0"/>
      <w:divBdr>
        <w:top w:val="none" w:sz="0" w:space="0" w:color="auto"/>
        <w:left w:val="none" w:sz="0" w:space="0" w:color="auto"/>
        <w:bottom w:val="none" w:sz="0" w:space="0" w:color="auto"/>
        <w:right w:val="none" w:sz="0" w:space="0" w:color="auto"/>
      </w:divBdr>
    </w:div>
    <w:div w:id="1771244401">
      <w:bodyDiv w:val="1"/>
      <w:marLeft w:val="0"/>
      <w:marRight w:val="0"/>
      <w:marTop w:val="0"/>
      <w:marBottom w:val="0"/>
      <w:divBdr>
        <w:top w:val="none" w:sz="0" w:space="0" w:color="auto"/>
        <w:left w:val="none" w:sz="0" w:space="0" w:color="auto"/>
        <w:bottom w:val="none" w:sz="0" w:space="0" w:color="auto"/>
        <w:right w:val="none" w:sz="0" w:space="0" w:color="auto"/>
      </w:divBdr>
    </w:div>
    <w:div w:id="1797261017">
      <w:bodyDiv w:val="1"/>
      <w:marLeft w:val="0"/>
      <w:marRight w:val="0"/>
      <w:marTop w:val="0"/>
      <w:marBottom w:val="0"/>
      <w:divBdr>
        <w:top w:val="none" w:sz="0" w:space="0" w:color="auto"/>
        <w:left w:val="none" w:sz="0" w:space="0" w:color="auto"/>
        <w:bottom w:val="none" w:sz="0" w:space="0" w:color="auto"/>
        <w:right w:val="none" w:sz="0" w:space="0" w:color="auto"/>
      </w:divBdr>
    </w:div>
    <w:div w:id="1815638765">
      <w:bodyDiv w:val="1"/>
      <w:marLeft w:val="0"/>
      <w:marRight w:val="0"/>
      <w:marTop w:val="0"/>
      <w:marBottom w:val="0"/>
      <w:divBdr>
        <w:top w:val="none" w:sz="0" w:space="0" w:color="auto"/>
        <w:left w:val="none" w:sz="0" w:space="0" w:color="auto"/>
        <w:bottom w:val="none" w:sz="0" w:space="0" w:color="auto"/>
        <w:right w:val="none" w:sz="0" w:space="0" w:color="auto"/>
      </w:divBdr>
    </w:div>
    <w:div w:id="1827278356">
      <w:bodyDiv w:val="1"/>
      <w:marLeft w:val="0"/>
      <w:marRight w:val="0"/>
      <w:marTop w:val="0"/>
      <w:marBottom w:val="0"/>
      <w:divBdr>
        <w:top w:val="none" w:sz="0" w:space="0" w:color="auto"/>
        <w:left w:val="none" w:sz="0" w:space="0" w:color="auto"/>
        <w:bottom w:val="none" w:sz="0" w:space="0" w:color="auto"/>
        <w:right w:val="none" w:sz="0" w:space="0" w:color="auto"/>
      </w:divBdr>
    </w:div>
    <w:div w:id="1834223561">
      <w:bodyDiv w:val="1"/>
      <w:marLeft w:val="0"/>
      <w:marRight w:val="0"/>
      <w:marTop w:val="0"/>
      <w:marBottom w:val="0"/>
      <w:divBdr>
        <w:top w:val="none" w:sz="0" w:space="0" w:color="auto"/>
        <w:left w:val="none" w:sz="0" w:space="0" w:color="auto"/>
        <w:bottom w:val="none" w:sz="0" w:space="0" w:color="auto"/>
        <w:right w:val="none" w:sz="0" w:space="0" w:color="auto"/>
      </w:divBdr>
    </w:div>
    <w:div w:id="1856112320">
      <w:bodyDiv w:val="1"/>
      <w:marLeft w:val="0"/>
      <w:marRight w:val="0"/>
      <w:marTop w:val="0"/>
      <w:marBottom w:val="0"/>
      <w:divBdr>
        <w:top w:val="none" w:sz="0" w:space="0" w:color="auto"/>
        <w:left w:val="none" w:sz="0" w:space="0" w:color="auto"/>
        <w:bottom w:val="none" w:sz="0" w:space="0" w:color="auto"/>
        <w:right w:val="none" w:sz="0" w:space="0" w:color="auto"/>
      </w:divBdr>
    </w:div>
    <w:div w:id="1871871791">
      <w:bodyDiv w:val="1"/>
      <w:marLeft w:val="0"/>
      <w:marRight w:val="0"/>
      <w:marTop w:val="0"/>
      <w:marBottom w:val="0"/>
      <w:divBdr>
        <w:top w:val="none" w:sz="0" w:space="0" w:color="auto"/>
        <w:left w:val="none" w:sz="0" w:space="0" w:color="auto"/>
        <w:bottom w:val="none" w:sz="0" w:space="0" w:color="auto"/>
        <w:right w:val="none" w:sz="0" w:space="0" w:color="auto"/>
      </w:divBdr>
    </w:div>
    <w:div w:id="1872305964">
      <w:bodyDiv w:val="1"/>
      <w:marLeft w:val="0"/>
      <w:marRight w:val="0"/>
      <w:marTop w:val="0"/>
      <w:marBottom w:val="0"/>
      <w:divBdr>
        <w:top w:val="none" w:sz="0" w:space="0" w:color="auto"/>
        <w:left w:val="none" w:sz="0" w:space="0" w:color="auto"/>
        <w:bottom w:val="none" w:sz="0" w:space="0" w:color="auto"/>
        <w:right w:val="none" w:sz="0" w:space="0" w:color="auto"/>
      </w:divBdr>
    </w:div>
    <w:div w:id="1919896751">
      <w:bodyDiv w:val="1"/>
      <w:marLeft w:val="0"/>
      <w:marRight w:val="0"/>
      <w:marTop w:val="0"/>
      <w:marBottom w:val="0"/>
      <w:divBdr>
        <w:top w:val="none" w:sz="0" w:space="0" w:color="auto"/>
        <w:left w:val="none" w:sz="0" w:space="0" w:color="auto"/>
        <w:bottom w:val="none" w:sz="0" w:space="0" w:color="auto"/>
        <w:right w:val="none" w:sz="0" w:space="0" w:color="auto"/>
      </w:divBdr>
    </w:div>
    <w:div w:id="1937323992">
      <w:bodyDiv w:val="1"/>
      <w:marLeft w:val="0"/>
      <w:marRight w:val="0"/>
      <w:marTop w:val="0"/>
      <w:marBottom w:val="0"/>
      <w:divBdr>
        <w:top w:val="none" w:sz="0" w:space="0" w:color="auto"/>
        <w:left w:val="none" w:sz="0" w:space="0" w:color="auto"/>
        <w:bottom w:val="none" w:sz="0" w:space="0" w:color="auto"/>
        <w:right w:val="none" w:sz="0" w:space="0" w:color="auto"/>
      </w:divBdr>
    </w:div>
    <w:div w:id="1947956878">
      <w:bodyDiv w:val="1"/>
      <w:marLeft w:val="0"/>
      <w:marRight w:val="0"/>
      <w:marTop w:val="0"/>
      <w:marBottom w:val="0"/>
      <w:divBdr>
        <w:top w:val="none" w:sz="0" w:space="0" w:color="auto"/>
        <w:left w:val="none" w:sz="0" w:space="0" w:color="auto"/>
        <w:bottom w:val="none" w:sz="0" w:space="0" w:color="auto"/>
        <w:right w:val="none" w:sz="0" w:space="0" w:color="auto"/>
      </w:divBdr>
    </w:div>
    <w:div w:id="1968705548">
      <w:bodyDiv w:val="1"/>
      <w:marLeft w:val="0"/>
      <w:marRight w:val="0"/>
      <w:marTop w:val="0"/>
      <w:marBottom w:val="0"/>
      <w:divBdr>
        <w:top w:val="none" w:sz="0" w:space="0" w:color="auto"/>
        <w:left w:val="none" w:sz="0" w:space="0" w:color="auto"/>
        <w:bottom w:val="none" w:sz="0" w:space="0" w:color="auto"/>
        <w:right w:val="none" w:sz="0" w:space="0" w:color="auto"/>
      </w:divBdr>
    </w:div>
    <w:div w:id="2007242073">
      <w:bodyDiv w:val="1"/>
      <w:marLeft w:val="0"/>
      <w:marRight w:val="0"/>
      <w:marTop w:val="0"/>
      <w:marBottom w:val="0"/>
      <w:divBdr>
        <w:top w:val="none" w:sz="0" w:space="0" w:color="auto"/>
        <w:left w:val="none" w:sz="0" w:space="0" w:color="auto"/>
        <w:bottom w:val="none" w:sz="0" w:space="0" w:color="auto"/>
        <w:right w:val="none" w:sz="0" w:space="0" w:color="auto"/>
      </w:divBdr>
    </w:div>
    <w:div w:id="2015837402">
      <w:bodyDiv w:val="1"/>
      <w:marLeft w:val="0"/>
      <w:marRight w:val="0"/>
      <w:marTop w:val="0"/>
      <w:marBottom w:val="0"/>
      <w:divBdr>
        <w:top w:val="none" w:sz="0" w:space="0" w:color="auto"/>
        <w:left w:val="none" w:sz="0" w:space="0" w:color="auto"/>
        <w:bottom w:val="none" w:sz="0" w:space="0" w:color="auto"/>
        <w:right w:val="none" w:sz="0" w:space="0" w:color="auto"/>
      </w:divBdr>
    </w:div>
    <w:div w:id="2017227638">
      <w:bodyDiv w:val="1"/>
      <w:marLeft w:val="0"/>
      <w:marRight w:val="0"/>
      <w:marTop w:val="0"/>
      <w:marBottom w:val="0"/>
      <w:divBdr>
        <w:top w:val="none" w:sz="0" w:space="0" w:color="auto"/>
        <w:left w:val="none" w:sz="0" w:space="0" w:color="auto"/>
        <w:bottom w:val="none" w:sz="0" w:space="0" w:color="auto"/>
        <w:right w:val="none" w:sz="0" w:space="0" w:color="auto"/>
      </w:divBdr>
    </w:div>
    <w:div w:id="2020160233">
      <w:bodyDiv w:val="1"/>
      <w:marLeft w:val="0"/>
      <w:marRight w:val="0"/>
      <w:marTop w:val="0"/>
      <w:marBottom w:val="0"/>
      <w:divBdr>
        <w:top w:val="none" w:sz="0" w:space="0" w:color="auto"/>
        <w:left w:val="none" w:sz="0" w:space="0" w:color="auto"/>
        <w:bottom w:val="none" w:sz="0" w:space="0" w:color="auto"/>
        <w:right w:val="none" w:sz="0" w:space="0" w:color="auto"/>
      </w:divBdr>
    </w:div>
    <w:div w:id="2028553228">
      <w:bodyDiv w:val="1"/>
      <w:marLeft w:val="0"/>
      <w:marRight w:val="0"/>
      <w:marTop w:val="0"/>
      <w:marBottom w:val="0"/>
      <w:divBdr>
        <w:top w:val="none" w:sz="0" w:space="0" w:color="auto"/>
        <w:left w:val="none" w:sz="0" w:space="0" w:color="auto"/>
        <w:bottom w:val="none" w:sz="0" w:space="0" w:color="auto"/>
        <w:right w:val="none" w:sz="0" w:space="0" w:color="auto"/>
      </w:divBdr>
    </w:div>
    <w:div w:id="2031251461">
      <w:bodyDiv w:val="1"/>
      <w:marLeft w:val="0"/>
      <w:marRight w:val="0"/>
      <w:marTop w:val="0"/>
      <w:marBottom w:val="0"/>
      <w:divBdr>
        <w:top w:val="none" w:sz="0" w:space="0" w:color="auto"/>
        <w:left w:val="none" w:sz="0" w:space="0" w:color="auto"/>
        <w:bottom w:val="none" w:sz="0" w:space="0" w:color="auto"/>
        <w:right w:val="none" w:sz="0" w:space="0" w:color="auto"/>
      </w:divBdr>
    </w:div>
    <w:div w:id="2041663372">
      <w:bodyDiv w:val="1"/>
      <w:marLeft w:val="0"/>
      <w:marRight w:val="0"/>
      <w:marTop w:val="0"/>
      <w:marBottom w:val="0"/>
      <w:divBdr>
        <w:top w:val="none" w:sz="0" w:space="0" w:color="auto"/>
        <w:left w:val="none" w:sz="0" w:space="0" w:color="auto"/>
        <w:bottom w:val="none" w:sz="0" w:space="0" w:color="auto"/>
        <w:right w:val="none" w:sz="0" w:space="0" w:color="auto"/>
      </w:divBdr>
    </w:div>
    <w:div w:id="2044204922">
      <w:bodyDiv w:val="1"/>
      <w:marLeft w:val="0"/>
      <w:marRight w:val="0"/>
      <w:marTop w:val="0"/>
      <w:marBottom w:val="0"/>
      <w:divBdr>
        <w:top w:val="none" w:sz="0" w:space="0" w:color="auto"/>
        <w:left w:val="none" w:sz="0" w:space="0" w:color="auto"/>
        <w:bottom w:val="none" w:sz="0" w:space="0" w:color="auto"/>
        <w:right w:val="none" w:sz="0" w:space="0" w:color="auto"/>
      </w:divBdr>
    </w:div>
    <w:div w:id="2049062552">
      <w:bodyDiv w:val="1"/>
      <w:marLeft w:val="0"/>
      <w:marRight w:val="0"/>
      <w:marTop w:val="0"/>
      <w:marBottom w:val="0"/>
      <w:divBdr>
        <w:top w:val="none" w:sz="0" w:space="0" w:color="auto"/>
        <w:left w:val="none" w:sz="0" w:space="0" w:color="auto"/>
        <w:bottom w:val="none" w:sz="0" w:space="0" w:color="auto"/>
        <w:right w:val="none" w:sz="0" w:space="0" w:color="auto"/>
      </w:divBdr>
    </w:div>
    <w:div w:id="2074085980">
      <w:bodyDiv w:val="1"/>
      <w:marLeft w:val="0"/>
      <w:marRight w:val="0"/>
      <w:marTop w:val="0"/>
      <w:marBottom w:val="0"/>
      <w:divBdr>
        <w:top w:val="none" w:sz="0" w:space="0" w:color="auto"/>
        <w:left w:val="none" w:sz="0" w:space="0" w:color="auto"/>
        <w:bottom w:val="none" w:sz="0" w:space="0" w:color="auto"/>
        <w:right w:val="none" w:sz="0" w:space="0" w:color="auto"/>
      </w:divBdr>
    </w:div>
    <w:div w:id="2078284369">
      <w:bodyDiv w:val="1"/>
      <w:marLeft w:val="0"/>
      <w:marRight w:val="0"/>
      <w:marTop w:val="0"/>
      <w:marBottom w:val="0"/>
      <w:divBdr>
        <w:top w:val="none" w:sz="0" w:space="0" w:color="auto"/>
        <w:left w:val="none" w:sz="0" w:space="0" w:color="auto"/>
        <w:bottom w:val="none" w:sz="0" w:space="0" w:color="auto"/>
        <w:right w:val="none" w:sz="0" w:space="0" w:color="auto"/>
      </w:divBdr>
    </w:div>
    <w:div w:id="2080245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InternetSite</b:SourceType>
    <b:Guid>{ED26C696-EE05-481A-856D-375F539793C8}</b:Guid>
    <b:Title>All magic circle law firms now pay newly-qualified lawyers £125,000</b:Title>
    <b:Year>2023</b:Year>
    <b:Author>
      <b:Author>
        <b:NameList>
          <b:Person>
            <b:Last>Ward-Brennan</b:Last>
            <b:First>Maria</b:First>
          </b:Person>
        </b:NameList>
      </b:Author>
    </b:Author>
    <b:YearAccessed>2024</b:YearAccessed>
    <b:MonthAccessed>May</b:MonthAccessed>
    <b:DayAccessed>15</b:DayAccessed>
    <b:URL>https://www.cityam.com/all-magic-circle-law-firms-now-pay-newly-qualified-lawyers-125000-but-still-lag-us-rivals/</b:URL>
    <b:RefOrder>1</b:RefOrder>
  </b:Source>
  <b:Source>
    <b:Tag>Ind17</b:Tag>
    <b:SourceType>InternetSite</b:SourceType>
    <b:Guid>{9A1E37B2-98FC-4512-B4A4-B8A6DC59F1AE}</b:Guid>
    <b:Author>
      <b:Author>
        <b:Corporate>Indeed</b:Corporate>
      </b:Author>
    </b:Author>
    <b:Title>What is the vacatioon policy of Indeed?</b:Title>
    <b:Year>2017</b:Year>
    <b:YearAccessed>2024</b:YearAccessed>
    <b:MonthAccessed>May</b:MonthAccessed>
    <b:DayAccessed>15</b:DayAccessed>
    <b:URL>https://www.indeed.com/cmp/Indeed/faq/what-is-the-vacation-policy-of-indeed?quid=1b9hnj6h5ak5bdo2</b:URL>
    <b:RefOrder>2</b:RefOrder>
  </b:Source>
  <b:Source>
    <b:Tag>Ric20</b:Tag>
    <b:SourceType>JournalArticle</b:SourceType>
    <b:Guid>{7FF5063C-0FC5-4DAE-B007-7AF395A390D0}</b:Guid>
    <b:Title>Evaluating the employability paradox: When does organizational investment in human capital pay off?</b:Title>
    <b:Year>2020</b:Year>
    <b:Author>
      <b:Author>
        <b:NameList>
          <b:Person>
            <b:Last>Rodrigues</b:Last>
            <b:First>Ricardo</b:First>
          </b:Person>
        </b:NameList>
      </b:Author>
    </b:Author>
    <b:JournalName>The International Journal of Human Resource Management </b:JournalName>
    <b:Pages>1134-1156</b:Pages>
    <b:Volume>31</b:Volume>
    <b:Issue>9</b:Issue>
    <b:RefOrder>3</b:RefOrder>
  </b:Source>
  <b:Source>
    <b:Tag>Bou21</b:Tag>
    <b:SourceType>JournalArticle</b:SourceType>
    <b:Guid>{88232E9C-5945-425F-A4B2-E246EBD644A8}</b:Guid>
    <b:Author>
      <b:Author>
        <b:NameList>
          <b:Person>
            <b:Last>Boutmaghzoute</b:Last>
            <b:First>Hajar</b:First>
          </b:Person>
        </b:NameList>
      </b:Author>
    </b:Author>
    <b:Title>Exploring the relationship between corporate social responsibility actions and employee retention: A human resource management perspective</b:Title>
    <b:JournalName>Human Systems Management</b:JournalName>
    <b:Year>2021</b:Year>
    <b:Pages>789-80</b:Pages>
    <b:Volume>40</b:Volume>
    <b:Issue>6</b:Issue>
    <b:RefOrder>4</b:RefOrder>
  </b:Source>
  <b:Source>
    <b:Tag>Wor23</b:Tag>
    <b:SourceType>Report</b:SourceType>
    <b:Guid>{84FB35F6-53BD-41B6-8857-872A7C4176FA}</b:Guid>
    <b:Title>The Future of Jobs report</b:Title>
    <b:Year>2023</b:Year>
    <b:Author>
      <b:Author>
        <b:Corporate>World Economic Forum</b:Corporate>
      </b:Author>
    </b:Author>
    <b:RefOrder>11</b:RefOrder>
  </b:Source>
  <b:Source>
    <b:Tag>CIP224</b:Tag>
    <b:SourceType>Report</b:SourceType>
    <b:Guid>{D3C595C2-D053-4F6E-951F-20DAC25E8FC2}</b:Guid>
    <b:Author>
      <b:Author>
        <b:Corporate>CIPD</b:Corporate>
      </b:Author>
    </b:Author>
    <b:Title>Employer views on skills policy in the UK</b:Title>
    <b:Year>2022</b:Year>
    <b:Publisher>CIPD</b:Publisher>
    <b:RefOrder>12</b:RefOrder>
  </b:Source>
  <b:Source>
    <b:Tag>TUC23</b:Tag>
    <b:SourceType>InternetSite</b:SourceType>
    <b:Guid>{4913D622-71EA-4A37-82D5-A791359FB097}</b:Guid>
    <b:Title>Impact of the rising cost of living on women</b:Title>
    <b:Year>2023</b:Year>
    <b:Author>
      <b:Author>
        <b:Corporate>TUC</b:Corporate>
      </b:Author>
    </b:Author>
    <b:YearAccessed>2024</b:YearAccessed>
    <b:MonthAccessed>5</b:MonthAccessed>
    <b:DayAccessed>22</b:DayAccessed>
    <b:URL>https://www.tuc.org.uk/research-analysis/reports/impact-rising-cost-living-women</b:URL>
    <b:RefOrder>15</b:RefOrder>
  </b:Source>
  <b:Source>
    <b:Tag>Kar16</b:Tag>
    <b:SourceType>JournalArticle</b:SourceType>
    <b:Guid>{986CCFCB-FFD7-4C38-BA12-ED6843FF21DF}</b:Guid>
    <b:Title>Impact of recruitment and selection in performance of the public watesr utilities in Tanzania</b:Title>
    <b:Year>2016</b:Year>
    <b:JournalName>African journal of education and human development</b:JournalName>
    <b:Pages>39-45</b:Pages>
    <b:Volume>2</b:Volume>
    <b:Issue>1</b:Issue>
    <b:Author>
      <b:Author>
        <b:NameList>
          <b:Person>
            <b:Last>Karia</b:Last>
            <b:First>A</b:First>
          </b:Person>
          <b:Person>
            <b:Last>Omaru</b:Last>
            <b:Middle>S</b:Middle>
          </b:Person>
          <b:Person>
            <b:Last>Mwanaongoro</b:Last>
            <b:Middle>S</b:Middle>
          </b:Person>
          <b:Person>
            <b:Last>Ondieki</b:Last>
            <b:Middle>A</b:Middle>
          </b:Person>
        </b:NameList>
      </b:Author>
    </b:Author>
    <b:RefOrder>17</b:RefOrder>
  </b:Source>
  <b:Source>
    <b:Tag>DeB13</b:Tag>
    <b:SourceType>JournalArticle</b:SourceType>
    <b:Guid>{37C88437-7BF0-49E4-84A2-1911180930E9}</b:Guid>
    <b:Title>Workforce planning incorporating skills: State of the art</b:Title>
    <b:JournalName>European Journal of Operational Research</b:JournalName>
    <b:Year>2013</b:Year>
    <b:Pages>1-16</b:Pages>
    <b:Volume>243</b:Volume>
    <b:Issue>1</b:Issue>
    <b:Author>
      <b:Author>
        <b:NameList>
          <b:Person>
            <b:Last>De Bruecker</b:Last>
            <b:First>Philippe</b:First>
          </b:Person>
          <b:Person>
            <b:Last>Van Den Bergh</b:Last>
            <b:First>Jorne</b:First>
          </b:Person>
          <b:Person>
            <b:Last>Belien</b:Last>
            <b:First>Jeroen</b:First>
          </b:Person>
          <b:Person>
            <b:Last>Demeulemeester</b:Last>
            <b:First>Erik</b:First>
          </b:Person>
        </b:NameList>
      </b:Author>
    </b:Author>
    <b:RefOrder>18</b:RefOrder>
  </b:Source>
  <b:Source>
    <b:Tag>CIP2321</b:Tag>
    <b:SourceType>InternetSite</b:SourceType>
    <b:Guid>{1E403F99-2500-467B-8992-654AC9333E62}</b:Guid>
    <b:Title>Strategic workforce planning: Guide for people professionals</b:Title>
    <b:Year>2023</b:Year>
    <b:Author>
      <b:Author>
        <b:Corporate>CIPD</b:Corporate>
      </b:Author>
    </b:Author>
    <b:YearAccessed>2024</b:YearAccessed>
    <b:MonthAccessed>5</b:MonthAccessed>
    <b:DayAccessed>15</b:DayAccessed>
    <b:URL>https://www.cipd.org/uk/knowledge/guides/strategic-workforce-planning/#what-is-workforce-planning</b:URL>
    <b:RefOrder>19</b:RefOrder>
  </b:Source>
  <b:Source>
    <b:Tag>CIP2322</b:Tag>
    <b:SourceType>InternetSite</b:SourceType>
    <b:Guid>{06D788A0-FFCD-4844-85E6-6004937D01B2}</b:Guid>
    <b:Author>
      <b:Author>
        <b:Corporate>CIPD</b:Corporate>
      </b:Author>
    </b:Author>
    <b:Title>Workforce planning</b:Title>
    <b:Year>2023</b:Year>
    <b:YearAccessed>2024</b:YearAccessed>
    <b:MonthAccessed>5</b:MonthAccessed>
    <b:DayAccessed>15</b:DayAccessed>
    <b:URL>https://www.cipd.org/uk/knowledge/factsheets/workforce-planning-factsheet/#what-is-workforce-planning</b:URL>
    <b:RefOrder>20</b:RefOrder>
  </b:Source>
  <b:Source>
    <b:Tag>Rob23</b:Tag>
    <b:SourceType>InternetSite</b:SourceType>
    <b:Guid>{9C0F9CEB-88F8-4228-A14F-AB013016201F}</b:Guid>
    <b:Author>
      <b:Author>
        <b:NameList>
          <b:Person>
            <b:Last>Moss</b:Last>
            <b:First>Rob</b:First>
          </b:Person>
        </b:NameList>
      </b:Author>
    </b:Author>
    <b:Title>One in five workers to quit in 2024</b:Title>
    <b:Year>2023</b:Year>
    <b:YearAccessed>2024</b:YearAccessed>
    <b:MonthAccessed>6</b:MonthAccessed>
    <b:DayAccessed>2</b:DayAccessed>
    <b:URL>https://www.personneltoday.com/hr/uk-attrition-2024-culture-amp/</b:URL>
    <b:RefOrder>36</b:RefOrder>
  </b:Source>
  <b:Source>
    <b:Tag>Cap23</b:Tag>
    <b:SourceType>InternetSite</b:SourceType>
    <b:Guid>{3EE28645-FCB0-4B80-BB67-713B897EFFA0}</b:Guid>
    <b:Author>
      <b:Author>
        <b:Corporate>Capacity Insights</b:Corporate>
      </b:Author>
    </b:Author>
    <b:Title>Average Employee Turnover Rate By Industry</b:Title>
    <b:Year>2023</b:Year>
    <b:YearAccessed>2024</b:YearAccessed>
    <b:MonthAccessed>6</b:MonthAccessed>
    <b:DayAccessed>3</b:DayAccessed>
    <b:URL>https://capacityinsights.co.uk/news-and-insights/average-employee-turnover-industry/#:~:text=Studies%20from%20UK%20Money%20suggest,UK%20employees%20leave%20their%20jobs.</b:URL>
    <b:RefOrder>37</b:RefOrder>
  </b:Source>
  <b:Source>
    <b:Tag>Shi21</b:Tag>
    <b:SourceType>BookSection</b:SourceType>
    <b:Guid>{8769D105-DF53-424A-B746-D5F9021A1DB5}</b:Guid>
    <b:Title>Global Talent Retention: Understanding Employee Turnover Around the World</b:Title>
    <b:JournalName>Global Talent Retention: Understanding Employee Turnover Around the World</b:JournalName>
    <b:Year>2021</b:Year>
    <b:Pages>17-39</b:Pages>
    <b:Author>
      <b:Author>
        <b:NameList>
          <b:Person>
            <b:Last>Shipton</b:Last>
            <b:First>Helen</b:First>
          </b:Person>
          <b:Person>
            <b:Last>Whysall</b:Last>
            <b:First>Zara</b:First>
          </b:Person>
          <b:Person>
            <b:Last>Abe</b:Last>
            <b:First>Catherine</b:First>
          </b:Person>
        </b:NameList>
      </b:Author>
    </b:Author>
    <b:BookTitle>Turnover and Retention in the United Kingdom: Change, Uncertainty and Opportunity</b:BookTitle>
    <b:City>Leeds</b:City>
    <b:Publisher>Emerald Publishing</b:Publisher>
    <b:RefOrder>40</b:RefOrder>
  </b:Source>
  <b:Source>
    <b:Tag>Kim15</b:Tag>
    <b:SourceType>JournalArticle</b:SourceType>
    <b:Guid>{5AFBDE2F-B889-45E5-B625-4C6DFD0A124B}</b:Guid>
    <b:Title>The Effects of Employee Voice and Delight on Job Satisfaction and Behaviors: Comparison Between Employee Generations</b:Title>
    <b:Year>2015</b:Year>
    <b:Pages>563-588</b:Pages>
    <b:JournalName>Journal of Hospitality Marketing &amp; Management </b:JournalName>
    <b:Volume>25</b:Volume>
    <b:Issue>5</b:Issue>
    <b:Author>
      <b:Author>
        <b:NameList>
          <b:Person>
            <b:Last>Kim</b:Last>
            <b:First>MiRam</b:First>
          </b:Person>
          <b:Person>
            <b:Last>Knutson</b:Last>
            <b:First>Bonnie</b:First>
          </b:Person>
          <b:Person>
            <b:Last>Choi</b:Last>
            <b:First>Laee</b:First>
          </b:Person>
        </b:NameList>
      </b:Author>
    </b:Author>
    <b:RefOrder>38</b:RefOrder>
  </b:Source>
  <b:Source>
    <b:Tag>Pri17</b:Tag>
    <b:SourceType>JournalArticle</b:SourceType>
    <b:Guid>{A0F6B013-E4BA-467F-8CD8-32829A1953F9}</b:Guid>
    <b:Title>The Importance of Continuing Professional Development to Career Satisfaction and Patient Care: Meeting the Needs of Novice to Mid- to Late-Career Nurses throughout Their Career Span</b:Title>
    <b:JournalName>Administrative Sciences </b:JournalName>
    <b:Year>2017</b:Year>
    <b:Volume>7</b:Volume>
    <b:Issue>2</b:Issue>
    <b:Author>
      <b:Author>
        <b:NameList>
          <b:Person>
            <b:Last>Price</b:Last>
            <b:First>Sheri</b:First>
          </b:Person>
          <b:Person>
            <b:Last>Reichert</b:Last>
            <b:First>Carol</b:First>
          </b:Person>
        </b:NameList>
      </b:Author>
    </b:Author>
    <b:RefOrder>39</b:RefOrder>
  </b:Source>
  <b:Source>
    <b:Tag>Rob15</b:Tag>
    <b:SourceType>JournalArticle</b:SourceType>
    <b:Guid>{2E26F740-7125-41F8-AA0F-41F95B16EE3B}</b:Guid>
    <b:Author>
      <b:Author>
        <b:NameList>
          <b:Person>
            <b:Last>Erickson</b:Last>
            <b:First>Robin</b:First>
            <b:Middle>Adair</b:Middle>
          </b:Person>
        </b:NameList>
      </b:Author>
    </b:Author>
    <b:Title>Communication and Employee Retention</b:Title>
    <b:JournalName>Encyclopedia of interpersonal communication</b:JournalName>
    <b:Year>2015</b:Year>
    <b:RefOrder>41</b:RefOrder>
  </b:Source>
  <b:Source>
    <b:Tag>Lea21</b:Tag>
    <b:SourceType>JournalArticle</b:SourceType>
    <b:Guid>{3F6D35E2-8B18-43A2-BD35-E379DF6C8079}</b:Guid>
    <b:Title>The New SWOT for a Sustainable World</b:Title>
    <b:JournalName>Journal of Open Innovation: Technology, Market, and Complexity</b:JournalName>
    <b:Year>2021</b:Year>
    <b:Volume>7</b:Volume>
    <b:Issue>1</b:Issue>
    <b:Author>
      <b:Author>
        <b:NameList>
          <b:Person>
            <b:Last>Leandro</b:Last>
            <b:First>Pereira</b:First>
          </b:Person>
          <b:Person>
            <b:Last>Pinto</b:Last>
            <b:First>Miguel</b:First>
          </b:Person>
          <b:Person>
            <b:Last>Lopes Da Costa</b:Last>
            <b:First>Renato</b:First>
          </b:Person>
          <b:Person>
            <b:Last>Dias</b:Last>
            <b:First>Alvaro</b:First>
          </b:Person>
          <b:Person>
            <b:Last>Goncalves</b:Last>
            <b:First>Rui</b:First>
          </b:Person>
        </b:NameList>
      </b:Author>
    </b:Author>
    <b:RefOrder>42</b:RefOrder>
  </b:Source>
  <b:Source>
    <b:Tag>Moh15</b:Tag>
    <b:SourceType>BookSection</b:SourceType>
    <b:Guid>{281A37E7-8CDC-426A-813D-B7348816E2E3}</b:Guid>
    <b:Title>Research Handbook on Employee Turnover</b:Title>
    <b:Year>2015</b:Year>
    <b:Pages>109-126</b:Pages>
    <b:BookTitle>Chapter 6: Employee turnover as a cost factor of organizations</b:BookTitle>
    <b:Publisher>Elgar</b:Publisher>
    <b:Author>
      <b:Author>
        <b:NameList>
          <b:Person>
            <b:Last>Mohammed</b:Last>
            <b:First>Anne-Marie</b:First>
          </b:Person>
          <b:Person>
            <b:Last>Lai</b:Last>
            <b:First>Yanqing</b:First>
          </b:Person>
          <b:Person>
            <b:Last>Daskalaki</b:Last>
            <b:First>Maria</b:First>
          </b:Person>
          <b:Person>
            <b:Last>Saridakis</b:Last>
            <b:First>George</b:First>
          </b:Person>
        </b:NameList>
      </b:Author>
    </b:Author>
    <b:RefOrder>71</b:RefOrder>
  </b:Source>
  <b:Source>
    <b:Tag>Mat21</b:Tag>
    <b:SourceType>JournalArticle</b:SourceType>
    <b:Guid>{36BF852D-408F-4710-B0C7-0B4DDC35DC7A}</b:Guid>
    <b:Author>
      <b:Author>
        <b:NameList>
          <b:Person>
            <b:Last>Matt</b:Last>
            <b:First>Jaye</b:First>
          </b:Person>
        </b:NameList>
      </b:Author>
    </b:Author>
    <b:Title>Rehiring Employees After COVID Cutbacks</b:Title>
    <b:Year>2021</b:Year>
    <b:Pages>10-11</b:Pages>
    <b:JournalName>Risk Management</b:JournalName>
    <b:Volume>68</b:Volume>
    <b:Issue>2</b:Issue>
    <b:RefOrder>72</b:RefOrder>
  </b:Source>
  <b:Source>
    <b:Tag>Ari10</b:Tag>
    <b:SourceType>JournalArticle</b:SourceType>
    <b:Guid>{BFAD923D-A8A8-4F52-B229-8D27BDA127EA}</b:Guid>
    <b:Title>Employee Replacement Costs</b:Title>
    <b:JournalName>Institute for Research on Labor and Employment</b:JournalName>
    <b:Year>2010</b:Year>
    <b:Author>
      <b:Author>
        <b:NameList>
          <b:Person>
            <b:Last>Arindrajit</b:Last>
            <b:First>Dube</b:First>
          </b:Person>
          <b:Person>
            <b:Last>Freeman</b:Last>
            <b:First>Eric</b:First>
          </b:Person>
          <b:Person>
            <b:Last>Reich</b:Last>
            <b:First>Michael</b:First>
          </b:Person>
        </b:NameList>
      </b:Author>
    </b:Author>
    <b:RefOrder>75</b:RefOrder>
  </b:Source>
  <b:Source>
    <b:Tag>Jul24</b:Tag>
    <b:SourceType>InternetSite</b:SourceType>
    <b:Guid>{DA96680D-567A-4C7B-988D-99FCDE3FCCA8}</b:Guid>
    <b:Title>Onboarding New Employees — Without Overwhelming Them</b:Title>
    <b:Year>2024</b:Year>
    <b:Author>
      <b:Author>
        <b:NameList>
          <b:Person>
            <b:Last>Phelan</b:Last>
            <b:First>Julia</b:First>
          </b:Person>
        </b:NameList>
      </b:Author>
    </b:Author>
    <b:YearAccessed>2024</b:YearAccessed>
    <b:MonthAccessed>6</b:MonthAccessed>
    <b:DayAccessed>3</b:DayAccessed>
    <b:URL>https://hbr.org/2024/04/onboarding-new-employees-without-overwhelming-them</b:URL>
    <b:RefOrder>76</b:RefOrder>
  </b:Source>
  <b:Source>
    <b:Tag>CIP225</b:Tag>
    <b:SourceType>InternetSite</b:SourceType>
    <b:Guid>{50A4F03D-833E-479A-9AD2-644984917A9B}</b:Guid>
    <b:Author>
      <b:Author>
        <b:Corporate>CIPD</b:Corporate>
      </b:Author>
    </b:Author>
    <b:Title>Tight labour market will force organisations to strengthen employment offer to attract and retain staff</b:Title>
    <b:Year>2022</b:Year>
    <b:YearAccessed>2024</b:YearAccessed>
    <b:MonthAccessed>6</b:MonthAccessed>
    <b:DayAccessed>3</b:DayAccessed>
    <b:URL>https://www.cipd.org/uk/about/press-releases/150222tight-labour-market-employment-offer/</b:URL>
    <b:RefOrder>73</b:RefOrder>
  </b:Source>
  <b:Source>
    <b:Tag>HAY24</b:Tag>
    <b:SourceType>InternetSite</b:SourceType>
    <b:Guid>{E96D49F0-242C-4E3F-B742-526FE1102767}</b:Guid>
    <b:Author>
      <b:Author>
        <b:Corporate>HAYS</b:Corporate>
      </b:Author>
    </b:Author>
    <b:Title>Our Fees</b:Title>
    <b:Year>2024</b:Year>
    <b:YearAccessed>2024</b:YearAccessed>
    <b:MonthAccessed>6</b:MonthAccessed>
    <b:DayAccessed>3</b:DayAccessed>
    <b:URL>https://www.hays.co.uk/</b:URL>
    <b:RefOrder>74</b:RefOrder>
  </b:Source>
  <b:Source>
    <b:Tag>Jon23</b:Tag>
    <b:SourceType>InternetSite</b:SourceType>
    <b:Guid>{DA530E70-31B6-4C9A-A884-23C148528A7F}</b:Guid>
    <b:Author>
      <b:Author>
        <b:NameList>
          <b:Person>
            <b:Last>Boys</b:Last>
            <b:First>Jon</b:First>
          </b:Person>
        </b:NameList>
      </b:Author>
    </b:Author>
    <b:Title>Why staff turnover data matters</b:Title>
    <b:Year>2023</b:Year>
    <b:YearAccessed>2024</b:YearAccessed>
    <b:MonthAccessed>6</b:MonthAccessed>
    <b:DayAccessed>3</b:DayAccessed>
    <b:URL>https://community.cipd.co.uk/cipd-blogs/b/cipd_voice_on/posts/why-staff-turnover-data-matters</b:URL>
    <b:RefOrder>77</b:RefOrder>
  </b:Source>
  <b:Source>
    <b:Tag>Gia14</b:Tag>
    <b:SourceType>JournalArticle</b:SourceType>
    <b:Guid>{CF4B98E5-707B-46C1-B785-D8CE0863AD35}</b:Guid>
    <b:Title>An exploratory investigation into voluntary employee turnover and retention in small businesses</b:Title>
    <b:Year>2014</b:Year>
    <b:JournalName>Small Enterprise Research</b:JournalName>
    <b:Pages>55-68</b:Pages>
    <b:Volume>20</b:Volume>
    <b:Issue>1</b:Issue>
    <b:Author>
      <b:Author>
        <b:NameList>
          <b:Person>
            <b:Last>Gialiuisi</b:Last>
            <b:First>Olivia</b:First>
          </b:Person>
          <b:Person>
            <b:Last>Coetzer</b:Last>
            <b:First>Alan</b:First>
          </b:Person>
        </b:NameList>
      </b:Author>
    </b:Author>
    <b:RefOrder>78</b:RefOrder>
  </b:Source>
  <b:Source>
    <b:Tag>Jim18</b:Tag>
    <b:SourceType>JournalArticle</b:SourceType>
    <b:Guid>{956CD247-BE8C-4AF7-A7A7-F427B60F4B96}</b:Guid>
    <b:Author>
      <b:Author>
        <b:NameList>
          <b:Person>
            <b:Last>Morris</b:Last>
            <b:First>Jim</b:First>
          </b:Person>
        </b:NameList>
      </b:Author>
    </b:Author>
    <b:Title>5 advantages of a diverse workplace no one is talking about</b:Title>
    <b:JournalName>Stragetic HR Review</b:JournalName>
    <b:Year>2018</b:Year>
    <b:Pages>305-306</b:Pages>
    <b:Volume>17</b:Volume>
    <b:Issue>6</b:Issue>
    <b:RefOrder>61</b:RefOrder>
  </b:Source>
  <b:Source>
    <b:Tag>Gom19</b:Tag>
    <b:SourceType>JournalArticle</b:SourceType>
    <b:Guid>{23A2FF26-9B64-4D80-BE77-07A002D909C1}</b:Guid>
    <b:Title>Diversity improves performance and outcomes</b:Title>
    <b:JournalName>Journla of the National Medical Association</b:JournalName>
    <b:Year>2019</b:Year>
    <b:Pages>383-392</b:Pages>
    <b:Volume>111</b:Volume>
    <b:Issue>4</b:Issue>
    <b:Author>
      <b:Author>
        <b:NameList>
          <b:Person>
            <b:Last>Gomez</b:Last>
            <b:First>L</b:First>
          </b:Person>
          <b:Person>
            <b:Last>Bernet</b:Last>
            <b:First>Patrick</b:First>
          </b:Person>
        </b:NameList>
      </b:Author>
    </b:Author>
    <b:RefOrder>62</b:RefOrder>
  </b:Source>
  <b:Source>
    <b:Tag>Del18</b:Tag>
    <b:SourceType>Report</b:SourceType>
    <b:Guid>{F88DFC40-538A-4E94-8D89-9D5B5105D69C}</b:Guid>
    <b:Title>Inclusive Mobility: How Mobilizing a Diverse Workforce Can Drive Business Performance</b:Title>
    <b:Year>2018</b:Year>
    <b:Author>
      <b:Author>
        <b:Corporate>Deloitte</b:Corporate>
      </b:Author>
    </b:Author>
    <b:Publisher>Delloitte</b:Publisher>
    <b:RefOrder>60</b:RefOrder>
  </b:Source>
  <b:Source>
    <b:Tag>Daw23</b:Tag>
    <b:SourceType>JournalArticle</b:SourceType>
    <b:Guid>{77AC7AF1-41CB-4628-9418-228F26EAEC6E}</b:Guid>
    <b:Title>Profiles of diversity and inclusion motivation: Toward an employee-centered understanding of why employees put effort into inclusion and exclusion</b:Title>
    <b:Year>2023</b:Year>
    <b:JournalName>Huma Resource Management</b:JournalName>
    <b:Pages>45-66</b:Pages>
    <b:Volume>63</b:Volume>
    <b:Issue>1</b:Issue>
    <b:Author>
      <b:Author>
        <b:NameList>
          <b:Person>
            <b:Last>Dawson</b:Last>
            <b:First>Niamh</b:First>
          </b:Person>
          <b:Person>
            <b:Last>Stacey</b:Last>
            <b:First>Parker</b:First>
          </b:Person>
          <b:Person>
            <b:Last>Okimoto</b:Last>
            <b:First>Tyler</b:First>
          </b:Person>
        </b:NameList>
      </b:Author>
    </b:Author>
    <b:RefOrder>63</b:RefOrder>
  </b:Source>
  <b:Source>
    <b:Tag>Hun15</b:Tag>
    <b:SourceType>Report</b:SourceType>
    <b:Guid>{D4DCBF60-BCB8-467E-B120-07CC8CBBF318}</b:Guid>
    <b:Title>Diversty Matters</b:Title>
    <b:Year>2015</b:Year>
    <b:Publisher>McKinsey &amp; Company</b:Publisher>
    <b:City>California</b:City>
    <b:Author>
      <b:Author>
        <b:NameList>
          <b:Person>
            <b:Last>Hunt</b:Last>
            <b:First>Vivian</b:First>
          </b:Person>
          <b:Person>
            <b:Last>Layton</b:Last>
            <b:First>Dennis</b:First>
          </b:Person>
          <b:Person>
            <b:Last>Prince</b:Last>
            <b:First>Sara</b:First>
          </b:Person>
        </b:NameList>
      </b:Author>
    </b:Author>
    <b:RefOrder>65</b:RefOrder>
  </b:Source>
  <b:Source>
    <b:Tag>Mar20</b:Tag>
    <b:SourceType>JournalArticle</b:SourceType>
    <b:Guid>{92CA52B3-9DBF-4ED8-BD98-BAA83A3E4BFB}</b:Guid>
    <b:Title>Gender diversity influence on board effectiveness and business performance</b:Title>
    <b:Year>2020</b:Year>
    <b:JournalName>Coporate Governance</b:JournalName>
    <b:Pages>307-323</b:Pages>
    <b:Volume>20</b:Volume>
    <b:Issue>2</b:Issue>
    <b:Author>
      <b:Author>
        <b:NameList>
          <b:Person>
            <b:Last>Martinez-Jimenez</b:Last>
            <b:First>Rocio</b:First>
          </b:Person>
          <b:Person>
            <b:Last>Herandez-Ortiz</b:Last>
            <b:First>Maria</b:First>
          </b:Person>
          <b:Person>
            <b:Last>Fernandez</b:Last>
            <b:First>Ana</b:First>
          </b:Person>
        </b:NameList>
      </b:Author>
    </b:Author>
    <b:RefOrder>66</b:RefOrder>
  </b:Source>
  <b:Source>
    <b:Tag>Wil231</b:Tag>
    <b:SourceType>Book</b:SourceType>
    <b:Guid>{814FB577-6324-46DE-A3CB-6BFCDB1C3535}</b:Guid>
    <b:Title>The Chief Diversity Officer</b:Title>
    <b:Year>2023</b:Year>
    <b:City>London</b:City>
    <b:Publisher>Taylor &amp; Francis</b:Publisher>
    <b:Author>
      <b:Author>
        <b:NameList>
          <b:Person>
            <b:Last>Williams</b:Last>
            <b:First>Damon</b:First>
          </b:Person>
          <b:Person>
            <b:Last>Wade-Golden</b:Last>
            <b:First>Katrina</b:First>
          </b:Person>
        </b:NameList>
      </b:Author>
    </b:Author>
    <b:RefOrder>68</b:RefOrder>
  </b:Source>
  <b:Source>
    <b:Tag>Dwi23</b:Tag>
    <b:SourceType>JournalArticle</b:SourceType>
    <b:Guid>{3D230C6F-BCDB-4040-8A9D-11D544E09A69}</b:Guid>
    <b:Title>Tick Off the Gender Diversity Box: Examining the Cross-Level Effects of Women’s Representation in Senior Management</b:Title>
    <b:Year>2023</b:Year>
    <b:JournalName>Academy of Management</b:JournalName>
    <b:Author>
      <b:Author>
        <b:NameList>
          <b:Person>
            <b:Last>Dwivedi</b:Last>
            <b:First>Priyanka</b:First>
          </b:Person>
          <b:Person>
            <b:Last>Paolella</b:Last>
            <b:First>Lionel</b:First>
          </b:Person>
        </b:NameList>
      </b:Author>
    </b:Author>
    <b:RefOrder>70</b:RefOrder>
  </b:Source>
  <b:Source>
    <b:Tag>All21</b:Tag>
    <b:SourceType>JournalArticle</b:SourceType>
    <b:Guid>{C4EB0269-9B74-476E-B41B-6CB1048C69FA}</b:Guid>
    <b:Title>Millennial Employees, Psychological Contract Breach, Cultural Differences and Turnover Intentions in the Construction Industry: An Integrative Literature Review</b:Title>
    <b:Year>2021</b:Year>
    <b:JournalName>International School of Management Paris</b:JournalName>
    <b:Author>
      <b:Author>
        <b:NameList>
          <b:Person>
            <b:Last>Allen</b:Last>
            <b:First>Darren</b:First>
          </b:Person>
          <b:Person>
            <b:Last>Halkias</b:Last>
            <b:First>Daphne</b:First>
          </b:Person>
        </b:NameList>
      </b:Author>
    </b:Author>
    <b:RefOrder>52</b:RefOrder>
  </b:Source>
  <b:Source>
    <b:Tag>Uke17</b:Tag>
    <b:SourceType>ConferenceProceedings</b:SourceType>
    <b:Guid>{80668718-7730-4BFE-AA3D-E05803ABF4F4}</b:Guid>
    <b:Title>entoring and Retention of Millennials in United Kingdom: Experiences and Perceptions. In: British Academy of Management (BAM) Conference</b:Title>
    <b:Year>2017</b:Year>
    <b:Publisher>Warwick Business School</b:Publisher>
    <b:City>Warwick</b:City>
    <b:Author>
      <b:Author>
        <b:NameList>
          <b:Person>
            <b:Last>Ukeni</b:Last>
            <b:First>Ijeoma</b:First>
          </b:Person>
          <b:Person>
            <b:Last>Reynolds</b:Last>
            <b:First>Kae</b:First>
          </b:Person>
        </b:NameList>
      </b:Author>
    </b:Author>
    <b:RefOrder>53</b:RefOrder>
  </b:Source>
  <b:Source>
    <b:Tag>Nee16</b:Tag>
    <b:SourceType>JournalArticle</b:SourceType>
    <b:Guid>{4B349D46-D032-4C35-B903-4C3083C1E0F3}</b:Guid>
    <b:Title>Individual differences in fundamental social motives.</b:Title>
    <b:Year>2016</b:Year>
    <b:JournalName>ournal of Personality and Social Psychology</b:JournalName>
    <b:Pages>887-907</b:Pages>
    <b:Volume>110</b:Volume>
    <b:Issue>6</b:Issue>
    <b:Author>
      <b:Author>
        <b:NameList>
          <b:Person>
            <b:Last>Neel</b:Last>
            <b:First>Rebecca</b:First>
          </b:Person>
          <b:Person>
            <b:Last>Kenrick</b:Last>
            <b:First>Douglas</b:First>
          </b:Person>
          <b:Person>
            <b:Last>White</b:Last>
            <b:First>Andrew</b:First>
          </b:Person>
          <b:Person>
            <b:Last>Neuberg</b:Last>
            <b:First>Steven</b:First>
          </b:Person>
        </b:NameList>
      </b:Author>
    </b:Author>
    <b:RefOrder>54</b:RefOrder>
  </b:Source>
  <b:Source>
    <b:Tag>Hej19</b:Tag>
    <b:SourceType>JournalArticle</b:SourceType>
    <b:Guid>{EED5DDC0-56C1-4E5B-9AB5-25E247E738B9}</b:Guid>
    <b:Title>“It’s Like Hating Puppies!” Employee Disengagement and Corporate Social Responsibility</b:Title>
    <b:JournalName>Journal of Business Ethics</b:JournalName>
    <b:Year>2019</b:Year>
    <b:Pages>319-337</b:Pages>
    <b:Volume>157</b:Volume>
    <b:Author>
      <b:Author>
        <b:NameList>
          <b:Person>
            <b:Last>Hejjas</b:Last>
            <b:First>Kelsy</b:First>
          </b:Person>
          <b:Person>
            <b:Last>Miller</b:Last>
            <b:First>Graham</b:First>
          </b:Person>
          <b:Person>
            <b:Last>Scarles</b:Last>
            <b:First>Caroline</b:First>
          </b:Person>
        </b:NameList>
      </b:Author>
    </b:Author>
    <b:RefOrder>55</b:RefOrder>
  </b:Source>
  <b:Source>
    <b:Tag>Leo21</b:Tag>
    <b:SourceType>JournalArticle</b:SourceType>
    <b:Guid>{14A071DB-4F94-4963-9386-E6E99BEB50BE}</b:Guid>
    <b:Author>
      <b:Author>
        <b:NameList>
          <b:Person>
            <b:Last>Consearo</b:Last>
            <b:First>Leon</b:First>
          </b:Person>
        </b:NameList>
      </b:Author>
    </b:Author>
    <b:Title>Economic Substantiality: Skills in the UK Labour Market</b:Title>
    <b:JournalName>The Sustainability Debate</b:JournalName>
    <b:Year>2021</b:Year>
    <b:Pages>35-56</b:Pages>
    <b:Volume>14</b:Volume>
    <b:RefOrder>56</b:RefOrder>
  </b:Source>
  <b:Source>
    <b:Tag>Abe21</b:Tag>
    <b:SourceType>Book</b:SourceType>
    <b:Guid>{47AE60BA-28C8-40E8-A2B8-92C4F9CB050D}</b:Guid>
    <b:Title>Future of Work: Skill Obsolescence, Acquisition of New Skills, and Upskilling in the 4IR</b:Title>
    <b:Year>2021</b:Year>
    <b:Author>
      <b:Author>
        <b:NameList>
          <b:Person>
            <b:Last>Abe</b:Last>
            <b:First>Ethel</b:First>
          </b:Person>
          <b:Person>
            <b:Last>Abe</b:Last>
            <b:First>Isaad</b:First>
          </b:Person>
          <b:Person>
            <b:Last>Adisa</b:Last>
            <b:First>Olalekan</b:First>
          </b:Person>
        </b:NameList>
      </b:Author>
    </b:Author>
    <b:RefOrder>57</b:RefOrder>
  </b:Source>
  <b:Source>
    <b:Tag>Oso19</b:Tag>
    <b:SourceType>JournalArticle</b:SourceType>
    <b:Guid>{AF9A9160-120A-413F-B015-601222A88C2F}</b:Guid>
    <b:Title>Training and its influence on competitive strategy implementation</b:Title>
    <b:Year>2019</b:Year>
    <b:JournalName>Human Resource Development Quarterly</b:JournalName>
    <b:Pages>149-172</b:Pages>
    <b:Volume>31</b:Volume>
    <b:Issue>2</b:Issue>
    <b:Author>
      <b:Author>
        <b:NameList>
          <b:Person>
            <b:Last>Osorio-Londono</b:Last>
            <b:First>Andres</b:First>
          </b:Person>
        </b:NameList>
      </b:Author>
    </b:Author>
    <b:RefOrder>58</b:RefOrder>
  </b:Source>
  <b:Source>
    <b:Tag>Qur13</b:Tag>
    <b:SourceType>JournalArticle</b:SourceType>
    <b:Guid>{56085649-1A8E-4A5E-8FE2-BA02D1D36586}</b:Guid>
    <b:Title>Relationship between job stress, workload, environment and employee turnover intentions: What we know, what should be know</b:Title>
    <b:JournalName>World Applied Sciences Journal</b:JournalName>
    <b:Year>2013</b:Year>
    <b:Pages>764-770</b:Pages>
    <b:Volume>23</b:Volume>
    <b:Issue>6</b:Issue>
    <b:Author>
      <b:Author>
        <b:NameList>
          <b:Person>
            <b:Last>Qureshi</b:Last>
            <b:First>Muhammad</b:First>
          </b:Person>
          <b:Person>
            <b:Last>Iftikhar</b:Last>
            <b:First>Mehwish</b:First>
          </b:Person>
          <b:Person>
            <b:Last>Abbas</b:Last>
            <b:First>Syed</b:First>
          </b:Person>
          <b:Person>
            <b:Last>Hassan</b:Last>
            <b:First>Umar</b:First>
          </b:Person>
          <b:Person>
            <b:Last>Khan</b:Last>
            <b:First>Khalid</b:First>
          </b:Person>
          <b:Person>
            <b:Last>Zaman</b:Last>
            <b:First>Khalid</b:First>
          </b:Person>
        </b:NameList>
      </b:Author>
    </b:Author>
    <b:RefOrder>59</b:RefOrder>
  </b:Source>
  <b:Source>
    <b:Tag>Pur061</b:Tag>
    <b:SourceType>JournalArticle</b:SourceType>
    <b:Guid>{84F8A5F8-8C6A-4BC6-8A92-8807B708060C}</b:Guid>
    <b:Title>Implicit sources of bias in employment interview judgments and decisions</b:Title>
    <b:JournalName>Organisational behaviour and human decision process</b:JournalName>
    <b:Year>2006</b:Year>
    <b:Pages>152-167</b:Pages>
    <b:Volume>101</b:Volume>
    <b:Issue>2</b:Issue>
    <b:Author>
      <b:Author>
        <b:NameList>
          <b:Person>
            <b:Last>Purkiss</b:Last>
            <b:First>Sharon</b:First>
          </b:Person>
          <b:Person>
            <b:Last>Perrewe</b:Last>
            <b:First>Pamela</b:First>
          </b:Person>
          <b:Person>
            <b:Last>Gillespie</b:Last>
            <b:First>Treena</b:First>
          </b:Person>
          <b:Person>
            <b:Last>Mayes</b:Last>
            <b:First>Bronston</b:First>
          </b:Person>
          <b:Person>
            <b:Last>Ferris</b:Last>
            <b:First>Gerald</b:First>
          </b:Person>
        </b:NameList>
      </b:Author>
    </b:Author>
    <b:RefOrder>64</b:RefOrder>
  </b:Source>
  <b:Source>
    <b:Tag>Her051</b:Tag>
    <b:SourceType>Book</b:SourceType>
    <b:Guid>{B4625389-B3C5-4237-AAB8-301EFE479806}</b:Guid>
    <b:Title>Competitive advantage through diversity: Organizational learning from difference.</b:Title>
    <b:Year>2005</b:Year>
    <b:Author>
      <b:Author>
        <b:NameList>
          <b:Person>
            <b:Last>Herriot</b:Last>
            <b:First>Peter</b:First>
          </b:Person>
          <b:Person>
            <b:Last>Pemberton</b:Last>
            <b:First>Carole</b:First>
          </b:Person>
        </b:NameList>
      </b:Author>
    </b:Author>
    <b:Publisher>Sage Publications</b:Publisher>
    <b:RefOrder>69</b:RefOrder>
  </b:Source>
  <b:Source>
    <b:Tag>Gor17</b:Tag>
    <b:SourceType>JournalArticle</b:SourceType>
    <b:Guid>{4A57CE15-4A57-4E5E-BBEB-996143036BA0}</b:Guid>
    <b:Title>Strategies to avoid liability of foreignness when entering a new market</b:Title>
    <b:Year>2017</b:Year>
    <b:JournalName>Journal of Advances in Management Research</b:JournalName>
    <b:Pages>46-68</b:Pages>
    <b:Volume>14</b:Volume>
    <b:Issue>1</b:Issue>
    <b:Author>
      <b:Author>
        <b:NameList>
          <b:Person>
            <b:Last>Gorostidi-Martinez</b:Last>
            <b:First>Haritz</b:First>
          </b:Person>
          <b:Person>
            <b:Last>Zhao</b:Last>
            <b:First>Xiaokang</b:First>
          </b:Person>
        </b:NameList>
      </b:Author>
    </b:Author>
    <b:RefOrder>67</b:RefOrder>
  </b:Source>
  <b:Source>
    <b:Tag>WHi00</b:Tag>
    <b:SourceType>Report</b:SourceType>
    <b:Guid>{7ADA8F34-65BC-46EE-960D-6284FC420F1E}</b:Guid>
    <b:Title>Succession Planning Demystified</b:Title>
    <b:Year>2000</b:Year>
    <b:Author>
      <b:Author>
        <b:NameList>
          <b:Person>
            <b:Last>Hirsh</b:Last>
            <b:First>W</b:First>
          </b:Person>
        </b:NameList>
      </b:Author>
    </b:Author>
    <b:Publisher>IES Research</b:Publisher>
    <b:City>Brighton</b:City>
    <b:RefOrder>23</b:RefOrder>
  </b:Source>
  <b:Source>
    <b:Tag>Per16</b:Tag>
    <b:SourceType>Case</b:SourceType>
    <b:Guid>{73B9ABF4-6DBF-4577-AEFD-9AA0D14DA349}</b:Guid>
    <b:Title>Perez Lopez v Servicio Madrileno IRLR 970</b:Title>
    <b:Year>2016</b:Year>
    <b:RefOrder>90</b:RefOrder>
  </b:Source>
  <b:Source>
    <b:Tag>Par08</b:Tag>
    <b:SourceType>JournalArticle</b:SourceType>
    <b:Guid>{CF4263A6-9634-45F3-99D3-5CCCD8657D9E}</b:Guid>
    <b:Title>An analysis of the use and success of online recruitment methods in the UK</b:Title>
    <b:Year>2008</b:Year>
    <b:JournalName>Human Resource Management Journal</b:JournalName>
    <b:Pages>257-274</b:Pages>
    <b:Volume>18</b:Volume>
    <b:Issue>3</b:Issue>
    <b:Author>
      <b:Author>
        <b:NameList>
          <b:Person>
            <b:Last>Parry</b:Last>
            <b:First>Emma</b:First>
          </b:Person>
          <b:Person>
            <b:Last>Tyson</b:Last>
            <b:First>Shaun</b:First>
          </b:Person>
        </b:NameList>
      </b:Author>
    </b:Author>
    <b:RefOrder>5</b:RefOrder>
  </b:Source>
  <b:Source>
    <b:Tag>Ped20</b:Tag>
    <b:SourceType>JournalArticle</b:SourceType>
    <b:Guid>{3CCF6988-3114-48EC-B269-5006FF4D9CF4}</b:Guid>
    <b:Title>Life satisfaction of employees, labour market tightness and matching efficiency</b:Title>
    <b:JournalName>International Journal of Manpower</b:JournalName>
    <b:Year>2020</b:Year>
    <b:Pages>341-355</b:Pages>
    <b:Volume>42</b:Volume>
    <b:Issue>3</b:Issue>
    <b:Author>
      <b:Author>
        <b:NameList>
          <b:Person>
            <b:Last>Pedraza</b:Last>
            <b:First>Pablo</b:First>
          </b:Person>
          <b:Person>
            <b:Last>Guzi</b:Last>
            <b:First>Martin</b:First>
          </b:Person>
          <b:Person>
            <b:Last>Tijdens</b:Last>
            <b:First>Kea</b:First>
          </b:Person>
        </b:NameList>
      </b:Author>
    </b:Author>
    <b:RefOrder>6</b:RefOrder>
  </b:Source>
  <b:Source>
    <b:Tag>Edm23</b:Tag>
    <b:SourceType>JournalArticle</b:SourceType>
    <b:Guid>{44AB5C97-8D86-400B-BC95-8D589180EA49}</b:Guid>
    <b:Title>Employee Satisfaction, Labor Market Flexibility, and Stock Returns Around the World</b:Title>
    <b:JournalName>Institute for Operations Research and the Management Sciences</b:JournalName>
    <b:Year>2023</b:Year>
    <b:Author>
      <b:Author>
        <b:NameList>
          <b:Person>
            <b:Last>Edmans</b:Last>
            <b:First>Alex</b:First>
          </b:Person>
          <b:Person>
            <b:Last>Pu</b:Last>
            <b:First>Darcy</b:First>
          </b:Person>
          <b:Person>
            <b:Last>Zhang</b:Last>
            <b:First>Chendi</b:First>
          </b:Person>
          <b:Person>
            <b:Last>Li</b:Last>
            <b:First>Lucius</b:First>
          </b:Person>
        </b:NameList>
      </b:Author>
    </b:Author>
    <b:RefOrder>7</b:RefOrder>
  </b:Source>
  <b:Source>
    <b:Tag>McC19</b:Tag>
    <b:SourceType>BookSection</b:SourceType>
    <b:Guid>{980442FB-D019-489D-B60E-0178037E2580}</b:Guid>
    <b:Title>Oiling the wheels? Flexible labour markets and the migration industry</b:Title>
    <b:Year>2019</b:Year>
    <b:Pages>17</b:Pages>
    <b:Publisher>Routledge</b:Publisher>
    <b:Author>
      <b:Author>
        <b:NameList>
          <b:Person>
            <b:Last>McCollum</b:Last>
            <b:First>David</b:First>
          </b:Person>
          <b:Person>
            <b:Last>Findlay</b:Last>
            <b:First>Allan</b:First>
          </b:Person>
        </b:NameList>
      </b:Author>
    </b:Author>
    <b:BookTitle>Exploring the migration industries</b:BookTitle>
    <b:RefOrder>8</b:RefOrder>
  </b:Source>
  <b:Source>
    <b:Tag>Abe20</b:Tag>
    <b:SourceType>JournalArticle</b:SourceType>
    <b:Guid>{8369C4EE-EDF6-4A13-B2D4-FD6A13CC74FA}</b:Guid>
    <b:Title>Plan, recruit, retain: a framework for local healthcare organizations to achieve a stable remote rural workforce</b:Title>
    <b:Year>2020</b:Year>
    <b:Author>
      <b:Author>
        <b:NameList>
          <b:Person>
            <b:Last>Abelsen</b:Last>
            <b:First>Birgit</b:First>
          </b:Person>
        </b:NameList>
      </b:Author>
    </b:Author>
    <b:JournalName>Human Resources for health</b:JournalName>
    <b:Volume>18</b:Volume>
    <b:Issue>63</b:Issue>
    <b:RefOrder>9</b:RefOrder>
  </b:Source>
  <b:Source>
    <b:Tag>Car21</b:Tag>
    <b:SourceType>JournalArticle</b:SourceType>
    <b:Guid>{F0C5EEC3-0B6C-49E3-9707-E98D2E043790}</b:Guid>
    <b:Title>The matching scarcity problem: When recommenders do not connect the edges in recruitment services</b:Title>
    <b:JournalName>Expert Systems with Applications</b:JournalName>
    <b:Year>2021</b:Year>
    <b:Volume>175</b:Volume>
    <b:Author>
      <b:Author>
        <b:NameList>
          <b:Person>
            <b:Last>Cardoso</b:Last>
            <b:First>Alan</b:First>
          </b:Person>
          <b:Person>
            <b:Last>Mourao</b:Last>
            <b:First>Fernando</b:First>
          </b:Person>
          <b:Person>
            <b:Last>Rocha</b:Last>
            <b:First>Leonardo</b:First>
          </b:Person>
        </b:NameList>
      </b:Author>
    </b:Author>
    <b:RefOrder>10</b:RefOrder>
  </b:Source>
  <b:Source>
    <b:Tag>Gru20</b:Tag>
    <b:SourceType>JournalArticle</b:SourceType>
    <b:Guid>{7CF7B368-FBEF-4BFF-9E36-15DD6ADDE7AC}</b:Guid>
    <b:Title>Forecasting extreme labor displacement: A survey of AI practitioners</b:Title>
    <b:JournalName>Technological Forecasting and Social Change</b:JournalName>
    <b:Year>2020</b:Year>
    <b:Volume>161</b:Volume>
    <b:Author>
      <b:Author>
        <b:NameList>
          <b:Person>
            <b:Last>Gruetzemacher</b:Last>
            <b:First>Ross</b:First>
          </b:Person>
          <b:Person>
            <b:Last>Paradice</b:Last>
            <b:First>David</b:First>
          </b:Person>
          <b:Person>
            <b:Last>Bok</b:Last>
            <b:First>Lee</b:First>
          </b:Person>
        </b:NameList>
      </b:Author>
    </b:Author>
    <b:RefOrder>13</b:RefOrder>
  </b:Source>
  <b:Source>
    <b:Tag>Jai20</b:Tag>
    <b:SourceType>JournalArticle</b:SourceType>
    <b:Guid>{35B3F26D-5D18-4184-B85F-8CA573E415A4}</b:Guid>
    <b:Title>Rebooting employees: upskilling for artificial intelligence in multinational corporations</b:Title>
    <b:JournalName>The International Journal of Human Resource Management</b:JournalName>
    <b:Year>2020</b:Year>
    <b:Pages>1179-1208</b:Pages>
    <b:Volume>33</b:Volume>
    <b:Issue>6</b:Issue>
    <b:Author>
      <b:Author>
        <b:NameList>
          <b:Person>
            <b:Last>Jaiswal</b:Last>
            <b:First>Akanksha</b:First>
          </b:Person>
          <b:Person>
            <b:Last>Arun</b:Last>
            <b:First>Joe</b:First>
          </b:Person>
          <b:Person>
            <b:Last>Verma</b:Last>
            <b:First>Arup</b:First>
          </b:Person>
        </b:NameList>
      </b:Author>
    </b:Author>
    <b:RefOrder>14</b:RefOrder>
  </b:Source>
  <b:Source>
    <b:Tag>Hee00</b:Tag>
    <b:SourceType>BookSection</b:SourceType>
    <b:Guid>{B8FA02A4-BDE0-4DE5-8366-63C6C6A52DF9}</b:Guid>
    <b:Title>Trade Unions and the insecure workforce</b:Title>
    <b:Year>2000</b:Year>
    <b:Pages>26</b:Pages>
    <b:BookTitle>The insecure workforce</b:BookTitle>
    <b:Publisher>Routledge</b:Publisher>
    <b:Author>
      <b:Author>
        <b:NameList>
          <b:Person>
            <b:Last>Heery</b:Last>
            <b:First>Edmund</b:First>
          </b:Person>
          <b:Person>
            <b:Last>Abbott</b:Last>
            <b:First>Brian</b:First>
          </b:Person>
        </b:NameList>
      </b:Author>
    </b:Author>
    <b:RefOrder>16</b:RefOrder>
  </b:Source>
  <b:Source>
    <b:Tag>Rah24</b:Tag>
    <b:SourceType>JournalArticle</b:SourceType>
    <b:Guid>{EDCFA248-1CFA-41CE-B49B-DB460B315441}</b:Guid>
    <b:Title>Predictive Analytics for Strategic Workforce Planning: A CrossIndustry Perspective from Energy and Telecommunications</b:Title>
    <b:Year>2024</b:Year>
    <b:JournalName>International Journal of Business Diplomacy and Economy</b:JournalName>
    <b:Volume>3</b:Volume>
    <b:Issue>2</b:Issue>
    <b:Author>
      <b:Author>
        <b:NameList>
          <b:Person>
            <b:Last>Rahaman</b:Last>
            <b:First>Atiqur</b:First>
          </b:Person>
          <b:Person>
            <b:Last>Bari</b:Last>
            <b:First>Hasanajummaan</b:First>
          </b:Person>
        </b:NameList>
      </b:Author>
    </b:Author>
    <b:RefOrder>21</b:RefOrder>
  </b:Source>
  <b:Source>
    <b:Tag>Sok24</b:Tag>
    <b:SourceType>BookSection</b:SourceType>
    <b:Guid>{7626F48D-D0B9-4A11-9894-7223BE1B8502}</b:Guid>
    <b:Title>Adaptive workforce planning approaches that are business-led</b:Title>
    <b:Year>2024</b:Year>
    <b:Pages>247</b:Pages>
    <b:BookTitle>Strategic Workforce Planning: Best Practices and Emerging Directions</b:BookTitle>
    <b:City>Oxford</b:City>
    <b:Publisher>Oxford University Press</b:Publisher>
    <b:Author>
      <b:Author>
        <b:NameList>
          <b:Person>
            <b:Last>Sokol</b:Last>
            <b:First>Mark</b:First>
          </b:Person>
          <b:Person>
            <b:Last>Tarulli</b:Last>
            <b:First>Beverly</b:First>
          </b:Person>
        </b:NameList>
      </b:Author>
    </b:Author>
    <b:RefOrder>22</b:RefOrder>
  </b:Source>
  <b:Source>
    <b:Tag>Atw20</b:Tag>
    <b:SourceType>Book</b:SourceType>
    <b:Guid>{85021143-C070-4E33-AC57-209BBDD72799}</b:Guid>
    <b:Title>Succession Planning Basics</b:Title>
    <b:Year>2020</b:Year>
    <b:Edition>2nd</b:Edition>
    <b:Author>
      <b:Author>
        <b:NameList>
          <b:Person>
            <b:Last>Atwood</b:Last>
            <b:First>Christee</b:First>
          </b:Person>
        </b:NameList>
      </b:Author>
    </b:Author>
    <b:RefOrder>24</b:RefOrder>
  </b:Source>
  <b:Source>
    <b:Tag>Per21</b:Tag>
    <b:SourceType>JournalArticle</b:SourceType>
    <b:Guid>{1E77E367-B436-476F-A550-19DBAD6404A9}</b:Guid>
    <b:Title>Analysis on the effect of work-life balance and career development on turnover intention for millennial generations</b:Title>
    <b:Year>2021</b:Year>
    <b:JournalName>Management and Entrepreneurship: Trends of Development</b:JournalName>
    <b:Volume>1</b:Volume>
    <b:Issue>15</b:Issue>
    <b:Author>
      <b:Author>
        <b:NameList>
          <b:Person>
            <b:Last>Perwatiningsih</b:Last>
            <b:First>Erna</b:First>
          </b:Person>
          <b:Person>
            <b:Last>Sawitri</b:Last>
            <b:First>Hunik</b:First>
          </b:Person>
        </b:NameList>
      </b:Author>
    </b:Author>
    <b:RefOrder>25</b:RefOrder>
  </b:Source>
  <b:Source>
    <b:Tag>CIP246</b:Tag>
    <b:SourceType>InternetSite</b:SourceType>
    <b:Guid>{26ECBE0B-0127-448A-8F07-3D3B7CD4E792}</b:Guid>
    <b:Author>
      <b:Author>
        <b:Corporate>CIPD</b:Corporate>
      </b:Author>
    </b:Author>
    <b:Title>Succession Planning</b:Title>
    <b:Year>2024</b:Year>
    <b:YearAccessed>2024</b:YearAccessed>
    <b:MonthAccessed>6</b:MonthAccessed>
    <b:DayAccessed>25</b:DayAccessed>
    <b:URL>https://www.cipd.org/uk/knowledge/factsheets/succession-planning-factsheet/</b:URL>
    <b:RefOrder>26</b:RefOrder>
  </b:Source>
  <b:Source>
    <b:Tag>Ara22</b:Tag>
    <b:SourceType>JournalArticle</b:SourceType>
    <b:Guid>{F1D3BE1E-A780-44A4-9F57-61E251151DC9}</b:Guid>
    <b:Title>Perceptions of succession planning in family-owned businesses</b:Title>
    <b:Year>2022</b:Year>
    <b:JournalName>Journal of the international council for small business</b:JournalName>
    <b:Pages>337-349</b:Pages>
    <b:Volume>3</b:Volume>
    <b:Issue>4</b:Issue>
    <b:Author>
      <b:Author>
        <b:NameList>
          <b:Person>
            <b:Last>Arambhan</b:Last>
            <b:First>Pooja</b:First>
          </b:Person>
          <b:Person>
            <b:Last>Seetharaman</b:Last>
            <b:First>A</b:First>
          </b:Person>
        </b:NameList>
      </b:Author>
    </b:Author>
    <b:RefOrder>27</b:RefOrder>
  </b:Source>
  <b:Source>
    <b:Tag>Ara23</b:Tag>
    <b:SourceType>ConferenceProceedings</b:SourceType>
    <b:Guid>{26F277BC-B131-4047-BD30-C3B4FA2694C0}</b:Guid>
    <b:Title>Gender-Inclusive, Sustainable, Frugal and Innovative Methods in Succession Planning for Indian Small and Medium Enterprises Family-Owned Businesses</b:Title>
    <b:Year>2023</b:Year>
    <b:Publisher>Springer</b:Publisher>
    <b:Author>
      <b:Author>
        <b:NameList>
          <b:Person>
            <b:Last>Arambhan</b:Last>
            <b:First>Pooja</b:First>
          </b:Person>
          <b:Person>
            <b:Last>Seow</b:Last>
            <b:First>Jireh</b:First>
          </b:Person>
          <b:Person>
            <b:Last>Ranjan</b:Last>
            <b:First>Bhanu</b:First>
          </b:Person>
        </b:NameList>
      </b:Author>
    </b:Author>
    <b:RefOrder>28</b:RefOrder>
  </b:Source>
  <b:Source>
    <b:Tag>Mel15</b:Tag>
    <b:SourceType>JournalArticle</b:SourceType>
    <b:Guid>{60569747-B170-4BBA-B4AD-AA0E4CCE8ABE}</b:Guid>
    <b:Title>The Use of Social Network Sites as an E-Recruitment Tool</b:Title>
    <b:Year>2015</b:Year>
    <b:JournalName>Journal of transnational management</b:JournalName>
    <b:Pages>31-49</b:Pages>
    <b:Volume>20</b:Volume>
    <b:Issue>1</b:Issue>
    <b:Author>
      <b:Author>
        <b:NameList>
          <b:Person>
            <b:Last>Melanthiou</b:Last>
            <b:First>Yioula</b:First>
          </b:Person>
          <b:Person>
            <b:Last>Pavlou</b:Last>
            <b:First>Fotis</b:First>
          </b:Person>
          <b:Person>
            <b:Last>Constantinou</b:Last>
            <b:First>Eleni</b:First>
          </b:Person>
        </b:NameList>
      </b:Author>
    </b:Author>
    <b:RefOrder>29</b:RefOrder>
  </b:Source>
  <b:Source>
    <b:Tag>Ker13</b:Tag>
    <b:SourceType>JournalArticle</b:SourceType>
    <b:Guid>{EFDCA092-FC47-460A-BC86-185571959314}</b:Guid>
    <b:Title>Website success comparison in the context of e-recruitment: An analytic network process (ANP) approach</b:Title>
    <b:JournalName>Applied soft computing</b:JournalName>
    <b:Year>2013</b:Year>
    <b:Pages>173-180</b:Pages>
    <b:Volume>13</b:Volume>
    <b:Issue>1</b:Issue>
    <b:Author>
      <b:Author>
        <b:NameList>
          <b:Person>
            <b:Last>Keramati</b:Last>
            <b:First>Abbas</b:First>
          </b:Person>
          <b:Person>
            <b:Last>Salehi</b:Last>
            <b:First>Mona</b:First>
          </b:Person>
        </b:NameList>
      </b:Author>
    </b:Author>
    <b:RefOrder>30</b:RefOrder>
  </b:Source>
  <b:Source>
    <b:Tag>Ade21</b:Tag>
    <b:SourceType>JournalArticle</b:SourceType>
    <b:Guid>{B6B28DB3-B91C-46CD-8999-6589B1740789}</b:Guid>
    <b:Title>Research and scholarly methods: Semi-structured interviews</b:Title>
    <b:JournalName>Journal of the american college of clinical pharmacy</b:JournalName>
    <b:Year>2021</b:Year>
    <b:Pages>1358-1367</b:Pages>
    <b:Volume>4</b:Volume>
    <b:Issue>10</b:Issue>
    <b:Author>
      <b:Author>
        <b:NameList>
          <b:Person>
            <b:Last>Adeoye-Olatunde</b:Last>
            <b:First>Omolala</b:First>
          </b:Person>
          <b:Person>
            <b:Last>Olenik</b:Last>
            <b:First>Nicole</b:First>
          </b:Person>
        </b:NameList>
      </b:Author>
    </b:Author>
    <b:RefOrder>31</b:RefOrder>
  </b:Source>
  <b:Source>
    <b:Tag>Ber22</b:Tag>
    <b:SourceType>JournalArticle</b:SourceType>
    <b:Guid>{83373D01-ED1A-4C87-B73B-5B12A9FC7921}</b:Guid>
    <b:Title>Best Practices for Reducing Bias in the Interview Process</b:Title>
    <b:JournalName>Current Urology reports</b:JournalName>
    <b:Year>2022</b:Year>
    <b:Pages>319-325</b:Pages>
    <b:Volume>23</b:Volume>
    <b:Author>
      <b:Author>
        <b:NameList>
          <b:Person>
            <b:Last>Bergelson</b:Last>
            <b:First>Ilana</b:First>
          </b:Person>
          <b:Person>
            <b:Last>Tracy</b:Last>
            <b:First>Chad</b:First>
          </b:Person>
          <b:Person>
            <b:Last>Takacs</b:Last>
            <b:First>Elizabeth</b:First>
          </b:Person>
        </b:NameList>
      </b:Author>
    </b:Author>
    <b:RefOrder>32</b:RefOrder>
  </b:Source>
  <b:Source>
    <b:Tag>Van02</b:Tag>
    <b:SourceType>JournalArticle</b:SourceType>
    <b:Guid>{B540E77C-1A20-4DD4-90C3-02C656DFC1D6}</b:Guid>
    <b:Title>Why are structured interviews so rarely used in personnel selection?</b:Title>
    <b:JournalName>Journal of applied psychology</b:JournalName>
    <b:Year>2002</b:Year>
    <b:Pages>176-184</b:Pages>
    <b:Volume>87</b:Volume>
    <b:Issue>1</b:Issue>
    <b:Author>
      <b:Author>
        <b:NameList>
          <b:Person>
            <b:Last>Van Der Zee</b:Last>
            <b:First>Karen</b:First>
          </b:Person>
          <b:Person>
            <b:Last>Bakker</b:Last>
            <b:First>Arnold</b:First>
          </b:Person>
          <b:Person>
            <b:Last>Bakker</b:Last>
            <b:First>Paulien</b:First>
          </b:Person>
        </b:NameList>
      </b:Author>
    </b:Author>
    <b:RefOrder>33</b:RefOrder>
  </b:Source>
  <b:Source>
    <b:Tag>Bat14</b:Tag>
    <b:SourceType>JournalArticle</b:SourceType>
    <b:Guid>{93C4719C-FA35-4E82-AD02-3606106831E3}</b:Guid>
    <b:Title>Psychometric sifting to efficiently select the right service employees</b:Title>
    <b:JournalName>Managing service quality: An international journal</b:JournalName>
    <b:Year>2014</b:Year>
    <b:Volume>24</b:Volume>
    <b:Issue>5</b:Issue>
    <b:Author>
      <b:Author>
        <b:NameList>
          <b:Person>
            <b:Last>Bateson</b:Last>
            <b:First>John</b:First>
          </b:Person>
          <b:Person>
            <b:Last>Wirtz</b:Last>
            <b:First>Jochen</b:First>
          </b:Person>
          <b:Person>
            <b:Last>Burke</b:Last>
            <b:First>Eugene</b:First>
          </b:Person>
          <b:Person>
            <b:Last>Vaughan</b:Last>
            <b:First>Carly</b:First>
          </b:Person>
        </b:NameList>
      </b:Author>
    </b:Author>
    <b:RefOrder>34</b:RefOrder>
  </b:Source>
  <b:Source>
    <b:Tag>Rob17</b:Tag>
    <b:SourceType>BookSection</b:SourceType>
    <b:Guid>{5B70160B-E108-413D-A884-6BAF809C0901}</b:Guid>
    <b:Title>HR Applications of Psychometrics</b:Title>
    <b:Year>2017</b:Year>
    <b:Author>
      <b:Author>
        <b:NameList>
          <b:Person>
            <b:Last>Bailey</b:Last>
            <b:First>Rob</b:First>
          </b:Person>
        </b:NameList>
      </b:Author>
    </b:Author>
    <b:BookTitle>Psychometric Testing: Critical Perspectives, First Edition</b:BookTitle>
    <b:Publisher>John Wiley &amp; Sons</b:Publisher>
    <b:RefOrder>35</b:RefOrder>
  </b:Source>
  <b:Source>
    <b:Tag>Sin19</b:Tag>
    <b:SourceType>JournalArticle</b:SourceType>
    <b:Guid>{B8789E51-E1CC-44DB-A31E-12CC5C1229F3}</b:Guid>
    <b:Title>Voice matters: why HR should listen to employee voice?</b:Title>
    <b:Year>2019</b:Year>
    <b:JournalName>Stragetic HR Review</b:JournalName>
    <b:Volume>18</b:Volume>
    <b:Issue>6</b:Issue>
    <b:Author>
      <b:Author>
        <b:NameList>
          <b:Person>
            <b:Last>Singh</b:Last>
            <b:First>Swati</b:First>
          </b:Person>
          <b:Person>
            <b:Last>Vanka</b:Last>
            <b:First>Sita</b:First>
          </b:Person>
        </b:NameList>
      </b:Author>
    </b:Author>
    <b:RefOrder>43</b:RefOrder>
  </b:Source>
  <b:Source>
    <b:Tag>Wal11</b:Tag>
    <b:SourceType>JournalArticle</b:SourceType>
    <b:Guid>{2FB9CA2F-7FC2-4B82-B922-23B943A456D6}</b:Guid>
    <b:Title>Understanding transformational leadership–employee performance links: The role of relational identification and self-efficacy</b:Title>
    <b:JournalName>Journal of occupational and organisational psychology</b:JournalName>
    <b:Year>2011</b:Year>
    <b:Pages>153-172</b:Pages>
    <b:Volume>84</b:Volume>
    <b:Issue>1</b:Issue>
    <b:Author>
      <b:Author>
        <b:NameList>
          <b:Person>
            <b:Last>Walumbwa</b:Last>
            <b:First>Fred</b:First>
          </b:Person>
          <b:Person>
            <b:Last>Hartnell</b:Last>
            <b:First>Chad</b:First>
          </b:Person>
        </b:NameList>
      </b:Author>
    </b:Author>
    <b:RefOrder>44</b:RefOrder>
  </b:Source>
  <b:Source>
    <b:Tag>Sch201</b:Tag>
    <b:SourceType>BookSection</b:SourceType>
    <b:Guid>{53746DAD-1BB1-40E6-842F-2875C7FA1B45}</b:Guid>
    <b:Title>Chapter 2: Fishing for diversity in legal talent pools: Recruiting early talent at Pinsent Mason</b:Title>
    <b:Year>2020</b:Year>
    <b:Pages>7-13</b:Pages>
    <b:BookTitle>Case Studies in Work, Employment and Human Resource Management</b:BookTitle>
    <b:Author>
      <b:Author>
        <b:NameList>
          <b:Person>
            <b:Last>Scholarios</b:Last>
            <b:First>Dora</b:First>
          </b:Person>
          <b:Person>
            <b:Last>Hurrell</b:Last>
            <b:First>Scott</b:First>
          </b:Person>
        </b:NameList>
      </b:Author>
    </b:Author>
    <b:RefOrder>45</b:RefOrder>
  </b:Source>
  <b:Source>
    <b:Tag>Gom191</b:Tag>
    <b:SourceType>JournalArticle</b:SourceType>
    <b:Guid>{DE29FA65-190B-48E3-A0AD-74B82CCE14F8}</b:Guid>
    <b:Title>Diversity improves performance and outcomes</b:Title>
    <b:Year>2019</b:Year>
    <b:Pages>383-392</b:Pages>
    <b:JournalName>Journal of the National Medical Association</b:JournalName>
    <b:Volume>111</b:Volume>
    <b:Issue>4</b:Issue>
    <b:Author>
      <b:Author>
        <b:NameList>
          <b:Person>
            <b:Last>Gomez</b:Last>
            <b:First>L</b:First>
          </b:Person>
          <b:Person>
            <b:Last>Bernet</b:Last>
            <b:First>Patrick</b:First>
          </b:Person>
        </b:NameList>
      </b:Author>
    </b:Author>
    <b:RefOrder>46</b:RefOrder>
  </b:Source>
  <b:Source>
    <b:Tag>Pee201</b:Tag>
    <b:SourceType>JournalArticle</b:SourceType>
    <b:Guid>{6F6E1BCE-5A7C-49D1-BA17-18F9B42519A4}</b:Guid>
    <b:Title>People analytics effectiveness: developing a framework</b:Title>
    <b:JournalName>Journal of Organizational Effectiveness: People and Performance</b:JournalName>
    <b:Year>2020</b:Year>
    <b:Volume>7</b:Volume>
    <b:Issue>2</b:Issue>
    <b:Author>
      <b:Author>
        <b:NameList>
          <b:Person>
            <b:Last>Peeters</b:Last>
            <b:First>Tina</b:First>
          </b:Person>
          <b:Person>
            <b:Last>Paauwe</b:Last>
            <b:First>Jaap</b:First>
          </b:Person>
          <b:Person>
            <b:Last>Van De Voorde</b:Last>
            <b:First>Karina</b:First>
          </b:Person>
        </b:NameList>
      </b:Author>
    </b:Author>
    <b:RefOrder>47</b:RefOrder>
  </b:Source>
  <b:Source>
    <b:Tag>Tur21</b:Tag>
    <b:SourceType>JournalArticle</b:SourceType>
    <b:Guid>{0B7D6481-70EE-4719-B950-86B04FA9F776}</b:Guid>
    <b:Title>The ethics of people analytics: risks, opportunities and recommendations</b:Title>
    <b:JournalName>Personnel Review</b:JournalName>
    <b:Year>2021</b:Year>
    <b:Volume>51</b:Volume>
    <b:Issue>3</b:Issue>
    <b:Author>
      <b:Author>
        <b:NameList>
          <b:Person>
            <b:Last>Tursunbayeva</b:Last>
            <b:First>Aizhan</b:First>
          </b:Person>
          <b:Person>
            <b:Last>Pagliari</b:Last>
            <b:First>Claudia</b:First>
          </b:Person>
          <b:Person>
            <b:Last>Di Lauro</b:Last>
            <b:First>Stefano</b:First>
          </b:Person>
        </b:NameList>
      </b:Author>
    </b:Author>
    <b:RefOrder>48</b:RefOrder>
  </b:Source>
  <b:Source>
    <b:Tag>Wil20</b:Tag>
    <b:SourceType>JournalArticle</b:SourceType>
    <b:Guid>{2984083A-FA86-46CF-B6EE-57678337B28B}</b:Guid>
    <b:Title>Toward an integration of research on employee voice</b:Title>
    <b:JournalName>Human Resource Management Review</b:JournalName>
    <b:Year>2020</b:Year>
    <b:Volume>30</b:Volume>
    <b:Issue>1</b:Issue>
    <b:Author>
      <b:Author>
        <b:NameList>
          <b:Person>
            <b:Last>Wilkinson</b:Last>
            <b:First>Adrian</b:First>
          </b:Person>
          <b:Person>
            <b:Last>Barry</b:Last>
            <b:First>Michael</b:First>
          </b:Person>
          <b:Person>
            <b:Last>Morrison</b:Last>
            <b:First>Elizabeth</b:First>
          </b:Person>
        </b:NameList>
      </b:Author>
    </b:Author>
    <b:RefOrder>49</b:RefOrder>
  </b:Source>
  <b:Source>
    <b:Tag>Pot23</b:Tag>
    <b:SourceType>JournalArticle</b:SourceType>
    <b:Guid>{84BA94E7-8EE7-4F53-97EB-7E3271BC0C71}</b:Guid>
    <b:Title>mployee Voice, Employee Involvement, and Organizational Change Readiness: Mediating Role of Commitment-to-Change and Moderating Role of Transformational Leadership.</b:Title>
    <b:JournalName>Business Perspectives and Research</b:JournalName>
    <b:Year>2023</b:Year>
    <b:Pages>355-371</b:Pages>
    <b:Volume>11</b:Volume>
    <b:Issue>3</b:Issue>
    <b:Author>
      <b:Author>
        <b:NameList>
          <b:Person>
            <b:Last>Potnuru</b:Last>
            <b:First>Rama</b:First>
          </b:Person>
          <b:Person>
            <b:Last>Sharma</b:Last>
            <b:First>Rohini</b:First>
          </b:Person>
          <b:Person>
            <b:Last>Sahoo</b:Last>
            <b:First>Chandan</b:First>
          </b:Person>
        </b:NameList>
      </b:Author>
    </b:Author>
    <b:RefOrder>50</b:RefOrder>
  </b:Source>
  <b:Source>
    <b:Tag>Kli18</b:Tag>
    <b:SourceType>JournalArticle</b:SourceType>
    <b:Guid>{992873D2-E094-4532-B0E5-B473A255B6E2}</b:Guid>
    <b:Title>When Does What Other People Think Matter? The Influence of Age on the Motivators of Organizational Identification</b:Title>
    <b:JournalName>Journal of Business and Psychology</b:JournalName>
    <b:Year>2018</b:Year>
    <b:Pages>879-891</b:Pages>
    <b:Volume>34</b:Volume>
    <b:Author>
      <b:Author>
        <b:NameList>
          <b:Person>
            <b:Last>Klimchak</b:Last>
            <b:First>Malayka</b:First>
          </b:Person>
          <b:Person>
            <b:Last>Ward</b:Last>
            <b:First>Anna-Katherine</b:First>
          </b:Person>
          <b:Person>
            <b:Last>Matthews</b:Last>
            <b:First>Michael</b:First>
          </b:Person>
          <b:Person>
            <b:Last>Robbins</b:Last>
            <b:First>Keith</b:First>
          </b:Person>
          <b:Person>
            <b:Last>Zhang</b:Last>
            <b:First>Haozhen</b:First>
          </b:Person>
        </b:NameList>
      </b:Author>
    </b:Author>
    <b:RefOrder>51</b:RefOrder>
  </b:Source>
  <b:Source>
    <b:Tag>Une23</b:Tag>
    <b:SourceType>InternetSite</b:SourceType>
    <b:Guid>{81F057CC-8662-4D0C-8B9C-25B462D8B44E}</b:Guid>
    <b:Title>Permanent Contract</b:Title>
    <b:Year>2023</b:Year>
    <b:Author>
      <b:Author>
        <b:Corporate>Unesco</b:Corporate>
      </b:Author>
    </b:Author>
    <b:YearAccessed>2024</b:YearAccessed>
    <b:MonthAccessed>6</b:MonthAccessed>
    <b:DayAccessed>20</b:DayAccessed>
    <b:URL>https://uis.unesco.org/node/3297477</b:URL>
    <b:RefOrder>79</b:RefOrder>
  </b:Source>
  <b:Source>
    <b:Tag>ACA238</b:Tag>
    <b:SourceType>InternetSite</b:SourceType>
    <b:Guid>{DB7B6EC7-1B29-488F-A46F-07BEE37D89A9}</b:Guid>
    <b:Author>
      <b:Author>
        <b:Corporate>ACAS</b:Corporate>
      </b:Author>
    </b:Author>
    <b:Title>Employment contracts and the law</b:Title>
    <b:Year>2023</b:Year>
    <b:YearAccessed>2024</b:YearAccessed>
    <b:MonthAccessed>6</b:MonthAccessed>
    <b:DayAccessed>5</b:DayAccessed>
    <b:URL>https://www.acas.org.uk/employment-contracts-and-the-law/types-of-terms-in-a-contract#:~:text='express%20terms'%20%E2%80%93%20specific%20terms,that%20come%20from%20employment%20law</b:URL>
    <b:RefOrder>80</b:RefOrder>
  </b:Source>
  <b:Source>
    <b:Tag>TUC22</b:Tag>
    <b:SourceType>InternetSite</b:SourceType>
    <b:Guid>{B20472B2-4E9B-4F8A-9221-4E1E1E48367C}</b:Guid>
    <b:Author>
      <b:Author>
        <b:Corporate>TUC</b:Corporate>
      </b:Author>
    </b:Author>
    <b:Title>What is the difference between implied and express terms in an employment contract?</b:Title>
    <b:Year>2022</b:Year>
    <b:YearAccessed>2024</b:YearAccessed>
    <b:MonthAccessed>6</b:MonthAccessed>
    <b:DayAccessed>3</b:DayAccessed>
    <b:URL>https://www.tuc.org.uk/guidance/what-difference-between-implied-and-express-terms-employment-contract</b:URL>
    <b:RefOrder>81</b:RefOrder>
  </b:Source>
  <b:Source>
    <b:Tag>Dav18</b:Tag>
    <b:SourceType>Book</b:SourceType>
    <b:Guid>{161071A7-E155-4CC2-97AB-33C4F99D2CCD}</b:Guid>
    <b:Title>Effective Onboarding</b:Title>
    <b:Year>2018</b:Year>
    <b:City>New York</b:City>
    <b:Publisher>ATD press</b:Publisher>
    <b:Author>
      <b:Author>
        <b:NameList>
          <b:Person>
            <b:Last>Davila</b:Last>
            <b:First>Norma</b:First>
          </b:Person>
          <b:Person>
            <b:Last>Pina-Rimirez</b:Last>
            <b:First>Wanda</b:First>
          </b:Person>
        </b:NameList>
      </b:Author>
    </b:Author>
    <b:RefOrder>82</b:RefOrder>
  </b:Source>
  <b:Source>
    <b:Tag>Byf171</b:Tag>
    <b:SourceType>ArticleInAPeriodical</b:SourceType>
    <b:Guid>{CBC175AF-E341-408C-A641-AF4F7A569AA5}</b:Guid>
    <b:Title>Onboarding Isn’t Enough</b:Title>
    <b:Year>2017</b:Year>
    <b:PeriodicalTitle>Harvard Business Review</b:PeriodicalTitle>
    <b:Month>December</b:Month>
    <b:Day>17</b:Day>
    <b:Author>
      <b:Author>
        <b:NameList>
          <b:Person>
            <b:Last>Byford</b:Last>
            <b:First>Mark</b:First>
          </b:Person>
          <b:Person>
            <b:Last>Watkins</b:Last>
            <b:First>Michael</b:First>
          </b:Person>
          <b:Person>
            <b:Last>Triantogiannis</b:Last>
            <b:First>Lena</b:First>
          </b:Person>
        </b:NameList>
      </b:Author>
    </b:Author>
    <b:RefOrder>83</b:RefOrder>
  </b:Source>
  <b:Source>
    <b:Tag>Chi20</b:Tag>
    <b:SourceType>JournalArticle</b:SourceType>
    <b:Guid>{A8AE9678-AB45-453B-B5B1-F26FA5F93ACD}</b:Guid>
    <b:Title>Understanding Generation Z expectations for effective onboarding</b:Title>
    <b:Year>2020</b:Year>
    <b:JournalName>Journal of Organizational Change Management</b:JournalName>
    <b:Volume>33</b:Volume>
    <b:Issue>7</b:Issue>
    <b:Author>
      <b:Author>
        <b:NameList>
          <b:Person>
            <b:Last>Chillakuri</b:Last>
            <b:First>Bharat</b:First>
          </b:Person>
        </b:NameList>
      </b:Author>
    </b:Author>
    <b:RefOrder>84</b:RefOrder>
  </b:Source>
  <b:Source>
    <b:Tag>Hei19</b:Tag>
    <b:SourceType>JournalArticle</b:SourceType>
    <b:Guid>{0D35FE95-1B27-4F14-BE1A-2904BF336FC7}</b:Guid>
    <b:Title>Gamifying Onboarding: How to Increase Both Engagement and Integration of New Employees</b:Title>
    <b:JournalName>Advances in Social and Occupational Ergonomics</b:JournalName>
    <b:Year>2019</b:Year>
    <b:Pages>3-14</b:Pages>
    <b:Author>
      <b:Author>
        <b:NameList>
          <b:Person>
            <b:Last>Heimburger</b:Last>
            <b:First>Louisa</b:First>
          </b:Person>
          <b:Person>
            <b:Last>Buchweitz</b:Last>
            <b:First>Lea</b:First>
          </b:Person>
          <b:Person>
            <b:Last>Gouveia</b:Last>
            <b:First>Ruben</b:First>
          </b:Person>
          <b:Person>
            <b:Last>Korn</b:Last>
            <b:First>Oliver</b:First>
          </b:Person>
        </b:NameList>
      </b:Author>
    </b:Author>
    <b:RefOrder>85</b:RefOrder>
  </b:Source>
  <b:Source>
    <b:Tag>Did24</b:Tag>
    <b:SourceType>JournalArticle</b:SourceType>
    <b:Guid>{85C8D662-375F-4148-AA10-BAA09D561560}</b:Guid>
    <b:Title>Mapping the organizational socialization and onboarding literature: a bibliometric analysis of the field</b:Title>
    <b:JournalName>Cogent Business &amp; Management</b:JournalName>
    <b:Year>2024</b:Year>
    <b:Volume>11</b:Volume>
    <b:Issue>1</b:Issue>
    <b:Author>
      <b:Author>
        <b:NameList>
          <b:Person>
            <b:Last>Didion</b:Last>
            <b:First>Eva</b:First>
          </b:Person>
          <b:Person>
            <b:Last>Perello-Marin</b:Last>
            <b:First>Maria</b:First>
          </b:Person>
          <b:Person>
            <b:Last>Catala-Perez</b:Last>
            <b:First>Daniel</b:First>
          </b:Person>
          <b:Person>
            <b:Last>Ambrosius</b:Last>
            <b:First>Ute</b:First>
          </b:Person>
        </b:NameList>
      </b:Author>
    </b:Author>
    <b:RefOrder>86</b:RefOrder>
  </b:Source>
  <b:Source>
    <b:Tag>The21</b:Tag>
    <b:SourceType>JournalArticle</b:SourceType>
    <b:Guid>{4BDD0EAF-1FEF-4A42-9F3C-736FF771EAC0}</b:Guid>
    <b:Author>
      <b:Author>
        <b:NameList>
          <b:Person>
            <b:Last>Bell</b:Last>
            <b:First>Theresa</b:First>
          </b:Person>
        </b:NameList>
      </b:Author>
    </b:Author>
    <b:Title>Onboarding: Improving Employee an employer relations</b:Title>
    <b:JournalName>Certified Public Manager</b:JournalName>
    <b:Year>2021</b:Year>
    <b:Volume>2</b:Volume>
    <b:Issue>1</b:Issue>
    <b:RefOrder>89</b:RefOrder>
  </b:Source>
  <b:Source>
    <b:Tag>Jos15</b:Tag>
    <b:SourceType>JournalArticle</b:SourceType>
    <b:Guid>{9DABC956-3E50-4E6F-803F-1C326AB55CD7}</b:Guid>
    <b:Title>Effective onboarding as a talent management tool for employee retention</b:Title>
    <b:JournalName>International Journal in Management &amp; Social Science</b:JournalName>
    <b:Year>2015</b:Year>
    <b:Pages>175-186</b:Pages>
    <b:Volume>3</b:Volume>
    <b:Issue>7</b:Issue>
    <b:Author>
      <b:Author>
        <b:NameList>
          <b:Person>
            <b:Last>Joseph</b:Last>
            <b:First>Divya</b:First>
          </b:Person>
          <b:Person>
            <b:Last>Sandhya</b:Last>
            <b:First>Sridevi</b:First>
          </b:Person>
        </b:NameList>
      </b:Author>
    </b:Author>
    <b:RefOrder>87</b:RefOrder>
  </b:Source>
  <b:Source>
    <b:Tag>Ste22</b:Tag>
    <b:SourceType>JournalArticle</b:SourceType>
    <b:Guid>{DA1AF86F-D4A9-42D0-8C27-D10623B2511F}</b:Guid>
    <b:Author>
      <b:Author>
        <b:NameList>
          <b:Person>
            <b:Last>Smith</b:Last>
            <b:First>Steve</b:First>
          </b:Person>
        </b:NameList>
      </b:Author>
    </b:Author>
    <b:Title>Driving company culture in a post-pandemic world</b:Title>
    <b:JournalName>Stragetic HR Review</b:JournalName>
    <b:Year>2022</b:Year>
    <b:Volume>21</b:Volume>
    <b:Issue>4</b:Issue>
    <b:RefOrder>88</b:RefOrder>
  </b:Source>
</b:Sources>
</file>

<file path=customXml/itemProps1.xml><?xml version="1.0" encoding="utf-8"?>
<ds:datastoreItem xmlns:ds="http://schemas.openxmlformats.org/officeDocument/2006/customXml" ds:itemID="{FDF72659-D605-427F-8961-74CFFC54A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18960</TotalTime>
  <Pages>16</Pages>
  <Words>7154</Words>
  <Characters>40783</Characters>
  <Application>Microsoft Office Word</Application>
  <DocSecurity>0</DocSecurity>
  <Lines>339</Lines>
  <Paragraphs>95</Paragraphs>
  <ScaleCrop>false</ScaleCrop>
  <Company/>
  <LinksUpToDate>false</LinksUpToDate>
  <CharactersWithSpaces>47842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Green</dc:creator>
  <cp:keywords/>
  <dc:description/>
  <cp:lastModifiedBy>Hywel Green</cp:lastModifiedBy>
  <cp:revision>669</cp:revision>
  <dcterms:created xsi:type="dcterms:W3CDTF">2024-05-15T14:18:00Z</dcterms:created>
  <dcterms:modified xsi:type="dcterms:W3CDTF">2024-06-30T11:07:00Z</dcterms:modified>
</cp:coreProperties>
</file>