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79FF7" w14:textId="5CD13406" w:rsidR="00A55237" w:rsidRPr="00631926" w:rsidRDefault="00631926" w:rsidP="00631926">
      <w:pPr>
        <w:jc w:val="center"/>
        <w:rPr>
          <w:rFonts w:ascii="Arial" w:hAnsi="Arial" w:cs="Arial"/>
          <w:sz w:val="24"/>
          <w:szCs w:val="24"/>
        </w:rPr>
      </w:pPr>
      <w:r w:rsidRPr="00631926">
        <w:rPr>
          <w:rFonts w:ascii="Arial" w:hAnsi="Arial" w:cs="Arial"/>
          <w:sz w:val="24"/>
          <w:szCs w:val="24"/>
        </w:rPr>
        <w:t>Assignment 1</w:t>
      </w:r>
    </w:p>
    <w:p w14:paraId="1DCDB49F" w14:textId="77777777" w:rsidR="00F417EF" w:rsidRPr="00625FC2" w:rsidRDefault="00F417EF" w:rsidP="00625FC2">
      <w:pPr>
        <w:rPr>
          <w:rFonts w:ascii="Arial" w:hAnsi="Arial" w:cs="Arial"/>
          <w:sz w:val="24"/>
          <w:szCs w:val="24"/>
        </w:rPr>
      </w:pPr>
      <w:r w:rsidRPr="00625FC2">
        <w:rPr>
          <w:rFonts w:ascii="Arial" w:hAnsi="Arial" w:cs="Arial"/>
          <w:sz w:val="24"/>
          <w:szCs w:val="24"/>
        </w:rPr>
        <w:t>On May 31, 2021, the personal injury litigation landscape in England and Wales underwent a pivotal transformation with the implementation of the Whiplash Reform Programme. This initiative marked a significant departure from the traditional mechanisms of handling personal injury claims, especially those stemming from road traffic accidents (RTAs). By raising the small claims track limit for RTA-related and other personal injury claims, the reforms sought to streamline the claims process, mitigate legal expenses, and counteract what was perceived as a burgeoning compensation culture. This essay delves into the genesis and objectives of these reforms, scrutinizing their broader implications for individuals compelled to navigate the legal system unassisted. It examines how the increase in the threshold for claims may lead to a surge in litigants in person, potentially reshaping the dynamics of access to justice. By exploring both the hurdles and opportunities presented by these reforms, this analysis aims to offer a comprehensive understanding of their impact on the legal landscape, the challenges faced by self-represented claimants, and the overarching effects on the equitable administration of justice.</w:t>
      </w:r>
    </w:p>
    <w:p w14:paraId="4717147D" w14:textId="77777777" w:rsidR="007E71F9" w:rsidRPr="00625FC2" w:rsidRDefault="007E71F9" w:rsidP="00625FC2">
      <w:pPr>
        <w:rPr>
          <w:rFonts w:ascii="Arial" w:hAnsi="Arial" w:cs="Arial"/>
          <w:sz w:val="24"/>
          <w:szCs w:val="24"/>
        </w:rPr>
      </w:pPr>
      <w:r w:rsidRPr="00625FC2">
        <w:rPr>
          <w:rFonts w:ascii="Arial" w:hAnsi="Arial" w:cs="Arial"/>
          <w:sz w:val="24"/>
          <w:szCs w:val="24"/>
        </w:rPr>
        <w:t>The personal injury legal sector in England and Wales experienced a landmark overhaul on May 31, 2021, driven by a concerted effort to address the escalating concerns surrounding whiplash claims resultant from road traffic accidents (RTAs). This significant reform initiative, encapsulated within the Civil Procedure (Amendment No.1) Rules 2021, sought to amend the landscape of personal injury litigation fundamentally. Central to these reforms was the decision to elevate the small claims track limit to £5,000 for RTA-related personal injury claims and to £2,000 for other varieties of personal injury claims. This strategic adjustment was not merely an administrative alteration but a deliberate move aimed at curbing the surging number and associated costs of whiplash claims, which had long been a contentious issue within the realm of personal injury litigation.</w:t>
      </w:r>
    </w:p>
    <w:p w14:paraId="5B79E264" w14:textId="77777777" w:rsidR="007E71F9" w:rsidRPr="00625FC2" w:rsidRDefault="007E71F9" w:rsidP="00625FC2">
      <w:pPr>
        <w:rPr>
          <w:rFonts w:ascii="Arial" w:hAnsi="Arial" w:cs="Arial"/>
          <w:sz w:val="24"/>
          <w:szCs w:val="24"/>
        </w:rPr>
      </w:pPr>
      <w:r w:rsidRPr="00625FC2">
        <w:rPr>
          <w:rFonts w:ascii="Arial" w:hAnsi="Arial" w:cs="Arial"/>
          <w:sz w:val="24"/>
          <w:szCs w:val="24"/>
        </w:rPr>
        <w:t>The rationale behind these reforms is multifaceted, primarily anchored in the desire to streamline the claims process, thereby reducing the burden on the judicial system and ultimately lowering legal expenses for all parties involved. Over the years, the personal injury sector had witnessed a proliferation of minor, often exaggerated, whiplash claims that not only strained the courts but also contributed to a 'compensation culture' perceived to be detrimental to the integrity of the legal process. This culture was further believed to inflate insurance premiums for the average motorist, creating an unsustainable economic impact.</w:t>
      </w:r>
    </w:p>
    <w:p w14:paraId="6DEEEE24" w14:textId="77777777" w:rsidR="007E71F9" w:rsidRPr="00625FC2" w:rsidRDefault="007E71F9" w:rsidP="00625FC2">
      <w:pPr>
        <w:rPr>
          <w:rFonts w:ascii="Arial" w:hAnsi="Arial" w:cs="Arial"/>
          <w:sz w:val="24"/>
          <w:szCs w:val="24"/>
        </w:rPr>
      </w:pPr>
      <w:r w:rsidRPr="00625FC2">
        <w:rPr>
          <w:rFonts w:ascii="Arial" w:hAnsi="Arial" w:cs="Arial"/>
          <w:sz w:val="24"/>
          <w:szCs w:val="24"/>
        </w:rPr>
        <w:t>Moreover, the reforms were designed with the intention of discouraging less serious claims by making it financially unviable for solicitors to represent such cases on a 'no win, no fee' basis. By increasing the threshold for what constitutes a small claim, the reforms implicitly encouraged potential claimants to reconsider the necessity and validity of pursuing legal action for minor injuries. This move was expected to lead to a significant uptick in the number of litigants in person, as claimants would find themselves navigating the complexities of the legal system without professional legal representation due to the diminished financial incentives for lawyers to take on such cases.</w:t>
      </w:r>
    </w:p>
    <w:p w14:paraId="230E4FAE" w14:textId="151FB61A" w:rsidR="00B542B2" w:rsidRPr="00625FC2" w:rsidRDefault="007E71F9" w:rsidP="00625FC2">
      <w:pPr>
        <w:rPr>
          <w:rFonts w:ascii="Arial" w:hAnsi="Arial" w:cs="Arial"/>
          <w:sz w:val="24"/>
          <w:szCs w:val="24"/>
        </w:rPr>
      </w:pPr>
      <w:r w:rsidRPr="00625FC2">
        <w:rPr>
          <w:rFonts w:ascii="Arial" w:hAnsi="Arial" w:cs="Arial"/>
          <w:sz w:val="24"/>
          <w:szCs w:val="24"/>
        </w:rPr>
        <w:lastRenderedPageBreak/>
        <w:t>The underlying objective of these substantial reforms was, therefore, to foster a more efficient, cost-effective, and fair personal injury claims process. By addressing the issues at the heart of the burgeoning compensation culture and the economic ramifications thereof, the reforms aimed to restore balance to a system perceived to be exploited for minor gains. This, in turn, was anticipated to have far-reaching implications for claimants, the legal profession, and the insurance industry alike, heralding a new era in the handling of personal injury claims in England and Wales.</w:t>
      </w:r>
    </w:p>
    <w:p w14:paraId="07EC217F" w14:textId="77777777" w:rsidR="00CE3E83" w:rsidRPr="00625FC2" w:rsidRDefault="00CE3E83" w:rsidP="00625FC2">
      <w:pPr>
        <w:rPr>
          <w:rFonts w:ascii="Arial" w:hAnsi="Arial" w:cs="Arial"/>
          <w:sz w:val="24"/>
          <w:szCs w:val="24"/>
        </w:rPr>
      </w:pPr>
      <w:r w:rsidRPr="00625FC2">
        <w:rPr>
          <w:rFonts w:ascii="Arial" w:hAnsi="Arial" w:cs="Arial"/>
          <w:sz w:val="24"/>
          <w:szCs w:val="24"/>
        </w:rPr>
        <w:t>The Whiplash Reform Programme, a cornerstone of the UK Government's strategy to address the compensation culture associated with minor, exaggerated, or fraudulent whiplash claims, was established following the enactment of the Civil Liability Act 2018. This legislation set the stage for a series of significant changes in how personal injury claims, particularly those resulting from road traffic accidents (RTAs), are handled in England and Wales. The programme's primary objective was to streamline the claims process, reduce legal costs, and deter claims that were considered less serious, thereby aiming to benefit the wider consumer base through potentially lower insurance premiums.</w:t>
      </w:r>
    </w:p>
    <w:p w14:paraId="08CDC0DC" w14:textId="77777777" w:rsidR="00CE3E83" w:rsidRPr="00625FC2" w:rsidRDefault="00CE3E83" w:rsidP="00625FC2">
      <w:pPr>
        <w:rPr>
          <w:rFonts w:ascii="Arial" w:hAnsi="Arial" w:cs="Arial"/>
          <w:sz w:val="24"/>
          <w:szCs w:val="24"/>
        </w:rPr>
      </w:pPr>
      <w:r w:rsidRPr="00625FC2">
        <w:rPr>
          <w:rFonts w:ascii="Arial" w:hAnsi="Arial" w:cs="Arial"/>
          <w:sz w:val="24"/>
          <w:szCs w:val="24"/>
        </w:rPr>
        <w:t>Historically, the UK has seen a marked increase in the number of whiplash claims filed each year, many of which have been criticized for their dubious nature. Such claims have contributed to escalating legal costs and insurance premiums, prompting public and political outcry for reform. The government's response, crystallized in the Whiplash Reform Programme, sought to cut through this cycle by introducing clearer, more stringent criteria for the filing of whiplash claims, coupled with fixed compensation amounts for injuries of varying severities. This was a move designed to eliminate the financial incentives for making inflated or fraudulent claims.</w:t>
      </w:r>
    </w:p>
    <w:p w14:paraId="586C627B" w14:textId="77777777" w:rsidR="00CE3E83" w:rsidRPr="00625FC2" w:rsidRDefault="00CE3E83" w:rsidP="00625FC2">
      <w:pPr>
        <w:rPr>
          <w:rFonts w:ascii="Arial" w:hAnsi="Arial" w:cs="Arial"/>
          <w:sz w:val="24"/>
          <w:szCs w:val="24"/>
        </w:rPr>
      </w:pPr>
      <w:r w:rsidRPr="00625FC2">
        <w:rPr>
          <w:rFonts w:ascii="Arial" w:hAnsi="Arial" w:cs="Arial"/>
          <w:sz w:val="24"/>
          <w:szCs w:val="24"/>
        </w:rPr>
        <w:t>Central to the reforms is the adjustment of the small claims track limit, which effectively reclassifies many personal injury claims as small claims. This reclassification is significant because legal costs cannot generally be recovered in small claims court, which dissuades claimants from pursuing minor or speculative claims with the assistance of legal representation. Instead, it encourages individuals to settle less severe disputes without contributing to the congestion of the judicial system and inflating insurance costs.</w:t>
      </w:r>
    </w:p>
    <w:p w14:paraId="510AE91E" w14:textId="77777777" w:rsidR="00CE3E83" w:rsidRPr="00625FC2" w:rsidRDefault="00CE3E83" w:rsidP="00625FC2">
      <w:pPr>
        <w:rPr>
          <w:rFonts w:ascii="Arial" w:hAnsi="Arial" w:cs="Arial"/>
          <w:sz w:val="24"/>
          <w:szCs w:val="24"/>
        </w:rPr>
      </w:pPr>
      <w:r w:rsidRPr="00625FC2">
        <w:rPr>
          <w:rFonts w:ascii="Arial" w:hAnsi="Arial" w:cs="Arial"/>
          <w:sz w:val="24"/>
          <w:szCs w:val="24"/>
        </w:rPr>
        <w:t>Moreover, the introduction of a fixed tariff system for compensation amounts for whiplash injuries represents a direct intervention in the previously subjective area of personal injury compensation. By setting predetermined amounts based on the injury duration, the government aims to bring consistency, predictability, and fairness to the compensation process. This system is anticipated to further disincentivize minor claims and ensure that compensation is proportionate to the actual injury sustained.</w:t>
      </w:r>
    </w:p>
    <w:p w14:paraId="2A9DF4F9" w14:textId="344CBC65" w:rsidR="00CE3E83" w:rsidRPr="00625FC2" w:rsidRDefault="00CE3E83" w:rsidP="00625FC2">
      <w:pPr>
        <w:rPr>
          <w:rFonts w:ascii="Arial" w:hAnsi="Arial" w:cs="Arial"/>
          <w:sz w:val="24"/>
          <w:szCs w:val="24"/>
        </w:rPr>
      </w:pPr>
      <w:r w:rsidRPr="00625FC2">
        <w:rPr>
          <w:rFonts w:ascii="Arial" w:hAnsi="Arial" w:cs="Arial"/>
          <w:sz w:val="24"/>
          <w:szCs w:val="24"/>
        </w:rPr>
        <w:t>The Whiplash Reform Programme also emphasi</w:t>
      </w:r>
      <w:r w:rsidR="00625FC2">
        <w:rPr>
          <w:rFonts w:ascii="Arial" w:hAnsi="Arial" w:cs="Arial"/>
          <w:sz w:val="24"/>
          <w:szCs w:val="24"/>
        </w:rPr>
        <w:t>s</w:t>
      </w:r>
      <w:r w:rsidRPr="00625FC2">
        <w:rPr>
          <w:rFonts w:ascii="Arial" w:hAnsi="Arial" w:cs="Arial"/>
          <w:sz w:val="24"/>
          <w:szCs w:val="24"/>
        </w:rPr>
        <w:t>es the importance of medical evidence in substantiating claims. By mandating that claims for whiplash injuries must be supported by a medical report from an accredited professional, the reforms aim to ensure that only genuine cases proceed, thereby reducing the prevalence of unsubstantiated claims.</w:t>
      </w:r>
    </w:p>
    <w:p w14:paraId="08CBBC78" w14:textId="77777777" w:rsidR="00CE3E83" w:rsidRPr="00625FC2" w:rsidRDefault="00CE3E83" w:rsidP="00625FC2">
      <w:pPr>
        <w:rPr>
          <w:rFonts w:ascii="Arial" w:hAnsi="Arial" w:cs="Arial"/>
          <w:sz w:val="24"/>
          <w:szCs w:val="24"/>
        </w:rPr>
      </w:pPr>
      <w:r w:rsidRPr="00625FC2">
        <w:rPr>
          <w:rFonts w:ascii="Arial" w:hAnsi="Arial" w:cs="Arial"/>
          <w:sz w:val="24"/>
          <w:szCs w:val="24"/>
        </w:rPr>
        <w:lastRenderedPageBreak/>
        <w:t>In summary, the Whiplash Reform Programme is a multi-faceted approach designed to address and mitigate the issues stemming from a compensation culture that has led to an inflation of insurance costs and an overloaded legal system. Through the implementation of the Civil Liability Act 2018, the programme introduces significant legal and procedural changes aimed at reducing the number and impact of less serious personal injury claims, particularly those related to whiplash, thus fostering a more equitable and efficient system for handling such cases.</w:t>
      </w:r>
    </w:p>
    <w:p w14:paraId="1335632B" w14:textId="0D18FB3C" w:rsidR="00D836F2" w:rsidRPr="00625FC2" w:rsidRDefault="00D836F2" w:rsidP="00625FC2">
      <w:pPr>
        <w:rPr>
          <w:rFonts w:ascii="Arial" w:hAnsi="Arial" w:cs="Arial"/>
          <w:sz w:val="24"/>
          <w:szCs w:val="24"/>
        </w:rPr>
      </w:pPr>
      <w:r w:rsidRPr="00625FC2">
        <w:rPr>
          <w:rFonts w:ascii="Arial" w:hAnsi="Arial" w:cs="Arial"/>
          <w:sz w:val="24"/>
          <w:szCs w:val="24"/>
        </w:rPr>
        <w:br/>
        <w:t xml:space="preserve">The recent reforms to the Personal Injury Small Claims procedure, specifically the increase in the small claims limit for road traffic accident (RTA) related injuries and other personal injury claims, have </w:t>
      </w:r>
      <w:r w:rsidR="00625FC2" w:rsidRPr="00625FC2">
        <w:rPr>
          <w:rFonts w:ascii="Arial" w:hAnsi="Arial" w:cs="Arial"/>
          <w:sz w:val="24"/>
          <w:szCs w:val="24"/>
        </w:rPr>
        <w:t>catalysed</w:t>
      </w:r>
      <w:r w:rsidRPr="00625FC2">
        <w:rPr>
          <w:rFonts w:ascii="Arial" w:hAnsi="Arial" w:cs="Arial"/>
          <w:sz w:val="24"/>
          <w:szCs w:val="24"/>
        </w:rPr>
        <w:t xml:space="preserve"> a significant shift in the landscape of personal injury litigation in England and Wales. This shift is markedly characterized by an anticipated surge in litigants in person (</w:t>
      </w:r>
      <w:proofErr w:type="spellStart"/>
      <w:r w:rsidRPr="00625FC2">
        <w:rPr>
          <w:rFonts w:ascii="Arial" w:hAnsi="Arial" w:cs="Arial"/>
          <w:sz w:val="24"/>
          <w:szCs w:val="24"/>
        </w:rPr>
        <w:t>LiPs</w:t>
      </w:r>
      <w:proofErr w:type="spellEnd"/>
      <w:r w:rsidRPr="00625FC2">
        <w:rPr>
          <w:rFonts w:ascii="Arial" w:hAnsi="Arial" w:cs="Arial"/>
          <w:sz w:val="24"/>
          <w:szCs w:val="24"/>
        </w:rPr>
        <w:t>) — individuals who, either by choice or necessity, represent themselves in legal proceedings without professional legal representation. This development is not merely a procedural alteration but signals a profound transformation in the access to, and the administration of, justice within the realm of personal injury law.</w:t>
      </w:r>
    </w:p>
    <w:p w14:paraId="022A2145" w14:textId="77777777" w:rsidR="00D836F2" w:rsidRPr="00625FC2" w:rsidRDefault="00D836F2" w:rsidP="00625FC2">
      <w:pPr>
        <w:rPr>
          <w:rFonts w:ascii="Arial" w:hAnsi="Arial" w:cs="Arial"/>
          <w:sz w:val="24"/>
          <w:szCs w:val="24"/>
        </w:rPr>
      </w:pPr>
      <w:r w:rsidRPr="00625FC2">
        <w:rPr>
          <w:rFonts w:ascii="Arial" w:hAnsi="Arial" w:cs="Arial"/>
          <w:sz w:val="24"/>
          <w:szCs w:val="24"/>
        </w:rPr>
        <w:t>The elevation of the small claims track limit to £5,000 for RTA-related personal injury claims and £2,000 for other personal injury claims fundamentally alters the economic calculus for solicitors operating on a 'no win, no fee' arrangement. Historically, such arrangements provided claimants with a pathway to pursue compensation without the upfront financial burden, with solicitors recovering their costs from the awarded damages or settlements. However, with the revised thresholds, the recoverable costs in successful claims are significantly curtailed, making many potential claims financially unviable for legal practitioners. Consequently, individuals, bereft of the financial means to afford legal representation outright, are nudged towards self-representation.</w:t>
      </w:r>
    </w:p>
    <w:p w14:paraId="254B13D5" w14:textId="35B6E461" w:rsidR="00D836F2" w:rsidRPr="00625FC2" w:rsidRDefault="00D836F2" w:rsidP="00625FC2">
      <w:pPr>
        <w:rPr>
          <w:rFonts w:ascii="Arial" w:hAnsi="Arial" w:cs="Arial"/>
          <w:sz w:val="24"/>
          <w:szCs w:val="24"/>
        </w:rPr>
      </w:pPr>
      <w:r w:rsidRPr="00625FC2">
        <w:rPr>
          <w:rFonts w:ascii="Arial" w:hAnsi="Arial" w:cs="Arial"/>
          <w:sz w:val="24"/>
          <w:szCs w:val="24"/>
        </w:rPr>
        <w:t xml:space="preserve">The implications of this shift are multifaceted and profound. First, navigating the complexities of legal procedures, rules, and protocols inherent in personal injury litigation poses a formidable challenge to </w:t>
      </w:r>
      <w:proofErr w:type="spellStart"/>
      <w:r w:rsidRPr="00625FC2">
        <w:rPr>
          <w:rFonts w:ascii="Arial" w:hAnsi="Arial" w:cs="Arial"/>
          <w:sz w:val="24"/>
          <w:szCs w:val="24"/>
        </w:rPr>
        <w:t>LiPs</w:t>
      </w:r>
      <w:proofErr w:type="spellEnd"/>
      <w:r w:rsidRPr="00625FC2">
        <w:rPr>
          <w:rFonts w:ascii="Arial" w:hAnsi="Arial" w:cs="Arial"/>
          <w:sz w:val="24"/>
          <w:szCs w:val="24"/>
        </w:rPr>
        <w:t xml:space="preserve">. The Civil Procedure Rules 1998, alongside specific practice directions and protocols such as the Pre-Action Protocol for Personal Injury Claims, comprise a labyrinthine legal framework that even seasoned practitioners find demanding. </w:t>
      </w:r>
      <w:proofErr w:type="spellStart"/>
      <w:r w:rsidRPr="00625FC2">
        <w:rPr>
          <w:rFonts w:ascii="Arial" w:hAnsi="Arial" w:cs="Arial"/>
          <w:sz w:val="24"/>
          <w:szCs w:val="24"/>
        </w:rPr>
        <w:t>LiPs</w:t>
      </w:r>
      <w:proofErr w:type="spellEnd"/>
      <w:r w:rsidRPr="00625FC2">
        <w:rPr>
          <w:rFonts w:ascii="Arial" w:hAnsi="Arial" w:cs="Arial"/>
          <w:sz w:val="24"/>
          <w:szCs w:val="24"/>
        </w:rPr>
        <w:t xml:space="preserve">, lacking legal training and experience, may struggle to effectively articulate their claims, </w:t>
      </w:r>
      <w:r w:rsidR="00625FC2" w:rsidRPr="00625FC2">
        <w:rPr>
          <w:rFonts w:ascii="Arial" w:hAnsi="Arial" w:cs="Arial"/>
          <w:sz w:val="24"/>
          <w:szCs w:val="24"/>
        </w:rPr>
        <w:t>gather,</w:t>
      </w:r>
      <w:r w:rsidRPr="00625FC2">
        <w:rPr>
          <w:rFonts w:ascii="Arial" w:hAnsi="Arial" w:cs="Arial"/>
          <w:sz w:val="24"/>
          <w:szCs w:val="24"/>
        </w:rPr>
        <w:t xml:space="preserve"> and present requisite evidence, and adhere to procedural deadlines and requirements. This knowledge gap not only places them at a disadvantage in proceedings but also risks the efficaciousness and efficiency of the justice system.</w:t>
      </w:r>
    </w:p>
    <w:p w14:paraId="4C449BF6" w14:textId="77777777" w:rsidR="00D836F2" w:rsidRPr="00625FC2" w:rsidRDefault="00D836F2" w:rsidP="00625FC2">
      <w:pPr>
        <w:rPr>
          <w:rFonts w:ascii="Arial" w:hAnsi="Arial" w:cs="Arial"/>
          <w:sz w:val="24"/>
          <w:szCs w:val="24"/>
        </w:rPr>
      </w:pPr>
      <w:r w:rsidRPr="00625FC2">
        <w:rPr>
          <w:rFonts w:ascii="Arial" w:hAnsi="Arial" w:cs="Arial"/>
          <w:sz w:val="24"/>
          <w:szCs w:val="24"/>
        </w:rPr>
        <w:t xml:space="preserve">Moreover, the adversarial nature of litigation introduces additional challenges for </w:t>
      </w:r>
      <w:proofErr w:type="spellStart"/>
      <w:r w:rsidRPr="00625FC2">
        <w:rPr>
          <w:rFonts w:ascii="Arial" w:hAnsi="Arial" w:cs="Arial"/>
          <w:sz w:val="24"/>
          <w:szCs w:val="24"/>
        </w:rPr>
        <w:t>LiPs</w:t>
      </w:r>
      <w:proofErr w:type="spellEnd"/>
      <w:r w:rsidRPr="00625FC2">
        <w:rPr>
          <w:rFonts w:ascii="Arial" w:hAnsi="Arial" w:cs="Arial"/>
          <w:sz w:val="24"/>
          <w:szCs w:val="24"/>
        </w:rPr>
        <w:t xml:space="preserve">. Opposing parties, particularly insurers in the context of RTA claims, often possess substantial legal resources and expertise. This disparity can exacerbate power imbalances, potentially disadvantaging </w:t>
      </w:r>
      <w:proofErr w:type="spellStart"/>
      <w:r w:rsidRPr="00625FC2">
        <w:rPr>
          <w:rFonts w:ascii="Arial" w:hAnsi="Arial" w:cs="Arial"/>
          <w:sz w:val="24"/>
          <w:szCs w:val="24"/>
        </w:rPr>
        <w:t>LiPs</w:t>
      </w:r>
      <w:proofErr w:type="spellEnd"/>
      <w:r w:rsidRPr="00625FC2">
        <w:rPr>
          <w:rFonts w:ascii="Arial" w:hAnsi="Arial" w:cs="Arial"/>
          <w:sz w:val="24"/>
          <w:szCs w:val="24"/>
        </w:rPr>
        <w:t xml:space="preserve"> in negotiations and dispute resolution. The risk of under-settlement, where </w:t>
      </w:r>
      <w:proofErr w:type="spellStart"/>
      <w:r w:rsidRPr="00625FC2">
        <w:rPr>
          <w:rFonts w:ascii="Arial" w:hAnsi="Arial" w:cs="Arial"/>
          <w:sz w:val="24"/>
          <w:szCs w:val="24"/>
        </w:rPr>
        <w:t>LiPs</w:t>
      </w:r>
      <w:proofErr w:type="spellEnd"/>
      <w:r w:rsidRPr="00625FC2">
        <w:rPr>
          <w:rFonts w:ascii="Arial" w:hAnsi="Arial" w:cs="Arial"/>
          <w:sz w:val="24"/>
          <w:szCs w:val="24"/>
        </w:rPr>
        <w:t xml:space="preserve"> accept compensation below the fair value of their claim due to negotiation inexperience or intimidation, is a significant concern.</w:t>
      </w:r>
    </w:p>
    <w:p w14:paraId="7F200514" w14:textId="77777777" w:rsidR="00D836F2" w:rsidRPr="00625FC2" w:rsidRDefault="00D836F2" w:rsidP="00625FC2">
      <w:pPr>
        <w:rPr>
          <w:rFonts w:ascii="Arial" w:hAnsi="Arial" w:cs="Arial"/>
          <w:sz w:val="24"/>
          <w:szCs w:val="24"/>
        </w:rPr>
      </w:pPr>
      <w:r w:rsidRPr="00625FC2">
        <w:rPr>
          <w:rFonts w:ascii="Arial" w:hAnsi="Arial" w:cs="Arial"/>
          <w:sz w:val="24"/>
          <w:szCs w:val="24"/>
        </w:rPr>
        <w:lastRenderedPageBreak/>
        <w:t>However, it's imperative to consider the potential silver linings within these reforms. The simplification of the claims process and the introduction of digital platforms for claim management aim to make the legal process more accessible and navigable for individuals without legal representation. These digital initiatives are part of a broader trend towards the democratization of legal access, offering intuitive interfaces and guidance tailored for non-specialists.</w:t>
      </w:r>
    </w:p>
    <w:p w14:paraId="04EAC46C" w14:textId="69A6DF9E" w:rsidR="00D836F2" w:rsidRPr="00625FC2" w:rsidRDefault="00D836F2" w:rsidP="00625FC2">
      <w:pPr>
        <w:rPr>
          <w:rFonts w:ascii="Arial" w:hAnsi="Arial" w:cs="Arial"/>
          <w:sz w:val="24"/>
          <w:szCs w:val="24"/>
        </w:rPr>
      </w:pPr>
      <w:r w:rsidRPr="00625FC2">
        <w:rPr>
          <w:rFonts w:ascii="Arial" w:hAnsi="Arial" w:cs="Arial"/>
          <w:sz w:val="24"/>
          <w:szCs w:val="24"/>
        </w:rPr>
        <w:t xml:space="preserve">In conclusion, the rise in litigants in person </w:t>
      </w:r>
      <w:r w:rsidR="00625FC2" w:rsidRPr="00625FC2">
        <w:rPr>
          <w:rFonts w:ascii="Arial" w:hAnsi="Arial" w:cs="Arial"/>
          <w:sz w:val="24"/>
          <w:szCs w:val="24"/>
        </w:rPr>
        <w:t>because of</w:t>
      </w:r>
      <w:r w:rsidRPr="00625FC2">
        <w:rPr>
          <w:rFonts w:ascii="Arial" w:hAnsi="Arial" w:cs="Arial"/>
          <w:sz w:val="24"/>
          <w:szCs w:val="24"/>
        </w:rPr>
        <w:t xml:space="preserve"> the 2021 reforms to the Personal Injury Small Claims procedure is a development of considerable significance. While it poses notable challenges, particularly in terms of access to justice and the equitable representation of claimants, it also heralds an era of potential procedural innovation and accessibility. The long-term impact of these reforms on </w:t>
      </w:r>
      <w:proofErr w:type="spellStart"/>
      <w:r w:rsidRPr="00625FC2">
        <w:rPr>
          <w:rFonts w:ascii="Arial" w:hAnsi="Arial" w:cs="Arial"/>
          <w:sz w:val="24"/>
          <w:szCs w:val="24"/>
        </w:rPr>
        <w:t>LiPs</w:t>
      </w:r>
      <w:proofErr w:type="spellEnd"/>
      <w:r w:rsidRPr="00625FC2">
        <w:rPr>
          <w:rFonts w:ascii="Arial" w:hAnsi="Arial" w:cs="Arial"/>
          <w:sz w:val="24"/>
          <w:szCs w:val="24"/>
        </w:rPr>
        <w:t xml:space="preserve">, the legal profession, and the justice system at large remains to be fully realized and warrants close observation and evaluation. Adapting support mechanisms for </w:t>
      </w:r>
      <w:proofErr w:type="spellStart"/>
      <w:r w:rsidRPr="00625FC2">
        <w:rPr>
          <w:rFonts w:ascii="Arial" w:hAnsi="Arial" w:cs="Arial"/>
          <w:sz w:val="24"/>
          <w:szCs w:val="24"/>
        </w:rPr>
        <w:t>LiPs</w:t>
      </w:r>
      <w:proofErr w:type="spellEnd"/>
      <w:r w:rsidRPr="00625FC2">
        <w:rPr>
          <w:rFonts w:ascii="Arial" w:hAnsi="Arial" w:cs="Arial"/>
          <w:sz w:val="24"/>
          <w:szCs w:val="24"/>
        </w:rPr>
        <w:t>, such as legal aid, advisory services, and digital resources, will be crucial in mitigating the challenges posed and ensuring the reforms serve to enhance, rather than inhibit, access to justice.</w:t>
      </w:r>
    </w:p>
    <w:p w14:paraId="6445C7E6" w14:textId="77777777" w:rsidR="00070824" w:rsidRPr="00625FC2" w:rsidRDefault="00070824" w:rsidP="00625FC2">
      <w:pPr>
        <w:rPr>
          <w:rFonts w:ascii="Arial" w:hAnsi="Arial" w:cs="Arial"/>
          <w:sz w:val="24"/>
          <w:szCs w:val="24"/>
        </w:rPr>
      </w:pPr>
      <w:r w:rsidRPr="00625FC2">
        <w:rPr>
          <w:rFonts w:ascii="Arial" w:hAnsi="Arial" w:cs="Arial"/>
          <w:sz w:val="24"/>
          <w:szCs w:val="24"/>
        </w:rPr>
        <w:t>Navigating the legal system without professional representation, particularly within the complex domain of personal injury litigation, poses substantial challenges for litigants in person (</w:t>
      </w:r>
      <w:proofErr w:type="spellStart"/>
      <w:r w:rsidRPr="00625FC2">
        <w:rPr>
          <w:rFonts w:ascii="Arial" w:hAnsi="Arial" w:cs="Arial"/>
          <w:sz w:val="24"/>
          <w:szCs w:val="24"/>
        </w:rPr>
        <w:t>LiPs</w:t>
      </w:r>
      <w:proofErr w:type="spellEnd"/>
      <w:r w:rsidRPr="00625FC2">
        <w:rPr>
          <w:rFonts w:ascii="Arial" w:hAnsi="Arial" w:cs="Arial"/>
          <w:sz w:val="24"/>
          <w:szCs w:val="24"/>
        </w:rPr>
        <w:t>). The intricacies of legal statutes, procedural rules, and court etiquette can be daunting for individuals unversed in legal matters. Among the most significant hurdles are the Civil Procedure Rules 1998, which dictate the conduct of civil litigation in England and Wales. These rules, while designed to ensure fairness and efficiency, are replete with technical details that can perplex even seasoned legal professionals.</w:t>
      </w:r>
    </w:p>
    <w:p w14:paraId="6412C05B" w14:textId="77777777" w:rsidR="00070824" w:rsidRPr="00625FC2" w:rsidRDefault="00070824" w:rsidP="00625FC2">
      <w:pPr>
        <w:rPr>
          <w:rFonts w:ascii="Arial" w:hAnsi="Arial" w:cs="Arial"/>
          <w:sz w:val="24"/>
          <w:szCs w:val="24"/>
        </w:rPr>
      </w:pPr>
      <w:r w:rsidRPr="00625FC2">
        <w:rPr>
          <w:rFonts w:ascii="Arial" w:hAnsi="Arial" w:cs="Arial"/>
          <w:sz w:val="24"/>
          <w:szCs w:val="24"/>
        </w:rPr>
        <w:t xml:space="preserve">The Pre-Action Protocol for Personal Injury Claims, intended to streamline the litigation process by encouraging early settlement and the exchange of information, represents another layer of complexity. </w:t>
      </w:r>
      <w:proofErr w:type="spellStart"/>
      <w:r w:rsidRPr="00625FC2">
        <w:rPr>
          <w:rFonts w:ascii="Arial" w:hAnsi="Arial" w:cs="Arial"/>
          <w:sz w:val="24"/>
          <w:szCs w:val="24"/>
        </w:rPr>
        <w:t>LiPs</w:t>
      </w:r>
      <w:proofErr w:type="spellEnd"/>
      <w:r w:rsidRPr="00625FC2">
        <w:rPr>
          <w:rFonts w:ascii="Arial" w:hAnsi="Arial" w:cs="Arial"/>
          <w:sz w:val="24"/>
          <w:szCs w:val="24"/>
        </w:rPr>
        <w:t xml:space="preserve"> must navigate these protocols without the guidance typically provided by legal counsel, potentially impacting their ability to adequately prepare for their case. This includes understanding the timelines for action, the types of evidence required, and the appropriate manner to present claims and negotiate settlements.</w:t>
      </w:r>
    </w:p>
    <w:p w14:paraId="3E6A624A" w14:textId="77777777" w:rsidR="00070824" w:rsidRPr="00625FC2" w:rsidRDefault="00070824" w:rsidP="00625FC2">
      <w:pPr>
        <w:rPr>
          <w:rFonts w:ascii="Arial" w:hAnsi="Arial" w:cs="Arial"/>
          <w:sz w:val="24"/>
          <w:szCs w:val="24"/>
        </w:rPr>
      </w:pPr>
      <w:r w:rsidRPr="00625FC2">
        <w:rPr>
          <w:rFonts w:ascii="Arial" w:hAnsi="Arial" w:cs="Arial"/>
          <w:sz w:val="24"/>
          <w:szCs w:val="24"/>
        </w:rPr>
        <w:t xml:space="preserve">Moreover, the practice directions, which supplement the Civil Procedure Rules with additional guidance, can introduce further complications for </w:t>
      </w:r>
      <w:proofErr w:type="spellStart"/>
      <w:r w:rsidRPr="00625FC2">
        <w:rPr>
          <w:rFonts w:ascii="Arial" w:hAnsi="Arial" w:cs="Arial"/>
          <w:sz w:val="24"/>
          <w:szCs w:val="24"/>
        </w:rPr>
        <w:t>LiPs</w:t>
      </w:r>
      <w:proofErr w:type="spellEnd"/>
      <w:r w:rsidRPr="00625FC2">
        <w:rPr>
          <w:rFonts w:ascii="Arial" w:hAnsi="Arial" w:cs="Arial"/>
          <w:sz w:val="24"/>
          <w:szCs w:val="24"/>
        </w:rPr>
        <w:t>. These directions cover a range of procedural matters, including case management and the presentation of evidence, areas where non-specialists may struggle without legal assistance.</w:t>
      </w:r>
    </w:p>
    <w:p w14:paraId="124974B2" w14:textId="77777777" w:rsidR="00070824" w:rsidRPr="00625FC2" w:rsidRDefault="00070824" w:rsidP="00625FC2">
      <w:pPr>
        <w:rPr>
          <w:rFonts w:ascii="Arial" w:hAnsi="Arial" w:cs="Arial"/>
          <w:sz w:val="24"/>
          <w:szCs w:val="24"/>
        </w:rPr>
      </w:pPr>
      <w:r w:rsidRPr="00625FC2">
        <w:rPr>
          <w:rFonts w:ascii="Arial" w:hAnsi="Arial" w:cs="Arial"/>
          <w:sz w:val="24"/>
          <w:szCs w:val="24"/>
        </w:rPr>
        <w:t xml:space="preserve">Evidence gathering and case presentation stand out as particularly daunting tasks for </w:t>
      </w:r>
      <w:proofErr w:type="spellStart"/>
      <w:r w:rsidRPr="00625FC2">
        <w:rPr>
          <w:rFonts w:ascii="Arial" w:hAnsi="Arial" w:cs="Arial"/>
          <w:sz w:val="24"/>
          <w:szCs w:val="24"/>
        </w:rPr>
        <w:t>LiPs</w:t>
      </w:r>
      <w:proofErr w:type="spellEnd"/>
      <w:r w:rsidRPr="00625FC2">
        <w:rPr>
          <w:rFonts w:ascii="Arial" w:hAnsi="Arial" w:cs="Arial"/>
          <w:sz w:val="24"/>
          <w:szCs w:val="24"/>
        </w:rPr>
        <w:t xml:space="preserve">. Properly collecting, organizing, and presenting evidence to support a claim requires a nuanced understanding of legal principles and evidentiary standards. Without this expertise, </w:t>
      </w:r>
      <w:proofErr w:type="spellStart"/>
      <w:r w:rsidRPr="00625FC2">
        <w:rPr>
          <w:rFonts w:ascii="Arial" w:hAnsi="Arial" w:cs="Arial"/>
          <w:sz w:val="24"/>
          <w:szCs w:val="24"/>
        </w:rPr>
        <w:t>LiPs</w:t>
      </w:r>
      <w:proofErr w:type="spellEnd"/>
      <w:r w:rsidRPr="00625FC2">
        <w:rPr>
          <w:rFonts w:ascii="Arial" w:hAnsi="Arial" w:cs="Arial"/>
          <w:sz w:val="24"/>
          <w:szCs w:val="24"/>
        </w:rPr>
        <w:t xml:space="preserve"> may fail to present their case compellingly, diminishing their chances of success.</w:t>
      </w:r>
    </w:p>
    <w:p w14:paraId="270E92E7" w14:textId="77777777" w:rsidR="00070824" w:rsidRPr="00625FC2" w:rsidRDefault="00070824" w:rsidP="00625FC2">
      <w:pPr>
        <w:rPr>
          <w:rFonts w:ascii="Arial" w:hAnsi="Arial" w:cs="Arial"/>
          <w:sz w:val="24"/>
          <w:szCs w:val="24"/>
        </w:rPr>
      </w:pPr>
      <w:r w:rsidRPr="00625FC2">
        <w:rPr>
          <w:rFonts w:ascii="Arial" w:hAnsi="Arial" w:cs="Arial"/>
          <w:sz w:val="24"/>
          <w:szCs w:val="24"/>
        </w:rPr>
        <w:t xml:space="preserve">Negotiating settlements presents yet another challenge. Against well-represented defendants, typically insurance companies with extensive legal resources, </w:t>
      </w:r>
      <w:proofErr w:type="spellStart"/>
      <w:r w:rsidRPr="00625FC2">
        <w:rPr>
          <w:rFonts w:ascii="Arial" w:hAnsi="Arial" w:cs="Arial"/>
          <w:sz w:val="24"/>
          <w:szCs w:val="24"/>
        </w:rPr>
        <w:t>LiPs</w:t>
      </w:r>
      <w:proofErr w:type="spellEnd"/>
      <w:r w:rsidRPr="00625FC2">
        <w:rPr>
          <w:rFonts w:ascii="Arial" w:hAnsi="Arial" w:cs="Arial"/>
          <w:sz w:val="24"/>
          <w:szCs w:val="24"/>
        </w:rPr>
        <w:t xml:space="preserve"> may </w:t>
      </w:r>
      <w:r w:rsidRPr="00625FC2">
        <w:rPr>
          <w:rFonts w:ascii="Arial" w:hAnsi="Arial" w:cs="Arial"/>
          <w:sz w:val="24"/>
          <w:szCs w:val="24"/>
        </w:rPr>
        <w:lastRenderedPageBreak/>
        <w:t xml:space="preserve">find themselves at a significant disadvantage. The asymmetry in legal knowledge and negotiation experience can lead to settlements that are less </w:t>
      </w:r>
      <w:proofErr w:type="spellStart"/>
      <w:r w:rsidRPr="00625FC2">
        <w:rPr>
          <w:rFonts w:ascii="Arial" w:hAnsi="Arial" w:cs="Arial"/>
          <w:sz w:val="24"/>
          <w:szCs w:val="24"/>
        </w:rPr>
        <w:t>favorable</w:t>
      </w:r>
      <w:proofErr w:type="spellEnd"/>
      <w:r w:rsidRPr="00625FC2">
        <w:rPr>
          <w:rFonts w:ascii="Arial" w:hAnsi="Arial" w:cs="Arial"/>
          <w:sz w:val="24"/>
          <w:szCs w:val="24"/>
        </w:rPr>
        <w:t xml:space="preserve"> to the </w:t>
      </w:r>
      <w:proofErr w:type="spellStart"/>
      <w:r w:rsidRPr="00625FC2">
        <w:rPr>
          <w:rFonts w:ascii="Arial" w:hAnsi="Arial" w:cs="Arial"/>
          <w:sz w:val="24"/>
          <w:szCs w:val="24"/>
        </w:rPr>
        <w:t>LiP</w:t>
      </w:r>
      <w:proofErr w:type="spellEnd"/>
      <w:r w:rsidRPr="00625FC2">
        <w:rPr>
          <w:rFonts w:ascii="Arial" w:hAnsi="Arial" w:cs="Arial"/>
          <w:sz w:val="24"/>
          <w:szCs w:val="24"/>
        </w:rPr>
        <w:t>, who may accept lower compensation than warranted due to a lack of understanding of their claim's value or pressure from the opposing side.</w:t>
      </w:r>
    </w:p>
    <w:p w14:paraId="368D0AAF" w14:textId="6C4C1D6D" w:rsidR="00070824" w:rsidRPr="00625FC2" w:rsidRDefault="00070824" w:rsidP="00625FC2">
      <w:pPr>
        <w:rPr>
          <w:rFonts w:ascii="Arial" w:hAnsi="Arial" w:cs="Arial"/>
          <w:sz w:val="24"/>
          <w:szCs w:val="24"/>
        </w:rPr>
      </w:pPr>
      <w:r w:rsidRPr="00625FC2">
        <w:rPr>
          <w:rFonts w:ascii="Arial" w:hAnsi="Arial" w:cs="Arial"/>
          <w:sz w:val="24"/>
          <w:szCs w:val="24"/>
        </w:rPr>
        <w:t xml:space="preserve">In sum, the challenges facing </w:t>
      </w:r>
      <w:proofErr w:type="spellStart"/>
      <w:r w:rsidRPr="00625FC2">
        <w:rPr>
          <w:rFonts w:ascii="Arial" w:hAnsi="Arial" w:cs="Arial"/>
          <w:sz w:val="24"/>
          <w:szCs w:val="24"/>
        </w:rPr>
        <w:t>LiPs</w:t>
      </w:r>
      <w:proofErr w:type="spellEnd"/>
      <w:r w:rsidRPr="00625FC2">
        <w:rPr>
          <w:rFonts w:ascii="Arial" w:hAnsi="Arial" w:cs="Arial"/>
          <w:sz w:val="24"/>
          <w:szCs w:val="24"/>
        </w:rPr>
        <w:t xml:space="preserve"> in personal injury cases are multifaceted, stemming from the procedural complexity of the legal system, the intricacies of managing and presenting a case, and the dynamics of negotiation with better-resourced opponents. These obstacles not only impede access to justice for individuals choosing or compelled to represent themselves but also underscore the need for supportive measures to mitigate these disadvantages.</w:t>
      </w:r>
    </w:p>
    <w:p w14:paraId="3C9E12B6" w14:textId="77777777" w:rsidR="00625FC2" w:rsidRPr="00625FC2" w:rsidRDefault="00625FC2" w:rsidP="00625FC2">
      <w:pPr>
        <w:rPr>
          <w:rFonts w:ascii="Arial" w:hAnsi="Arial" w:cs="Arial"/>
          <w:sz w:val="24"/>
          <w:szCs w:val="24"/>
        </w:rPr>
      </w:pPr>
      <w:r w:rsidRPr="00625FC2">
        <w:rPr>
          <w:rFonts w:ascii="Arial" w:hAnsi="Arial" w:cs="Arial"/>
          <w:sz w:val="24"/>
          <w:szCs w:val="24"/>
        </w:rPr>
        <w:t>The reforms introduced to the personal injury small claims procedure, particularly through the implementation of an online portal for managing Road Traffic Accident (RTA) claims under £5,000, present significant benefits and opportunities that could transform the landscape of personal injury litigation. This digital innovation is a pivotal step towards streamlining the claims process, aiming to demystify legal proceedings for litigants in person (</w:t>
      </w:r>
      <w:proofErr w:type="spellStart"/>
      <w:r w:rsidRPr="00625FC2">
        <w:rPr>
          <w:rFonts w:ascii="Arial" w:hAnsi="Arial" w:cs="Arial"/>
          <w:sz w:val="24"/>
          <w:szCs w:val="24"/>
        </w:rPr>
        <w:t>LiPs</w:t>
      </w:r>
      <w:proofErr w:type="spellEnd"/>
      <w:r w:rsidRPr="00625FC2">
        <w:rPr>
          <w:rFonts w:ascii="Arial" w:hAnsi="Arial" w:cs="Arial"/>
          <w:sz w:val="24"/>
          <w:szCs w:val="24"/>
        </w:rPr>
        <w:t>) and enhance the overall accessibility of the justice system.</w:t>
      </w:r>
    </w:p>
    <w:p w14:paraId="174096DA" w14:textId="77777777" w:rsidR="00625FC2" w:rsidRPr="00625FC2" w:rsidRDefault="00625FC2" w:rsidP="00625FC2">
      <w:pPr>
        <w:rPr>
          <w:rFonts w:ascii="Arial" w:hAnsi="Arial" w:cs="Arial"/>
          <w:sz w:val="24"/>
          <w:szCs w:val="24"/>
        </w:rPr>
      </w:pPr>
      <w:r w:rsidRPr="00625FC2">
        <w:rPr>
          <w:rFonts w:ascii="Arial" w:hAnsi="Arial" w:cs="Arial"/>
          <w:sz w:val="24"/>
          <w:szCs w:val="24"/>
        </w:rPr>
        <w:t xml:space="preserve">By migrating the claims process to an online platform, the reforms leverage the power of digital technology to simplify complex legal procedures. This move not only makes the process more user-friendly but also significantly reduces the time and resources traditionally required to navigate personal injury claims. The portal is designed with the needs of non-legal professionals in mind, offering clear guidance and support throughout the claims process. This can empower </w:t>
      </w:r>
      <w:proofErr w:type="spellStart"/>
      <w:r w:rsidRPr="00625FC2">
        <w:rPr>
          <w:rFonts w:ascii="Arial" w:hAnsi="Arial" w:cs="Arial"/>
          <w:sz w:val="24"/>
          <w:szCs w:val="24"/>
        </w:rPr>
        <w:t>LiPs</w:t>
      </w:r>
      <w:proofErr w:type="spellEnd"/>
      <w:r w:rsidRPr="00625FC2">
        <w:rPr>
          <w:rFonts w:ascii="Arial" w:hAnsi="Arial" w:cs="Arial"/>
          <w:sz w:val="24"/>
          <w:szCs w:val="24"/>
        </w:rPr>
        <w:t xml:space="preserve"> by providing them with the tools and information necessary to pursue their claims more confidently and effectively.</w:t>
      </w:r>
    </w:p>
    <w:p w14:paraId="7CB293AD" w14:textId="50E42DD0" w:rsidR="00625FC2" w:rsidRPr="00625FC2" w:rsidRDefault="00625FC2" w:rsidP="00625FC2">
      <w:pPr>
        <w:rPr>
          <w:rFonts w:ascii="Arial" w:hAnsi="Arial" w:cs="Arial"/>
          <w:sz w:val="24"/>
          <w:szCs w:val="24"/>
        </w:rPr>
      </w:pPr>
      <w:r w:rsidRPr="00625FC2">
        <w:rPr>
          <w:rFonts w:ascii="Arial" w:hAnsi="Arial" w:cs="Arial"/>
          <w:sz w:val="24"/>
          <w:szCs w:val="24"/>
        </w:rPr>
        <w:t>Moreover, the digitization of the claims process aligns with broader efforts to modernize the justice system, reflecting a commitment to improving efficiency, reducing backlogs, and making legal services more accessible to the public. By facilitating easier access to justice, these reforms have the potential to ensure that more individuals can seek and obtain redress for injuries suffered, thereby reinforcing the principles of fairness and equity that underpin the legal system.</w:t>
      </w:r>
    </w:p>
    <w:p w14:paraId="6A14A732" w14:textId="0D4A5757" w:rsidR="00631926" w:rsidRDefault="00631926" w:rsidP="00625FC2">
      <w:pPr>
        <w:rPr>
          <w:rFonts w:ascii="Arial" w:hAnsi="Arial" w:cs="Arial"/>
          <w:sz w:val="24"/>
          <w:szCs w:val="24"/>
        </w:rPr>
      </w:pPr>
      <w:r w:rsidRPr="00625FC2">
        <w:rPr>
          <w:rFonts w:ascii="Arial" w:hAnsi="Arial" w:cs="Arial"/>
          <w:sz w:val="24"/>
          <w:szCs w:val="24"/>
        </w:rPr>
        <w:t xml:space="preserve">The changes to the Personal Injury Small Claims procedure mark a pivotal moment in the landscape of personal injury litigation in England and Wales. While the reforms aim to reduce the burden of minor or fraudulent claims on the legal system and the insurance industry, they also bring significant challenges, particularly for individuals forced to navigate the legal system without representation. The increase in litigants in person raises concerns about access to justice and the potential for inequality in the claims process. As the legal community and stakeholders continue to adapt to these changes, ongoing </w:t>
      </w:r>
      <w:r w:rsidR="00625FC2" w:rsidRPr="00625FC2">
        <w:rPr>
          <w:rFonts w:ascii="Arial" w:hAnsi="Arial" w:cs="Arial"/>
          <w:sz w:val="24"/>
          <w:szCs w:val="24"/>
        </w:rPr>
        <w:t>evaluation,</w:t>
      </w:r>
      <w:r w:rsidRPr="00625FC2">
        <w:rPr>
          <w:rFonts w:ascii="Arial" w:hAnsi="Arial" w:cs="Arial"/>
          <w:sz w:val="24"/>
          <w:szCs w:val="24"/>
        </w:rPr>
        <w:t xml:space="preserve"> and support for litigants in person will be crucial to ensuring that the reforms meet their objectives without compromising the rights and interests of individuals seeking redress for personal injuries.</w:t>
      </w:r>
    </w:p>
    <w:p w14:paraId="2BCCB7D5" w14:textId="77777777" w:rsidR="00625FC2" w:rsidRDefault="00625FC2" w:rsidP="00625FC2">
      <w:pPr>
        <w:rPr>
          <w:rFonts w:ascii="Arial" w:hAnsi="Arial" w:cs="Arial"/>
          <w:sz w:val="24"/>
          <w:szCs w:val="24"/>
        </w:rPr>
      </w:pPr>
    </w:p>
    <w:p w14:paraId="2B122832" w14:textId="77777777" w:rsidR="00625FC2" w:rsidRDefault="00625FC2" w:rsidP="00625FC2">
      <w:pPr>
        <w:rPr>
          <w:rFonts w:ascii="Arial" w:hAnsi="Arial" w:cs="Arial"/>
          <w:sz w:val="24"/>
          <w:szCs w:val="24"/>
        </w:rPr>
      </w:pPr>
    </w:p>
    <w:p w14:paraId="0561AE06" w14:textId="5538FCD7" w:rsidR="00625FC2" w:rsidRDefault="00625FC2" w:rsidP="00625FC2">
      <w:pPr>
        <w:jc w:val="center"/>
        <w:rPr>
          <w:rFonts w:ascii="Arial" w:hAnsi="Arial" w:cs="Arial"/>
          <w:sz w:val="24"/>
          <w:szCs w:val="24"/>
        </w:rPr>
      </w:pPr>
      <w:r>
        <w:rPr>
          <w:rFonts w:ascii="Arial" w:hAnsi="Arial" w:cs="Arial"/>
          <w:sz w:val="24"/>
          <w:szCs w:val="24"/>
        </w:rPr>
        <w:lastRenderedPageBreak/>
        <w:t>References</w:t>
      </w:r>
    </w:p>
    <w:p w14:paraId="0BC95B64" w14:textId="77777777" w:rsidR="00EC5366" w:rsidRDefault="00EC5366" w:rsidP="00EC5366">
      <w:pPr>
        <w:rPr>
          <w:rFonts w:ascii="Arial" w:hAnsi="Arial" w:cs="Arial"/>
          <w:sz w:val="24"/>
          <w:szCs w:val="24"/>
        </w:rPr>
      </w:pPr>
      <w:r w:rsidRPr="00125445">
        <w:rPr>
          <w:rFonts w:ascii="Arial" w:hAnsi="Arial" w:cs="Arial"/>
          <w:i/>
          <w:iCs/>
          <w:sz w:val="24"/>
          <w:szCs w:val="24"/>
        </w:rPr>
        <w:t>Civil Procedure Act 1997, c.12.</w:t>
      </w:r>
      <w:r>
        <w:rPr>
          <w:rFonts w:ascii="Arial" w:hAnsi="Arial" w:cs="Arial"/>
          <w:sz w:val="24"/>
          <w:szCs w:val="24"/>
        </w:rPr>
        <w:t xml:space="preserve"> Available at: </w:t>
      </w:r>
      <w:hyperlink r:id="rId7" w:history="1">
        <w:r w:rsidRPr="0056291C">
          <w:rPr>
            <w:rStyle w:val="Hyperlink"/>
            <w:rFonts w:ascii="Arial" w:hAnsi="Arial" w:cs="Arial"/>
            <w:sz w:val="24"/>
            <w:szCs w:val="24"/>
          </w:rPr>
          <w:t>https://www.legislation.gov.uk/ukpga/1997/12/contents</w:t>
        </w:r>
      </w:hyperlink>
      <w:r>
        <w:rPr>
          <w:rFonts w:ascii="Arial" w:hAnsi="Arial" w:cs="Arial"/>
          <w:sz w:val="24"/>
          <w:szCs w:val="24"/>
        </w:rPr>
        <w:t xml:space="preserve"> (Accessed: 14 March 2024). </w:t>
      </w:r>
    </w:p>
    <w:p w14:paraId="26106F52" w14:textId="77777777" w:rsidR="00EC5366" w:rsidRDefault="00EC5366" w:rsidP="00EC5366">
      <w:pPr>
        <w:rPr>
          <w:rFonts w:ascii="Arial" w:hAnsi="Arial" w:cs="Arial"/>
          <w:sz w:val="24"/>
          <w:szCs w:val="24"/>
        </w:rPr>
      </w:pPr>
      <w:r>
        <w:rPr>
          <w:rFonts w:ascii="Arial" w:hAnsi="Arial" w:cs="Arial"/>
          <w:sz w:val="24"/>
          <w:szCs w:val="24"/>
        </w:rPr>
        <w:t xml:space="preserve">GOV.UK (2021) </w:t>
      </w:r>
      <w:r w:rsidRPr="0086332F">
        <w:rPr>
          <w:rFonts w:ascii="Arial" w:hAnsi="Arial" w:cs="Arial"/>
          <w:i/>
          <w:iCs/>
          <w:sz w:val="24"/>
          <w:szCs w:val="24"/>
        </w:rPr>
        <w:t>Whiplash Reform Programme: Information and FAQ</w:t>
      </w:r>
      <w:r>
        <w:rPr>
          <w:rFonts w:ascii="Arial" w:hAnsi="Arial" w:cs="Arial"/>
          <w:sz w:val="24"/>
          <w:szCs w:val="24"/>
        </w:rPr>
        <w:t xml:space="preserve">. Available at: </w:t>
      </w:r>
      <w:hyperlink r:id="rId8" w:history="1">
        <w:r w:rsidRPr="0056291C">
          <w:rPr>
            <w:rStyle w:val="Hyperlink"/>
            <w:rFonts w:ascii="Arial" w:hAnsi="Arial" w:cs="Arial"/>
            <w:sz w:val="24"/>
            <w:szCs w:val="24"/>
          </w:rPr>
          <w:t>https://www.gov.uk/government/publications/whiplash-reform-programme-information-and-faq</w:t>
        </w:r>
      </w:hyperlink>
      <w:r>
        <w:rPr>
          <w:rFonts w:ascii="Arial" w:hAnsi="Arial" w:cs="Arial"/>
          <w:sz w:val="24"/>
          <w:szCs w:val="24"/>
        </w:rPr>
        <w:t xml:space="preserve"> (Accessed: 14 March 2024). </w:t>
      </w:r>
    </w:p>
    <w:p w14:paraId="76281BA3" w14:textId="590FB957" w:rsidR="00EC5366" w:rsidRDefault="00EC5366" w:rsidP="00EC5366">
      <w:pPr>
        <w:rPr>
          <w:rFonts w:ascii="Arial" w:hAnsi="Arial" w:cs="Arial"/>
          <w:sz w:val="24"/>
          <w:szCs w:val="24"/>
        </w:rPr>
      </w:pPr>
      <w:r w:rsidRPr="00B72280">
        <w:rPr>
          <w:rFonts w:ascii="Arial" w:hAnsi="Arial" w:cs="Arial"/>
          <w:i/>
          <w:iCs/>
          <w:sz w:val="24"/>
          <w:szCs w:val="24"/>
        </w:rPr>
        <w:t>Human Rights Act 1998, c.42</w:t>
      </w:r>
      <w:r>
        <w:rPr>
          <w:rFonts w:ascii="Arial" w:hAnsi="Arial" w:cs="Arial"/>
          <w:sz w:val="24"/>
          <w:szCs w:val="24"/>
        </w:rPr>
        <w:t xml:space="preserve">. Available at: </w:t>
      </w:r>
      <w:hyperlink r:id="rId9" w:history="1">
        <w:r w:rsidRPr="0056291C">
          <w:rPr>
            <w:rStyle w:val="Hyperlink"/>
            <w:rFonts w:ascii="Arial" w:hAnsi="Arial" w:cs="Arial"/>
            <w:sz w:val="24"/>
            <w:szCs w:val="24"/>
          </w:rPr>
          <w:t>https://www.legislation.gov.uk/ukpga/1998/42/contents</w:t>
        </w:r>
      </w:hyperlink>
      <w:r>
        <w:rPr>
          <w:rFonts w:ascii="Arial" w:hAnsi="Arial" w:cs="Arial"/>
          <w:sz w:val="24"/>
          <w:szCs w:val="24"/>
        </w:rPr>
        <w:t xml:space="preserve"> (Accessed: 14 March 2024). </w:t>
      </w:r>
    </w:p>
    <w:p w14:paraId="342418C4" w14:textId="77777777" w:rsidR="00EC5366" w:rsidRDefault="00EC5366" w:rsidP="00EC5366">
      <w:pPr>
        <w:rPr>
          <w:rFonts w:ascii="Arial" w:hAnsi="Arial" w:cs="Arial"/>
          <w:sz w:val="24"/>
          <w:szCs w:val="24"/>
        </w:rPr>
      </w:pPr>
      <w:r w:rsidRPr="00EC5366">
        <w:rPr>
          <w:rFonts w:ascii="Arial" w:hAnsi="Arial" w:cs="Arial"/>
          <w:i/>
          <w:iCs/>
          <w:sz w:val="24"/>
          <w:szCs w:val="24"/>
        </w:rPr>
        <w:t>Legal Aid, Sentencing and Punishment of Offenders Act 2012, c10</w:t>
      </w:r>
      <w:r>
        <w:rPr>
          <w:rFonts w:ascii="Arial" w:hAnsi="Arial" w:cs="Arial"/>
          <w:sz w:val="24"/>
          <w:szCs w:val="24"/>
        </w:rPr>
        <w:t xml:space="preserve">. Available at: </w:t>
      </w:r>
      <w:hyperlink r:id="rId10" w:history="1">
        <w:r w:rsidRPr="0056291C">
          <w:rPr>
            <w:rStyle w:val="Hyperlink"/>
            <w:rFonts w:ascii="Arial" w:hAnsi="Arial" w:cs="Arial"/>
            <w:sz w:val="24"/>
            <w:szCs w:val="24"/>
          </w:rPr>
          <w:t>https://www.legislation.gov.uk/ukpga/2012/10/contents/enacted</w:t>
        </w:r>
      </w:hyperlink>
      <w:r>
        <w:rPr>
          <w:rFonts w:ascii="Arial" w:hAnsi="Arial" w:cs="Arial"/>
          <w:sz w:val="24"/>
          <w:szCs w:val="24"/>
        </w:rPr>
        <w:t xml:space="preserve"> (Accessed: 14 March 2024). </w:t>
      </w:r>
    </w:p>
    <w:p w14:paraId="0EEB61C1" w14:textId="77777777" w:rsidR="00EC5366" w:rsidRDefault="00EC5366" w:rsidP="00EC5366">
      <w:pPr>
        <w:rPr>
          <w:rFonts w:ascii="Arial" w:hAnsi="Arial" w:cs="Arial"/>
          <w:sz w:val="24"/>
          <w:szCs w:val="24"/>
        </w:rPr>
      </w:pPr>
      <w:r w:rsidRPr="00EA311F">
        <w:rPr>
          <w:rFonts w:ascii="Arial" w:hAnsi="Arial" w:cs="Arial"/>
          <w:i/>
          <w:iCs/>
          <w:sz w:val="24"/>
          <w:szCs w:val="24"/>
        </w:rPr>
        <w:t>Limitation Act 1980, c.58</w:t>
      </w:r>
      <w:r>
        <w:rPr>
          <w:rFonts w:ascii="Arial" w:hAnsi="Arial" w:cs="Arial"/>
          <w:sz w:val="24"/>
          <w:szCs w:val="24"/>
        </w:rPr>
        <w:t xml:space="preserve">. Available at: </w:t>
      </w:r>
      <w:hyperlink r:id="rId11" w:history="1">
        <w:r w:rsidRPr="0056291C">
          <w:rPr>
            <w:rStyle w:val="Hyperlink"/>
            <w:rFonts w:ascii="Arial" w:hAnsi="Arial" w:cs="Arial"/>
            <w:sz w:val="24"/>
            <w:szCs w:val="24"/>
          </w:rPr>
          <w:t>https://www.legislation.gov.uk/ukpga/1980/58/contents</w:t>
        </w:r>
      </w:hyperlink>
      <w:r>
        <w:rPr>
          <w:rFonts w:ascii="Arial" w:hAnsi="Arial" w:cs="Arial"/>
          <w:sz w:val="24"/>
          <w:szCs w:val="24"/>
        </w:rPr>
        <w:t xml:space="preserve"> (Accessed: 14 March 2024).</w:t>
      </w:r>
    </w:p>
    <w:p w14:paraId="2CF6C688" w14:textId="46E43DB3" w:rsidR="00625FC2" w:rsidRDefault="005B1D0C" w:rsidP="00625FC2">
      <w:pPr>
        <w:rPr>
          <w:rFonts w:ascii="Arial" w:hAnsi="Arial" w:cs="Arial"/>
          <w:sz w:val="24"/>
          <w:szCs w:val="24"/>
        </w:rPr>
      </w:pPr>
      <w:r>
        <w:rPr>
          <w:rFonts w:ascii="Arial" w:hAnsi="Arial" w:cs="Arial"/>
          <w:sz w:val="24"/>
          <w:szCs w:val="24"/>
        </w:rPr>
        <w:t xml:space="preserve">Ministry of Justice (no date) </w:t>
      </w:r>
      <w:r w:rsidRPr="005927F6">
        <w:rPr>
          <w:rFonts w:ascii="Arial" w:hAnsi="Arial" w:cs="Arial"/>
          <w:i/>
          <w:iCs/>
          <w:sz w:val="24"/>
          <w:szCs w:val="24"/>
        </w:rPr>
        <w:t>Pre-Action Protocol for Personal Injury Claims</w:t>
      </w:r>
      <w:r>
        <w:rPr>
          <w:rFonts w:ascii="Arial" w:hAnsi="Arial" w:cs="Arial"/>
          <w:sz w:val="24"/>
          <w:szCs w:val="24"/>
        </w:rPr>
        <w:t xml:space="preserve">. Available at: </w:t>
      </w:r>
      <w:hyperlink r:id="rId12" w:history="1">
        <w:r w:rsidR="005927F6" w:rsidRPr="0056291C">
          <w:rPr>
            <w:rStyle w:val="Hyperlink"/>
            <w:rFonts w:ascii="Arial" w:hAnsi="Arial" w:cs="Arial"/>
            <w:sz w:val="24"/>
            <w:szCs w:val="24"/>
          </w:rPr>
          <w:t>https://www.justice.gov.uk/courts/procedure-rules/civil/protocol/prot_pic</w:t>
        </w:r>
      </w:hyperlink>
      <w:r w:rsidR="005927F6">
        <w:rPr>
          <w:rFonts w:ascii="Arial" w:hAnsi="Arial" w:cs="Arial"/>
          <w:sz w:val="24"/>
          <w:szCs w:val="24"/>
        </w:rPr>
        <w:t xml:space="preserve"> (Accessed: 14 March 2024). </w:t>
      </w:r>
    </w:p>
    <w:p w14:paraId="3ED75761" w14:textId="241BBAB0" w:rsidR="0086332F" w:rsidRDefault="00305938" w:rsidP="00625FC2">
      <w:pPr>
        <w:rPr>
          <w:rFonts w:ascii="Arial" w:hAnsi="Arial" w:cs="Arial"/>
          <w:sz w:val="24"/>
          <w:szCs w:val="24"/>
        </w:rPr>
      </w:pPr>
      <w:r w:rsidRPr="0086590E">
        <w:rPr>
          <w:rFonts w:ascii="Arial" w:hAnsi="Arial" w:cs="Arial"/>
          <w:i/>
          <w:iCs/>
          <w:sz w:val="24"/>
          <w:szCs w:val="24"/>
        </w:rPr>
        <w:t>The Civil Procedure (Amendment) Rules 2021</w:t>
      </w:r>
      <w:r>
        <w:rPr>
          <w:rFonts w:ascii="Arial" w:hAnsi="Arial" w:cs="Arial"/>
          <w:sz w:val="24"/>
          <w:szCs w:val="24"/>
        </w:rPr>
        <w:t xml:space="preserve"> (SI 2021/117). Available at: </w:t>
      </w:r>
      <w:hyperlink r:id="rId13" w:history="1">
        <w:r w:rsidR="0086590E" w:rsidRPr="0056291C">
          <w:rPr>
            <w:rStyle w:val="Hyperlink"/>
            <w:rFonts w:ascii="Arial" w:hAnsi="Arial" w:cs="Arial"/>
            <w:sz w:val="24"/>
            <w:szCs w:val="24"/>
          </w:rPr>
          <w:t>https://www.legislation.gov.uk/uksi/2021/117/contents/made</w:t>
        </w:r>
      </w:hyperlink>
      <w:r w:rsidR="0086590E">
        <w:rPr>
          <w:rFonts w:ascii="Arial" w:hAnsi="Arial" w:cs="Arial"/>
          <w:sz w:val="24"/>
          <w:szCs w:val="24"/>
        </w:rPr>
        <w:t xml:space="preserve"> (Accessed: 14 March 2024). </w:t>
      </w:r>
    </w:p>
    <w:p w14:paraId="6A710785" w14:textId="73A03C9D" w:rsidR="00EA311F" w:rsidRDefault="00CA30AF" w:rsidP="00625FC2">
      <w:pPr>
        <w:rPr>
          <w:rFonts w:ascii="Arial" w:hAnsi="Arial" w:cs="Arial"/>
          <w:sz w:val="24"/>
          <w:szCs w:val="24"/>
        </w:rPr>
      </w:pPr>
      <w:r w:rsidRPr="003547D2">
        <w:rPr>
          <w:rFonts w:ascii="Arial" w:hAnsi="Arial" w:cs="Arial"/>
          <w:i/>
          <w:iCs/>
          <w:sz w:val="24"/>
          <w:szCs w:val="24"/>
        </w:rPr>
        <w:t xml:space="preserve">The Civil Procedure Rules </w:t>
      </w:r>
      <w:r w:rsidR="003547D2" w:rsidRPr="003547D2">
        <w:rPr>
          <w:rFonts w:ascii="Arial" w:hAnsi="Arial" w:cs="Arial"/>
          <w:i/>
          <w:iCs/>
          <w:sz w:val="24"/>
          <w:szCs w:val="24"/>
        </w:rPr>
        <w:t>1998</w:t>
      </w:r>
      <w:r w:rsidR="003547D2">
        <w:rPr>
          <w:rFonts w:ascii="Arial" w:hAnsi="Arial" w:cs="Arial"/>
          <w:sz w:val="24"/>
          <w:szCs w:val="24"/>
        </w:rPr>
        <w:t xml:space="preserve"> (SI 1998/3132). Available at: </w:t>
      </w:r>
      <w:hyperlink r:id="rId14" w:history="1">
        <w:r w:rsidR="003547D2" w:rsidRPr="0056291C">
          <w:rPr>
            <w:rStyle w:val="Hyperlink"/>
            <w:rFonts w:ascii="Arial" w:hAnsi="Arial" w:cs="Arial"/>
            <w:sz w:val="24"/>
            <w:szCs w:val="24"/>
          </w:rPr>
          <w:t>https://www.legislation.gov.uk/uksi/1998/3132/contents/made</w:t>
        </w:r>
      </w:hyperlink>
      <w:r w:rsidR="003547D2">
        <w:rPr>
          <w:rFonts w:ascii="Arial" w:hAnsi="Arial" w:cs="Arial"/>
          <w:sz w:val="24"/>
          <w:szCs w:val="24"/>
        </w:rPr>
        <w:t xml:space="preserve"> (Accessed: 14 March 2024). </w:t>
      </w:r>
    </w:p>
    <w:p w14:paraId="1826659B" w14:textId="77777777" w:rsidR="0025766D" w:rsidRDefault="0025766D" w:rsidP="0025766D">
      <w:pPr>
        <w:rPr>
          <w:rFonts w:ascii="Arial" w:hAnsi="Arial" w:cs="Arial"/>
          <w:sz w:val="24"/>
          <w:szCs w:val="24"/>
        </w:rPr>
      </w:pPr>
      <w:r w:rsidRPr="002016B6">
        <w:rPr>
          <w:rFonts w:ascii="Arial" w:hAnsi="Arial" w:cs="Arial"/>
          <w:i/>
          <w:iCs/>
          <w:sz w:val="24"/>
          <w:szCs w:val="24"/>
        </w:rPr>
        <w:t>The Whiplash Injury Regulations 2021</w:t>
      </w:r>
      <w:r>
        <w:rPr>
          <w:rFonts w:ascii="Arial" w:hAnsi="Arial" w:cs="Arial"/>
          <w:i/>
          <w:iCs/>
          <w:sz w:val="24"/>
          <w:szCs w:val="24"/>
        </w:rPr>
        <w:t xml:space="preserve"> </w:t>
      </w:r>
      <w:r>
        <w:rPr>
          <w:rFonts w:ascii="Arial" w:hAnsi="Arial" w:cs="Arial"/>
          <w:sz w:val="24"/>
          <w:szCs w:val="24"/>
        </w:rPr>
        <w:t xml:space="preserve">(SI 2021/642) Available at: </w:t>
      </w:r>
      <w:hyperlink r:id="rId15" w:history="1">
        <w:r w:rsidRPr="0056291C">
          <w:rPr>
            <w:rStyle w:val="Hyperlink"/>
            <w:rFonts w:ascii="Arial" w:hAnsi="Arial" w:cs="Arial"/>
            <w:sz w:val="24"/>
            <w:szCs w:val="24"/>
          </w:rPr>
          <w:t>https://www.legislation.gov.uk/uksi/2021/642/contents/made</w:t>
        </w:r>
      </w:hyperlink>
      <w:r>
        <w:rPr>
          <w:rFonts w:ascii="Arial" w:hAnsi="Arial" w:cs="Arial"/>
          <w:sz w:val="24"/>
          <w:szCs w:val="24"/>
        </w:rPr>
        <w:t xml:space="preserve"> (Accessed: 14 March 2024). </w:t>
      </w:r>
    </w:p>
    <w:p w14:paraId="6530B0BC" w14:textId="77777777" w:rsidR="0025766D" w:rsidRDefault="0025766D" w:rsidP="00625FC2">
      <w:pPr>
        <w:rPr>
          <w:rFonts w:ascii="Arial" w:hAnsi="Arial" w:cs="Arial"/>
          <w:sz w:val="24"/>
          <w:szCs w:val="24"/>
        </w:rPr>
      </w:pPr>
    </w:p>
    <w:p w14:paraId="3DBF2EA1" w14:textId="77777777" w:rsidR="003547D2" w:rsidRDefault="003547D2" w:rsidP="00625FC2">
      <w:pPr>
        <w:rPr>
          <w:rFonts w:ascii="Arial" w:hAnsi="Arial" w:cs="Arial"/>
          <w:sz w:val="24"/>
          <w:szCs w:val="24"/>
        </w:rPr>
      </w:pPr>
    </w:p>
    <w:p w14:paraId="51FECF9B" w14:textId="77777777" w:rsidR="002016B6" w:rsidRPr="00625FC2" w:rsidRDefault="002016B6" w:rsidP="00625FC2">
      <w:pPr>
        <w:rPr>
          <w:rFonts w:ascii="Arial" w:hAnsi="Arial" w:cs="Arial"/>
          <w:sz w:val="24"/>
          <w:szCs w:val="24"/>
        </w:rPr>
      </w:pPr>
    </w:p>
    <w:p w14:paraId="73EFFBFD" w14:textId="77777777" w:rsidR="00631926" w:rsidRDefault="00631926"/>
    <w:p w14:paraId="01B77C4B" w14:textId="77777777" w:rsidR="00625FC2" w:rsidRDefault="00625FC2"/>
    <w:p w14:paraId="33BE0010" w14:textId="072C6931" w:rsidR="00625FC2" w:rsidRDefault="00625FC2"/>
    <w:sectPr w:rsidR="00625F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926"/>
    <w:rsid w:val="00070824"/>
    <w:rsid w:val="00125445"/>
    <w:rsid w:val="00125D26"/>
    <w:rsid w:val="00172746"/>
    <w:rsid w:val="002016B6"/>
    <w:rsid w:val="0025766D"/>
    <w:rsid w:val="00305938"/>
    <w:rsid w:val="003547D2"/>
    <w:rsid w:val="0046150A"/>
    <w:rsid w:val="00552810"/>
    <w:rsid w:val="005927F6"/>
    <w:rsid w:val="005B1D0C"/>
    <w:rsid w:val="00625FC2"/>
    <w:rsid w:val="00631926"/>
    <w:rsid w:val="007740A8"/>
    <w:rsid w:val="007E71F9"/>
    <w:rsid w:val="00860C98"/>
    <w:rsid w:val="0086332F"/>
    <w:rsid w:val="0086590E"/>
    <w:rsid w:val="00945B8C"/>
    <w:rsid w:val="00A55237"/>
    <w:rsid w:val="00B004AC"/>
    <w:rsid w:val="00B542B2"/>
    <w:rsid w:val="00B72280"/>
    <w:rsid w:val="00C12607"/>
    <w:rsid w:val="00C368C0"/>
    <w:rsid w:val="00CA30AF"/>
    <w:rsid w:val="00CE3E83"/>
    <w:rsid w:val="00D836F2"/>
    <w:rsid w:val="00E60914"/>
    <w:rsid w:val="00EA311F"/>
    <w:rsid w:val="00EC5366"/>
    <w:rsid w:val="00F31019"/>
    <w:rsid w:val="00F41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F7419"/>
  <w15:chartTrackingRefBased/>
  <w15:docId w15:val="{F600AD7A-CFB3-4942-9B0A-366B75BBF4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19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19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19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19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19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19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19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19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19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9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19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19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19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19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19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19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19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1926"/>
    <w:rPr>
      <w:rFonts w:eastAsiaTheme="majorEastAsia" w:cstheme="majorBidi"/>
      <w:color w:val="272727" w:themeColor="text1" w:themeTint="D8"/>
    </w:rPr>
  </w:style>
  <w:style w:type="paragraph" w:styleId="Title">
    <w:name w:val="Title"/>
    <w:basedOn w:val="Normal"/>
    <w:next w:val="Normal"/>
    <w:link w:val="TitleChar"/>
    <w:uiPriority w:val="10"/>
    <w:qFormat/>
    <w:rsid w:val="006319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19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19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19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1926"/>
    <w:pPr>
      <w:spacing w:before="160"/>
      <w:jc w:val="center"/>
    </w:pPr>
    <w:rPr>
      <w:i/>
      <w:iCs/>
      <w:color w:val="404040" w:themeColor="text1" w:themeTint="BF"/>
    </w:rPr>
  </w:style>
  <w:style w:type="character" w:customStyle="1" w:styleId="QuoteChar">
    <w:name w:val="Quote Char"/>
    <w:basedOn w:val="DefaultParagraphFont"/>
    <w:link w:val="Quote"/>
    <w:uiPriority w:val="29"/>
    <w:rsid w:val="00631926"/>
    <w:rPr>
      <w:i/>
      <w:iCs/>
      <w:color w:val="404040" w:themeColor="text1" w:themeTint="BF"/>
    </w:rPr>
  </w:style>
  <w:style w:type="paragraph" w:styleId="ListParagraph">
    <w:name w:val="List Paragraph"/>
    <w:basedOn w:val="Normal"/>
    <w:uiPriority w:val="34"/>
    <w:qFormat/>
    <w:rsid w:val="00631926"/>
    <w:pPr>
      <w:ind w:left="720"/>
      <w:contextualSpacing/>
    </w:pPr>
  </w:style>
  <w:style w:type="character" w:styleId="IntenseEmphasis">
    <w:name w:val="Intense Emphasis"/>
    <w:basedOn w:val="DefaultParagraphFont"/>
    <w:uiPriority w:val="21"/>
    <w:qFormat/>
    <w:rsid w:val="00631926"/>
    <w:rPr>
      <w:i/>
      <w:iCs/>
      <w:color w:val="0F4761" w:themeColor="accent1" w:themeShade="BF"/>
    </w:rPr>
  </w:style>
  <w:style w:type="paragraph" w:styleId="IntenseQuote">
    <w:name w:val="Intense Quote"/>
    <w:basedOn w:val="Normal"/>
    <w:next w:val="Normal"/>
    <w:link w:val="IntenseQuoteChar"/>
    <w:uiPriority w:val="30"/>
    <w:qFormat/>
    <w:rsid w:val="006319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1926"/>
    <w:rPr>
      <w:i/>
      <w:iCs/>
      <w:color w:val="0F4761" w:themeColor="accent1" w:themeShade="BF"/>
    </w:rPr>
  </w:style>
  <w:style w:type="character" w:styleId="IntenseReference">
    <w:name w:val="Intense Reference"/>
    <w:basedOn w:val="DefaultParagraphFont"/>
    <w:uiPriority w:val="32"/>
    <w:qFormat/>
    <w:rsid w:val="00631926"/>
    <w:rPr>
      <w:b/>
      <w:bCs/>
      <w:smallCaps/>
      <w:color w:val="0F4761" w:themeColor="accent1" w:themeShade="BF"/>
      <w:spacing w:val="5"/>
    </w:rPr>
  </w:style>
  <w:style w:type="paragraph" w:styleId="NormalWeb">
    <w:name w:val="Normal (Web)"/>
    <w:basedOn w:val="Normal"/>
    <w:uiPriority w:val="99"/>
    <w:semiHidden/>
    <w:unhideWhenUsed/>
    <w:rsid w:val="006319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5927F6"/>
    <w:rPr>
      <w:color w:val="467886" w:themeColor="hyperlink"/>
      <w:u w:val="single"/>
    </w:rPr>
  </w:style>
  <w:style w:type="character" w:styleId="UnresolvedMention">
    <w:name w:val="Unresolved Mention"/>
    <w:basedOn w:val="DefaultParagraphFont"/>
    <w:uiPriority w:val="99"/>
    <w:semiHidden/>
    <w:unhideWhenUsed/>
    <w:rsid w:val="005927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5376967">
      <w:bodyDiv w:val="1"/>
      <w:marLeft w:val="0"/>
      <w:marRight w:val="0"/>
      <w:marTop w:val="0"/>
      <w:marBottom w:val="0"/>
      <w:divBdr>
        <w:top w:val="none" w:sz="0" w:space="0" w:color="auto"/>
        <w:left w:val="none" w:sz="0" w:space="0" w:color="auto"/>
        <w:bottom w:val="none" w:sz="0" w:space="0" w:color="auto"/>
        <w:right w:val="none" w:sz="0" w:space="0" w:color="auto"/>
      </w:divBdr>
    </w:div>
    <w:div w:id="454296066">
      <w:bodyDiv w:val="1"/>
      <w:marLeft w:val="0"/>
      <w:marRight w:val="0"/>
      <w:marTop w:val="0"/>
      <w:marBottom w:val="0"/>
      <w:divBdr>
        <w:top w:val="none" w:sz="0" w:space="0" w:color="auto"/>
        <w:left w:val="none" w:sz="0" w:space="0" w:color="auto"/>
        <w:bottom w:val="none" w:sz="0" w:space="0" w:color="auto"/>
        <w:right w:val="none" w:sz="0" w:space="0" w:color="auto"/>
      </w:divBdr>
    </w:div>
    <w:div w:id="1168135866">
      <w:bodyDiv w:val="1"/>
      <w:marLeft w:val="0"/>
      <w:marRight w:val="0"/>
      <w:marTop w:val="0"/>
      <w:marBottom w:val="0"/>
      <w:divBdr>
        <w:top w:val="none" w:sz="0" w:space="0" w:color="auto"/>
        <w:left w:val="none" w:sz="0" w:space="0" w:color="auto"/>
        <w:bottom w:val="none" w:sz="0" w:space="0" w:color="auto"/>
        <w:right w:val="none" w:sz="0" w:space="0" w:color="auto"/>
      </w:divBdr>
    </w:div>
    <w:div w:id="1623925167">
      <w:bodyDiv w:val="1"/>
      <w:marLeft w:val="0"/>
      <w:marRight w:val="0"/>
      <w:marTop w:val="0"/>
      <w:marBottom w:val="0"/>
      <w:divBdr>
        <w:top w:val="none" w:sz="0" w:space="0" w:color="auto"/>
        <w:left w:val="none" w:sz="0" w:space="0" w:color="auto"/>
        <w:bottom w:val="none" w:sz="0" w:space="0" w:color="auto"/>
        <w:right w:val="none" w:sz="0" w:space="0" w:color="auto"/>
      </w:divBdr>
    </w:div>
    <w:div w:id="1624341712">
      <w:bodyDiv w:val="1"/>
      <w:marLeft w:val="0"/>
      <w:marRight w:val="0"/>
      <w:marTop w:val="0"/>
      <w:marBottom w:val="0"/>
      <w:divBdr>
        <w:top w:val="none" w:sz="0" w:space="0" w:color="auto"/>
        <w:left w:val="none" w:sz="0" w:space="0" w:color="auto"/>
        <w:bottom w:val="none" w:sz="0" w:space="0" w:color="auto"/>
        <w:right w:val="none" w:sz="0" w:space="0" w:color="auto"/>
      </w:divBdr>
    </w:div>
    <w:div w:id="1716269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hiplash-reform-programme-information-and-faq" TargetMode="External"/><Relationship Id="rId13" Type="http://schemas.openxmlformats.org/officeDocument/2006/relationships/hyperlink" Target="https://www.legislation.gov.uk/uksi/2021/117/contents/made" TargetMode="External"/><Relationship Id="rId3" Type="http://schemas.openxmlformats.org/officeDocument/2006/relationships/customXml" Target="../customXml/item3.xml"/><Relationship Id="rId7" Type="http://schemas.openxmlformats.org/officeDocument/2006/relationships/hyperlink" Target="https://www.legislation.gov.uk/ukpga/1997/12/contents" TargetMode="External"/><Relationship Id="rId12" Type="http://schemas.openxmlformats.org/officeDocument/2006/relationships/hyperlink" Target="https://www.justice.gov.uk/courts/procedure-rules/civil/protocol/prot_pic"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egislation.gov.uk/ukpga/1980/58/contents" TargetMode="External"/><Relationship Id="rId5" Type="http://schemas.openxmlformats.org/officeDocument/2006/relationships/settings" Target="settings.xml"/><Relationship Id="rId15" Type="http://schemas.openxmlformats.org/officeDocument/2006/relationships/hyperlink" Target="https://www.legislation.gov.uk/uksi/2021/642/contents/made" TargetMode="External"/><Relationship Id="rId10" Type="http://schemas.openxmlformats.org/officeDocument/2006/relationships/hyperlink" Target="https://www.legislation.gov.uk/ukpga/2012/10/contents/enacted" TargetMode="External"/><Relationship Id="rId4" Type="http://schemas.openxmlformats.org/officeDocument/2006/relationships/styles" Target="styles.xml"/><Relationship Id="rId9" Type="http://schemas.openxmlformats.org/officeDocument/2006/relationships/hyperlink" Target="https://www.legislation.gov.uk/ukpga/1998/42/contents" TargetMode="External"/><Relationship Id="rId14" Type="http://schemas.openxmlformats.org/officeDocument/2006/relationships/hyperlink" Target="https://www.legislation.gov.uk/uksi/1998/3132/contents/m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8" ma:contentTypeDescription="Create a new document." ma:contentTypeScope="" ma:versionID="04bba224e801cc79edef9b5eadcd5ab1">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085440466e69737d27e99520925057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548856-B09B-4A81-A747-36F911079958}">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AD65797A-630A-4EB0-8C94-DACFAFEEC880}">
  <ds:schemaRefs>
    <ds:schemaRef ds:uri="http://schemas.microsoft.com/sharepoint/v3/contenttype/forms"/>
  </ds:schemaRefs>
</ds:datastoreItem>
</file>

<file path=customXml/itemProps3.xml><?xml version="1.0" encoding="utf-8"?>
<ds:datastoreItem xmlns:ds="http://schemas.openxmlformats.org/officeDocument/2006/customXml" ds:itemID="{81EABBF5-1ED9-4441-AC7E-FC11923E6A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6</Pages>
  <Words>2779</Words>
  <Characters>15844</Characters>
  <Application>Microsoft Office Word</Application>
  <DocSecurity>0</DocSecurity>
  <Lines>132</Lines>
  <Paragraphs>37</Paragraphs>
  <ScaleCrop>false</ScaleCrop>
  <Company/>
  <LinksUpToDate>false</LinksUpToDate>
  <CharactersWithSpaces>18586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Alexandra Olivia Emery (2224078)</dc:creator>
  <cp:keywords/>
  <dc:description/>
  <cp:lastModifiedBy>Phoebe Alexandra Olivia Emery (2224078)</cp:lastModifiedBy>
  <cp:revision>31</cp:revision>
  <dcterms:created xsi:type="dcterms:W3CDTF">2024-03-12T12:02:00Z</dcterms:created>
  <dcterms:modified xsi:type="dcterms:W3CDTF">2024-03-14T13:42:00Z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