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DEEF2" w14:textId="3B58551D" w:rsidR="00F913A4" w:rsidRPr="00F913A4" w:rsidRDefault="00F913A4" w:rsidP="00F913A4">
      <w:r>
        <w:t xml:space="preserve">1.1 </w:t>
      </w:r>
      <w:r w:rsidRPr="00F913A4">
        <w:t xml:space="preserve">Divisional structure and matrix structure are models of organisational structure for how an organisation arranges its activities and resources. Divisional structure occurs when large organisations decentralise decision-making by creating divisions based on products, markets or geographical regions, and granting them operational decision-making powers in areas such as production, marketing and occasionally HR (Kew and Stredwick, 2016; Gutterman, 2023). This allows for the specific needs of the division to be addressed quickly by a specialised autonomous team that understands the division, giving way to innovative development. The divisions function as separate profit centres competing against each other, and the responsibilities of central functions are limited to the installation and monitoring of targets and goals, investment decisions and capital allocation. Due to this, performance can be measured accurately and compared, however, internal rivalries may develop as divisions compete over resources and refuse to share information, leading to shortcomings in innovation in some divisions (Gutterman, 2023). Another disadvantage of the divisional model is the cost, which is higher as facilities are duplicated across divisions; this was the case with the pioneers of the divisional structure, General Motors. The high expenditure across General Motors’ four divisions that were formed around the consumer market ultimately became one of the contributing factors to their 2009 bankruptcy, which was the third biggest bankruptcy in history (Kew and Stredwick, 2016). Overall, the divisional structure works best for larger companies that want to manage the continuation of their growth and expansion. Multinational organisations </w:t>
      </w:r>
      <w:proofErr w:type="gramStart"/>
      <w:r w:rsidRPr="00F913A4">
        <w:t>in particular may</w:t>
      </w:r>
      <w:proofErr w:type="gramEnd"/>
      <w:r w:rsidRPr="00F913A4">
        <w:t xml:space="preserve"> benefit from creating divisions based on countries or regions (Gutterman, 2023; Kew and Stredwick, 2016). </w:t>
      </w:r>
    </w:p>
    <w:p w14:paraId="1D549DDF" w14:textId="77777777" w:rsidR="00F913A4" w:rsidRPr="00F913A4" w:rsidRDefault="00F913A4" w:rsidP="00F913A4"/>
    <w:p w14:paraId="52393353" w14:textId="77777777" w:rsidR="00F913A4" w:rsidRPr="00F913A4" w:rsidRDefault="00F913A4" w:rsidP="00F913A4">
      <w:r w:rsidRPr="00F913A4">
        <w:t>A matrix structure is designed to coordinate resources from multiple departments so that they can work on a project and works best for organisations that require cross-functional collaboration. Employees are managed by their department manager (sales manager, IT manager etc) who oversees business-as-usual departmental activities, as well as a project manager who manages the diverse team working on a specific project, creating dual lines of authority and responsibility (Gutterman, 2023; Kew and Stredwick, 2016). (See Figure 1)</w:t>
      </w:r>
    </w:p>
    <w:p w14:paraId="7772E3A5" w14:textId="0C7F2901" w:rsidR="00F913A4" w:rsidRPr="00F913A4" w:rsidRDefault="00F913A4" w:rsidP="00F913A4">
      <w:r w:rsidRPr="00F913A4">
        <w:rPr>
          <w:noProof/>
        </w:rPr>
        <w:drawing>
          <wp:inline distT="0" distB="0" distL="0" distR="0" wp14:anchorId="58B6259D" wp14:editId="0D59C708">
            <wp:extent cx="4410075" cy="2066925"/>
            <wp:effectExtent l="0" t="0" r="9525" b="9525"/>
            <wp:docPr id="1216971214" name="Picture 2"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71214" name="Picture 2" descr="A white paper with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10075" cy="2066925"/>
                    </a:xfrm>
                    <a:prstGeom prst="rect">
                      <a:avLst/>
                    </a:prstGeom>
                    <a:noFill/>
                    <a:ln>
                      <a:noFill/>
                    </a:ln>
                  </pic:spPr>
                </pic:pic>
              </a:graphicData>
            </a:graphic>
          </wp:inline>
        </w:drawing>
      </w:r>
    </w:p>
    <w:p w14:paraId="0D9431BF" w14:textId="77777777" w:rsidR="00F913A4" w:rsidRPr="00F913A4" w:rsidRDefault="00F913A4" w:rsidP="00F913A4">
      <w:r w:rsidRPr="00F913A4">
        <w:lastRenderedPageBreak/>
        <w:t>Figure 1.</w:t>
      </w:r>
    </w:p>
    <w:p w14:paraId="09452928" w14:textId="77777777" w:rsidR="00F913A4" w:rsidRPr="00F913A4" w:rsidRDefault="00F913A4" w:rsidP="00F913A4">
      <w:r w:rsidRPr="00F913A4">
        <w:t>The matrix structure leads to a more flexible use of resources and better communication within the organisation, leading to effective and efficient decision making. Additionally, working as a team increases motivation and job satisfaction, as well as development. However, problems of loyalty can arise as employees report to two separate bosses, leading to conflicts and power-struggles arising between both managers. Functional managers especially tend to feel that their authority gets undermined. Under diffused authority, decision-making may be harder without clear communication (Gutterman, 2023; Kew and Stredwick, 2016).</w:t>
      </w:r>
    </w:p>
    <w:p w14:paraId="2E2DEC86" w14:textId="77777777" w:rsidR="00F913A4" w:rsidRPr="00A84E67" w:rsidRDefault="00F913A4" w:rsidP="00F913A4">
      <w:pPr>
        <w:rPr>
          <w:strike/>
        </w:rPr>
      </w:pPr>
      <w:r>
        <w:t xml:space="preserve">1.2 </w:t>
      </w:r>
      <w:r w:rsidRPr="00A84E67">
        <w:rPr>
          <w:strike/>
        </w:rPr>
        <w:t xml:space="preserve">The Farmers Arms is a pub and restaurant in </w:t>
      </w:r>
      <w:proofErr w:type="spellStart"/>
      <w:r w:rsidRPr="00A84E67">
        <w:rPr>
          <w:strike/>
        </w:rPr>
        <w:t>Llanybri</w:t>
      </w:r>
      <w:proofErr w:type="spellEnd"/>
      <w:r w:rsidRPr="00A84E67">
        <w:rPr>
          <w:strike/>
        </w:rPr>
        <w:t xml:space="preserve">, about a mile from the popular seaside village of </w:t>
      </w:r>
      <w:proofErr w:type="spellStart"/>
      <w:r w:rsidRPr="00A84E67">
        <w:rPr>
          <w:strike/>
        </w:rPr>
        <w:t>Llansteffan</w:t>
      </w:r>
      <w:proofErr w:type="spellEnd"/>
      <w:r w:rsidRPr="00A84E67">
        <w:rPr>
          <w:strike/>
        </w:rPr>
        <w:t>. It is a small, independent, family-run business with a total of 16 employees. They offer a range of services including alcoholic beverages, traditional pub-grub food and carvery roast dinners served on Sundays. The total venue capacity is 71 covers, not including the outdoor seating area and beer garden, and the business has also diversified into offering takeaway and local delivery services. The establishment has a 3-year plan with development and expansion goals including opening a local shop, public toilets for tourists and a recycling hub for the community (Rees, 2025). To achieve this vision, the Farmers Arms incorporates several strategies to maximise sales and promote customer retention.</w:t>
      </w:r>
    </w:p>
    <w:p w14:paraId="32D7A0C7" w14:textId="77777777" w:rsidR="00F913A4" w:rsidRPr="00A84E67" w:rsidRDefault="00F913A4" w:rsidP="00F913A4">
      <w:pPr>
        <w:rPr>
          <w:strike/>
        </w:rPr>
      </w:pPr>
      <w:r w:rsidRPr="00A84E67">
        <w:rPr>
          <w:strike/>
        </w:rPr>
        <w:t>To ensure products meet customer needs, procurement choices are based on the analysis of the Electronic Point of Sale (EPOS) system reports. Top-selling products will be repurchased, whereas low-selling products may not be. Highest-value products are also considered, as the sale of these items generates the most profit for the business. </w:t>
      </w:r>
    </w:p>
    <w:p w14:paraId="153FD2CE" w14:textId="77777777" w:rsidR="00F913A4" w:rsidRPr="00A84E67" w:rsidRDefault="00F913A4" w:rsidP="00F913A4">
      <w:pPr>
        <w:rPr>
          <w:strike/>
        </w:rPr>
      </w:pPr>
      <w:r w:rsidRPr="00A84E67">
        <w:rPr>
          <w:strike/>
        </w:rPr>
        <w:t>Quality checks are performed upon arrival, ensuring that goods aren’t damaged and have arrived at the correct temperature to ensure that they are fresh upon arrival. If these criteria are unmet, products will be returned to the supplier. Furthermore, expiration dates and observational quality checks are performed regularly, and products that are not up to standard are disposed of. During stock checks, the popularity of items is also assessed, and these deductions may influence future procurement alongside EPOS reports. </w:t>
      </w:r>
    </w:p>
    <w:p w14:paraId="4C86DA83" w14:textId="77777777" w:rsidR="00F913A4" w:rsidRPr="00A84E67" w:rsidRDefault="00F913A4" w:rsidP="00F913A4">
      <w:pPr>
        <w:rPr>
          <w:strike/>
        </w:rPr>
      </w:pPr>
      <w:r w:rsidRPr="00A84E67">
        <w:rPr>
          <w:strike/>
        </w:rPr>
        <w:t>Pricing strategies include offering bundle and party deals and seasonal discounts, as well as fixed discounted prices on alcoholic beverages for regular local customers. As the demand is high, the benefits of assured patronage and retention of local customers outweigh the profit reductions of selling these products at a reduced price (Rees, 2025).</w:t>
      </w:r>
    </w:p>
    <w:p w14:paraId="6C79BDD6" w14:textId="77777777" w:rsidR="00F913A4" w:rsidRPr="00A84E67" w:rsidRDefault="00F913A4" w:rsidP="00F913A4">
      <w:pPr>
        <w:rPr>
          <w:strike/>
        </w:rPr>
      </w:pPr>
      <w:r w:rsidRPr="00A84E67">
        <w:rPr>
          <w:strike/>
        </w:rPr>
        <w:t xml:space="preserve">Concerning services, employees are informed of the expected standard of service initially through the employee handbook which is read during the onboarding process. Furthermore, there are three checklists for Standard Operating Procedures (SOP), one for food service, bar and cleaning, which are displayed in the staff area. The SOP’s </w:t>
      </w:r>
      <w:r w:rsidRPr="00A84E67">
        <w:rPr>
          <w:strike/>
        </w:rPr>
        <w:lastRenderedPageBreak/>
        <w:t>include reminders of tasks that should be performed daily, weekly, monthly, whilst opening and closing, and during service to ensure that the business is running efficiently (Rees, 2025).</w:t>
      </w:r>
    </w:p>
    <w:p w14:paraId="1574AA50" w14:textId="77777777" w:rsidR="00F913A4" w:rsidRDefault="00F913A4" w:rsidP="00F913A4">
      <w:pPr>
        <w:rPr>
          <w:strike/>
        </w:rPr>
      </w:pPr>
      <w:r w:rsidRPr="00A84E67">
        <w:rPr>
          <w:strike/>
        </w:rPr>
        <w:t>Finally, measures are taken to ensure the protection of customer data. Network segmentation is implemented, meaning personal and transactional data are transferred on a secure network only accessible to authorised personnel, whilst guests and other staff members are welcome to use a second wi-fi network on which no sensitive information is stored (Rees, 2025). </w:t>
      </w:r>
    </w:p>
    <w:p w14:paraId="19C3B3F5" w14:textId="02817CD9" w:rsidR="00A84E67" w:rsidRPr="00A84E67" w:rsidRDefault="00A84E67" w:rsidP="00A84E67">
      <w:pPr>
        <w:rPr>
          <w:color w:val="FF0000"/>
        </w:rPr>
      </w:pPr>
      <w:r w:rsidRPr="00A84E67">
        <w:rPr>
          <w:color w:val="FF0000"/>
        </w:rPr>
        <w:t xml:space="preserve">The Farmers Arms (TFA) is a pub and restaurant in </w:t>
      </w:r>
      <w:proofErr w:type="spellStart"/>
      <w:r w:rsidRPr="00A84E67">
        <w:rPr>
          <w:color w:val="FF0000"/>
        </w:rPr>
        <w:t>Llanybri</w:t>
      </w:r>
      <w:proofErr w:type="spellEnd"/>
      <w:r w:rsidRPr="00A84E67">
        <w:rPr>
          <w:color w:val="FF0000"/>
        </w:rPr>
        <w:t xml:space="preserve">, about a mile from the popular seaside village of </w:t>
      </w:r>
      <w:proofErr w:type="spellStart"/>
      <w:r w:rsidRPr="00A84E67">
        <w:rPr>
          <w:color w:val="FF0000"/>
        </w:rPr>
        <w:t>Llansteffan</w:t>
      </w:r>
      <w:proofErr w:type="spellEnd"/>
      <w:r w:rsidRPr="00A84E67">
        <w:rPr>
          <w:color w:val="FF0000"/>
        </w:rPr>
        <w:t xml:space="preserve">. It is a small, independent, family-run business with a total of 16 employees. They offer a range of services including alcoholic beverages, traditional pub-grub food and carvery roast dinners served on Sundays. The total venue capacity is 71 covers, not including the outdoor seating area and beer garden, and the business has also diversified into offering takeaway and local delivery services. The establishment has a 3-year plan with development and expansion goals including opening a local shop, public toilets for tourists and a recycling hub for the community (Rees, 2025). To achieve this vision, TFA incorporates strategy in three core </w:t>
      </w:r>
      <w:proofErr w:type="gramStart"/>
      <w:r w:rsidRPr="00A84E67">
        <w:rPr>
          <w:color w:val="FF0000"/>
        </w:rPr>
        <w:t>areas;</w:t>
      </w:r>
      <w:proofErr w:type="gramEnd"/>
      <w:r w:rsidRPr="00A84E67">
        <w:rPr>
          <w:color w:val="FF0000"/>
        </w:rPr>
        <w:t xml:space="preserve"> analysis, development and implementation (Lynch, 200</w:t>
      </w:r>
      <w:r w:rsidR="00FC1017">
        <w:rPr>
          <w:color w:val="FF0000"/>
        </w:rPr>
        <w:t>0</w:t>
      </w:r>
      <w:r w:rsidRPr="00A84E67">
        <w:rPr>
          <w:color w:val="FF0000"/>
        </w:rPr>
        <w:t>). </w:t>
      </w:r>
    </w:p>
    <w:p w14:paraId="03DB7096" w14:textId="77777777" w:rsidR="00A84E67" w:rsidRPr="00A84E67" w:rsidRDefault="00A84E67" w:rsidP="00A84E67">
      <w:pPr>
        <w:rPr>
          <w:color w:val="FF0000"/>
        </w:rPr>
      </w:pPr>
      <w:r w:rsidRPr="00A84E67">
        <w:rPr>
          <w:color w:val="FF0000"/>
        </w:rPr>
        <w:t>TFA aims to provide products that customers most desire. Thus, to ensure products meet customer needs, procurement choices are based on the analysis of the Electronic Point of Sale (EPOS) system reports. Top-selling products will be repurchased, whereas low-selling products may not be. Highest-value products are also considered, as the sale of these items generates the most profit for the business. The qualitative feedback from the EPOS reports are generally good indicators of what was popular; however, there is no way for the EPOS reports to give insight into customer preferences beyond the products already on offer. Occasionally, a customer may suggest introducing a specific new product, but there is no formal strategy for acquiring qualitative feedback around the products. </w:t>
      </w:r>
    </w:p>
    <w:p w14:paraId="147ACEE9" w14:textId="77777777" w:rsidR="00A84E67" w:rsidRPr="00A84E67" w:rsidRDefault="00A84E67" w:rsidP="00A84E67">
      <w:pPr>
        <w:rPr>
          <w:color w:val="FF0000"/>
        </w:rPr>
      </w:pPr>
      <w:r w:rsidRPr="00A84E67">
        <w:rPr>
          <w:color w:val="FF0000"/>
        </w:rPr>
        <w:t>Quality checks are performed upon arrival, ensuring that goods aren’t damaged and have arrived at the correct temperature to ensure that they are fresh upon arrival. If these criteria are unmet, products will be returned to the supplier. Furthermore, expiration dates and observational quality checks are performed regularly, and products that are not up to standard are disposed of. This ensures that the customer's need to be served fresh, high-quality food is met; however, this waste counts as a loss for the business. During stock checks, the popularity of items is also assessed, and these deductions may influence future procurement alongside EPOS reports.</w:t>
      </w:r>
    </w:p>
    <w:p w14:paraId="46607EC3" w14:textId="77777777" w:rsidR="00A84E67" w:rsidRPr="00A84E67" w:rsidRDefault="00A84E67" w:rsidP="00A84E67">
      <w:pPr>
        <w:rPr>
          <w:color w:val="FF0000"/>
        </w:rPr>
      </w:pPr>
      <w:r w:rsidRPr="00A84E67">
        <w:rPr>
          <w:color w:val="FF0000"/>
        </w:rPr>
        <w:t xml:space="preserve">Pricing strategies include offering bundle and party deals and seasonal discounts to attract more customers, as well as fixed discounted prices on alcoholic beverages for </w:t>
      </w:r>
      <w:r w:rsidRPr="00A84E67">
        <w:rPr>
          <w:color w:val="FF0000"/>
        </w:rPr>
        <w:lastRenderedPageBreak/>
        <w:t>regular local customers. This strategy was developed and implemented as a direct response to previous customer feedback and actions following an increase in prices to match inflation. Upon implementation, TFA have found that the benefits of assured patronage and retention of local customers outweigh the profit reductions of selling these products at a reduced price (Rees, 2025).</w:t>
      </w:r>
    </w:p>
    <w:p w14:paraId="7EEBC891" w14:textId="77777777" w:rsidR="00A84E67" w:rsidRPr="00A84E67" w:rsidRDefault="00A84E67" w:rsidP="00A84E67">
      <w:pPr>
        <w:rPr>
          <w:color w:val="FF0000"/>
        </w:rPr>
      </w:pPr>
      <w:r w:rsidRPr="00A84E67">
        <w:rPr>
          <w:color w:val="FF0000"/>
        </w:rPr>
        <w:t>Concerning service, employees are informed of the expected standard of service initially through the employee handbook which is read during the onboarding process. Furthermore, there are three checklists for Standard Operating Procedures (SOP), one for food service, bar and cleaning, which are displayed in the staff area. The SOP’s include reminders of tasks that should be performed daily, weekly, monthly, whilst opening and closing, and during service to ensure that the business is running efficiently (Rees, 2025).</w:t>
      </w:r>
    </w:p>
    <w:p w14:paraId="22D52638" w14:textId="77777777" w:rsidR="00A84E67" w:rsidRPr="00A84E67" w:rsidRDefault="00A84E67" w:rsidP="00F913A4">
      <w:pPr>
        <w:rPr>
          <w:strike/>
        </w:rPr>
      </w:pPr>
    </w:p>
    <w:p w14:paraId="45C07CA3" w14:textId="77777777" w:rsidR="00F913A4" w:rsidRPr="00F913A4" w:rsidRDefault="00F913A4" w:rsidP="00F913A4">
      <w:r>
        <w:t xml:space="preserve">1.3 </w:t>
      </w:r>
      <w:r w:rsidRPr="00F913A4">
        <w:t xml:space="preserve">As of December 2024, the annual Consumer Price Index including Owner Occupiers’ Housing (CPIH) rate has risen by 3.5%. Some key areas of the CPIH that would affect the Farmers Arms include Alcohol and Tobacco, Food and </w:t>
      </w:r>
      <w:proofErr w:type="gramStart"/>
      <w:r w:rsidRPr="00F913A4">
        <w:t>Non Alcoholic</w:t>
      </w:r>
      <w:proofErr w:type="gramEnd"/>
      <w:r w:rsidRPr="00F913A4">
        <w:t xml:space="preserve"> </w:t>
      </w:r>
      <w:proofErr w:type="spellStart"/>
      <w:r w:rsidRPr="00F913A4">
        <w:t>Bevarages</w:t>
      </w:r>
      <w:proofErr w:type="spellEnd"/>
      <w:r w:rsidRPr="00F913A4">
        <w:t xml:space="preserve"> and Owner Occupiers’ Housing costs (OOH) which have risen by 5.3%, 2.0% and 8.0% respectively in the year leading up to December 2024. This means procurement prices and utility expenses that are essential for operation have risen for the business. Minimum wage is set to rise to meet inflation rates, coming </w:t>
      </w:r>
      <w:proofErr w:type="spellStart"/>
      <w:r w:rsidRPr="00F913A4">
        <w:t>into affect</w:t>
      </w:r>
      <w:proofErr w:type="spellEnd"/>
      <w:r w:rsidRPr="00F913A4">
        <w:t xml:space="preserve"> in April 2025, meaning that labour costs for the Farmers Arms must increase to meet these demands (see figures 1 and 2).</w:t>
      </w:r>
    </w:p>
    <w:p w14:paraId="047A5395" w14:textId="5439B51B" w:rsidR="00F913A4" w:rsidRPr="00F913A4" w:rsidRDefault="00F913A4" w:rsidP="00F913A4">
      <w:r w:rsidRPr="00F913A4">
        <w:rPr>
          <w:noProof/>
        </w:rPr>
        <w:drawing>
          <wp:inline distT="0" distB="0" distL="0" distR="0" wp14:anchorId="7F05BA1E" wp14:editId="487FC92E">
            <wp:extent cx="5731510" cy="1827530"/>
            <wp:effectExtent l="0" t="0" r="2540" b="1270"/>
            <wp:docPr id="231318104" name="Picture 6"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18104" name="Picture 6" descr="A screenshot of a white background&#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827530"/>
                    </a:xfrm>
                    <a:prstGeom prst="rect">
                      <a:avLst/>
                    </a:prstGeom>
                    <a:noFill/>
                    <a:ln>
                      <a:noFill/>
                    </a:ln>
                  </pic:spPr>
                </pic:pic>
              </a:graphicData>
            </a:graphic>
          </wp:inline>
        </w:drawing>
      </w:r>
    </w:p>
    <w:p w14:paraId="63E530DA" w14:textId="77777777" w:rsidR="00F913A4" w:rsidRPr="00F913A4" w:rsidRDefault="00F913A4" w:rsidP="00F913A4">
      <w:r w:rsidRPr="00F913A4">
        <w:t>Figure 1</w:t>
      </w:r>
    </w:p>
    <w:p w14:paraId="6A8FFE19" w14:textId="71240830" w:rsidR="00F913A4" w:rsidRPr="00F913A4" w:rsidRDefault="00F913A4" w:rsidP="00F913A4">
      <w:r w:rsidRPr="00F913A4">
        <w:rPr>
          <w:noProof/>
        </w:rPr>
        <w:lastRenderedPageBreak/>
        <w:drawing>
          <wp:inline distT="0" distB="0" distL="0" distR="0" wp14:anchorId="19C21586" wp14:editId="6955BD41">
            <wp:extent cx="5731510" cy="3012440"/>
            <wp:effectExtent l="0" t="0" r="2540" b="0"/>
            <wp:docPr id="261848013" name="Picture 5"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48013" name="Picture 5" descr="A table with numbers and word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12440"/>
                    </a:xfrm>
                    <a:prstGeom prst="rect">
                      <a:avLst/>
                    </a:prstGeom>
                    <a:noFill/>
                    <a:ln>
                      <a:noFill/>
                    </a:ln>
                  </pic:spPr>
                </pic:pic>
              </a:graphicData>
            </a:graphic>
          </wp:inline>
        </w:drawing>
      </w:r>
    </w:p>
    <w:p w14:paraId="3113FC4B" w14:textId="77777777" w:rsidR="00F913A4" w:rsidRPr="00F913A4" w:rsidRDefault="00F913A4" w:rsidP="00F913A4">
      <w:r w:rsidRPr="00F913A4">
        <w:t>Figure 2</w:t>
      </w:r>
    </w:p>
    <w:p w14:paraId="66C2A2B5" w14:textId="77777777" w:rsidR="00F913A4" w:rsidRPr="00F913A4" w:rsidRDefault="00F913A4" w:rsidP="00F913A4">
      <w:r w:rsidRPr="00F913A4">
        <w:t>Due to the rising inflation, the cost of goods, utility expenses and labour have become more expensive for family businesses across the hospitality industry, making cash flow management more challenging. This also leaves businesses with a choice to raise prices and potentially ostracise customers, or to accept a reduced profit margin, contributing further to cash flow management issues (Webley, 2011). </w:t>
      </w:r>
    </w:p>
    <w:p w14:paraId="53E8F54F" w14:textId="37CE63AE" w:rsidR="00F913A4" w:rsidRPr="00F913A4" w:rsidRDefault="00F913A4" w:rsidP="00F913A4">
      <w:r w:rsidRPr="00F913A4">
        <w:t>Around 20% of</w:t>
      </w:r>
      <w:r w:rsidR="00A84E67" w:rsidRPr="00A84E67">
        <w:rPr>
          <w:color w:val="FF0000"/>
        </w:rPr>
        <w:t xml:space="preserve"> </w:t>
      </w:r>
      <w:proofErr w:type="gramStart"/>
      <w:r w:rsidR="00A84E67" w:rsidRPr="00A84E67">
        <w:rPr>
          <w:color w:val="FF0000"/>
        </w:rPr>
        <w:t>TFA</w:t>
      </w:r>
      <w:r w:rsidR="00A84E67">
        <w:rPr>
          <w:strike/>
          <w:color w:val="FF0000"/>
        </w:rPr>
        <w:t>’</w:t>
      </w:r>
      <w:r w:rsidR="00A84E67" w:rsidRPr="00A84E67">
        <w:rPr>
          <w:color w:val="FF0000"/>
        </w:rPr>
        <w:t>s</w:t>
      </w:r>
      <w:r w:rsidR="00A84E67">
        <w:rPr>
          <w:strike/>
          <w:color w:val="FF0000"/>
        </w:rPr>
        <w:t xml:space="preserve"> </w:t>
      </w:r>
      <w:r w:rsidRPr="00A84E67">
        <w:rPr>
          <w:strike/>
        </w:rPr>
        <w:t xml:space="preserve"> the</w:t>
      </w:r>
      <w:proofErr w:type="gramEnd"/>
      <w:r w:rsidRPr="00A84E67">
        <w:rPr>
          <w:strike/>
        </w:rPr>
        <w:t xml:space="preserve"> Farmers Arms’ </w:t>
      </w:r>
      <w:r w:rsidRPr="00F913A4">
        <w:t>monthly intake goes towards paying interest on the business loan. The interest rate is fixed so the business remains unaffected by fluctuating interest rates, however, a large part of the intake still goes towards paying it off, meaning there is less profit left over to be reinvested into the business or saved towards future goals (Rees, 2025). Businesses within the hospitality industry that have unfixed interest rates may face difficulties as the cost of borrowing rises. Family businesses within the hospitality industry should ensure that they borrow sustainably and that interest payments are covered by their cash flow (Webley, 2011).</w:t>
      </w:r>
    </w:p>
    <w:p w14:paraId="2B17C5B2" w14:textId="5213BECD" w:rsidR="00F913A4" w:rsidRPr="00F913A4" w:rsidRDefault="00F913A4" w:rsidP="00F913A4">
      <w:r w:rsidRPr="00F913A4">
        <w:t xml:space="preserve">The principal demographic for </w:t>
      </w:r>
      <w:r w:rsidR="00BC783A" w:rsidRPr="00A84E67">
        <w:rPr>
          <w:color w:val="FF0000"/>
        </w:rPr>
        <w:t>TFA</w:t>
      </w:r>
      <w:r w:rsidR="00BC783A">
        <w:rPr>
          <w:strike/>
          <w:color w:val="FF0000"/>
        </w:rPr>
        <w:t xml:space="preserve"> </w:t>
      </w:r>
      <w:r w:rsidRPr="00A84E67">
        <w:rPr>
          <w:strike/>
        </w:rPr>
        <w:t>The Farmers Arms</w:t>
      </w:r>
      <w:r w:rsidRPr="00F913A4">
        <w:t xml:space="preserve"> is made up of tourists. Due to its seaside location being close to </w:t>
      </w:r>
      <w:proofErr w:type="spellStart"/>
      <w:r w:rsidRPr="00F913A4">
        <w:t>Llansteffan</w:t>
      </w:r>
      <w:proofErr w:type="spellEnd"/>
      <w:r w:rsidRPr="00F913A4">
        <w:t xml:space="preserve"> and other popular tourist locations such as </w:t>
      </w:r>
      <w:proofErr w:type="spellStart"/>
      <w:r w:rsidRPr="00F913A4">
        <w:t>Laugharne</w:t>
      </w:r>
      <w:proofErr w:type="spellEnd"/>
      <w:r w:rsidRPr="00F913A4">
        <w:t xml:space="preserve">, </w:t>
      </w:r>
      <w:r w:rsidR="00BC783A" w:rsidRPr="00A84E67">
        <w:rPr>
          <w:color w:val="FF0000"/>
        </w:rPr>
        <w:t>TFA</w:t>
      </w:r>
      <w:r w:rsidR="00BC783A">
        <w:rPr>
          <w:strike/>
          <w:color w:val="FF0000"/>
        </w:rPr>
        <w:t xml:space="preserve"> </w:t>
      </w:r>
      <w:r w:rsidRPr="00A84E67">
        <w:rPr>
          <w:strike/>
        </w:rPr>
        <w:t>The Farmers Arms</w:t>
      </w:r>
      <w:r w:rsidRPr="00F913A4">
        <w:t xml:space="preserve"> roughly doubles its profits in the months between May and August each year. Additionally, the Christmas period is a notable time for the business. In the year of 2024, the business saw a 10% increase on Christmas period profits compared to the previous year. Due to these seasonal spikes in sales,</w:t>
      </w:r>
      <w:r w:rsidR="00BC783A" w:rsidRPr="00BC783A">
        <w:rPr>
          <w:color w:val="FF0000"/>
        </w:rPr>
        <w:t xml:space="preserve"> </w:t>
      </w:r>
      <w:r w:rsidR="00BC783A" w:rsidRPr="00A84E67">
        <w:rPr>
          <w:color w:val="FF0000"/>
        </w:rPr>
        <w:t>TFA</w:t>
      </w:r>
      <w:r w:rsidRPr="00F913A4">
        <w:t xml:space="preserve"> </w:t>
      </w:r>
      <w:r w:rsidRPr="00BC783A">
        <w:rPr>
          <w:strike/>
        </w:rPr>
        <w:t xml:space="preserve">the Farmers Arms </w:t>
      </w:r>
      <w:r w:rsidRPr="00F913A4">
        <w:t>will often implement workforce scaling strategies, increasing the number of staff on shift during the busiest times such as between 7pm and 9pm, and 12pm and 3pm on Saturdays (Rees, 2025). </w:t>
      </w:r>
    </w:p>
    <w:p w14:paraId="4A080A04" w14:textId="3B251DCB" w:rsidR="00F913A4" w:rsidRPr="00F913A4" w:rsidRDefault="00F913A4" w:rsidP="00F913A4">
      <w:r w:rsidRPr="00F913A4">
        <w:lastRenderedPageBreak/>
        <w:t>Aside from tourists, the other demographic for</w:t>
      </w:r>
      <w:r w:rsidR="00BC783A" w:rsidRPr="00BC783A">
        <w:rPr>
          <w:color w:val="FF0000"/>
        </w:rPr>
        <w:t xml:space="preserve"> </w:t>
      </w:r>
      <w:r w:rsidR="00BC783A" w:rsidRPr="00A84E67">
        <w:rPr>
          <w:color w:val="FF0000"/>
        </w:rPr>
        <w:t>TFA</w:t>
      </w:r>
      <w:r w:rsidRPr="00F913A4">
        <w:t xml:space="preserve"> </w:t>
      </w:r>
      <w:r w:rsidRPr="00BC783A">
        <w:rPr>
          <w:strike/>
        </w:rPr>
        <w:t>the Farmers Arms</w:t>
      </w:r>
      <w:r w:rsidRPr="00F913A4">
        <w:t xml:space="preserve"> include the occupational demographic of farmers, as the venue is situated in a rural area, as well as the aging population of the greater </w:t>
      </w:r>
      <w:proofErr w:type="spellStart"/>
      <w:r w:rsidRPr="00F913A4">
        <w:t>Llansteffan</w:t>
      </w:r>
      <w:proofErr w:type="spellEnd"/>
      <w:r w:rsidRPr="00F913A4">
        <w:t xml:space="preserve"> area, where 34% of the population are over the age of 65 (</w:t>
      </w:r>
      <w:proofErr w:type="spellStart"/>
      <w:r w:rsidRPr="00F913A4">
        <w:t>citypopulation</w:t>
      </w:r>
      <w:proofErr w:type="spellEnd"/>
      <w:r w:rsidRPr="00F913A4">
        <w:t xml:space="preserve">, 2011). This </w:t>
      </w:r>
      <w:proofErr w:type="gramStart"/>
      <w:r w:rsidRPr="00F913A4">
        <w:t>has an effect on</w:t>
      </w:r>
      <w:proofErr w:type="gramEnd"/>
      <w:r w:rsidRPr="00F913A4">
        <w:t xml:space="preserve"> procurement, as the most popular items are those that appeal to these demographics, including classic ciders and lagers, whereas </w:t>
      </w:r>
      <w:proofErr w:type="spellStart"/>
      <w:r w:rsidRPr="00F913A4">
        <w:t>whats</w:t>
      </w:r>
      <w:proofErr w:type="spellEnd"/>
      <w:r w:rsidRPr="00F913A4">
        <w:t xml:space="preserve"> trending on social media may not be popular. It’s important to maintain the appeal to these demographics </w:t>
      </w:r>
      <w:proofErr w:type="gramStart"/>
      <w:r w:rsidRPr="00F913A4">
        <w:t>in order to</w:t>
      </w:r>
      <w:proofErr w:type="gramEnd"/>
      <w:r w:rsidRPr="00F913A4">
        <w:t xml:space="preserve"> ensure revenue for the business year long, rather than just during seasonal peaks (Rees, 2025). </w:t>
      </w:r>
    </w:p>
    <w:p w14:paraId="21978C3C" w14:textId="2CFC9703" w:rsidR="00F913A4" w:rsidRPr="00A84E67" w:rsidRDefault="00F913A4" w:rsidP="00F913A4">
      <w:pPr>
        <w:rPr>
          <w:strike/>
        </w:rPr>
      </w:pPr>
      <w:r>
        <w:t xml:space="preserve">1.4 </w:t>
      </w:r>
      <w:r w:rsidRPr="00A84E67">
        <w:rPr>
          <w:strike/>
        </w:rPr>
        <w:t>AI is currently used in the Farmers Arms for many purposes, one of which is forecasting and building staff rotas. The Farmers Arms uses a staff scheduling app called ‘Deputy’ to stay connected with employees by communicating the rota as well as any other messages. The AI has access to the historical data of the deputy app, and the historical data of the EPOS system, which includes the scheduling and transactional history of the two years since the business was founded under current management. Alongside analysis of historical trends, the AI has access to current weather reports, national holidays and sports games provided by the internet to forecast potential sales and occupancy for upcoming dates, thus allowing it to make staffing decisions based on predicted peak times</w:t>
      </w:r>
      <w:r w:rsidR="00F01638" w:rsidRPr="00A84E67">
        <w:rPr>
          <w:strike/>
        </w:rPr>
        <w:t>,</w:t>
      </w:r>
      <w:r w:rsidR="004B1BB3" w:rsidRPr="00A84E67">
        <w:rPr>
          <w:strike/>
        </w:rPr>
        <w:t xml:space="preserve"> leading to a more efficient use of labour costs as overstaffing </w:t>
      </w:r>
      <w:r w:rsidR="00F01638" w:rsidRPr="00A84E67">
        <w:rPr>
          <w:strike/>
        </w:rPr>
        <w:t xml:space="preserve">at quiet times </w:t>
      </w:r>
      <w:r w:rsidR="004B1BB3" w:rsidRPr="00A84E67">
        <w:rPr>
          <w:strike/>
        </w:rPr>
        <w:t>and understaffing</w:t>
      </w:r>
      <w:r w:rsidR="00F01638" w:rsidRPr="00A84E67">
        <w:rPr>
          <w:strike/>
        </w:rPr>
        <w:t xml:space="preserve"> at busy times are avoided</w:t>
      </w:r>
      <w:r w:rsidRPr="00A84E67">
        <w:rPr>
          <w:strike/>
        </w:rPr>
        <w:t>. The manager</w:t>
      </w:r>
      <w:r w:rsidR="004B1BB3" w:rsidRPr="00A84E67">
        <w:rPr>
          <w:strike/>
        </w:rPr>
        <w:t xml:space="preserve"> can still</w:t>
      </w:r>
      <w:r w:rsidRPr="00A84E67">
        <w:rPr>
          <w:strike/>
        </w:rPr>
        <w:t xml:space="preserve"> </w:t>
      </w:r>
      <w:proofErr w:type="gramStart"/>
      <w:r w:rsidRPr="00A84E67">
        <w:rPr>
          <w:strike/>
        </w:rPr>
        <w:t>conducts</w:t>
      </w:r>
      <w:proofErr w:type="gramEnd"/>
      <w:r w:rsidRPr="00A84E67">
        <w:rPr>
          <w:strike/>
        </w:rPr>
        <w:t xml:space="preserve"> their own assessment to make any amendments, and the utilisation of machine learning allows the predictions to become more accurate over time. AI is also currently used to generate written content for advertising the business and posts them to social media based on a schedule imputed by the manager. </w:t>
      </w:r>
      <w:proofErr w:type="gramStart"/>
      <w:r w:rsidRPr="00A84E67">
        <w:rPr>
          <w:strike/>
        </w:rPr>
        <w:t>Both of these</w:t>
      </w:r>
      <w:proofErr w:type="gramEnd"/>
      <w:r w:rsidRPr="00A84E67">
        <w:rPr>
          <w:strike/>
        </w:rPr>
        <w:t xml:space="preserve"> uses allow the manager to save time and focus on other tasks (Rees, 2025)</w:t>
      </w:r>
    </w:p>
    <w:p w14:paraId="4DEB979D" w14:textId="77777777" w:rsidR="00F913A4" w:rsidRDefault="00F913A4" w:rsidP="00F913A4">
      <w:pPr>
        <w:rPr>
          <w:strike/>
        </w:rPr>
      </w:pPr>
      <w:r w:rsidRPr="00A84E67">
        <w:rPr>
          <w:strike/>
        </w:rPr>
        <w:t>Some potential uses for AI that have been considered by the Farmers Arms are AI customer service chat-bots on the phone. With the implementation of machine learning, an AI model may be able to learn to understand the regional accent and the Welsh language, unlike a traditional chatbot. Additionally, an AI model would be able to ask relevant follow-up questions that a traditional automated attendant with pre-recorded messages could not (Rees, 2025; Limna, 2023)</w:t>
      </w:r>
    </w:p>
    <w:p w14:paraId="5251A481" w14:textId="77777777" w:rsidR="00A84E67" w:rsidRPr="00A84E67" w:rsidRDefault="00A84E67" w:rsidP="00F913A4">
      <w:pPr>
        <w:rPr>
          <w:color w:val="FF0000"/>
        </w:rPr>
      </w:pPr>
    </w:p>
    <w:p w14:paraId="28D10B26" w14:textId="6B3CC8F6" w:rsidR="00A84E67" w:rsidRPr="00A84E67" w:rsidRDefault="00A84E67" w:rsidP="00A84E67">
      <w:pPr>
        <w:rPr>
          <w:color w:val="FF0000"/>
        </w:rPr>
      </w:pPr>
      <w:r w:rsidRPr="00A84E67">
        <w:rPr>
          <w:color w:val="FF0000"/>
        </w:rPr>
        <w:t xml:space="preserve">AI is currently used in </w:t>
      </w:r>
      <w:r w:rsidR="00BC783A">
        <w:rPr>
          <w:color w:val="FF0000"/>
        </w:rPr>
        <w:t xml:space="preserve">TFA </w:t>
      </w:r>
      <w:r w:rsidRPr="00A84E67">
        <w:rPr>
          <w:color w:val="FF0000"/>
        </w:rPr>
        <w:t>for many purposes, one of which is forecasting and building staff rotas. T</w:t>
      </w:r>
      <w:r w:rsidR="00BC783A">
        <w:rPr>
          <w:color w:val="FF0000"/>
        </w:rPr>
        <w:t>FA</w:t>
      </w:r>
      <w:r w:rsidRPr="00A84E67">
        <w:rPr>
          <w:color w:val="FF0000"/>
        </w:rPr>
        <w:t xml:space="preserve"> uses a staff scheduling app called ‘Deputy’ to stay connected with employees by communicating the rota as well as any other messages. The AI has access to the historical data of the deputy app, and the historical data of the EPOS system, which includes the scheduling and transactional history of the two years since the business was founded under current management. Alongside analysis of historical trends, the AI has access to current weather reports, national holidays and sports games provided by the internet to forecast potential sales and occupancy for upcoming </w:t>
      </w:r>
      <w:r w:rsidRPr="00A84E67">
        <w:rPr>
          <w:color w:val="FF0000"/>
        </w:rPr>
        <w:lastRenderedPageBreak/>
        <w:t xml:space="preserve">dates, thus allowing it to make staffing decisions based on predicted peak times thus reducing understaffing and overstaffing. The manager can still conduct their own assessment to make any amendments, and the utilisation of machine learning allows the predictions to become more accurate over time. AI is also currently used to generate written content for advertising the business and posts them to social media based on a schedule imputed by the manager. </w:t>
      </w:r>
      <w:proofErr w:type="gramStart"/>
      <w:r w:rsidRPr="00A84E67">
        <w:rPr>
          <w:color w:val="FF0000"/>
        </w:rPr>
        <w:t>Both of these</w:t>
      </w:r>
      <w:proofErr w:type="gramEnd"/>
      <w:r w:rsidRPr="00A84E67">
        <w:rPr>
          <w:color w:val="FF0000"/>
        </w:rPr>
        <w:t xml:space="preserve"> uses help promote and advertise the business whilst saving the manager time which can be used on other tasks (Rees, 2025)</w:t>
      </w:r>
    </w:p>
    <w:p w14:paraId="76A56F5E" w14:textId="5A9FEFA8" w:rsidR="00A84E67" w:rsidRPr="00A84E67" w:rsidRDefault="00A84E67" w:rsidP="00A84E67">
      <w:pPr>
        <w:rPr>
          <w:color w:val="FF0000"/>
        </w:rPr>
      </w:pPr>
      <w:r w:rsidRPr="00A84E67">
        <w:rPr>
          <w:color w:val="FF0000"/>
        </w:rPr>
        <w:t xml:space="preserve">Some potential uses for AI that have been considered by </w:t>
      </w:r>
      <w:r w:rsidR="00BC783A">
        <w:rPr>
          <w:color w:val="FF0000"/>
        </w:rPr>
        <w:t xml:space="preserve">TFA </w:t>
      </w:r>
      <w:r w:rsidRPr="00A84E67">
        <w:rPr>
          <w:color w:val="FF0000"/>
        </w:rPr>
        <w:t>are AI customer service chat-bots on the phone. With the implementation of machine learning, an AI model may be able to learn to understand the regional accent and the Welsh language, unlike a traditional chatbot which would tailor to area-specific needs. Additionally, an AI model would be able to ask relevant follow-up questions that a traditional automated attendant with pre-recorded messages could not. Once again, this use of AI serves the business by freeing up the labour spent answering phones and giving employees more time to be undertaking other important tasks while maintaining the level of service achieved with a human resource (Rees, 2025; Limna, 2023).</w:t>
      </w:r>
    </w:p>
    <w:p w14:paraId="04219F4E" w14:textId="77777777" w:rsidR="00A84E67" w:rsidRPr="00A84E67" w:rsidRDefault="00A84E67" w:rsidP="00F913A4">
      <w:pPr>
        <w:rPr>
          <w:strike/>
        </w:rPr>
      </w:pPr>
    </w:p>
    <w:p w14:paraId="7F39D334" w14:textId="77777777" w:rsidR="00F913A4" w:rsidRPr="00F913A4" w:rsidRDefault="00F913A4" w:rsidP="00F913A4">
      <w:r>
        <w:t xml:space="preserve">2.1 </w:t>
      </w:r>
      <w:r w:rsidRPr="00F913A4">
        <w:t xml:space="preserve">Many academics have attempted to analyse the culture of organisations, including Charles Handy and David Rock. In his 1993 book “Understanding Organizations”, Handy devised a model in which he proposed four dimensions of organisational culture which consist of power, role, task and person culture, that all align with </w:t>
      </w:r>
      <w:proofErr w:type="gramStart"/>
      <w:r w:rsidRPr="00F913A4">
        <w:t>particular strategic</w:t>
      </w:r>
      <w:proofErr w:type="gramEnd"/>
      <w:r w:rsidRPr="00F913A4">
        <w:t xml:space="preserve"> objectives (Handy, 1993).</w:t>
      </w:r>
    </w:p>
    <w:p w14:paraId="68687098" w14:textId="77777777" w:rsidR="00F913A4" w:rsidRPr="00F913A4" w:rsidRDefault="00F913A4" w:rsidP="00F913A4">
      <w:r w:rsidRPr="00F913A4">
        <w:t xml:space="preserve">Power cultures are often found within small businesses where a few key individuals hold all decision-making power. These types of organisations often have minimal or no reliance on bureaucracy and formal processes, rather, power is exerted through influence and persuasion, sometimes resulting in a political atmosphere. This can be visualised as a </w:t>
      </w:r>
      <w:proofErr w:type="gramStart"/>
      <w:r w:rsidRPr="00F913A4">
        <w:t>spiders</w:t>
      </w:r>
      <w:proofErr w:type="gramEnd"/>
      <w:r w:rsidRPr="00F913A4">
        <w:t xml:space="preserve"> web, with the power in the centre (</w:t>
      </w:r>
      <w:proofErr w:type="spellStart"/>
      <w:r w:rsidRPr="00F913A4">
        <w:t>Cacciattolo</w:t>
      </w:r>
      <w:proofErr w:type="spellEnd"/>
      <w:r w:rsidRPr="00F913A4">
        <w:t>, 2014).</w:t>
      </w:r>
    </w:p>
    <w:p w14:paraId="09B4570E" w14:textId="77777777" w:rsidR="00F913A4" w:rsidRPr="00F913A4" w:rsidRDefault="00F913A4" w:rsidP="00F913A4">
      <w:r w:rsidRPr="00F913A4">
        <w:t>Role culture, on the other hand, is a hierarchical bureaucracy that utilises strict rules and formal procedures. Employees are delegated roles and responsibilities based on their position, rather than their competency. This type of structure is often found within larger corporations and government organisations that prioritise the efficiency and predictability that this system offers, however, recognising and implementing a need for change can be slow within this type of organisation. Within this culture, power trickles down the hierarchy and relies upon the bureaucracy to support it (</w:t>
      </w:r>
      <w:proofErr w:type="spellStart"/>
      <w:r w:rsidRPr="00F913A4">
        <w:t>Cacciattolo</w:t>
      </w:r>
      <w:proofErr w:type="spellEnd"/>
      <w:r w:rsidRPr="00F913A4">
        <w:t>, 2014). </w:t>
      </w:r>
    </w:p>
    <w:p w14:paraId="667C73C6" w14:textId="77777777" w:rsidR="00F913A4" w:rsidRPr="00F913A4" w:rsidRDefault="00F913A4" w:rsidP="00F913A4">
      <w:r w:rsidRPr="00F913A4">
        <w:t xml:space="preserve">Task culture focuses on “getting the job done”, by incorporating a team-oriented approach, pulling together an amalgam of suitable expertise to work on projects and problems. This type of culture is dynamic and flexible, as talent can be increased or </w:t>
      </w:r>
      <w:r w:rsidRPr="00F913A4">
        <w:lastRenderedPageBreak/>
        <w:t xml:space="preserve">disbanded according to the demand of the project. This type of culture gives way to high-quality collaboration and innovation and is often found in technology firms (Rogers, 1993, </w:t>
      </w:r>
      <w:proofErr w:type="spellStart"/>
      <w:r w:rsidRPr="00F913A4">
        <w:t>Cacciattolo</w:t>
      </w:r>
      <w:proofErr w:type="spellEnd"/>
      <w:r w:rsidRPr="00F913A4">
        <w:t>, 2014).</w:t>
      </w:r>
    </w:p>
    <w:p w14:paraId="4F725BE7" w14:textId="77777777" w:rsidR="00F913A4" w:rsidRPr="00F913A4" w:rsidRDefault="00F913A4" w:rsidP="00F913A4">
      <w:r w:rsidRPr="00F913A4">
        <w:t>Within a person culture, individuals believe themselves to be superior to the organisation itself, and work with no managerial control or hierarchy as the individuals work independently and are often specialised, meaning they can easily find work elsewhere. Thus, individuals may not display loyalty to the organisation itself, focusing on their own careers instead. This type of culture can be found in GP surgeries and law firms (</w:t>
      </w:r>
      <w:proofErr w:type="spellStart"/>
      <w:r w:rsidRPr="00F913A4">
        <w:t>Cacciatto</w:t>
      </w:r>
      <w:proofErr w:type="spellEnd"/>
      <w:r w:rsidRPr="00F913A4">
        <w:t>, 2014). </w:t>
      </w:r>
    </w:p>
    <w:p w14:paraId="713C991D" w14:textId="77777777" w:rsidR="00F913A4" w:rsidRPr="00F913A4" w:rsidRDefault="00F913A4" w:rsidP="00F913A4">
      <w:pPr>
        <w:rPr>
          <w:b/>
          <w:bCs/>
        </w:rPr>
      </w:pPr>
      <w:r w:rsidRPr="00F913A4">
        <w:t xml:space="preserve">SCARF theory is an acronym devised by David Rock that stands for Status, Certainty, Autonomy, Relatedness and Fairness. Status is the feeling of one’s importance or position in the hierarchy. Certainty relates to </w:t>
      </w:r>
      <w:proofErr w:type="spellStart"/>
      <w:proofErr w:type="gramStart"/>
      <w:r w:rsidRPr="00F913A4">
        <w:t>ones</w:t>
      </w:r>
      <w:proofErr w:type="spellEnd"/>
      <w:proofErr w:type="gramEnd"/>
      <w:r w:rsidRPr="00F913A4">
        <w:t xml:space="preserve"> ability to predict events or eliminate ambiguity. Autonomy is a sense of control over </w:t>
      </w:r>
      <w:proofErr w:type="gramStart"/>
      <w:r w:rsidRPr="00F913A4">
        <w:t>ones</w:t>
      </w:r>
      <w:proofErr w:type="gramEnd"/>
      <w:r w:rsidRPr="00F913A4">
        <w:t xml:space="preserve"> environment. Relatedness is a feeling of security or belonging with others. Finally, Fairness is the perception of a fair exchange (Wayne, 2015; Mamedova, 2023). </w:t>
      </w:r>
    </w:p>
    <w:p w14:paraId="3CCAD277" w14:textId="77777777" w:rsidR="00F913A4" w:rsidRPr="00F913A4" w:rsidRDefault="00F913A4" w:rsidP="00F913A4">
      <w:r w:rsidRPr="00F913A4">
        <w:t>These five factors impact the way individuals behave, as they relate to threats and social pain. Understanding them as triggers may help explain what motivates employee behaviour, and how to reduce these threats in the working environment (Wayne, 2015; Mamedova, 2023).</w:t>
      </w:r>
    </w:p>
    <w:p w14:paraId="27E89118" w14:textId="14DE409C" w:rsidR="00C164BA" w:rsidRPr="00C164BA" w:rsidRDefault="00F913A4" w:rsidP="00C164BA">
      <w:pPr>
        <w:rPr>
          <w:color w:val="FF0000"/>
        </w:rPr>
      </w:pPr>
      <w:r>
        <w:t>2.2</w:t>
      </w:r>
      <w:r w:rsidR="00C164BA">
        <w:t xml:space="preserve"> </w:t>
      </w:r>
      <w:r w:rsidR="00C164BA">
        <w:rPr>
          <w:color w:val="FF0000"/>
        </w:rPr>
        <w:t>Being</w:t>
      </w:r>
      <w:r w:rsidR="00C164BA" w:rsidRPr="00C164BA">
        <w:rPr>
          <w:color w:val="FF0000"/>
        </w:rPr>
        <w:t xml:space="preserve"> a small business, TFA has no HR department; therefore, HR duties are undertaken by the manager. Upon commencing employment at TFA, new hires are made aware of the expectations of their role through access to the employee handbook. They will then be given a trial shift, where they will perform said duties without formal training under the observation of the manager. This allows the manager to assess the natural competency of the employee and pinpoint areas for improvement, which will be developed into a training plan that is communicated verbally going forward. If the employee has no historical experience in this line of work when they are hired, they may not feel confident enough to attempt the duties, and in this case, they will be given verbal instructions and assigned to shadow an existing member of staff. However, it is acknowledged that bad habits may be duplicated if the existing staff member who is assigned to the new hire displays poor work habits, meaning selecting a high-performing employee to be a role model is crucial at this stage for this development strategy to be efficient. Occasionally, the manager may implement a “reverse-shadow”, where they will observe and analyse an employee's performance to identify areas for improvement and step in to assist if needed. This is best used when </w:t>
      </w:r>
      <w:proofErr w:type="spellStart"/>
      <w:r w:rsidR="00C164BA" w:rsidRPr="00C164BA">
        <w:rPr>
          <w:color w:val="FF0000"/>
        </w:rPr>
        <w:t>trialing</w:t>
      </w:r>
      <w:proofErr w:type="spellEnd"/>
      <w:r w:rsidR="00C164BA" w:rsidRPr="00C164BA">
        <w:rPr>
          <w:color w:val="FF0000"/>
        </w:rPr>
        <w:t xml:space="preserve"> a staff member on an unfamiliar station. TFA employs a best-fit standpoint, employing varying strategies depending on the circumstances (Taylor and Woodhams, 2016; Rees, 2025).</w:t>
      </w:r>
    </w:p>
    <w:p w14:paraId="2012FB25" w14:textId="77777777" w:rsidR="00C164BA" w:rsidRPr="00C164BA" w:rsidRDefault="00C164BA" w:rsidP="00C164BA">
      <w:pPr>
        <w:rPr>
          <w:color w:val="FF0000"/>
        </w:rPr>
      </w:pPr>
      <w:r w:rsidRPr="00C164BA">
        <w:rPr>
          <w:color w:val="FF0000"/>
        </w:rPr>
        <w:lastRenderedPageBreak/>
        <w:t>All employees are required to undertake online allergen and CPR courses for their development. Furthermore, those working directly with food, such as sous chefs will be given Level 2 Food Hygiene training, paid for by the organisation. External training is sometimes conducted, where representatives from the companies that provide the EPOS system and the coffee machine are commissioned to conduct a training day for staff in TFA to attend to familiarise them with the equipment in the organisation and develop the relevant skills, as well as boosting team-morale and encouraging employee retention through the development of specific skills (</w:t>
      </w:r>
      <w:proofErr w:type="spellStart"/>
      <w:r w:rsidRPr="00C164BA">
        <w:rPr>
          <w:color w:val="FF0000"/>
        </w:rPr>
        <w:t>Samudhram</w:t>
      </w:r>
      <w:proofErr w:type="spellEnd"/>
      <w:r w:rsidRPr="00C164BA">
        <w:rPr>
          <w:color w:val="FF0000"/>
        </w:rPr>
        <w:t xml:space="preserve"> et al., 2008; Rees, 2025).</w:t>
      </w:r>
    </w:p>
    <w:p w14:paraId="1339817A" w14:textId="08DD9361" w:rsidR="00C164BA" w:rsidRPr="00C164BA" w:rsidRDefault="00C164BA" w:rsidP="00C164BA">
      <w:pPr>
        <w:rPr>
          <w:color w:val="FF0000"/>
        </w:rPr>
      </w:pPr>
      <w:r w:rsidRPr="00C164BA">
        <w:rPr>
          <w:color w:val="FF0000"/>
        </w:rPr>
        <w:t xml:space="preserve">TFA tracks and promotes a culture of employee well-being through the feedback system within the deputy app and general observation. When clocking out of a shift on the app, it will present employees with a multiple-choice survey </w:t>
      </w:r>
      <w:proofErr w:type="gramStart"/>
      <w:r w:rsidRPr="00C164BA">
        <w:rPr>
          <w:color w:val="FF0000"/>
        </w:rPr>
        <w:t>asking</w:t>
      </w:r>
      <w:proofErr w:type="gramEnd"/>
      <w:r w:rsidRPr="00C164BA">
        <w:rPr>
          <w:color w:val="FF0000"/>
        </w:rPr>
        <w:t xml:space="preserve"> “How did your shift go today?”; optional answers include “happy”, “good”, “ok”, “frustrated” and “stressed”. If an employee is observed to be displaying frequent negative feedback or negative productivity levels due to poor well-being, the manager will approach the employee to have an informal discussion. If able, the manager will offer advice and help to the best of their ability, and the same goes if the manager is approached by the employee first. Additionally, TFA promotes a culture of well-being by employing a strict anti-</w:t>
      </w:r>
      <w:r w:rsidRPr="00C164BA">
        <w:rPr>
          <w:color w:val="FF0000"/>
        </w:rPr>
        <w:t>harassment</w:t>
      </w:r>
      <w:r w:rsidRPr="00C164BA">
        <w:rPr>
          <w:color w:val="FF0000"/>
        </w:rPr>
        <w:t xml:space="preserve"> and anti-discrimination policy, and employees are urged to report bullying to the manager or nearest higher employee. In the event of bullying being reported, an internal investigation will be conducted with discretion and privacy. If credible cause is found through observations and staff interviews, a three-strike disciplinary policy will be implemented (Rees, 2025).</w:t>
      </w:r>
    </w:p>
    <w:p w14:paraId="5E64C505" w14:textId="2028E04B" w:rsidR="00F913A4" w:rsidRPr="00BC783A" w:rsidRDefault="00F913A4" w:rsidP="00F913A4">
      <w:pPr>
        <w:rPr>
          <w:strike/>
        </w:rPr>
      </w:pPr>
      <w:r>
        <w:t xml:space="preserve"> </w:t>
      </w:r>
      <w:r w:rsidRPr="00BC783A">
        <w:rPr>
          <w:strike/>
        </w:rPr>
        <w:t xml:space="preserve">As it is a small business, the Farmers Arms has no HR department, therefore HR duties are undertaken by the manager. Upon commencing employment at the Farmers Arms, new hires are made aware of the expectation of their role through access to the employee </w:t>
      </w:r>
      <w:proofErr w:type="gramStart"/>
      <w:r w:rsidRPr="00BC783A">
        <w:rPr>
          <w:strike/>
        </w:rPr>
        <w:t>hand book</w:t>
      </w:r>
      <w:proofErr w:type="gramEnd"/>
      <w:r w:rsidRPr="00BC783A">
        <w:rPr>
          <w:strike/>
        </w:rPr>
        <w:t xml:space="preserve">. They will then be given a trial shift, where they will perform said duties without formal training under the observation of the manager. This allows the manager to assess the natural competency of the employee and pinpoint areas for improvement, which will be developed into a training plan that is communicated verbally going forward. If the employee has no historical experience in this type of work when they are hired, they may not feel confident enough to attempt the duties, and in this </w:t>
      </w:r>
      <w:proofErr w:type="gramStart"/>
      <w:r w:rsidRPr="00BC783A">
        <w:rPr>
          <w:strike/>
        </w:rPr>
        <w:t>case</w:t>
      </w:r>
      <w:proofErr w:type="gramEnd"/>
      <w:r w:rsidRPr="00BC783A">
        <w:rPr>
          <w:strike/>
        </w:rPr>
        <w:t xml:space="preserve"> they will be given verbal instructions and assigned to shadow an existing member of staff. However, it is acknowledged that bad habits may duplicate if the existing staff member who is assigned to the new hire displays poor work habits, meaning selection of a high-performing employee is crucial (Rees, 2025).</w:t>
      </w:r>
    </w:p>
    <w:p w14:paraId="5AE729E8" w14:textId="77777777" w:rsidR="00F913A4" w:rsidRPr="00BC783A" w:rsidRDefault="00F913A4" w:rsidP="00F913A4">
      <w:pPr>
        <w:rPr>
          <w:strike/>
        </w:rPr>
      </w:pPr>
      <w:r w:rsidRPr="00BC783A">
        <w:rPr>
          <w:strike/>
        </w:rPr>
        <w:t xml:space="preserve">All employees are required to undertake an online allergen course for their </w:t>
      </w:r>
      <w:proofErr w:type="gramStart"/>
      <w:r w:rsidRPr="00BC783A">
        <w:rPr>
          <w:strike/>
        </w:rPr>
        <w:t>development</w:t>
      </w:r>
      <w:proofErr w:type="gramEnd"/>
      <w:r w:rsidRPr="00BC783A">
        <w:rPr>
          <w:strike/>
        </w:rPr>
        <w:t xml:space="preserve"> and this is presented to the employees on the deputy app. Furthermore, those working directly with food, such as sous chefs will be given Level 2 Food Hygiene training, paid </w:t>
      </w:r>
      <w:r w:rsidRPr="00BC783A">
        <w:rPr>
          <w:strike/>
        </w:rPr>
        <w:lastRenderedPageBreak/>
        <w:t xml:space="preserve">for by the organisation. External training is sometimes conducted, where representatives from the companies that provide the EPOS system and the coffee machine are commissioned to conduct a training day for staff in the Farmers Arms to attend </w:t>
      </w:r>
      <w:proofErr w:type="gramStart"/>
      <w:r w:rsidRPr="00BC783A">
        <w:rPr>
          <w:strike/>
        </w:rPr>
        <w:t>in order to</w:t>
      </w:r>
      <w:proofErr w:type="gramEnd"/>
      <w:r w:rsidRPr="00BC783A">
        <w:rPr>
          <w:strike/>
        </w:rPr>
        <w:t xml:space="preserve"> familiarise them with the equipment in the organisation and develop the relevant skills, as well as boosting team-morale (Rees, 2025).</w:t>
      </w:r>
    </w:p>
    <w:p w14:paraId="713F81FE" w14:textId="77777777" w:rsidR="00F913A4" w:rsidRPr="00BC783A" w:rsidRDefault="00F913A4" w:rsidP="00F913A4">
      <w:pPr>
        <w:rPr>
          <w:strike/>
        </w:rPr>
      </w:pPr>
      <w:r w:rsidRPr="00BC783A">
        <w:rPr>
          <w:strike/>
        </w:rPr>
        <w:t xml:space="preserve">The Farmers Arms tracks employee wellbeing through the feedback system within the deputy app and general observation. When clocking out of a shift on the app, it will present employees with a </w:t>
      </w:r>
      <w:proofErr w:type="gramStart"/>
      <w:r w:rsidRPr="00BC783A">
        <w:rPr>
          <w:strike/>
        </w:rPr>
        <w:t>multiple choice</w:t>
      </w:r>
      <w:proofErr w:type="gramEnd"/>
      <w:r w:rsidRPr="00BC783A">
        <w:rPr>
          <w:strike/>
        </w:rPr>
        <w:t xml:space="preserve"> survey </w:t>
      </w:r>
      <w:proofErr w:type="gramStart"/>
      <w:r w:rsidRPr="00BC783A">
        <w:rPr>
          <w:strike/>
        </w:rPr>
        <w:t>asking</w:t>
      </w:r>
      <w:proofErr w:type="gramEnd"/>
      <w:r w:rsidRPr="00BC783A">
        <w:rPr>
          <w:strike/>
        </w:rPr>
        <w:t xml:space="preserve"> “How did your shift go today?”; optional answers include “happy”, “good”, “ok”, “frustrated” and “stressed”. The survey is </w:t>
      </w:r>
      <w:proofErr w:type="gramStart"/>
      <w:r w:rsidRPr="00BC783A">
        <w:rPr>
          <w:strike/>
        </w:rPr>
        <w:t>anonymous,</w:t>
      </w:r>
      <w:proofErr w:type="gramEnd"/>
      <w:r w:rsidRPr="00BC783A">
        <w:rPr>
          <w:strike/>
        </w:rPr>
        <w:t xml:space="preserve"> however, the manager could work out which employee provided which responses by cross-referencing the time the feedback was submitted with the times that the employees ended their shift. </w:t>
      </w:r>
      <w:proofErr w:type="gramStart"/>
      <w:r w:rsidRPr="00BC783A">
        <w:rPr>
          <w:strike/>
        </w:rPr>
        <w:t>In the event that</w:t>
      </w:r>
      <w:proofErr w:type="gramEnd"/>
      <w:r w:rsidRPr="00BC783A">
        <w:rPr>
          <w:strike/>
        </w:rPr>
        <w:t xml:space="preserve"> an employee is observed to be displaying frequent negative feedback, or negative productivity levels due to poor well-being, the manager will approach the employee to have an informal discussion. If able, the manager will offer advice and help to the best of their ability, and the same goes if the manager is approached by the employee first. The Farmers Arms will host staff parties to boost team-morale (Rees, 2025). </w:t>
      </w:r>
    </w:p>
    <w:p w14:paraId="2C6AEFE0" w14:textId="77777777" w:rsidR="00F913A4" w:rsidRPr="00BC783A" w:rsidRDefault="00F913A4" w:rsidP="00F913A4">
      <w:pPr>
        <w:rPr>
          <w:strike/>
        </w:rPr>
      </w:pPr>
      <w:r w:rsidRPr="00BC783A">
        <w:rPr>
          <w:strike/>
        </w:rPr>
        <w:t>The Farmers Arms employs a strict anti-</w:t>
      </w:r>
      <w:proofErr w:type="spellStart"/>
      <w:r w:rsidRPr="00BC783A">
        <w:rPr>
          <w:strike/>
        </w:rPr>
        <w:t>harrasment</w:t>
      </w:r>
      <w:proofErr w:type="spellEnd"/>
      <w:r w:rsidRPr="00BC783A">
        <w:rPr>
          <w:strike/>
        </w:rPr>
        <w:t xml:space="preserve"> and anti-discrimination policy, and employees are urged to report bullying to the manager, or nearest higher employee. In the event of workplace bullying being reported, an internal investigation will be launched. This is approached with discretion and privacy, therefore the employee accused of bullying will not be notified of the investigation. Staff interviews and observations will be conducted by the staff member that received the complaint, and if it is found that there is credible cause of bullying, </w:t>
      </w:r>
      <w:proofErr w:type="spellStart"/>
      <w:r w:rsidRPr="00BC783A">
        <w:rPr>
          <w:strike/>
        </w:rPr>
        <w:t>harrassment</w:t>
      </w:r>
      <w:proofErr w:type="spellEnd"/>
      <w:r w:rsidRPr="00BC783A">
        <w:rPr>
          <w:strike/>
        </w:rPr>
        <w:t xml:space="preserve"> or discrimination, the accused employee will be made aware of a three-strike policy going forward, which includes a verbal warning, a written warning, and a final warning before their employment is terminated if the behaviour continues. There is also a similar three-strike policy for absenteeism without warning and insubordination (Rees, 2025).</w:t>
      </w:r>
    </w:p>
    <w:p w14:paraId="1E7D6C63" w14:textId="77777777" w:rsidR="002A43F6" w:rsidRPr="002A43F6" w:rsidRDefault="00F913A4" w:rsidP="002A43F6">
      <w:pPr>
        <w:rPr>
          <w:color w:val="FF0000"/>
        </w:rPr>
      </w:pPr>
      <w:r>
        <w:t xml:space="preserve">2.3 </w:t>
      </w:r>
      <w:r w:rsidR="002A43F6" w:rsidRPr="002A43F6">
        <w:rPr>
          <w:color w:val="FF0000"/>
        </w:rPr>
        <w:t>An organisation is planning a change reacting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w:t>
      </w:r>
    </w:p>
    <w:p w14:paraId="4CB3E489" w14:textId="77777777" w:rsidR="002A43F6" w:rsidRPr="002A43F6" w:rsidRDefault="002A43F6" w:rsidP="002A43F6">
      <w:pPr>
        <w:rPr>
          <w:color w:val="FF0000"/>
        </w:rPr>
      </w:pPr>
      <w:r w:rsidRPr="002A43F6">
        <w:rPr>
          <w:color w:val="FF0000"/>
        </w:rPr>
        <w:t xml:space="preserve">Working from home was introduced at an unprecedented scale across virtually every workplace where applicable as a reaction to the COVID-19 pandemic to protect the interest of public health. At the time, this was a challenging change to implement, but in a post-COVID society </w:t>
      </w:r>
      <w:proofErr w:type="gramStart"/>
      <w:r w:rsidRPr="002A43F6">
        <w:rPr>
          <w:color w:val="FF0000"/>
        </w:rPr>
        <w:t>where</w:t>
      </w:r>
      <w:proofErr w:type="gramEnd"/>
      <w:r w:rsidRPr="002A43F6">
        <w:rPr>
          <w:color w:val="FF0000"/>
        </w:rPr>
        <w:t xml:space="preserve"> working from home has become the norm and even a preference for some, employers may find it just as difficult to revert to the old ways of working in the office (Barath and Schmidt, 2022; Ipsen, 2021).</w:t>
      </w:r>
    </w:p>
    <w:p w14:paraId="2C533C0E" w14:textId="77777777" w:rsidR="002A43F6" w:rsidRPr="002A43F6" w:rsidRDefault="002A43F6" w:rsidP="002A43F6">
      <w:pPr>
        <w:rPr>
          <w:color w:val="FF0000"/>
        </w:rPr>
      </w:pPr>
      <w:r w:rsidRPr="002A43F6">
        <w:rPr>
          <w:color w:val="FF0000"/>
        </w:rPr>
        <w:lastRenderedPageBreak/>
        <w:t xml:space="preserve">John Kotter introduced an 8-step model for managing change in his book “Leading Change”. He believed that many attempts to initiate change fail as organisations fail to understand that inertia </w:t>
      </w:r>
      <w:proofErr w:type="spellStart"/>
      <w:r w:rsidRPr="002A43F6">
        <w:rPr>
          <w:color w:val="FF0000"/>
        </w:rPr>
        <w:t>can not</w:t>
      </w:r>
      <w:proofErr w:type="spellEnd"/>
      <w:r w:rsidRPr="002A43F6">
        <w:rPr>
          <w:color w:val="FF0000"/>
        </w:rPr>
        <w:t xml:space="preserve"> be overcome in one step, and that a strong ‘leader’ is better suited to initiating change than a ‘manager’, hence the book title (Pollack and Pollack, 2015; Kotter, 1996). </w:t>
      </w:r>
    </w:p>
    <w:p w14:paraId="1033A83A" w14:textId="77777777" w:rsidR="002A43F6" w:rsidRPr="002A43F6" w:rsidRDefault="002A43F6" w:rsidP="002A43F6">
      <w:pPr>
        <w:rPr>
          <w:color w:val="FF0000"/>
        </w:rPr>
      </w:pPr>
      <w:r w:rsidRPr="002A43F6">
        <w:rPr>
          <w:color w:val="FF0000"/>
        </w:rPr>
        <w:t>When utilising Kotter’s model, the first four steps are intended to break down the status quo and remove complacency. The next three steps are where new practices are introduced, and the final step makes sure that the changes stick (Pollack and Pollack, 2015; Kotter, 1996).</w:t>
      </w:r>
    </w:p>
    <w:p w14:paraId="28C962F5" w14:textId="77777777" w:rsidR="002A43F6" w:rsidRPr="002A43F6" w:rsidRDefault="002A43F6" w:rsidP="002A43F6">
      <w:pPr>
        <w:rPr>
          <w:color w:val="FF0000"/>
        </w:rPr>
      </w:pPr>
      <w:r w:rsidRPr="002A43F6">
        <w:rPr>
          <w:color w:val="FF0000"/>
        </w:rPr>
        <w:t xml:space="preserve">According to Kotter’s 8 steps, establishing a sense of urgency is the first step to leading change, as this is what gets influential people within the business on board with supporting this change. This can involve creating an artificial situation to disrupt the status quo (Kotter, 1996). In this scenario where the goal is to have employees return to the office for at least two days a week, this sense of urgency could be created by setting performance targets that </w:t>
      </w:r>
      <w:proofErr w:type="spellStart"/>
      <w:r w:rsidRPr="002A43F6">
        <w:rPr>
          <w:color w:val="FF0000"/>
        </w:rPr>
        <w:t>can not</w:t>
      </w:r>
      <w:proofErr w:type="spellEnd"/>
      <w:r w:rsidRPr="002A43F6">
        <w:rPr>
          <w:color w:val="FF0000"/>
        </w:rPr>
        <w:t xml:space="preserve"> be achieved through business-as-usual, such as introducing a need for more face-to-face collaborative work. The urgency could be set by changing the measurement of performance to directly involve working in the office (Pollack and Pollack, 2015; Kotter, 1996).</w:t>
      </w:r>
    </w:p>
    <w:p w14:paraId="50E61916" w14:textId="77777777" w:rsidR="002A43F6" w:rsidRPr="002A43F6" w:rsidRDefault="002A43F6" w:rsidP="002A43F6">
      <w:pPr>
        <w:rPr>
          <w:color w:val="FF0000"/>
        </w:rPr>
      </w:pPr>
      <w:r w:rsidRPr="002A43F6">
        <w:rPr>
          <w:color w:val="FF0000"/>
        </w:rPr>
        <w:t>Following this, a guiding coalition should be formed, made up of senior managers with authority, high performers who have credibility and expertise, and line managers across all departments. It must be ensured that they are all bound by trust and a common goal to ensure that previous cross-departmental competition does not impede the change process (Kotter, 1996). </w:t>
      </w:r>
    </w:p>
    <w:p w14:paraId="265D30CB" w14:textId="77777777" w:rsidR="002A43F6" w:rsidRPr="002A43F6" w:rsidRDefault="002A43F6" w:rsidP="002A43F6">
      <w:pPr>
        <w:rPr>
          <w:color w:val="FF0000"/>
        </w:rPr>
      </w:pPr>
      <w:r w:rsidRPr="002A43F6">
        <w:rPr>
          <w:color w:val="FF0000"/>
        </w:rPr>
        <w:t>A ‘vision’ or compelling picture of the future alongside strategies, plans and budgets should be developed and circulated around the organisation for refinement. It must be desirable and motivational but remain feasible and realistic. Communicating the vision is the next step, and effective communication involves clear language, good metaphors and the ability to present itself in multiple formats (Pollack and Pollack, 2015; Kotter, 1996).</w:t>
      </w:r>
    </w:p>
    <w:p w14:paraId="6025A061" w14:textId="77777777" w:rsidR="002A43F6" w:rsidRPr="002A43F6" w:rsidRDefault="002A43F6" w:rsidP="002A43F6">
      <w:pPr>
        <w:rPr>
          <w:color w:val="FF0000"/>
        </w:rPr>
      </w:pPr>
      <w:r w:rsidRPr="002A43F6">
        <w:rPr>
          <w:color w:val="FF0000"/>
        </w:rPr>
        <w:t>Now the organisation must empower employees to act. A part of this is removing all structural barriers. For example, to help employees adjust to the return to the office, upgrading old office equipment and introducing home furnishings such as plants and soft furniture may help employees ‘feel more at home’ (Barath and Schmidt, 2022).</w:t>
      </w:r>
    </w:p>
    <w:p w14:paraId="1E8691C4" w14:textId="77777777" w:rsidR="002A43F6" w:rsidRPr="002A43F6" w:rsidRDefault="002A43F6" w:rsidP="002A43F6">
      <w:pPr>
        <w:rPr>
          <w:color w:val="FF0000"/>
        </w:rPr>
      </w:pPr>
      <w:r w:rsidRPr="002A43F6">
        <w:rPr>
          <w:color w:val="FF0000"/>
        </w:rPr>
        <w:t>The sixth step involves generating short-term wins, which must be directly related to the change. Leaders must be able to correlate positive performance with the return-to-work. The seventh step is to build on the momentum of these short-term wins by continuing efforts rather than scaling back after seeing positive results (Pollack and Pollack, 2015; Kotter, 1996). </w:t>
      </w:r>
    </w:p>
    <w:p w14:paraId="2B92CE97" w14:textId="77777777" w:rsidR="002A43F6" w:rsidRPr="002A43F6" w:rsidRDefault="002A43F6" w:rsidP="002A43F6">
      <w:pPr>
        <w:rPr>
          <w:color w:val="FF0000"/>
        </w:rPr>
      </w:pPr>
      <w:r w:rsidRPr="002A43F6">
        <w:rPr>
          <w:color w:val="FF0000"/>
        </w:rPr>
        <w:lastRenderedPageBreak/>
        <w:t>Kotter believes that the behaviour change must come before the culture change and not vice versa. After practising the previous seven steps and generating tangible results, those within the organisation who have embraced the change should be offered rewards. Inevitably, some people may not change, therefore it is important to continue having discussions about these issues to attempt to suede the remaining outliers (Pollack and Pollack, 2015; Kotter, 1996).</w:t>
      </w:r>
    </w:p>
    <w:p w14:paraId="2F843918" w14:textId="3A0C4E26" w:rsidR="00F913A4" w:rsidRPr="00CA2718" w:rsidRDefault="00F913A4" w:rsidP="00F913A4">
      <w:pPr>
        <w:rPr>
          <w:strike/>
        </w:rPr>
      </w:pPr>
      <w:r w:rsidRPr="00CA2718">
        <w:rPr>
          <w:strike/>
        </w:rPr>
        <w:t xml:space="preserve">As it is a small business, the Farmers Arms has no HR department, therefore HR duties are undertaken by the manager. Upon commencing employment at the Farmers Arms, new hires are made aware of the expectation of their role through access to the employee </w:t>
      </w:r>
      <w:proofErr w:type="gramStart"/>
      <w:r w:rsidRPr="00CA2718">
        <w:rPr>
          <w:strike/>
        </w:rPr>
        <w:t>hand book</w:t>
      </w:r>
      <w:proofErr w:type="gramEnd"/>
      <w:r w:rsidRPr="00CA2718">
        <w:rPr>
          <w:strike/>
        </w:rPr>
        <w:t xml:space="preserve">. They will then be given a trial shift, where they will perform said duties without formal training under the observation of the manager. This allows the manager to assess the natural competency of the employee and pinpoint areas for improvement, which will be developed into a training plan that is communicated verbally going forward. If the employee has no historical experience in this type of work when they are hired, they may not feel confident enough to attempt the duties, and in this </w:t>
      </w:r>
      <w:proofErr w:type="gramStart"/>
      <w:r w:rsidRPr="00CA2718">
        <w:rPr>
          <w:strike/>
        </w:rPr>
        <w:t>case</w:t>
      </w:r>
      <w:proofErr w:type="gramEnd"/>
      <w:r w:rsidRPr="00CA2718">
        <w:rPr>
          <w:strike/>
        </w:rPr>
        <w:t xml:space="preserve"> they will be given verbal instructions and assigned to shadow an existing member of staff. However, it is acknowledged that bad habits may duplicate if the existing staff member who is assigned to the new hire displays poor work habits, meaning selection of a high-performing employee is crucial (Rees, 2025).</w:t>
      </w:r>
    </w:p>
    <w:p w14:paraId="7E8F2947" w14:textId="77777777" w:rsidR="00F913A4" w:rsidRPr="00CA2718" w:rsidRDefault="00F913A4" w:rsidP="00F913A4">
      <w:pPr>
        <w:rPr>
          <w:strike/>
        </w:rPr>
      </w:pPr>
      <w:r w:rsidRPr="00CA2718">
        <w:rPr>
          <w:strike/>
        </w:rPr>
        <w:t xml:space="preserve">All employees are required to undertake an online allergen course for their </w:t>
      </w:r>
      <w:proofErr w:type="gramStart"/>
      <w:r w:rsidRPr="00CA2718">
        <w:rPr>
          <w:strike/>
        </w:rPr>
        <w:t>development</w:t>
      </w:r>
      <w:proofErr w:type="gramEnd"/>
      <w:r w:rsidRPr="00CA2718">
        <w:rPr>
          <w:strike/>
        </w:rPr>
        <w:t xml:space="preserve"> and this is presented to the employees on the deputy app. Furthermore, those working directly with food, such as sous chefs will be given Level 2 Food Hygiene training, paid for by the organisation. External training is sometimes conducted, where representatives from the companies that provide the EPOS system and the coffee machine are commissioned to conduct a training day for staff in the Farmers Arms to attend </w:t>
      </w:r>
      <w:proofErr w:type="gramStart"/>
      <w:r w:rsidRPr="00CA2718">
        <w:rPr>
          <w:strike/>
        </w:rPr>
        <w:t>in order to</w:t>
      </w:r>
      <w:proofErr w:type="gramEnd"/>
      <w:r w:rsidRPr="00CA2718">
        <w:rPr>
          <w:strike/>
        </w:rPr>
        <w:t xml:space="preserve"> familiarise them with the equipment in the organisation and develop the relevant skills, as well as boosting team-morale (Rees, 2025).</w:t>
      </w:r>
    </w:p>
    <w:p w14:paraId="552F87A5" w14:textId="77777777" w:rsidR="00F913A4" w:rsidRPr="00CA2718" w:rsidRDefault="00F913A4" w:rsidP="00F913A4">
      <w:pPr>
        <w:rPr>
          <w:strike/>
        </w:rPr>
      </w:pPr>
      <w:r w:rsidRPr="00CA2718">
        <w:rPr>
          <w:strike/>
        </w:rPr>
        <w:t xml:space="preserve">The Farmers Arms tracks employee wellbeing through the feedback system within the deputy app and general observation. When clocking out of a shift on the app, it will present employees with a </w:t>
      </w:r>
      <w:proofErr w:type="gramStart"/>
      <w:r w:rsidRPr="00CA2718">
        <w:rPr>
          <w:strike/>
        </w:rPr>
        <w:t>multiple choice</w:t>
      </w:r>
      <w:proofErr w:type="gramEnd"/>
      <w:r w:rsidRPr="00CA2718">
        <w:rPr>
          <w:strike/>
        </w:rPr>
        <w:t xml:space="preserve"> survey </w:t>
      </w:r>
      <w:proofErr w:type="gramStart"/>
      <w:r w:rsidRPr="00CA2718">
        <w:rPr>
          <w:strike/>
        </w:rPr>
        <w:t>asking</w:t>
      </w:r>
      <w:proofErr w:type="gramEnd"/>
      <w:r w:rsidRPr="00CA2718">
        <w:rPr>
          <w:strike/>
        </w:rPr>
        <w:t xml:space="preserve"> “How did your shift go today?”; optional answers include “happy”, “good”, “ok”, “frustrated” and “stressed”. The survey is </w:t>
      </w:r>
      <w:proofErr w:type="gramStart"/>
      <w:r w:rsidRPr="00CA2718">
        <w:rPr>
          <w:strike/>
        </w:rPr>
        <w:t>anonymous,</w:t>
      </w:r>
      <w:proofErr w:type="gramEnd"/>
      <w:r w:rsidRPr="00CA2718">
        <w:rPr>
          <w:strike/>
        </w:rPr>
        <w:t xml:space="preserve"> however, the manager could work out which employee provided which responses by cross-referencing the time the feedback was submitted with the times that the employees ended their shift. </w:t>
      </w:r>
      <w:proofErr w:type="gramStart"/>
      <w:r w:rsidRPr="00CA2718">
        <w:rPr>
          <w:strike/>
        </w:rPr>
        <w:t>In the event that</w:t>
      </w:r>
      <w:proofErr w:type="gramEnd"/>
      <w:r w:rsidRPr="00CA2718">
        <w:rPr>
          <w:strike/>
        </w:rPr>
        <w:t xml:space="preserve"> an employee is observed to be displaying frequent negative feedback, or negative productivity levels due to poor well-being, the manager will approach the employee to have an informal discussion. If able, the manager will offer advice and help to the best of their ability, and the same goes if the manager is approached by the employee first. The Farmers Arms will host staff parties to boost team-morale (Rees, 2025). </w:t>
      </w:r>
    </w:p>
    <w:p w14:paraId="1B73B2B7" w14:textId="77777777" w:rsidR="00F913A4" w:rsidRDefault="00F913A4" w:rsidP="00F913A4">
      <w:pPr>
        <w:rPr>
          <w:strike/>
        </w:rPr>
      </w:pPr>
      <w:r w:rsidRPr="00CA2718">
        <w:rPr>
          <w:strike/>
        </w:rPr>
        <w:lastRenderedPageBreak/>
        <w:t>The Farmers Arms employs a strict anti-</w:t>
      </w:r>
      <w:proofErr w:type="spellStart"/>
      <w:r w:rsidRPr="00CA2718">
        <w:rPr>
          <w:strike/>
        </w:rPr>
        <w:t>harrasment</w:t>
      </w:r>
      <w:proofErr w:type="spellEnd"/>
      <w:r w:rsidRPr="00CA2718">
        <w:rPr>
          <w:strike/>
        </w:rPr>
        <w:t xml:space="preserve"> and anti-discrimination policy, and employees are urged to report bullying to the manager, or nearest higher employee. In the event of workplace bullying being reported, an internal investigation will be launched. This is approached with discretion and privacy, therefore the employee accused of bullying will not be notified of the investigation. Staff interviews and observations will be conducted by the staff member that received the complaint, and if it is found that there is credible cause of bullying, </w:t>
      </w:r>
      <w:proofErr w:type="spellStart"/>
      <w:r w:rsidRPr="00CA2718">
        <w:rPr>
          <w:strike/>
        </w:rPr>
        <w:t>harrassment</w:t>
      </w:r>
      <w:proofErr w:type="spellEnd"/>
      <w:r w:rsidRPr="00CA2718">
        <w:rPr>
          <w:strike/>
        </w:rPr>
        <w:t xml:space="preserve"> or discrimination, the accused employee will be made aware of a three-strike policy going forward, which includes a verbal warning, a written warning, and a final warning before their employment is terminated if the behaviour continues. There is also a similar three-strike policy for absenteeism without warning and insubordination (Rees, 2025).</w:t>
      </w:r>
    </w:p>
    <w:p w14:paraId="62F3214E" w14:textId="77777777" w:rsidR="00CA2718" w:rsidRPr="00CA2718" w:rsidRDefault="00CA2718" w:rsidP="00F913A4">
      <w:pPr>
        <w:rPr>
          <w:strike/>
        </w:rPr>
      </w:pPr>
    </w:p>
    <w:p w14:paraId="0792B24E" w14:textId="77777777" w:rsidR="00F913A4" w:rsidRPr="00F913A4" w:rsidRDefault="00F913A4" w:rsidP="00F913A4">
      <w:r>
        <w:t xml:space="preserve">2.4 </w:t>
      </w:r>
      <w:r w:rsidRPr="00F913A4">
        <w:t xml:space="preserve">Initially defined as the 5 stages of grief, but later developed to encompass change, the Kubler-Ross change curve illustrates how individuals respond to change. It has been widely recognised as a cornerstone for change management. The stages are as </w:t>
      </w:r>
      <w:proofErr w:type="gramStart"/>
      <w:r w:rsidRPr="00F913A4">
        <w:t>follows;</w:t>
      </w:r>
      <w:proofErr w:type="gramEnd"/>
      <w:r w:rsidRPr="00F913A4">
        <w:t xml:space="preserve"> Denial, Anger, Bargaining, Depression, Acceptance.</w:t>
      </w:r>
    </w:p>
    <w:p w14:paraId="21CF19A7" w14:textId="77777777" w:rsidR="00F913A4" w:rsidRPr="00F913A4" w:rsidRDefault="00F913A4" w:rsidP="00F913A4">
      <w:r w:rsidRPr="00F913A4">
        <w:t xml:space="preserve">The denial stage is the initial reaction to change which consists of shock and disbelief, as well as denial that the change is even needed, believing everything was fine as it was (CIPD, 2023; Chavan and Bhattacharya, 2022). Following this, feelings of anger may arise if employees feel that their voice is unheard or struggle to see any good that could come from this change (Lindblad, 2022; Simpson, 2022). In the bargaining stage, employees may still be holding on to the old </w:t>
      </w:r>
      <w:proofErr w:type="gramStart"/>
      <w:r w:rsidRPr="00F913A4">
        <w:t>ways, or</w:t>
      </w:r>
      <w:proofErr w:type="gramEnd"/>
      <w:r w:rsidRPr="00F913A4">
        <w:t xml:space="preserve"> giving themselves false hope. This is a phase of uncertainty and insecurity which may lead individuals to attempt to bargain or negotiate an alternative to this change (CIPD, 2023; Chavan and Bhattacharya, 2022; Lindblad, 2022). Next is the depression stage. In this stage, employees may feel hopeless and doubtful, and individual and team morale and motivation may be at an all-time low (Chavan and Bhattacharya, 2022; Lindblad, 2022). </w:t>
      </w:r>
      <w:proofErr w:type="gramStart"/>
      <w:r w:rsidRPr="00F913A4">
        <w:t>Finally</w:t>
      </w:r>
      <w:proofErr w:type="gramEnd"/>
      <w:r w:rsidRPr="00F913A4">
        <w:t xml:space="preserve"> is the acceptance stage. Morale and performance will start to gradually rise again as employees accept the situation (CIPD, 2023; Lindblad, 2022; Simpson, 2022). Sometimes, two extra steps are added to the acceptance stage, Experimentation and Decision. These refer to the process of experimenting with and deciding to adopt the change respectively (EKR Foundation, </w:t>
      </w:r>
      <w:proofErr w:type="spellStart"/>
      <w:r w:rsidRPr="00F913A4">
        <w:t>n.d</w:t>
      </w:r>
      <w:proofErr w:type="spellEnd"/>
      <w:r w:rsidRPr="00F913A4">
        <w:t xml:space="preserve">; CIPD, 2023). Some people may also include ‘Shock’ as an extra step right at the beginning while others include it as part of the Denial phase. It is important to note that individuals may not necessarily experience these emotions within this sequence (EKR Foundation, </w:t>
      </w:r>
      <w:proofErr w:type="spellStart"/>
      <w:r w:rsidRPr="00F913A4">
        <w:t>n.d</w:t>
      </w:r>
      <w:proofErr w:type="spellEnd"/>
      <w:r w:rsidRPr="00F913A4">
        <w:t>). (See Figure 4)</w:t>
      </w:r>
    </w:p>
    <w:p w14:paraId="2117E1CE" w14:textId="6EDC187E" w:rsidR="00F913A4" w:rsidRPr="00F913A4" w:rsidRDefault="00F913A4" w:rsidP="00F913A4">
      <w:r w:rsidRPr="00F913A4">
        <w:rPr>
          <w:noProof/>
        </w:rPr>
        <w:lastRenderedPageBreak/>
        <w:drawing>
          <wp:inline distT="0" distB="0" distL="0" distR="0" wp14:anchorId="73405F3E" wp14:editId="55F3BC6E">
            <wp:extent cx="5731510" cy="4161155"/>
            <wp:effectExtent l="0" t="0" r="2540" b="0"/>
            <wp:docPr id="969169939" name="Picture 8" descr="A chart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69939" name="Picture 8" descr="A chart of different colo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61155"/>
                    </a:xfrm>
                    <a:prstGeom prst="rect">
                      <a:avLst/>
                    </a:prstGeom>
                    <a:noFill/>
                    <a:ln>
                      <a:noFill/>
                    </a:ln>
                  </pic:spPr>
                </pic:pic>
              </a:graphicData>
            </a:graphic>
          </wp:inline>
        </w:drawing>
      </w:r>
    </w:p>
    <w:p w14:paraId="2C3E4FEA" w14:textId="77777777" w:rsidR="00F913A4" w:rsidRPr="00F913A4" w:rsidRDefault="00F913A4" w:rsidP="00F913A4">
      <w:r w:rsidRPr="00F913A4">
        <w:t>Figure 4.</w:t>
      </w:r>
    </w:p>
    <w:p w14:paraId="2022899E" w14:textId="77777777" w:rsidR="00F913A4" w:rsidRPr="00F913A4" w:rsidRDefault="00F913A4" w:rsidP="00F913A4">
      <w:r>
        <w:t xml:space="preserve">2.5 </w:t>
      </w:r>
      <w:r w:rsidRPr="00F913A4">
        <w:t>Wellbeing can be defined as the “subjective state of being healthy, happy, contended, comfortable and satisfied with one’s quality of life” (NICE, 2016). The CIPD believes that employers have a fundamental duty of care for the employees' health, safety and welfare and that health and well-being should be a core element of any HR strategy (CIPD, 2023), however, organisations do not always have such strategies in place. Positive correlations have found between well-being strategies and employee retention, loyalty and productivity, benefiting the organisation as well as employees (Gelencsér, et al., 2023; Russell, 2008)</w:t>
      </w:r>
    </w:p>
    <w:p w14:paraId="680630D0" w14:textId="77777777" w:rsidR="00F913A4" w:rsidRPr="00F913A4" w:rsidRDefault="00F913A4" w:rsidP="00F913A4">
      <w:r w:rsidRPr="00F913A4">
        <w:t>According to the CIPD, ‘Good Work’ is work that:</w:t>
      </w:r>
    </w:p>
    <w:p w14:paraId="508B812A" w14:textId="77777777" w:rsidR="00F913A4" w:rsidRPr="00F913A4" w:rsidRDefault="00F913A4" w:rsidP="00F913A4">
      <w:r w:rsidRPr="00F913A4">
        <w:t>Is fairly rewarded, gives people the means to securely make a living, provides opportunities to develop skills and a career and gives a sense of fulfilment, delivers a supportive environment with constructive relationships, allows for work-life balance, is physically and mentally healthy for people, gives people the voice and choice they need to shape their working lives, [and] is accessible to all (CIPD, 2024, para. 8).</w:t>
      </w:r>
    </w:p>
    <w:p w14:paraId="12E70DCA" w14:textId="77777777" w:rsidR="00F913A4" w:rsidRPr="00F913A4" w:rsidRDefault="00F913A4" w:rsidP="00F913A4">
      <w:r w:rsidRPr="00F913A4">
        <w:t xml:space="preserve">In a comprehensive global study conducted by Gallup collecting data from over 150 countries, 5 key factors of universal well-being that are essential to most people were identified: career, social, financial, physical and community. It is suggested that </w:t>
      </w:r>
      <w:r w:rsidRPr="00F913A4">
        <w:lastRenderedPageBreak/>
        <w:t>difficulty in any of these areas will damage an individual's well-being (Rath and Harter, 2010). </w:t>
      </w:r>
    </w:p>
    <w:p w14:paraId="4508B694" w14:textId="77777777" w:rsidR="00F913A4" w:rsidRPr="00F913A4" w:rsidRDefault="00F913A4" w:rsidP="00F913A4">
      <w:r w:rsidRPr="00F913A4">
        <w:t xml:space="preserve">The impact that organisations have on career well-being is self-explanatory, however, the CIPD’s criteria of ‘Good Work’ also touches on three of the four remaining criteria of well-being provided by Gallup. Financial well-being can be supported when work “is fairly rewarded” and “gives people the means to securely make a living”. Work that “delivers a supportive environment with constructive relationships” can improve social well-being, and work that “allows for work-life balance, is physically and mentally healthy for people” can contribute to physical well-being. Although employees are responsible for their health and well-being, a good working environment can inadvertently contribute to well-being factors. </w:t>
      </w:r>
    </w:p>
    <w:p w14:paraId="0F2CD6CB" w14:textId="77777777" w:rsidR="00F913A4" w:rsidRPr="00F913A4" w:rsidRDefault="00F913A4" w:rsidP="00F913A4">
      <w:r>
        <w:t xml:space="preserve">3.1 </w:t>
      </w:r>
      <w:r w:rsidRPr="00F913A4">
        <w:t xml:space="preserve">The employee lifecycle is a framework that illustrates the key stages of </w:t>
      </w:r>
      <w:proofErr w:type="spellStart"/>
      <w:r w:rsidRPr="00F913A4">
        <w:t>asan</w:t>
      </w:r>
      <w:proofErr w:type="spellEnd"/>
      <w:r w:rsidRPr="00F913A4">
        <w:t xml:space="preserve"> employee journeys through the organisation. There are six </w:t>
      </w:r>
      <w:proofErr w:type="gramStart"/>
      <w:r w:rsidRPr="00F913A4">
        <w:t>stages</w:t>
      </w:r>
      <w:proofErr w:type="gramEnd"/>
      <w:r w:rsidRPr="00F913A4">
        <w:t xml:space="preserve"> and they consist of Attraction, Recruitment, Onboarding, Development, Retention and Separation. </w:t>
      </w:r>
    </w:p>
    <w:p w14:paraId="4638D08F" w14:textId="77777777" w:rsidR="00F913A4" w:rsidRPr="00F913A4" w:rsidRDefault="00F913A4" w:rsidP="00F913A4">
      <w:r w:rsidRPr="00F913A4">
        <w:t>In the attraction phase, people practitioners would work towards creating an organisation brand and reputation where individuals would aspire to work, attracting applicants. People practitioners can interview employees or conduct “joiners” and “leavers” surveys to find the organisations selling points and the more unattractive features that need to be worked on (Cattermole, 2019)</w:t>
      </w:r>
    </w:p>
    <w:p w14:paraId="0CA5DB3D" w14:textId="77777777" w:rsidR="00F913A4" w:rsidRPr="00F913A4" w:rsidRDefault="00F913A4" w:rsidP="00F913A4">
      <w:r w:rsidRPr="00F913A4">
        <w:t xml:space="preserve">People practitioners play a direct role in the recruitment stage, which can be broken down into smaller stages. The first is defining requirements: which roles need to be filled and what knowledge, skills and abilities (KSA’s) are required to carry out this role. Secondly, people practitioners must attract candidates, which involves identifying where the candidates can be sourced, including the organisations website, recruitment agencies, LinkedIn, commercial job boards and more. Then applications must be sifted through and those with the correct KSA’s will be invited for an interview or multiple interviews. Following the interview, people practitioners may conduct further testing such as intelligence, aptitude or psychological tests. After meeting and testing candidates they will be assessed, and references may be obtained. Applications must also be checked to ensure that they do not include misinformation. </w:t>
      </w:r>
      <w:proofErr w:type="gramStart"/>
      <w:r w:rsidRPr="00F913A4">
        <w:t>Finally</w:t>
      </w:r>
      <w:proofErr w:type="gramEnd"/>
      <w:r w:rsidRPr="00F913A4">
        <w:t xml:space="preserve"> an offer of employment can be made to the chosen </w:t>
      </w:r>
      <w:proofErr w:type="gramStart"/>
      <w:r w:rsidRPr="00F913A4">
        <w:t>candidate</w:t>
      </w:r>
      <w:proofErr w:type="gramEnd"/>
      <w:r w:rsidRPr="00F913A4">
        <w:t xml:space="preserve"> and they will begin the onboarding process where they are socialised and familiarised with the organisation (Armstrong and Taylor, 2020; Cattermole, 2019). </w:t>
      </w:r>
    </w:p>
    <w:p w14:paraId="51D86C1B" w14:textId="77777777" w:rsidR="00F913A4" w:rsidRPr="00F913A4" w:rsidRDefault="00F913A4" w:rsidP="00F913A4">
      <w:r w:rsidRPr="00F913A4">
        <w:t xml:space="preserve">Whilst under employment, people practitioners will be responsible for creating employee development plans </w:t>
      </w:r>
      <w:proofErr w:type="gramStart"/>
      <w:r w:rsidRPr="00F913A4">
        <w:t>in order to</w:t>
      </w:r>
      <w:proofErr w:type="gramEnd"/>
      <w:r w:rsidRPr="00F913A4">
        <w:t xml:space="preserve"> enhance the skills and abilities of employees and further their careers within the organisation. This includes analysing strengths, weaknesses, </w:t>
      </w:r>
      <w:proofErr w:type="spellStart"/>
      <w:r w:rsidRPr="00F913A4">
        <w:t>oppourtunities</w:t>
      </w:r>
      <w:proofErr w:type="spellEnd"/>
      <w:r w:rsidRPr="00F913A4">
        <w:t xml:space="preserve"> and challenges and providing them with training and learning opportunities to overcome weaknesses and enhance their strengths </w:t>
      </w:r>
      <w:r w:rsidRPr="00F913A4">
        <w:lastRenderedPageBreak/>
        <w:t xml:space="preserve">(Armstrong and Taylor, 2020). As well as development, people practitioners are responsible for designing and implement strategies to maintain employee presence, loyalty and </w:t>
      </w:r>
      <w:proofErr w:type="spellStart"/>
      <w:r w:rsidRPr="00F913A4">
        <w:t>fulfillment</w:t>
      </w:r>
      <w:proofErr w:type="spellEnd"/>
      <w:r w:rsidRPr="00F913A4">
        <w:t xml:space="preserve"> in the retention phase. </w:t>
      </w:r>
    </w:p>
    <w:p w14:paraId="76B82371" w14:textId="77777777" w:rsidR="00F913A4" w:rsidRPr="00F913A4" w:rsidRDefault="00F913A4" w:rsidP="00F913A4">
      <w:r w:rsidRPr="00F913A4">
        <w:t xml:space="preserve">The separation phase is the final phase of the employee lifecycle. Every employee will eventually leave the organisation, whether </w:t>
      </w:r>
      <w:proofErr w:type="spellStart"/>
      <w:r w:rsidRPr="00F913A4">
        <w:t>its</w:t>
      </w:r>
      <w:proofErr w:type="spellEnd"/>
      <w:r w:rsidRPr="00F913A4">
        <w:t xml:space="preserve"> through retirement, termination or resignation. High turnover rates can be costly for the organisation as they replace employees, and the workload placed upon the remaining staff can increase stress and job satisfaction. Some reasons that cause employees to resign can be external, such as better job offers or family obligations, or internal, including frustration due to lack of training, limited growth opportunities, job-related stress or feeling devalued by the organisation, highlighting the importance of people </w:t>
      </w:r>
      <w:proofErr w:type="gramStart"/>
      <w:r w:rsidRPr="00F913A4">
        <w:t>practitioners</w:t>
      </w:r>
      <w:proofErr w:type="gramEnd"/>
      <w:r w:rsidRPr="00F913A4">
        <w:t xml:space="preserve"> efforts during the development and retention stages (Walid Abdullah Al, et al., 2019).</w:t>
      </w:r>
    </w:p>
    <w:p w14:paraId="336C5D44" w14:textId="77777777" w:rsidR="00F913A4" w:rsidRPr="00F913A4" w:rsidRDefault="00F913A4" w:rsidP="00F913A4">
      <w:r>
        <w:t xml:space="preserve">3.2 </w:t>
      </w:r>
      <w:r w:rsidRPr="00F913A4">
        <w:t>‘Vertical integration’ within the context of HR strategy is used to refer to the idea of aligning HR policy with organisational strategic objectives (Taylor and Woodhams, 2016) An example of this would be comparing Wal-Mart, a discount retailer, with Nordstrom, an upscale retailer. Within the two firms’ organisational strategies, customer service is a bigger priority for Nordstrom, whereas logistics would be a bigger priority in Wal-Mart, therefore HR strategy in Nordstrom would be more oriented towards bettering customer service than logistics, and logistics employees would have more refined skills in Wal-Mart than the customer service employees would. This is due to HR strategy aligning with the overall business strategy by facilitating specific training to the departments that need it the most based on organisational objectives and priorities, leading to cohesion between the organisational strategy and its HR department (Boxall, et al., 2008).</w:t>
      </w:r>
    </w:p>
    <w:p w14:paraId="5F42D890" w14:textId="77777777" w:rsidR="00F913A4" w:rsidRPr="00F913A4" w:rsidRDefault="00F913A4" w:rsidP="00F913A4">
      <w:r w:rsidRPr="00F913A4">
        <w:t>‘Horizontal integration’ within this context is used to refer to the idea of having cohesion and compatibility across HR activities (Taylor and Woodhams, 2016). For example, if an HR team were to select employees who are “team players</w:t>
      </w:r>
      <w:proofErr w:type="gramStart"/>
      <w:r w:rsidRPr="00F913A4">
        <w:t>”, and</w:t>
      </w:r>
      <w:proofErr w:type="gramEnd"/>
      <w:r w:rsidRPr="00F913A4">
        <w:t xml:space="preserve"> also introduce a compensation system that focuses on team-based rewards, there is clear cohesion between these two policies as they both promote team-centred activity. If they were to select employees who “work best independently”, but continue to reward team activity, the two separate policies would contradict each other and could even actively work against each other, leading to minimal positive impact (Boxall, et al., 2008) The idea of horizontal integration suggests that bundles of cohesive and compatible HR strategies are more effective and impactful than standalone, directionless policies.</w:t>
      </w:r>
    </w:p>
    <w:p w14:paraId="5B1AED47" w14:textId="77777777" w:rsidR="00F913A4" w:rsidRPr="00F913A4" w:rsidRDefault="00F913A4" w:rsidP="00F913A4">
      <w:r>
        <w:t xml:space="preserve">3.3 </w:t>
      </w:r>
      <w:r w:rsidRPr="00F913A4">
        <w:t>A four-day week is the concept of a shorter working week by reducing total hours worked without any loss of pay, for example, 35 hours divided over five days could be reduced to 28 hours divided over four days (Boys, 2022). There is evidence to suggest that shorter working weeks can have positive benefits on employee health and well-being, performance and retention and can even reduce carbon emissions (Kelly et al., 2022; CIPD HR-Inform, 2023).</w:t>
      </w:r>
    </w:p>
    <w:p w14:paraId="330D9669" w14:textId="77777777" w:rsidR="00F913A4" w:rsidRPr="00F913A4" w:rsidRDefault="00F913A4" w:rsidP="00F913A4">
      <w:r w:rsidRPr="00F913A4">
        <w:lastRenderedPageBreak/>
        <w:t>Involving managers and employees in the decision-making process surrounding this matter is important as implementing change requires engagement and support from stakeholders, however, they may be reluctant to engage with change if they are unsure of how it will affect them. This also allows an opportunity for leaders to better understand expectations regarding employee and managerial needs (Kotter, 1996; Hodges, 2021). </w:t>
      </w:r>
    </w:p>
    <w:p w14:paraId="2B4FF6EA" w14:textId="77777777" w:rsidR="00F913A4" w:rsidRPr="00F913A4" w:rsidRDefault="00F913A4" w:rsidP="00F913A4">
      <w:r w:rsidRPr="00F913A4">
        <w:t xml:space="preserve">Before making a permanent change to a four-day working week, a trial period could be implemented to test the waters and determine </w:t>
      </w:r>
      <w:proofErr w:type="gramStart"/>
      <w:r w:rsidRPr="00F913A4">
        <w:t>whether or not</w:t>
      </w:r>
      <w:proofErr w:type="gramEnd"/>
      <w:r w:rsidRPr="00F913A4">
        <w:t xml:space="preserve"> this works for the organisation, rather than jumping in feet first (Lewis et al., 2023; Kelly et al., 2022). Pulse surveys conducted before, during and after the end of the trial period would be an efficient and effective way to gauge employee and managerial opinions throughout the process. Alternatively, 1-to-1 interviews and focus groups may be useful in gathering more in-depth opinions (Taylor and Woodhams, 2016).</w:t>
      </w:r>
    </w:p>
    <w:p w14:paraId="13FD6CF9" w14:textId="7B52A9D6" w:rsidR="00F913A4" w:rsidRDefault="00F913A4">
      <w:r>
        <w:t>Bibliography</w:t>
      </w:r>
    </w:p>
    <w:p w14:paraId="7C2E7351" w14:textId="77777777" w:rsidR="00F913A4" w:rsidRDefault="00F913A4" w:rsidP="00F913A4">
      <w:pPr>
        <w:pStyle w:val="ListParagraph"/>
        <w:numPr>
          <w:ilvl w:val="0"/>
          <w:numId w:val="1"/>
        </w:numPr>
      </w:pPr>
      <w:r>
        <w:t xml:space="preserve">Armstrong, M. and Taylor, S. (2020) Armstrong’s handbook of human resource management practice. London: </w:t>
      </w:r>
      <w:proofErr w:type="spellStart"/>
      <w:r>
        <w:t>KoganPage</w:t>
      </w:r>
      <w:proofErr w:type="spellEnd"/>
      <w:r>
        <w:t>.</w:t>
      </w:r>
    </w:p>
    <w:p w14:paraId="1D0ADB45" w14:textId="77777777" w:rsidR="00F913A4" w:rsidRDefault="00F913A4" w:rsidP="00F913A4">
      <w:pPr>
        <w:pStyle w:val="ListParagraph"/>
        <w:numPr>
          <w:ilvl w:val="0"/>
          <w:numId w:val="1"/>
        </w:numPr>
      </w:pPr>
      <w:r>
        <w:t>Barath, M. and Schmidt, D.A. (2022) Offices after the COVID-19 pandemic and changes in perception of flexible office space. Available at: https://doi.org/10.3390/su141811158.</w:t>
      </w:r>
    </w:p>
    <w:p w14:paraId="448AAED2" w14:textId="77777777" w:rsidR="00F913A4" w:rsidRDefault="00F913A4" w:rsidP="00F913A4">
      <w:pPr>
        <w:pStyle w:val="ListParagraph"/>
        <w:numPr>
          <w:ilvl w:val="0"/>
          <w:numId w:val="1"/>
        </w:numPr>
      </w:pPr>
      <w:r>
        <w:t>Boys, J. (2022) The four-day week: Employer perspectives on moving to a shorter working week. London: CIPD.</w:t>
      </w:r>
    </w:p>
    <w:p w14:paraId="17619671" w14:textId="77777777" w:rsidR="00F913A4" w:rsidRDefault="00F913A4" w:rsidP="00F913A4">
      <w:pPr>
        <w:pStyle w:val="ListParagraph"/>
        <w:numPr>
          <w:ilvl w:val="0"/>
          <w:numId w:val="1"/>
        </w:numPr>
      </w:pPr>
      <w:r>
        <w:t>Boxall, P., Purcell, J. and Wright, P. (2008) The Oxford handbook of human resource management. Oxford: Oxford University Press.</w:t>
      </w:r>
    </w:p>
    <w:p w14:paraId="15D532F6" w14:textId="77777777" w:rsidR="00F913A4" w:rsidRDefault="00F913A4" w:rsidP="00F913A4">
      <w:pPr>
        <w:pStyle w:val="ListParagraph"/>
        <w:numPr>
          <w:ilvl w:val="0"/>
          <w:numId w:val="1"/>
        </w:numPr>
      </w:pPr>
      <w:proofErr w:type="spellStart"/>
      <w:r>
        <w:t>Cacciattolo</w:t>
      </w:r>
      <w:proofErr w:type="spellEnd"/>
      <w:r>
        <w:t>, K. (2014) Understanding organisational cultures. Available at: https://doi.org/10.3390/admsci11010017.</w:t>
      </w:r>
    </w:p>
    <w:p w14:paraId="2F10CCE7" w14:textId="77777777" w:rsidR="00F913A4" w:rsidRDefault="00F913A4" w:rsidP="00F913A4">
      <w:pPr>
        <w:pStyle w:val="ListParagraph"/>
        <w:numPr>
          <w:ilvl w:val="0"/>
          <w:numId w:val="1"/>
        </w:numPr>
      </w:pPr>
      <w:r>
        <w:t>Cattermole, G. (2019) Developing the employee lifecycle to keep top talent. Available at: https://doi.org/10.1108/SHR-05-2019-0042.</w:t>
      </w:r>
    </w:p>
    <w:p w14:paraId="329182F9" w14:textId="77777777" w:rsidR="00F913A4" w:rsidRDefault="00F913A4" w:rsidP="00F913A4">
      <w:pPr>
        <w:pStyle w:val="ListParagraph"/>
        <w:numPr>
          <w:ilvl w:val="0"/>
          <w:numId w:val="1"/>
        </w:numPr>
      </w:pPr>
      <w:r>
        <w:t xml:space="preserve">Chavan, S. and Bhattacharya, S. (2022) Study of employees’ </w:t>
      </w:r>
      <w:proofErr w:type="spellStart"/>
      <w:r>
        <w:t>behavior</w:t>
      </w:r>
      <w:proofErr w:type="spellEnd"/>
      <w:r>
        <w:t xml:space="preserve"> during organizational change: effects of business theatre on Kübler-Ross model. Available at: https://doi.org/10.18137/cardiometry.2022.22.237243.</w:t>
      </w:r>
    </w:p>
    <w:p w14:paraId="135A681F" w14:textId="77777777" w:rsidR="00F913A4" w:rsidRDefault="00F913A4" w:rsidP="00F913A4">
      <w:pPr>
        <w:pStyle w:val="ListParagraph"/>
        <w:numPr>
          <w:ilvl w:val="0"/>
          <w:numId w:val="1"/>
        </w:numPr>
      </w:pPr>
      <w:r>
        <w:t>CIPD (2023) Change management: A guide for people professionals. Available at: https://www.cipd.org/en/knowledge/guides/change-management/.</w:t>
      </w:r>
    </w:p>
    <w:p w14:paraId="0E5922B0" w14:textId="77777777" w:rsidR="00F913A4" w:rsidRDefault="00F913A4" w:rsidP="00F913A4">
      <w:pPr>
        <w:pStyle w:val="ListParagraph"/>
        <w:numPr>
          <w:ilvl w:val="0"/>
          <w:numId w:val="1"/>
        </w:numPr>
      </w:pPr>
      <w:r>
        <w:t>CIPD (2024) Summary report and practical guidance. Available at: https://www.cipd.org/globalassets/media/knowledge/knowledge-hub/reports/2024-pdfs/8625-good-work-index-2024-summary-report-web.pdf.</w:t>
      </w:r>
    </w:p>
    <w:p w14:paraId="0C9480F9" w14:textId="77777777" w:rsidR="00F913A4" w:rsidRDefault="00F913A4" w:rsidP="00F913A4">
      <w:pPr>
        <w:pStyle w:val="ListParagraph"/>
        <w:numPr>
          <w:ilvl w:val="0"/>
          <w:numId w:val="1"/>
        </w:numPr>
      </w:pPr>
      <w:r>
        <w:t>EKR Foundation (n.d.) Kübler-Ross change curve. Available at: https://www.ekrfoundation.org/5-stages-of-grief/change-curve/.</w:t>
      </w:r>
    </w:p>
    <w:p w14:paraId="38248B6D" w14:textId="77777777" w:rsidR="00F913A4" w:rsidRDefault="00F913A4" w:rsidP="00F913A4">
      <w:pPr>
        <w:pStyle w:val="ListParagraph"/>
        <w:numPr>
          <w:ilvl w:val="0"/>
          <w:numId w:val="1"/>
        </w:numPr>
      </w:pPr>
      <w:r>
        <w:t>GOV.UK (2024) National minimum wage and national living wage rates. Available at: https://www.gov.uk/national-minimum-wage-rates.</w:t>
      </w:r>
    </w:p>
    <w:p w14:paraId="6D05AC90" w14:textId="77777777" w:rsidR="00F913A4" w:rsidRDefault="00F913A4" w:rsidP="00F913A4">
      <w:pPr>
        <w:pStyle w:val="ListParagraph"/>
        <w:numPr>
          <w:ilvl w:val="0"/>
          <w:numId w:val="1"/>
        </w:numPr>
      </w:pPr>
      <w:r>
        <w:lastRenderedPageBreak/>
        <w:t>GOV.UK (2024) Minimum wage rates for 2025. Available at: https://www.gov.uk/government/publications/minimum-wage-rates-for-2025.</w:t>
      </w:r>
    </w:p>
    <w:p w14:paraId="0DB9F399" w14:textId="77777777" w:rsidR="00F913A4" w:rsidRDefault="00F913A4" w:rsidP="00F913A4">
      <w:pPr>
        <w:pStyle w:val="ListParagraph"/>
        <w:numPr>
          <w:ilvl w:val="0"/>
          <w:numId w:val="1"/>
        </w:numPr>
      </w:pPr>
      <w:r>
        <w:t>Gutterman, A.S. (2023) Basic models of organizational structure. Available at: https://papers.ssrn.com/sol3/papers.cfm?abstract_id=4545843.</w:t>
      </w:r>
    </w:p>
    <w:p w14:paraId="31C2DB9F" w14:textId="77777777" w:rsidR="00F913A4" w:rsidRDefault="00F913A4" w:rsidP="00F913A4">
      <w:pPr>
        <w:pStyle w:val="ListParagraph"/>
        <w:numPr>
          <w:ilvl w:val="0"/>
          <w:numId w:val="1"/>
        </w:numPr>
      </w:pPr>
      <w:r>
        <w:t>Hodges, J. (2021) Engaging employees with organizational change. Available at: https://www.researchgate.net/publication/348807020_Engaging_Employees_with_Organizational_Change.</w:t>
      </w:r>
    </w:p>
    <w:p w14:paraId="1B702E97" w14:textId="77777777" w:rsidR="00F913A4" w:rsidRDefault="00F913A4" w:rsidP="00F913A4">
      <w:pPr>
        <w:pStyle w:val="ListParagraph"/>
        <w:numPr>
          <w:ilvl w:val="0"/>
          <w:numId w:val="1"/>
        </w:numPr>
      </w:pPr>
      <w:r>
        <w:t>HR Courses Online (2024) What is: Charles Handy model of organisational culture. Available at: https://www.youtube.com/watch?v=pF1cfEt8JWQ.</w:t>
      </w:r>
    </w:p>
    <w:p w14:paraId="39B829CD" w14:textId="77777777" w:rsidR="00F913A4" w:rsidRDefault="00F913A4" w:rsidP="00F913A4">
      <w:pPr>
        <w:pStyle w:val="ListParagraph"/>
        <w:numPr>
          <w:ilvl w:val="0"/>
          <w:numId w:val="1"/>
        </w:numPr>
      </w:pPr>
      <w:r>
        <w:t>Ipsen, C. et al. (2021) Six key advantages and disadvantages of working from home in Europe during COVID-19. Available at: https://www.mdpi.com/1660-4601/18/4/1826.</w:t>
      </w:r>
    </w:p>
    <w:p w14:paraId="69287A3B" w14:textId="77777777" w:rsidR="00F913A4" w:rsidRDefault="00F913A4" w:rsidP="00F913A4">
      <w:pPr>
        <w:pStyle w:val="ListParagraph"/>
        <w:numPr>
          <w:ilvl w:val="0"/>
          <w:numId w:val="1"/>
        </w:numPr>
      </w:pPr>
      <w:r>
        <w:t>Kang, S.P. et al. (2020) Guiding change in higher education: an emergent, iterative application of Kotter’s change model. Available at: https://doi.org/10.1080/03075079.2020.1741540.</w:t>
      </w:r>
    </w:p>
    <w:p w14:paraId="50E624B1" w14:textId="77777777" w:rsidR="00F913A4" w:rsidRDefault="00F913A4" w:rsidP="00F913A4">
      <w:pPr>
        <w:pStyle w:val="ListParagraph"/>
        <w:numPr>
          <w:ilvl w:val="0"/>
          <w:numId w:val="1"/>
        </w:numPr>
      </w:pPr>
      <w:r>
        <w:t>Kelly, O. et al. (2022) The four-day week: Assessing global trials of reduced work time with no reduction in pay. Available at: https://hdl.handle.net/10197/25259.</w:t>
      </w:r>
    </w:p>
    <w:p w14:paraId="281A6C6D" w14:textId="77777777" w:rsidR="00F913A4" w:rsidRDefault="00F913A4" w:rsidP="00F913A4">
      <w:pPr>
        <w:pStyle w:val="ListParagraph"/>
        <w:numPr>
          <w:ilvl w:val="0"/>
          <w:numId w:val="1"/>
        </w:numPr>
      </w:pPr>
      <w:r>
        <w:t>Kew, J. and Stredwick, J. (2016) Human resource management in a business context.</w:t>
      </w:r>
    </w:p>
    <w:p w14:paraId="18BE4813" w14:textId="77777777" w:rsidR="00F913A4" w:rsidRDefault="00F913A4" w:rsidP="00F913A4">
      <w:pPr>
        <w:pStyle w:val="ListParagraph"/>
        <w:numPr>
          <w:ilvl w:val="0"/>
          <w:numId w:val="1"/>
        </w:numPr>
      </w:pPr>
      <w:r>
        <w:t>Lewis, K. et al. (2023) The results are in: The UK’s four-day week trial.</w:t>
      </w:r>
    </w:p>
    <w:p w14:paraId="56DFB666" w14:textId="77777777" w:rsidR="00F913A4" w:rsidRDefault="00F913A4" w:rsidP="00F913A4">
      <w:pPr>
        <w:pStyle w:val="ListParagraph"/>
        <w:numPr>
          <w:ilvl w:val="0"/>
          <w:numId w:val="1"/>
        </w:numPr>
      </w:pPr>
      <w:r>
        <w:t>Limna, P. (2023) Artificial intelligence (AI) in the hospitality industry: a review article. Available at: https://doi.org/10.25147/ijcsr.2017.001.1.103.</w:t>
      </w:r>
    </w:p>
    <w:p w14:paraId="5F655B6B" w14:textId="16CFC5FD" w:rsidR="00F913A4" w:rsidRDefault="00F913A4" w:rsidP="00F913A4">
      <w:pPr>
        <w:pStyle w:val="ListParagraph"/>
        <w:numPr>
          <w:ilvl w:val="0"/>
          <w:numId w:val="1"/>
        </w:numPr>
      </w:pPr>
      <w:r>
        <w:t xml:space="preserve">Lindblad, L. (2022) A map for tackling the change curve in a complex organization. Available at: </w:t>
      </w:r>
      <w:hyperlink r:id="rId9" w:history="1">
        <w:r w:rsidR="00FC1017" w:rsidRPr="002754C5">
          <w:rPr>
            <w:rStyle w:val="Hyperlink"/>
          </w:rPr>
          <w:t>https://www.theseus.fi/handle/10024/781033</w:t>
        </w:r>
      </w:hyperlink>
      <w:r>
        <w:t>.</w:t>
      </w:r>
    </w:p>
    <w:p w14:paraId="61BAB063" w14:textId="00B48681" w:rsidR="00FC1017" w:rsidRPr="00E50E28" w:rsidRDefault="00FC1017" w:rsidP="00F913A4">
      <w:pPr>
        <w:pStyle w:val="ListParagraph"/>
        <w:numPr>
          <w:ilvl w:val="0"/>
          <w:numId w:val="1"/>
        </w:numPr>
        <w:rPr>
          <w:color w:val="FF0000"/>
        </w:rPr>
      </w:pPr>
      <w:r w:rsidRPr="00E50E28">
        <w:rPr>
          <w:color w:val="FF0000"/>
        </w:rPr>
        <w:t>Lynch, R.L. (2000). Corporate strategy. London: Financial Times Management.</w:t>
      </w:r>
    </w:p>
    <w:p w14:paraId="4E70F515" w14:textId="77777777" w:rsidR="00F913A4" w:rsidRDefault="00F913A4" w:rsidP="00F913A4">
      <w:pPr>
        <w:pStyle w:val="ListParagraph"/>
        <w:numPr>
          <w:ilvl w:val="0"/>
          <w:numId w:val="1"/>
        </w:numPr>
      </w:pPr>
      <w:r>
        <w:t xml:space="preserve">Mamedova, N., Belyakova, E. and </w:t>
      </w:r>
      <w:proofErr w:type="spellStart"/>
      <w:r>
        <w:t>Urintsov</w:t>
      </w:r>
      <w:proofErr w:type="spellEnd"/>
      <w:r>
        <w:t>, A. (2023) Selection of organizational structure of the company in the period of digital transformation using the SCARF model. Available at: https://doi.org/10.37394/232025.2023.5.4.</w:t>
      </w:r>
    </w:p>
    <w:p w14:paraId="5E76FEF8" w14:textId="77777777" w:rsidR="00F913A4" w:rsidRDefault="00F913A4" w:rsidP="00F913A4">
      <w:pPr>
        <w:pStyle w:val="ListParagraph"/>
        <w:numPr>
          <w:ilvl w:val="0"/>
          <w:numId w:val="1"/>
        </w:numPr>
      </w:pPr>
      <w:r>
        <w:t>NICE (2015) Workplace health: management practices.</w:t>
      </w:r>
    </w:p>
    <w:p w14:paraId="16204FDB" w14:textId="77777777" w:rsidR="00F913A4" w:rsidRDefault="00F913A4" w:rsidP="00F913A4">
      <w:pPr>
        <w:pStyle w:val="ListParagraph"/>
        <w:numPr>
          <w:ilvl w:val="0"/>
          <w:numId w:val="1"/>
        </w:numPr>
      </w:pPr>
      <w:r>
        <w:t>Office for National Statistics (2025) Consumer price inflation, UK. Available at: https://www.ons.gov.uk/economy/inflationandpriceindices/bulletins/consumerpriceinflation/december2024.</w:t>
      </w:r>
    </w:p>
    <w:p w14:paraId="70A43D47" w14:textId="77777777" w:rsidR="00F913A4" w:rsidRDefault="00F913A4" w:rsidP="00F913A4">
      <w:pPr>
        <w:pStyle w:val="ListParagraph"/>
        <w:numPr>
          <w:ilvl w:val="0"/>
          <w:numId w:val="1"/>
        </w:numPr>
      </w:pPr>
      <w:r>
        <w:t>Pollack, J. and Pollack, R. (2015) Using Kotter’s eight stage process to manage an organisational change program. Available at: https://link.springer.com/article/10.1007/s11213-014-9317-0.</w:t>
      </w:r>
    </w:p>
    <w:p w14:paraId="67CFB9E3" w14:textId="77777777" w:rsidR="00F913A4" w:rsidRDefault="00F913A4" w:rsidP="00F913A4">
      <w:pPr>
        <w:pStyle w:val="ListParagraph"/>
        <w:numPr>
          <w:ilvl w:val="0"/>
          <w:numId w:val="1"/>
        </w:numPr>
      </w:pPr>
      <w:r>
        <w:t xml:space="preserve">Rees, R. (2025) Interviewed by Lowri Davies. 13 February, </w:t>
      </w:r>
      <w:proofErr w:type="spellStart"/>
      <w:r>
        <w:t>Llanybri</w:t>
      </w:r>
      <w:proofErr w:type="spellEnd"/>
      <w:r>
        <w:t>, Carmarthenshire.</w:t>
      </w:r>
    </w:p>
    <w:p w14:paraId="224FCB5A" w14:textId="77777777" w:rsidR="00C164BA" w:rsidRPr="00E50E28" w:rsidRDefault="00C164BA" w:rsidP="00F913A4">
      <w:pPr>
        <w:pStyle w:val="ListParagraph"/>
        <w:numPr>
          <w:ilvl w:val="0"/>
          <w:numId w:val="1"/>
        </w:numPr>
        <w:rPr>
          <w:color w:val="FF0000"/>
        </w:rPr>
      </w:pPr>
      <w:proofErr w:type="spellStart"/>
      <w:r w:rsidRPr="00E50E28">
        <w:rPr>
          <w:color w:val="FF0000"/>
        </w:rPr>
        <w:t>Samudhram</w:t>
      </w:r>
      <w:proofErr w:type="spellEnd"/>
      <w:r w:rsidRPr="00E50E28">
        <w:rPr>
          <w:color w:val="FF0000"/>
        </w:rPr>
        <w:t xml:space="preserve">, A., Shanmugam, B. and Lock Teng Low, K. (2008). Valuing human resources: an analytical framework. </w:t>
      </w:r>
      <w:r w:rsidRPr="00E50E28">
        <w:rPr>
          <w:i/>
          <w:iCs/>
          <w:color w:val="FF0000"/>
        </w:rPr>
        <w:t>Journal of Intellectual Capital</w:t>
      </w:r>
      <w:r w:rsidRPr="00E50E28">
        <w:rPr>
          <w:color w:val="FF0000"/>
        </w:rPr>
        <w:t xml:space="preserve">, 9(4), pp.655–667. </w:t>
      </w:r>
      <w:proofErr w:type="spellStart"/>
      <w:proofErr w:type="gramStart"/>
      <w:r w:rsidRPr="00E50E28">
        <w:rPr>
          <w:color w:val="FF0000"/>
        </w:rPr>
        <w:t>doi:https</w:t>
      </w:r>
      <w:proofErr w:type="spellEnd"/>
      <w:r w:rsidRPr="00E50E28">
        <w:rPr>
          <w:color w:val="FF0000"/>
        </w:rPr>
        <w:t>://doi.org/10.1108/14691930810913203</w:t>
      </w:r>
      <w:proofErr w:type="gramEnd"/>
      <w:r w:rsidRPr="00E50E28">
        <w:rPr>
          <w:color w:val="FF0000"/>
        </w:rPr>
        <w:t xml:space="preserve"> </w:t>
      </w:r>
    </w:p>
    <w:p w14:paraId="271B254A" w14:textId="0BB10D16" w:rsidR="00F913A4" w:rsidRDefault="00F913A4" w:rsidP="00F913A4">
      <w:pPr>
        <w:pStyle w:val="ListParagraph"/>
        <w:numPr>
          <w:ilvl w:val="0"/>
          <w:numId w:val="1"/>
        </w:numPr>
      </w:pPr>
      <w:r>
        <w:lastRenderedPageBreak/>
        <w:t>Simpson, J.M. (2022) Understanding change in the university workplace: are metaphors of bereavement helpful? Available at: https://doi.org/10.1080/13603108.2022.2056253.</w:t>
      </w:r>
    </w:p>
    <w:p w14:paraId="577249F8" w14:textId="77777777" w:rsidR="00F913A4" w:rsidRDefault="00F913A4" w:rsidP="00F913A4">
      <w:pPr>
        <w:pStyle w:val="ListParagraph"/>
        <w:numPr>
          <w:ilvl w:val="0"/>
          <w:numId w:val="1"/>
        </w:numPr>
      </w:pPr>
      <w:proofErr w:type="spellStart"/>
      <w:r>
        <w:t>Suraihi</w:t>
      </w:r>
      <w:proofErr w:type="spellEnd"/>
      <w:r>
        <w:t>, W.A. et al. (2021) Employee turnover: causes, importance and retention strategies. Available at: https://doi.org/10.24018/ejbmr.2021.6.3.893.</w:t>
      </w:r>
    </w:p>
    <w:p w14:paraId="568C90E0" w14:textId="77777777" w:rsidR="00F913A4" w:rsidRDefault="00F913A4" w:rsidP="00F913A4">
      <w:pPr>
        <w:pStyle w:val="ListParagraph"/>
        <w:numPr>
          <w:ilvl w:val="0"/>
          <w:numId w:val="1"/>
        </w:numPr>
      </w:pPr>
      <w:r>
        <w:t>Taylor, S. and Woodhams, C. (2016) Studying human resource management. London: CIPD.</w:t>
      </w:r>
    </w:p>
    <w:p w14:paraId="699EBCC9" w14:textId="77777777" w:rsidR="00F913A4" w:rsidRDefault="00F913A4" w:rsidP="00F913A4">
      <w:pPr>
        <w:pStyle w:val="ListParagraph"/>
        <w:numPr>
          <w:ilvl w:val="0"/>
          <w:numId w:val="1"/>
        </w:numPr>
      </w:pPr>
      <w:r>
        <w:t>Wayne, L.M. (2015) Addressing voluntary employee turnover: exploring the relationship between Rock’s SCARF factors and voluntary employee turnover.</w:t>
      </w:r>
    </w:p>
    <w:p w14:paraId="1E967EA8" w14:textId="09BD5BF1" w:rsidR="00F913A4" w:rsidRDefault="00F913A4" w:rsidP="00F913A4">
      <w:pPr>
        <w:pStyle w:val="ListParagraph"/>
        <w:numPr>
          <w:ilvl w:val="0"/>
          <w:numId w:val="1"/>
        </w:numPr>
      </w:pPr>
      <w:r>
        <w:t>Webley, C. (2011) Cash management, liquidity, and longevity of family-owned restaurants.</w:t>
      </w:r>
    </w:p>
    <w:sectPr w:rsidR="00F91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3B6B7F"/>
    <w:multiLevelType w:val="hybridMultilevel"/>
    <w:tmpl w:val="56F20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361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3A4"/>
    <w:rsid w:val="002A43F6"/>
    <w:rsid w:val="004B1BB3"/>
    <w:rsid w:val="00A84E67"/>
    <w:rsid w:val="00BC783A"/>
    <w:rsid w:val="00C164BA"/>
    <w:rsid w:val="00CA2718"/>
    <w:rsid w:val="00CE74EF"/>
    <w:rsid w:val="00E26DB4"/>
    <w:rsid w:val="00E50E28"/>
    <w:rsid w:val="00F01638"/>
    <w:rsid w:val="00F913A4"/>
    <w:rsid w:val="00FC1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123AC"/>
  <w15:chartTrackingRefBased/>
  <w15:docId w15:val="{930CD795-F86C-4F35-806A-90BE2CFC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3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3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13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3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3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3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3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3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3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3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3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13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3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3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3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3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3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3A4"/>
    <w:rPr>
      <w:rFonts w:eastAsiaTheme="majorEastAsia" w:cstheme="majorBidi"/>
      <w:color w:val="272727" w:themeColor="text1" w:themeTint="D8"/>
    </w:rPr>
  </w:style>
  <w:style w:type="paragraph" w:styleId="Title">
    <w:name w:val="Title"/>
    <w:basedOn w:val="Normal"/>
    <w:next w:val="Normal"/>
    <w:link w:val="TitleChar"/>
    <w:uiPriority w:val="10"/>
    <w:qFormat/>
    <w:rsid w:val="00F913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3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3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3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3A4"/>
    <w:pPr>
      <w:spacing w:before="160"/>
      <w:jc w:val="center"/>
    </w:pPr>
    <w:rPr>
      <w:i/>
      <w:iCs/>
      <w:color w:val="404040" w:themeColor="text1" w:themeTint="BF"/>
    </w:rPr>
  </w:style>
  <w:style w:type="character" w:customStyle="1" w:styleId="QuoteChar">
    <w:name w:val="Quote Char"/>
    <w:basedOn w:val="DefaultParagraphFont"/>
    <w:link w:val="Quote"/>
    <w:uiPriority w:val="29"/>
    <w:rsid w:val="00F913A4"/>
    <w:rPr>
      <w:i/>
      <w:iCs/>
      <w:color w:val="404040" w:themeColor="text1" w:themeTint="BF"/>
    </w:rPr>
  </w:style>
  <w:style w:type="paragraph" w:styleId="ListParagraph">
    <w:name w:val="List Paragraph"/>
    <w:basedOn w:val="Normal"/>
    <w:uiPriority w:val="34"/>
    <w:qFormat/>
    <w:rsid w:val="00F913A4"/>
    <w:pPr>
      <w:ind w:left="720"/>
      <w:contextualSpacing/>
    </w:pPr>
  </w:style>
  <w:style w:type="character" w:styleId="IntenseEmphasis">
    <w:name w:val="Intense Emphasis"/>
    <w:basedOn w:val="DefaultParagraphFont"/>
    <w:uiPriority w:val="21"/>
    <w:qFormat/>
    <w:rsid w:val="00F913A4"/>
    <w:rPr>
      <w:i/>
      <w:iCs/>
      <w:color w:val="0F4761" w:themeColor="accent1" w:themeShade="BF"/>
    </w:rPr>
  </w:style>
  <w:style w:type="paragraph" w:styleId="IntenseQuote">
    <w:name w:val="Intense Quote"/>
    <w:basedOn w:val="Normal"/>
    <w:next w:val="Normal"/>
    <w:link w:val="IntenseQuoteChar"/>
    <w:uiPriority w:val="30"/>
    <w:qFormat/>
    <w:rsid w:val="00F913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3A4"/>
    <w:rPr>
      <w:i/>
      <w:iCs/>
      <w:color w:val="0F4761" w:themeColor="accent1" w:themeShade="BF"/>
    </w:rPr>
  </w:style>
  <w:style w:type="character" w:styleId="IntenseReference">
    <w:name w:val="Intense Reference"/>
    <w:basedOn w:val="DefaultParagraphFont"/>
    <w:uiPriority w:val="32"/>
    <w:qFormat/>
    <w:rsid w:val="00F913A4"/>
    <w:rPr>
      <w:b/>
      <w:bCs/>
      <w:smallCaps/>
      <w:color w:val="0F4761" w:themeColor="accent1" w:themeShade="BF"/>
      <w:spacing w:val="5"/>
    </w:rPr>
  </w:style>
  <w:style w:type="paragraph" w:styleId="NormalWeb">
    <w:name w:val="Normal (Web)"/>
    <w:basedOn w:val="Normal"/>
    <w:uiPriority w:val="99"/>
    <w:semiHidden/>
    <w:unhideWhenUsed/>
    <w:rsid w:val="00F913A4"/>
    <w:rPr>
      <w:rFonts w:ascii="Times New Roman" w:hAnsi="Times New Roman" w:cs="Times New Roman"/>
    </w:rPr>
  </w:style>
  <w:style w:type="character" w:styleId="Hyperlink">
    <w:name w:val="Hyperlink"/>
    <w:basedOn w:val="DefaultParagraphFont"/>
    <w:uiPriority w:val="99"/>
    <w:unhideWhenUsed/>
    <w:rsid w:val="00FC1017"/>
    <w:rPr>
      <w:color w:val="467886" w:themeColor="hyperlink"/>
      <w:u w:val="single"/>
    </w:rPr>
  </w:style>
  <w:style w:type="character" w:styleId="UnresolvedMention">
    <w:name w:val="Unresolved Mention"/>
    <w:basedOn w:val="DefaultParagraphFont"/>
    <w:uiPriority w:val="99"/>
    <w:semiHidden/>
    <w:unhideWhenUsed/>
    <w:rsid w:val="00FC1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2827">
      <w:bodyDiv w:val="1"/>
      <w:marLeft w:val="0"/>
      <w:marRight w:val="0"/>
      <w:marTop w:val="0"/>
      <w:marBottom w:val="0"/>
      <w:divBdr>
        <w:top w:val="none" w:sz="0" w:space="0" w:color="auto"/>
        <w:left w:val="none" w:sz="0" w:space="0" w:color="auto"/>
        <w:bottom w:val="none" w:sz="0" w:space="0" w:color="auto"/>
        <w:right w:val="none" w:sz="0" w:space="0" w:color="auto"/>
      </w:divBdr>
    </w:div>
    <w:div w:id="88817289">
      <w:bodyDiv w:val="1"/>
      <w:marLeft w:val="0"/>
      <w:marRight w:val="0"/>
      <w:marTop w:val="0"/>
      <w:marBottom w:val="0"/>
      <w:divBdr>
        <w:top w:val="none" w:sz="0" w:space="0" w:color="auto"/>
        <w:left w:val="none" w:sz="0" w:space="0" w:color="auto"/>
        <w:bottom w:val="none" w:sz="0" w:space="0" w:color="auto"/>
        <w:right w:val="none" w:sz="0" w:space="0" w:color="auto"/>
      </w:divBdr>
    </w:div>
    <w:div w:id="100732628">
      <w:bodyDiv w:val="1"/>
      <w:marLeft w:val="0"/>
      <w:marRight w:val="0"/>
      <w:marTop w:val="0"/>
      <w:marBottom w:val="0"/>
      <w:divBdr>
        <w:top w:val="none" w:sz="0" w:space="0" w:color="auto"/>
        <w:left w:val="none" w:sz="0" w:space="0" w:color="auto"/>
        <w:bottom w:val="none" w:sz="0" w:space="0" w:color="auto"/>
        <w:right w:val="none" w:sz="0" w:space="0" w:color="auto"/>
      </w:divBdr>
    </w:div>
    <w:div w:id="110167780">
      <w:bodyDiv w:val="1"/>
      <w:marLeft w:val="0"/>
      <w:marRight w:val="0"/>
      <w:marTop w:val="0"/>
      <w:marBottom w:val="0"/>
      <w:divBdr>
        <w:top w:val="none" w:sz="0" w:space="0" w:color="auto"/>
        <w:left w:val="none" w:sz="0" w:space="0" w:color="auto"/>
        <w:bottom w:val="none" w:sz="0" w:space="0" w:color="auto"/>
        <w:right w:val="none" w:sz="0" w:space="0" w:color="auto"/>
      </w:divBdr>
    </w:div>
    <w:div w:id="163515099">
      <w:bodyDiv w:val="1"/>
      <w:marLeft w:val="0"/>
      <w:marRight w:val="0"/>
      <w:marTop w:val="0"/>
      <w:marBottom w:val="0"/>
      <w:divBdr>
        <w:top w:val="none" w:sz="0" w:space="0" w:color="auto"/>
        <w:left w:val="none" w:sz="0" w:space="0" w:color="auto"/>
        <w:bottom w:val="none" w:sz="0" w:space="0" w:color="auto"/>
        <w:right w:val="none" w:sz="0" w:space="0" w:color="auto"/>
      </w:divBdr>
    </w:div>
    <w:div w:id="182331942">
      <w:bodyDiv w:val="1"/>
      <w:marLeft w:val="0"/>
      <w:marRight w:val="0"/>
      <w:marTop w:val="0"/>
      <w:marBottom w:val="0"/>
      <w:divBdr>
        <w:top w:val="none" w:sz="0" w:space="0" w:color="auto"/>
        <w:left w:val="none" w:sz="0" w:space="0" w:color="auto"/>
        <w:bottom w:val="none" w:sz="0" w:space="0" w:color="auto"/>
        <w:right w:val="none" w:sz="0" w:space="0" w:color="auto"/>
      </w:divBdr>
    </w:div>
    <w:div w:id="199053129">
      <w:bodyDiv w:val="1"/>
      <w:marLeft w:val="0"/>
      <w:marRight w:val="0"/>
      <w:marTop w:val="0"/>
      <w:marBottom w:val="0"/>
      <w:divBdr>
        <w:top w:val="none" w:sz="0" w:space="0" w:color="auto"/>
        <w:left w:val="none" w:sz="0" w:space="0" w:color="auto"/>
        <w:bottom w:val="none" w:sz="0" w:space="0" w:color="auto"/>
        <w:right w:val="none" w:sz="0" w:space="0" w:color="auto"/>
      </w:divBdr>
    </w:div>
    <w:div w:id="313875126">
      <w:bodyDiv w:val="1"/>
      <w:marLeft w:val="0"/>
      <w:marRight w:val="0"/>
      <w:marTop w:val="0"/>
      <w:marBottom w:val="0"/>
      <w:divBdr>
        <w:top w:val="none" w:sz="0" w:space="0" w:color="auto"/>
        <w:left w:val="none" w:sz="0" w:space="0" w:color="auto"/>
        <w:bottom w:val="none" w:sz="0" w:space="0" w:color="auto"/>
        <w:right w:val="none" w:sz="0" w:space="0" w:color="auto"/>
      </w:divBdr>
    </w:div>
    <w:div w:id="381102922">
      <w:bodyDiv w:val="1"/>
      <w:marLeft w:val="0"/>
      <w:marRight w:val="0"/>
      <w:marTop w:val="0"/>
      <w:marBottom w:val="0"/>
      <w:divBdr>
        <w:top w:val="none" w:sz="0" w:space="0" w:color="auto"/>
        <w:left w:val="none" w:sz="0" w:space="0" w:color="auto"/>
        <w:bottom w:val="none" w:sz="0" w:space="0" w:color="auto"/>
        <w:right w:val="none" w:sz="0" w:space="0" w:color="auto"/>
      </w:divBdr>
    </w:div>
    <w:div w:id="450326171">
      <w:bodyDiv w:val="1"/>
      <w:marLeft w:val="0"/>
      <w:marRight w:val="0"/>
      <w:marTop w:val="0"/>
      <w:marBottom w:val="0"/>
      <w:divBdr>
        <w:top w:val="none" w:sz="0" w:space="0" w:color="auto"/>
        <w:left w:val="none" w:sz="0" w:space="0" w:color="auto"/>
        <w:bottom w:val="none" w:sz="0" w:space="0" w:color="auto"/>
        <w:right w:val="none" w:sz="0" w:space="0" w:color="auto"/>
      </w:divBdr>
    </w:div>
    <w:div w:id="582299980">
      <w:bodyDiv w:val="1"/>
      <w:marLeft w:val="0"/>
      <w:marRight w:val="0"/>
      <w:marTop w:val="0"/>
      <w:marBottom w:val="0"/>
      <w:divBdr>
        <w:top w:val="none" w:sz="0" w:space="0" w:color="auto"/>
        <w:left w:val="none" w:sz="0" w:space="0" w:color="auto"/>
        <w:bottom w:val="none" w:sz="0" w:space="0" w:color="auto"/>
        <w:right w:val="none" w:sz="0" w:space="0" w:color="auto"/>
      </w:divBdr>
    </w:div>
    <w:div w:id="725110377">
      <w:bodyDiv w:val="1"/>
      <w:marLeft w:val="0"/>
      <w:marRight w:val="0"/>
      <w:marTop w:val="0"/>
      <w:marBottom w:val="0"/>
      <w:divBdr>
        <w:top w:val="none" w:sz="0" w:space="0" w:color="auto"/>
        <w:left w:val="none" w:sz="0" w:space="0" w:color="auto"/>
        <w:bottom w:val="none" w:sz="0" w:space="0" w:color="auto"/>
        <w:right w:val="none" w:sz="0" w:space="0" w:color="auto"/>
      </w:divBdr>
    </w:div>
    <w:div w:id="803354379">
      <w:bodyDiv w:val="1"/>
      <w:marLeft w:val="0"/>
      <w:marRight w:val="0"/>
      <w:marTop w:val="0"/>
      <w:marBottom w:val="0"/>
      <w:divBdr>
        <w:top w:val="none" w:sz="0" w:space="0" w:color="auto"/>
        <w:left w:val="none" w:sz="0" w:space="0" w:color="auto"/>
        <w:bottom w:val="none" w:sz="0" w:space="0" w:color="auto"/>
        <w:right w:val="none" w:sz="0" w:space="0" w:color="auto"/>
      </w:divBdr>
    </w:div>
    <w:div w:id="941112715">
      <w:bodyDiv w:val="1"/>
      <w:marLeft w:val="0"/>
      <w:marRight w:val="0"/>
      <w:marTop w:val="0"/>
      <w:marBottom w:val="0"/>
      <w:divBdr>
        <w:top w:val="none" w:sz="0" w:space="0" w:color="auto"/>
        <w:left w:val="none" w:sz="0" w:space="0" w:color="auto"/>
        <w:bottom w:val="none" w:sz="0" w:space="0" w:color="auto"/>
        <w:right w:val="none" w:sz="0" w:space="0" w:color="auto"/>
      </w:divBdr>
    </w:div>
    <w:div w:id="950016357">
      <w:bodyDiv w:val="1"/>
      <w:marLeft w:val="0"/>
      <w:marRight w:val="0"/>
      <w:marTop w:val="0"/>
      <w:marBottom w:val="0"/>
      <w:divBdr>
        <w:top w:val="none" w:sz="0" w:space="0" w:color="auto"/>
        <w:left w:val="none" w:sz="0" w:space="0" w:color="auto"/>
        <w:bottom w:val="none" w:sz="0" w:space="0" w:color="auto"/>
        <w:right w:val="none" w:sz="0" w:space="0" w:color="auto"/>
      </w:divBdr>
    </w:div>
    <w:div w:id="981812402">
      <w:bodyDiv w:val="1"/>
      <w:marLeft w:val="0"/>
      <w:marRight w:val="0"/>
      <w:marTop w:val="0"/>
      <w:marBottom w:val="0"/>
      <w:divBdr>
        <w:top w:val="none" w:sz="0" w:space="0" w:color="auto"/>
        <w:left w:val="none" w:sz="0" w:space="0" w:color="auto"/>
        <w:bottom w:val="none" w:sz="0" w:space="0" w:color="auto"/>
        <w:right w:val="none" w:sz="0" w:space="0" w:color="auto"/>
      </w:divBdr>
    </w:div>
    <w:div w:id="986252111">
      <w:bodyDiv w:val="1"/>
      <w:marLeft w:val="0"/>
      <w:marRight w:val="0"/>
      <w:marTop w:val="0"/>
      <w:marBottom w:val="0"/>
      <w:divBdr>
        <w:top w:val="none" w:sz="0" w:space="0" w:color="auto"/>
        <w:left w:val="none" w:sz="0" w:space="0" w:color="auto"/>
        <w:bottom w:val="none" w:sz="0" w:space="0" w:color="auto"/>
        <w:right w:val="none" w:sz="0" w:space="0" w:color="auto"/>
      </w:divBdr>
    </w:div>
    <w:div w:id="1084450219">
      <w:bodyDiv w:val="1"/>
      <w:marLeft w:val="0"/>
      <w:marRight w:val="0"/>
      <w:marTop w:val="0"/>
      <w:marBottom w:val="0"/>
      <w:divBdr>
        <w:top w:val="none" w:sz="0" w:space="0" w:color="auto"/>
        <w:left w:val="none" w:sz="0" w:space="0" w:color="auto"/>
        <w:bottom w:val="none" w:sz="0" w:space="0" w:color="auto"/>
        <w:right w:val="none" w:sz="0" w:space="0" w:color="auto"/>
      </w:divBdr>
    </w:div>
    <w:div w:id="1177960255">
      <w:bodyDiv w:val="1"/>
      <w:marLeft w:val="0"/>
      <w:marRight w:val="0"/>
      <w:marTop w:val="0"/>
      <w:marBottom w:val="0"/>
      <w:divBdr>
        <w:top w:val="none" w:sz="0" w:space="0" w:color="auto"/>
        <w:left w:val="none" w:sz="0" w:space="0" w:color="auto"/>
        <w:bottom w:val="none" w:sz="0" w:space="0" w:color="auto"/>
        <w:right w:val="none" w:sz="0" w:space="0" w:color="auto"/>
      </w:divBdr>
    </w:div>
    <w:div w:id="1179663827">
      <w:bodyDiv w:val="1"/>
      <w:marLeft w:val="0"/>
      <w:marRight w:val="0"/>
      <w:marTop w:val="0"/>
      <w:marBottom w:val="0"/>
      <w:divBdr>
        <w:top w:val="none" w:sz="0" w:space="0" w:color="auto"/>
        <w:left w:val="none" w:sz="0" w:space="0" w:color="auto"/>
        <w:bottom w:val="none" w:sz="0" w:space="0" w:color="auto"/>
        <w:right w:val="none" w:sz="0" w:space="0" w:color="auto"/>
      </w:divBdr>
    </w:div>
    <w:div w:id="1246721523">
      <w:bodyDiv w:val="1"/>
      <w:marLeft w:val="0"/>
      <w:marRight w:val="0"/>
      <w:marTop w:val="0"/>
      <w:marBottom w:val="0"/>
      <w:divBdr>
        <w:top w:val="none" w:sz="0" w:space="0" w:color="auto"/>
        <w:left w:val="none" w:sz="0" w:space="0" w:color="auto"/>
        <w:bottom w:val="none" w:sz="0" w:space="0" w:color="auto"/>
        <w:right w:val="none" w:sz="0" w:space="0" w:color="auto"/>
      </w:divBdr>
    </w:div>
    <w:div w:id="1298098960">
      <w:bodyDiv w:val="1"/>
      <w:marLeft w:val="0"/>
      <w:marRight w:val="0"/>
      <w:marTop w:val="0"/>
      <w:marBottom w:val="0"/>
      <w:divBdr>
        <w:top w:val="none" w:sz="0" w:space="0" w:color="auto"/>
        <w:left w:val="none" w:sz="0" w:space="0" w:color="auto"/>
        <w:bottom w:val="none" w:sz="0" w:space="0" w:color="auto"/>
        <w:right w:val="none" w:sz="0" w:space="0" w:color="auto"/>
      </w:divBdr>
    </w:div>
    <w:div w:id="1314524385">
      <w:bodyDiv w:val="1"/>
      <w:marLeft w:val="0"/>
      <w:marRight w:val="0"/>
      <w:marTop w:val="0"/>
      <w:marBottom w:val="0"/>
      <w:divBdr>
        <w:top w:val="none" w:sz="0" w:space="0" w:color="auto"/>
        <w:left w:val="none" w:sz="0" w:space="0" w:color="auto"/>
        <w:bottom w:val="none" w:sz="0" w:space="0" w:color="auto"/>
        <w:right w:val="none" w:sz="0" w:space="0" w:color="auto"/>
      </w:divBdr>
    </w:div>
    <w:div w:id="1401709801">
      <w:bodyDiv w:val="1"/>
      <w:marLeft w:val="0"/>
      <w:marRight w:val="0"/>
      <w:marTop w:val="0"/>
      <w:marBottom w:val="0"/>
      <w:divBdr>
        <w:top w:val="none" w:sz="0" w:space="0" w:color="auto"/>
        <w:left w:val="none" w:sz="0" w:space="0" w:color="auto"/>
        <w:bottom w:val="none" w:sz="0" w:space="0" w:color="auto"/>
        <w:right w:val="none" w:sz="0" w:space="0" w:color="auto"/>
      </w:divBdr>
    </w:div>
    <w:div w:id="1644037866">
      <w:bodyDiv w:val="1"/>
      <w:marLeft w:val="0"/>
      <w:marRight w:val="0"/>
      <w:marTop w:val="0"/>
      <w:marBottom w:val="0"/>
      <w:divBdr>
        <w:top w:val="none" w:sz="0" w:space="0" w:color="auto"/>
        <w:left w:val="none" w:sz="0" w:space="0" w:color="auto"/>
        <w:bottom w:val="none" w:sz="0" w:space="0" w:color="auto"/>
        <w:right w:val="none" w:sz="0" w:space="0" w:color="auto"/>
      </w:divBdr>
    </w:div>
    <w:div w:id="1669675500">
      <w:bodyDiv w:val="1"/>
      <w:marLeft w:val="0"/>
      <w:marRight w:val="0"/>
      <w:marTop w:val="0"/>
      <w:marBottom w:val="0"/>
      <w:divBdr>
        <w:top w:val="none" w:sz="0" w:space="0" w:color="auto"/>
        <w:left w:val="none" w:sz="0" w:space="0" w:color="auto"/>
        <w:bottom w:val="none" w:sz="0" w:space="0" w:color="auto"/>
        <w:right w:val="none" w:sz="0" w:space="0" w:color="auto"/>
      </w:divBdr>
      <w:divsChild>
        <w:div w:id="508906904">
          <w:marLeft w:val="0"/>
          <w:marRight w:val="0"/>
          <w:marTop w:val="0"/>
          <w:marBottom w:val="0"/>
          <w:divBdr>
            <w:top w:val="none" w:sz="0" w:space="0" w:color="auto"/>
            <w:left w:val="none" w:sz="0" w:space="0" w:color="auto"/>
            <w:bottom w:val="none" w:sz="0" w:space="0" w:color="auto"/>
            <w:right w:val="none" w:sz="0" w:space="0" w:color="auto"/>
          </w:divBdr>
        </w:div>
      </w:divsChild>
    </w:div>
    <w:div w:id="1859736406">
      <w:bodyDiv w:val="1"/>
      <w:marLeft w:val="0"/>
      <w:marRight w:val="0"/>
      <w:marTop w:val="0"/>
      <w:marBottom w:val="0"/>
      <w:divBdr>
        <w:top w:val="none" w:sz="0" w:space="0" w:color="auto"/>
        <w:left w:val="none" w:sz="0" w:space="0" w:color="auto"/>
        <w:bottom w:val="none" w:sz="0" w:space="0" w:color="auto"/>
        <w:right w:val="none" w:sz="0" w:space="0" w:color="auto"/>
      </w:divBdr>
    </w:div>
    <w:div w:id="1884049526">
      <w:bodyDiv w:val="1"/>
      <w:marLeft w:val="0"/>
      <w:marRight w:val="0"/>
      <w:marTop w:val="0"/>
      <w:marBottom w:val="0"/>
      <w:divBdr>
        <w:top w:val="none" w:sz="0" w:space="0" w:color="auto"/>
        <w:left w:val="none" w:sz="0" w:space="0" w:color="auto"/>
        <w:bottom w:val="none" w:sz="0" w:space="0" w:color="auto"/>
        <w:right w:val="none" w:sz="0" w:space="0" w:color="auto"/>
      </w:divBdr>
    </w:div>
    <w:div w:id="1954480945">
      <w:bodyDiv w:val="1"/>
      <w:marLeft w:val="0"/>
      <w:marRight w:val="0"/>
      <w:marTop w:val="0"/>
      <w:marBottom w:val="0"/>
      <w:divBdr>
        <w:top w:val="none" w:sz="0" w:space="0" w:color="auto"/>
        <w:left w:val="none" w:sz="0" w:space="0" w:color="auto"/>
        <w:bottom w:val="none" w:sz="0" w:space="0" w:color="auto"/>
        <w:right w:val="none" w:sz="0" w:space="0" w:color="auto"/>
      </w:divBdr>
    </w:div>
    <w:div w:id="1962882144">
      <w:bodyDiv w:val="1"/>
      <w:marLeft w:val="0"/>
      <w:marRight w:val="0"/>
      <w:marTop w:val="0"/>
      <w:marBottom w:val="0"/>
      <w:divBdr>
        <w:top w:val="none" w:sz="0" w:space="0" w:color="auto"/>
        <w:left w:val="none" w:sz="0" w:space="0" w:color="auto"/>
        <w:bottom w:val="none" w:sz="0" w:space="0" w:color="auto"/>
        <w:right w:val="none" w:sz="0" w:space="0" w:color="auto"/>
      </w:divBdr>
    </w:div>
    <w:div w:id="1983119554">
      <w:bodyDiv w:val="1"/>
      <w:marLeft w:val="0"/>
      <w:marRight w:val="0"/>
      <w:marTop w:val="0"/>
      <w:marBottom w:val="0"/>
      <w:divBdr>
        <w:top w:val="none" w:sz="0" w:space="0" w:color="auto"/>
        <w:left w:val="none" w:sz="0" w:space="0" w:color="auto"/>
        <w:bottom w:val="none" w:sz="0" w:space="0" w:color="auto"/>
        <w:right w:val="none" w:sz="0" w:space="0" w:color="auto"/>
      </w:divBdr>
    </w:div>
    <w:div w:id="1994747797">
      <w:bodyDiv w:val="1"/>
      <w:marLeft w:val="0"/>
      <w:marRight w:val="0"/>
      <w:marTop w:val="0"/>
      <w:marBottom w:val="0"/>
      <w:divBdr>
        <w:top w:val="none" w:sz="0" w:space="0" w:color="auto"/>
        <w:left w:val="none" w:sz="0" w:space="0" w:color="auto"/>
        <w:bottom w:val="none" w:sz="0" w:space="0" w:color="auto"/>
        <w:right w:val="none" w:sz="0" w:space="0" w:color="auto"/>
      </w:divBdr>
    </w:div>
    <w:div w:id="2021346051">
      <w:bodyDiv w:val="1"/>
      <w:marLeft w:val="0"/>
      <w:marRight w:val="0"/>
      <w:marTop w:val="0"/>
      <w:marBottom w:val="0"/>
      <w:divBdr>
        <w:top w:val="none" w:sz="0" w:space="0" w:color="auto"/>
        <w:left w:val="none" w:sz="0" w:space="0" w:color="auto"/>
        <w:bottom w:val="none" w:sz="0" w:space="0" w:color="auto"/>
        <w:right w:val="none" w:sz="0" w:space="0" w:color="auto"/>
      </w:divBdr>
    </w:div>
    <w:div w:id="2052994729">
      <w:bodyDiv w:val="1"/>
      <w:marLeft w:val="0"/>
      <w:marRight w:val="0"/>
      <w:marTop w:val="0"/>
      <w:marBottom w:val="0"/>
      <w:divBdr>
        <w:top w:val="none" w:sz="0" w:space="0" w:color="auto"/>
        <w:left w:val="none" w:sz="0" w:space="0" w:color="auto"/>
        <w:bottom w:val="none" w:sz="0" w:space="0" w:color="auto"/>
        <w:right w:val="none" w:sz="0" w:space="0" w:color="auto"/>
      </w:divBdr>
    </w:div>
    <w:div w:id="209847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seus.fi/handle/10024/7810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1823</TotalTime>
  <Pages>19</Pages>
  <Words>7390</Words>
  <Characters>42124</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 (2413580)</dc:creator>
  <cp:keywords/>
  <dc:description/>
  <cp:lastModifiedBy>Lowri Davies (2413580)</cp:lastModifiedBy>
  <cp:revision>3</cp:revision>
  <dcterms:created xsi:type="dcterms:W3CDTF">2025-02-17T22:51:00Z</dcterms:created>
  <dcterms:modified xsi:type="dcterms:W3CDTF">2025-03-31T20:43:00Z</dcterms:modified>
</cp:coreProperties>
</file>