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83EF42" w14:textId="77777777" w:rsidR="00154A07" w:rsidRDefault="00154A07" w:rsidP="00154A07">
      <w:pPr>
        <w:tabs>
          <w:tab w:val="left" w:pos="1094"/>
          <w:tab w:val="center" w:pos="4513"/>
        </w:tabs>
        <w:spacing w:line="720" w:lineRule="auto"/>
        <w:rPr>
          <w:lang w:val="en-US"/>
        </w:rPr>
      </w:pPr>
      <w:r>
        <w:rPr>
          <w:lang w:val="en-US"/>
        </w:rPr>
        <w:tab/>
      </w:r>
    </w:p>
    <w:p w14:paraId="43300BF8" w14:textId="77777777" w:rsidR="00154A07" w:rsidRDefault="00154A07" w:rsidP="00154A07">
      <w:pPr>
        <w:tabs>
          <w:tab w:val="left" w:pos="1094"/>
          <w:tab w:val="center" w:pos="4513"/>
        </w:tabs>
        <w:spacing w:line="720" w:lineRule="auto"/>
        <w:rPr>
          <w:sz w:val="40"/>
          <w:lang w:val="en-US"/>
        </w:rPr>
      </w:pPr>
    </w:p>
    <w:p w14:paraId="54A5B384" w14:textId="77777777" w:rsidR="00154A07" w:rsidRDefault="00154A07" w:rsidP="00154A07">
      <w:pPr>
        <w:tabs>
          <w:tab w:val="left" w:pos="1094"/>
          <w:tab w:val="center" w:pos="4513"/>
        </w:tabs>
        <w:spacing w:line="720" w:lineRule="auto"/>
        <w:rPr>
          <w:sz w:val="40"/>
          <w:lang w:val="en-US"/>
        </w:rPr>
      </w:pPr>
    </w:p>
    <w:p w14:paraId="26138F11" w14:textId="2547F599" w:rsidR="00154A07" w:rsidRDefault="00154A07" w:rsidP="00154A07">
      <w:pPr>
        <w:tabs>
          <w:tab w:val="left" w:pos="1094"/>
          <w:tab w:val="center" w:pos="4513"/>
        </w:tabs>
        <w:spacing w:line="720" w:lineRule="auto"/>
        <w:jc w:val="center"/>
        <w:rPr>
          <w:lang w:val="en-US"/>
        </w:rPr>
      </w:pPr>
      <w:bookmarkStart w:id="0" w:name="_GoBack"/>
      <w:bookmarkEnd w:id="0"/>
      <w:r w:rsidRPr="00154A07">
        <w:rPr>
          <w:sz w:val="40"/>
          <w:lang w:val="en-US"/>
        </w:rPr>
        <w:t>BMLW4005- Criminal Law</w:t>
      </w:r>
    </w:p>
    <w:p w14:paraId="3AC41929" w14:textId="77777777" w:rsidR="00154A07" w:rsidRDefault="00154A07" w:rsidP="00154A07">
      <w:pPr>
        <w:tabs>
          <w:tab w:val="left" w:pos="1094"/>
          <w:tab w:val="center" w:pos="4513"/>
        </w:tabs>
        <w:spacing w:line="720" w:lineRule="auto"/>
        <w:rPr>
          <w:lang w:val="en-US"/>
        </w:rPr>
      </w:pPr>
    </w:p>
    <w:p w14:paraId="4E10B182" w14:textId="53740C95" w:rsidR="007D7EE7" w:rsidRDefault="00154A07" w:rsidP="00154A07">
      <w:pPr>
        <w:tabs>
          <w:tab w:val="left" w:pos="1094"/>
          <w:tab w:val="center" w:pos="4513"/>
        </w:tabs>
        <w:spacing w:line="720" w:lineRule="auto"/>
        <w:rPr>
          <w:rFonts w:ascii="Times New Roman" w:eastAsia="Times New Roman" w:hAnsi="Times New Roman" w:cstheme="majorBidi"/>
          <w:b/>
          <w:sz w:val="32"/>
          <w:szCs w:val="32"/>
          <w:u w:val="single"/>
          <w:lang w:val="en-US"/>
        </w:rPr>
      </w:pPr>
      <w:r>
        <w:rPr>
          <w:lang w:val="en-US"/>
        </w:rPr>
        <w:tab/>
      </w:r>
      <w:r w:rsidR="007D7EE7">
        <w:rPr>
          <w:lang w:val="en-US"/>
        </w:rPr>
        <w:br w:type="page"/>
      </w:r>
    </w:p>
    <w:sdt>
      <w:sdtPr>
        <w:rPr>
          <w:rFonts w:asciiTheme="minorHAnsi" w:eastAsiaTheme="minorHAnsi" w:hAnsiTheme="minorHAnsi" w:cstheme="minorBidi"/>
          <w:color w:val="auto"/>
          <w:sz w:val="22"/>
          <w:szCs w:val="22"/>
          <w:lang/>
        </w:rPr>
        <w:id w:val="-1073428912"/>
        <w:docPartObj>
          <w:docPartGallery w:val="Table of Contents"/>
          <w:docPartUnique/>
        </w:docPartObj>
      </w:sdtPr>
      <w:sdtEndPr>
        <w:rPr>
          <w:b/>
          <w:bCs/>
          <w:noProof/>
        </w:rPr>
      </w:sdtEndPr>
      <w:sdtContent>
        <w:p w14:paraId="73508B47" w14:textId="1C2A3F9F" w:rsidR="00DF77AB" w:rsidRDefault="00DF77AB">
          <w:pPr>
            <w:pStyle w:val="TOCHeading"/>
          </w:pPr>
          <w:r>
            <w:t>Table of Contents</w:t>
          </w:r>
        </w:p>
        <w:p w14:paraId="1BD63FED" w14:textId="4550A3B7" w:rsidR="00DF77AB" w:rsidRDefault="00DF77AB">
          <w:pPr>
            <w:pStyle w:val="TOC1"/>
            <w:tabs>
              <w:tab w:val="right" w:leader="dot" w:pos="9016"/>
            </w:tabs>
            <w:rPr>
              <w:noProof/>
            </w:rPr>
          </w:pPr>
          <w:r>
            <w:fldChar w:fldCharType="begin"/>
          </w:r>
          <w:r>
            <w:instrText xml:space="preserve"> TOC \o "1-3" \h \z \u </w:instrText>
          </w:r>
          <w:r>
            <w:fldChar w:fldCharType="separate"/>
          </w:r>
          <w:hyperlink w:anchor="_Toc97731558" w:history="1">
            <w:r w:rsidRPr="00D1714E">
              <w:rPr>
                <w:rStyle w:val="Hyperlink"/>
                <w:noProof/>
                <w:lang w:val="en-US"/>
              </w:rPr>
              <w:t>Title Page</w:t>
            </w:r>
            <w:r>
              <w:rPr>
                <w:noProof/>
                <w:webHidden/>
              </w:rPr>
              <w:tab/>
            </w:r>
            <w:r>
              <w:rPr>
                <w:noProof/>
                <w:webHidden/>
              </w:rPr>
              <w:fldChar w:fldCharType="begin"/>
            </w:r>
            <w:r>
              <w:rPr>
                <w:noProof/>
                <w:webHidden/>
              </w:rPr>
              <w:instrText xml:space="preserve"> PAGEREF _Toc97731558 \h </w:instrText>
            </w:r>
            <w:r>
              <w:rPr>
                <w:noProof/>
                <w:webHidden/>
              </w:rPr>
            </w:r>
            <w:r>
              <w:rPr>
                <w:noProof/>
                <w:webHidden/>
              </w:rPr>
              <w:fldChar w:fldCharType="separate"/>
            </w:r>
            <w:r>
              <w:rPr>
                <w:noProof/>
                <w:webHidden/>
              </w:rPr>
              <w:t>1</w:t>
            </w:r>
            <w:r>
              <w:rPr>
                <w:noProof/>
                <w:webHidden/>
              </w:rPr>
              <w:fldChar w:fldCharType="end"/>
            </w:r>
          </w:hyperlink>
        </w:p>
        <w:p w14:paraId="055F20F2" w14:textId="71CF0615" w:rsidR="00DF77AB" w:rsidRDefault="00154A07">
          <w:pPr>
            <w:pStyle w:val="TOC1"/>
            <w:tabs>
              <w:tab w:val="right" w:leader="dot" w:pos="9016"/>
            </w:tabs>
            <w:rPr>
              <w:noProof/>
            </w:rPr>
          </w:pPr>
          <w:hyperlink w:anchor="_Toc97731559" w:history="1">
            <w:r w:rsidR="00DF77AB" w:rsidRPr="00D1714E">
              <w:rPr>
                <w:rStyle w:val="Hyperlink"/>
                <w:noProof/>
                <w:lang w:val="en-US"/>
              </w:rPr>
              <w:t>Introduction</w:t>
            </w:r>
            <w:r w:rsidR="00DF77AB">
              <w:rPr>
                <w:noProof/>
                <w:webHidden/>
              </w:rPr>
              <w:tab/>
            </w:r>
            <w:r w:rsidR="00DF77AB">
              <w:rPr>
                <w:noProof/>
                <w:webHidden/>
              </w:rPr>
              <w:fldChar w:fldCharType="begin"/>
            </w:r>
            <w:r w:rsidR="00DF77AB">
              <w:rPr>
                <w:noProof/>
                <w:webHidden/>
              </w:rPr>
              <w:instrText xml:space="preserve"> PAGEREF _Toc97731559 \h </w:instrText>
            </w:r>
            <w:r w:rsidR="00DF77AB">
              <w:rPr>
                <w:noProof/>
                <w:webHidden/>
              </w:rPr>
            </w:r>
            <w:r w:rsidR="00DF77AB">
              <w:rPr>
                <w:noProof/>
                <w:webHidden/>
              </w:rPr>
              <w:fldChar w:fldCharType="separate"/>
            </w:r>
            <w:r w:rsidR="00DF77AB">
              <w:rPr>
                <w:noProof/>
                <w:webHidden/>
              </w:rPr>
              <w:t>3</w:t>
            </w:r>
            <w:r w:rsidR="00DF77AB">
              <w:rPr>
                <w:noProof/>
                <w:webHidden/>
              </w:rPr>
              <w:fldChar w:fldCharType="end"/>
            </w:r>
          </w:hyperlink>
        </w:p>
        <w:p w14:paraId="2D7FA015" w14:textId="372647BA" w:rsidR="00DF77AB" w:rsidRDefault="00154A07">
          <w:pPr>
            <w:pStyle w:val="TOC1"/>
            <w:tabs>
              <w:tab w:val="right" w:leader="dot" w:pos="9016"/>
            </w:tabs>
            <w:rPr>
              <w:noProof/>
            </w:rPr>
          </w:pPr>
          <w:hyperlink w:anchor="_Toc97731560" w:history="1">
            <w:r w:rsidR="00DF77AB" w:rsidRPr="00D1714E">
              <w:rPr>
                <w:rStyle w:val="Hyperlink"/>
                <w:noProof/>
                <w:lang w:val="en-US"/>
              </w:rPr>
              <w:t>Issue</w:t>
            </w:r>
            <w:r w:rsidR="00DF77AB">
              <w:rPr>
                <w:noProof/>
                <w:webHidden/>
              </w:rPr>
              <w:tab/>
            </w:r>
            <w:r w:rsidR="00DF77AB">
              <w:rPr>
                <w:noProof/>
                <w:webHidden/>
              </w:rPr>
              <w:fldChar w:fldCharType="begin"/>
            </w:r>
            <w:r w:rsidR="00DF77AB">
              <w:rPr>
                <w:noProof/>
                <w:webHidden/>
              </w:rPr>
              <w:instrText xml:space="preserve"> PAGEREF _Toc97731560 \h </w:instrText>
            </w:r>
            <w:r w:rsidR="00DF77AB">
              <w:rPr>
                <w:noProof/>
                <w:webHidden/>
              </w:rPr>
            </w:r>
            <w:r w:rsidR="00DF77AB">
              <w:rPr>
                <w:noProof/>
                <w:webHidden/>
              </w:rPr>
              <w:fldChar w:fldCharType="separate"/>
            </w:r>
            <w:r w:rsidR="00DF77AB">
              <w:rPr>
                <w:noProof/>
                <w:webHidden/>
              </w:rPr>
              <w:t>3</w:t>
            </w:r>
            <w:r w:rsidR="00DF77AB">
              <w:rPr>
                <w:noProof/>
                <w:webHidden/>
              </w:rPr>
              <w:fldChar w:fldCharType="end"/>
            </w:r>
          </w:hyperlink>
        </w:p>
        <w:p w14:paraId="142D1A00" w14:textId="2455FF6E" w:rsidR="00DF77AB" w:rsidRDefault="00154A07">
          <w:pPr>
            <w:pStyle w:val="TOC1"/>
            <w:tabs>
              <w:tab w:val="right" w:leader="dot" w:pos="9016"/>
            </w:tabs>
            <w:rPr>
              <w:noProof/>
            </w:rPr>
          </w:pPr>
          <w:hyperlink w:anchor="_Toc97731561" w:history="1">
            <w:r w:rsidR="00DF77AB" w:rsidRPr="00D1714E">
              <w:rPr>
                <w:rStyle w:val="Hyperlink"/>
                <w:noProof/>
                <w:lang w:val="en-US"/>
              </w:rPr>
              <w:t>Rule</w:t>
            </w:r>
            <w:r w:rsidR="00DF77AB">
              <w:rPr>
                <w:noProof/>
                <w:webHidden/>
              </w:rPr>
              <w:tab/>
            </w:r>
            <w:r w:rsidR="00DF77AB">
              <w:rPr>
                <w:noProof/>
                <w:webHidden/>
              </w:rPr>
              <w:fldChar w:fldCharType="begin"/>
            </w:r>
            <w:r w:rsidR="00DF77AB">
              <w:rPr>
                <w:noProof/>
                <w:webHidden/>
              </w:rPr>
              <w:instrText xml:space="preserve"> PAGEREF _Toc97731561 \h </w:instrText>
            </w:r>
            <w:r w:rsidR="00DF77AB">
              <w:rPr>
                <w:noProof/>
                <w:webHidden/>
              </w:rPr>
            </w:r>
            <w:r w:rsidR="00DF77AB">
              <w:rPr>
                <w:noProof/>
                <w:webHidden/>
              </w:rPr>
              <w:fldChar w:fldCharType="separate"/>
            </w:r>
            <w:r w:rsidR="00DF77AB">
              <w:rPr>
                <w:noProof/>
                <w:webHidden/>
              </w:rPr>
              <w:t>3</w:t>
            </w:r>
            <w:r w:rsidR="00DF77AB">
              <w:rPr>
                <w:noProof/>
                <w:webHidden/>
              </w:rPr>
              <w:fldChar w:fldCharType="end"/>
            </w:r>
          </w:hyperlink>
        </w:p>
        <w:p w14:paraId="214B39B5" w14:textId="68A5C72C" w:rsidR="00DF77AB" w:rsidRDefault="00154A07">
          <w:pPr>
            <w:pStyle w:val="TOC1"/>
            <w:tabs>
              <w:tab w:val="right" w:leader="dot" w:pos="9016"/>
            </w:tabs>
            <w:rPr>
              <w:noProof/>
            </w:rPr>
          </w:pPr>
          <w:hyperlink w:anchor="_Toc97731562" w:history="1">
            <w:r w:rsidR="00DF77AB" w:rsidRPr="00D1714E">
              <w:rPr>
                <w:rStyle w:val="Hyperlink"/>
                <w:noProof/>
                <w:lang w:val="en-US"/>
              </w:rPr>
              <w:t>Application</w:t>
            </w:r>
            <w:r w:rsidR="00DF77AB">
              <w:rPr>
                <w:noProof/>
                <w:webHidden/>
              </w:rPr>
              <w:tab/>
            </w:r>
            <w:r w:rsidR="00DF77AB">
              <w:rPr>
                <w:noProof/>
                <w:webHidden/>
              </w:rPr>
              <w:fldChar w:fldCharType="begin"/>
            </w:r>
            <w:r w:rsidR="00DF77AB">
              <w:rPr>
                <w:noProof/>
                <w:webHidden/>
              </w:rPr>
              <w:instrText xml:space="preserve"> PAGEREF _Toc97731562 \h </w:instrText>
            </w:r>
            <w:r w:rsidR="00DF77AB">
              <w:rPr>
                <w:noProof/>
                <w:webHidden/>
              </w:rPr>
            </w:r>
            <w:r w:rsidR="00DF77AB">
              <w:rPr>
                <w:noProof/>
                <w:webHidden/>
              </w:rPr>
              <w:fldChar w:fldCharType="separate"/>
            </w:r>
            <w:r w:rsidR="00DF77AB">
              <w:rPr>
                <w:noProof/>
                <w:webHidden/>
              </w:rPr>
              <w:t>5</w:t>
            </w:r>
            <w:r w:rsidR="00DF77AB">
              <w:rPr>
                <w:noProof/>
                <w:webHidden/>
              </w:rPr>
              <w:fldChar w:fldCharType="end"/>
            </w:r>
          </w:hyperlink>
        </w:p>
        <w:p w14:paraId="5DF1A813" w14:textId="270B616E" w:rsidR="00DF77AB" w:rsidRDefault="00154A07">
          <w:pPr>
            <w:pStyle w:val="TOC1"/>
            <w:tabs>
              <w:tab w:val="right" w:leader="dot" w:pos="9016"/>
            </w:tabs>
            <w:rPr>
              <w:noProof/>
            </w:rPr>
          </w:pPr>
          <w:hyperlink w:anchor="_Toc97731563" w:history="1">
            <w:r w:rsidR="00DF77AB" w:rsidRPr="00D1714E">
              <w:rPr>
                <w:rStyle w:val="Hyperlink"/>
                <w:noProof/>
                <w:lang w:val="en-US"/>
              </w:rPr>
              <w:t>Conclusion</w:t>
            </w:r>
            <w:r w:rsidR="00DF77AB">
              <w:rPr>
                <w:noProof/>
                <w:webHidden/>
              </w:rPr>
              <w:tab/>
            </w:r>
            <w:r w:rsidR="00DF77AB">
              <w:rPr>
                <w:noProof/>
                <w:webHidden/>
              </w:rPr>
              <w:fldChar w:fldCharType="begin"/>
            </w:r>
            <w:r w:rsidR="00DF77AB">
              <w:rPr>
                <w:noProof/>
                <w:webHidden/>
              </w:rPr>
              <w:instrText xml:space="preserve"> PAGEREF _Toc97731563 \h </w:instrText>
            </w:r>
            <w:r w:rsidR="00DF77AB">
              <w:rPr>
                <w:noProof/>
                <w:webHidden/>
              </w:rPr>
            </w:r>
            <w:r w:rsidR="00DF77AB">
              <w:rPr>
                <w:noProof/>
                <w:webHidden/>
              </w:rPr>
              <w:fldChar w:fldCharType="separate"/>
            </w:r>
            <w:r w:rsidR="00DF77AB">
              <w:rPr>
                <w:noProof/>
                <w:webHidden/>
              </w:rPr>
              <w:t>5</w:t>
            </w:r>
            <w:r w:rsidR="00DF77AB">
              <w:rPr>
                <w:noProof/>
                <w:webHidden/>
              </w:rPr>
              <w:fldChar w:fldCharType="end"/>
            </w:r>
          </w:hyperlink>
        </w:p>
        <w:p w14:paraId="1AC9BA25" w14:textId="68A28E60" w:rsidR="00DF77AB" w:rsidRDefault="00154A07">
          <w:pPr>
            <w:pStyle w:val="TOC1"/>
            <w:tabs>
              <w:tab w:val="right" w:leader="dot" w:pos="9016"/>
            </w:tabs>
            <w:rPr>
              <w:noProof/>
            </w:rPr>
          </w:pPr>
          <w:hyperlink w:anchor="_Toc97731564" w:history="1">
            <w:r w:rsidR="00DF77AB" w:rsidRPr="00D1714E">
              <w:rPr>
                <w:rStyle w:val="Hyperlink"/>
                <w:noProof/>
                <w:lang w:val="en-US"/>
              </w:rPr>
              <w:t>References</w:t>
            </w:r>
            <w:r w:rsidR="00DF77AB">
              <w:rPr>
                <w:noProof/>
                <w:webHidden/>
              </w:rPr>
              <w:tab/>
            </w:r>
            <w:r w:rsidR="00DF77AB">
              <w:rPr>
                <w:noProof/>
                <w:webHidden/>
              </w:rPr>
              <w:fldChar w:fldCharType="begin"/>
            </w:r>
            <w:r w:rsidR="00DF77AB">
              <w:rPr>
                <w:noProof/>
                <w:webHidden/>
              </w:rPr>
              <w:instrText xml:space="preserve"> PAGEREF _Toc97731564 \h </w:instrText>
            </w:r>
            <w:r w:rsidR="00DF77AB">
              <w:rPr>
                <w:noProof/>
                <w:webHidden/>
              </w:rPr>
            </w:r>
            <w:r w:rsidR="00DF77AB">
              <w:rPr>
                <w:noProof/>
                <w:webHidden/>
              </w:rPr>
              <w:fldChar w:fldCharType="separate"/>
            </w:r>
            <w:r w:rsidR="00DF77AB">
              <w:rPr>
                <w:noProof/>
                <w:webHidden/>
              </w:rPr>
              <w:t>7</w:t>
            </w:r>
            <w:r w:rsidR="00DF77AB">
              <w:rPr>
                <w:noProof/>
                <w:webHidden/>
              </w:rPr>
              <w:fldChar w:fldCharType="end"/>
            </w:r>
          </w:hyperlink>
        </w:p>
        <w:p w14:paraId="73FC0E9D" w14:textId="3F3CD7A9" w:rsidR="00DF77AB" w:rsidRDefault="00DF77AB">
          <w:r>
            <w:rPr>
              <w:b/>
              <w:bCs/>
              <w:noProof/>
            </w:rPr>
            <w:fldChar w:fldCharType="end"/>
          </w:r>
        </w:p>
      </w:sdtContent>
    </w:sdt>
    <w:p w14:paraId="698A8626" w14:textId="77777777" w:rsidR="00DF77AB" w:rsidRDefault="00DF77AB">
      <w:pPr>
        <w:rPr>
          <w:rFonts w:ascii="Times New Roman" w:eastAsia="Times New Roman" w:hAnsi="Times New Roman" w:cstheme="majorBidi"/>
          <w:b/>
          <w:sz w:val="32"/>
          <w:szCs w:val="32"/>
          <w:u w:val="single"/>
          <w:lang w:val="en-US"/>
        </w:rPr>
      </w:pPr>
      <w:r>
        <w:rPr>
          <w:lang w:val="en-US"/>
        </w:rPr>
        <w:br w:type="page"/>
      </w:r>
    </w:p>
    <w:p w14:paraId="438250D6" w14:textId="39A42775" w:rsidR="001D30EF" w:rsidRPr="007D7EE7" w:rsidRDefault="009F79FE" w:rsidP="007D7EE7">
      <w:pPr>
        <w:pStyle w:val="Heading1"/>
        <w:rPr>
          <w:lang w:val="en-US"/>
        </w:rPr>
      </w:pPr>
      <w:bookmarkStart w:id="1" w:name="_Toc97731559"/>
      <w:r w:rsidRPr="007D7EE7">
        <w:rPr>
          <w:lang w:val="en-US"/>
        </w:rPr>
        <w:lastRenderedPageBreak/>
        <w:t>Introduction</w:t>
      </w:r>
      <w:bookmarkEnd w:id="1"/>
    </w:p>
    <w:p w14:paraId="3207DB6B" w14:textId="54E49283" w:rsidR="009F79FE" w:rsidRPr="007D7EE7" w:rsidRDefault="009F79FE" w:rsidP="007D7EE7">
      <w:pPr>
        <w:spacing w:line="360" w:lineRule="auto"/>
        <w:jc w:val="both"/>
        <w:rPr>
          <w:rFonts w:ascii="Times New Roman" w:hAnsi="Times New Roman" w:cs="Times New Roman"/>
          <w:sz w:val="24"/>
          <w:szCs w:val="24"/>
          <w:lang w:val="en-US"/>
        </w:rPr>
      </w:pPr>
      <w:r w:rsidRPr="007D7EE7">
        <w:rPr>
          <w:rFonts w:ascii="Times New Roman" w:hAnsi="Times New Roman" w:cs="Times New Roman"/>
          <w:sz w:val="24"/>
          <w:szCs w:val="24"/>
          <w:lang w:val="en-US"/>
        </w:rPr>
        <w:t xml:space="preserve">The case pertains to the induction of a criminal liability. Christine's husband had planned a surprise party for her on her 40th birthday. Christine was excited to display the fashionable handbag she'd received as a birthday present to her friends that night. While everyone else was inside, Paula slipped the purse in her coat and brought it outside. She had always been envious of Christine's husband's costly presents. When Paula heard someone approaching, she dropped her purse on the ground in front of her vehicle with the idea of retrieving it later. Leon and Harriet, who had just met, were also present at the celebration. Because she was allergic to alcohol, Harriet never drank. To make up for the fact that Harriet had gone to the bathroom, Leon spiked her drink with vodka. The wine gave Harriet hallucinations when she returned and drank it. Harriet assumed the home was on fire, so she started shattering the enormous panes of glass in the bi-fold doors of Christine's kitchen in an effort to escape out of there. Another visitor (Daniel) had his cheekbone fractured when she punched him in the face. Harriet was calmed down by Christine and her husband and everyone was asked to leave. Paula picked up the luxury handbag from beneath her vehicle, put it in the footwell, and drove home. </w:t>
      </w:r>
    </w:p>
    <w:p w14:paraId="5FD59F6D" w14:textId="535CE5A9" w:rsidR="009F79FE" w:rsidRPr="007D7EE7" w:rsidRDefault="009F79FE" w:rsidP="007D7EE7">
      <w:pPr>
        <w:pStyle w:val="Heading1"/>
        <w:rPr>
          <w:lang w:val="en-US"/>
        </w:rPr>
      </w:pPr>
      <w:bookmarkStart w:id="2" w:name="_Toc97731560"/>
      <w:r w:rsidRPr="007D7EE7">
        <w:rPr>
          <w:lang w:val="en-US"/>
        </w:rPr>
        <w:t>Issue</w:t>
      </w:r>
      <w:bookmarkEnd w:id="2"/>
    </w:p>
    <w:p w14:paraId="6A1F6818" w14:textId="7F5419EC" w:rsidR="009F79FE" w:rsidRPr="007D7EE7" w:rsidRDefault="009F79FE" w:rsidP="007D7EE7">
      <w:pPr>
        <w:spacing w:line="360" w:lineRule="auto"/>
        <w:jc w:val="both"/>
        <w:rPr>
          <w:rFonts w:ascii="Times New Roman" w:hAnsi="Times New Roman" w:cs="Times New Roman"/>
          <w:sz w:val="24"/>
          <w:szCs w:val="24"/>
          <w:lang w:val="en-US"/>
        </w:rPr>
      </w:pPr>
      <w:r w:rsidRPr="007D7EE7">
        <w:rPr>
          <w:rFonts w:ascii="Times New Roman" w:hAnsi="Times New Roman" w:cs="Times New Roman"/>
          <w:sz w:val="24"/>
          <w:szCs w:val="24"/>
          <w:lang w:val="en-US"/>
        </w:rPr>
        <w:t xml:space="preserve">In the given case the issue arose when Harriet drank alcohol, considering that she was allergic to it. It implied that she was deceived to drink alcohol, that lead her to suffering hallucinations. She was then in a delirium, and could not think as a person of ordinary prudence would. Hence, the liability is on Leon who gave her the drink with alcohol. However, still she was not in her senses and the incident was primarily caused by Leon, by spiking her drink. </w:t>
      </w:r>
      <w:r w:rsidR="003123B2" w:rsidRPr="007D7EE7">
        <w:rPr>
          <w:rFonts w:ascii="Times New Roman" w:hAnsi="Times New Roman" w:cs="Times New Roman"/>
          <w:sz w:val="24"/>
          <w:szCs w:val="24"/>
          <w:lang w:val="en-US"/>
        </w:rPr>
        <w:t xml:space="preserve">Harriet's drink was spiked with vodka by Leon. The wine gave Harriet hallucinations when she returned and drank it. Harriet assumed the home was on fire, so she started shattering the enormous panes of glass in the bi-fold doors of Christine's kitchen in an effort to escape out of there. Another visitor (Daniel) had his cheekbone fractured when she punched him in the face. Harriet was calmed down by Christine and her husband and everyone was asked to leave. It also implies that Leon is liable for the </w:t>
      </w:r>
      <w:proofErr w:type="gramStart"/>
      <w:r w:rsidR="003123B2" w:rsidRPr="007D7EE7">
        <w:rPr>
          <w:rFonts w:ascii="Times New Roman" w:hAnsi="Times New Roman" w:cs="Times New Roman"/>
          <w:sz w:val="24"/>
          <w:szCs w:val="24"/>
          <w:lang w:val="en-US"/>
        </w:rPr>
        <w:t>damage  that</w:t>
      </w:r>
      <w:proofErr w:type="gramEnd"/>
      <w:r w:rsidR="003123B2" w:rsidRPr="007D7EE7">
        <w:rPr>
          <w:rFonts w:ascii="Times New Roman" w:hAnsi="Times New Roman" w:cs="Times New Roman"/>
          <w:sz w:val="24"/>
          <w:szCs w:val="24"/>
          <w:lang w:val="en-US"/>
        </w:rPr>
        <w:t xml:space="preserve"> is caused to Christine’s house and also to Daniel who suffered a physical injury. In addition to this, Daniel can also claim and report Harriet or Leon for </w:t>
      </w:r>
      <w:r w:rsidR="0043358E" w:rsidRPr="007D7EE7">
        <w:rPr>
          <w:rFonts w:ascii="Times New Roman" w:hAnsi="Times New Roman" w:cs="Times New Roman"/>
          <w:sz w:val="24"/>
          <w:szCs w:val="24"/>
          <w:lang w:val="en-US"/>
        </w:rPr>
        <w:t xml:space="preserve">causing him a physical damage and also a vindictive damage. It will further induce a liability on Christine as she had arranged the party and it all occurred in her premises. </w:t>
      </w:r>
    </w:p>
    <w:p w14:paraId="58736347" w14:textId="31BA1301" w:rsidR="0043358E" w:rsidRPr="007D7EE7" w:rsidRDefault="0043358E" w:rsidP="007D7EE7">
      <w:pPr>
        <w:pStyle w:val="Heading1"/>
        <w:rPr>
          <w:lang w:val="en-US"/>
        </w:rPr>
      </w:pPr>
      <w:bookmarkStart w:id="3" w:name="_Toc97731561"/>
      <w:r w:rsidRPr="007D7EE7">
        <w:rPr>
          <w:lang w:val="en-US"/>
        </w:rPr>
        <w:t>Rule</w:t>
      </w:r>
      <w:bookmarkEnd w:id="3"/>
    </w:p>
    <w:p w14:paraId="54CBCCC4" w14:textId="03D466E6" w:rsidR="00E365A8" w:rsidRPr="007D7EE7" w:rsidRDefault="00E365A8" w:rsidP="007D7EE7">
      <w:pPr>
        <w:spacing w:line="360" w:lineRule="auto"/>
        <w:jc w:val="both"/>
        <w:rPr>
          <w:rFonts w:ascii="Times New Roman" w:hAnsi="Times New Roman" w:cs="Times New Roman"/>
          <w:sz w:val="24"/>
          <w:szCs w:val="24"/>
        </w:rPr>
      </w:pPr>
      <w:r w:rsidRPr="007D7EE7">
        <w:rPr>
          <w:rFonts w:ascii="Times New Roman" w:hAnsi="Times New Roman" w:cs="Times New Roman"/>
          <w:sz w:val="24"/>
          <w:szCs w:val="24"/>
        </w:rPr>
        <w:t xml:space="preserve">Offenders who are severely or partly inebriated, whether as a result of willingly eating alcohol or via the abuse of (other) drugs, are more prone to commit crimes of violence in general. In </w:t>
      </w:r>
      <w:r w:rsidRPr="007D7EE7">
        <w:rPr>
          <w:rFonts w:ascii="Times New Roman" w:hAnsi="Times New Roman" w:cs="Times New Roman"/>
          <w:sz w:val="24"/>
          <w:szCs w:val="24"/>
        </w:rPr>
        <w:lastRenderedPageBreak/>
        <w:t>this way, drunkenness defences are not just a legal problem, but also a matter of public policy and social values that must be addressed. This may have an impact on the victim's and his or her family's perception of whether or not justice has been served. The existing state of the law on the legality of voluntary intoxication, as well as numerous of our reform proposals, raise a number of challenging problems. When it is argued that Harriet is responsible for an offence done by another person, such as Leon, the prosecution will often have to demonstrate that Harriet actively aided or assisted Leon in committing the exterior part of the crime. Daniel is an example of this. One point must be made very apparent right from the outset. In either common law or statute law, there is no such thing as a "defence of intoxication." When it comes to this alleged offence, it does not matter whether or not Harriet was under the influence of alcohol at the time of the claimed crime</w:t>
      </w:r>
      <w:r w:rsidR="009A4A50" w:rsidRPr="007D7EE7">
        <w:rPr>
          <w:rFonts w:ascii="Times New Roman" w:hAnsi="Times New Roman" w:cs="Times New Roman"/>
          <w:sz w:val="24"/>
          <w:szCs w:val="24"/>
          <w:lang w:val="en-US"/>
        </w:rPr>
        <w:t>(</w:t>
      </w:r>
      <w:r w:rsidR="009A4A50" w:rsidRPr="007D7EE7">
        <w:rPr>
          <w:rFonts w:ascii="Times New Roman" w:hAnsi="Times New Roman" w:cs="Times New Roman"/>
          <w:i/>
          <w:iCs/>
          <w:color w:val="222222"/>
          <w:sz w:val="24"/>
          <w:szCs w:val="24"/>
          <w:shd w:val="clear" w:color="auto" w:fill="FFFFFF"/>
        </w:rPr>
        <w:t>Ivey v. Genting Casinos (UK) Ltd</w:t>
      </w:r>
      <w:r w:rsidR="009A4A50" w:rsidRPr="007D7EE7">
        <w:rPr>
          <w:rFonts w:ascii="Times New Roman" w:hAnsi="Times New Roman" w:cs="Times New Roman"/>
          <w:sz w:val="24"/>
          <w:szCs w:val="24"/>
          <w:lang w:val="en-US"/>
        </w:rPr>
        <w:t>)</w:t>
      </w:r>
      <w:r w:rsidRPr="007D7EE7">
        <w:rPr>
          <w:rFonts w:ascii="Times New Roman" w:hAnsi="Times New Roman" w:cs="Times New Roman"/>
          <w:sz w:val="24"/>
          <w:szCs w:val="24"/>
        </w:rPr>
        <w:t>. The fact that Harriet acted involuntarily and unconsciously while inebriated does not give Harriet the right to use the defence of automatism to excuse her conduct. The fact that Harriet was inebriated at the time of the crime does not absolve her of responsibility. In order to escape criminal liability, the subjective defect required under the definition of crime must be of a particular sort</w:t>
      </w:r>
      <w:sdt>
        <w:sdtPr>
          <w:rPr>
            <w:rFonts w:ascii="Times New Roman" w:hAnsi="Times New Roman" w:cs="Times New Roman"/>
            <w:sz w:val="24"/>
            <w:szCs w:val="24"/>
          </w:rPr>
          <w:id w:val="-2024625615"/>
          <w:citation/>
        </w:sdtPr>
        <w:sdtEndPr/>
        <w:sdtContent>
          <w:r w:rsidR="007D7EE7" w:rsidRPr="007D7EE7">
            <w:rPr>
              <w:rFonts w:ascii="Times New Roman" w:hAnsi="Times New Roman" w:cs="Times New Roman"/>
              <w:sz w:val="24"/>
              <w:szCs w:val="24"/>
            </w:rPr>
            <w:fldChar w:fldCharType="begin"/>
          </w:r>
          <w:r w:rsidR="007D7EE7" w:rsidRPr="007D7EE7">
            <w:rPr>
              <w:rFonts w:ascii="Times New Roman" w:hAnsi="Times New Roman" w:cs="Times New Roman"/>
              <w:sz w:val="24"/>
              <w:szCs w:val="24"/>
              <w:lang w:val="en-US"/>
            </w:rPr>
            <w:instrText xml:space="preserve"> CITATION deF19 \l 1033 </w:instrText>
          </w:r>
          <w:r w:rsidR="007D7EE7" w:rsidRPr="007D7EE7">
            <w:rPr>
              <w:rFonts w:ascii="Times New Roman" w:hAnsi="Times New Roman" w:cs="Times New Roman"/>
              <w:sz w:val="24"/>
              <w:szCs w:val="24"/>
            </w:rPr>
            <w:fldChar w:fldCharType="separate"/>
          </w:r>
          <w:r w:rsidR="007D7EE7" w:rsidRPr="007D7EE7">
            <w:rPr>
              <w:rFonts w:ascii="Times New Roman" w:hAnsi="Times New Roman" w:cs="Times New Roman"/>
              <w:noProof/>
              <w:sz w:val="24"/>
              <w:szCs w:val="24"/>
              <w:lang w:val="en-US"/>
            </w:rPr>
            <w:t xml:space="preserve"> (Freitas, et al., 2019)</w:t>
          </w:r>
          <w:r w:rsidR="007D7EE7" w:rsidRPr="007D7EE7">
            <w:rPr>
              <w:rFonts w:ascii="Times New Roman" w:hAnsi="Times New Roman" w:cs="Times New Roman"/>
              <w:sz w:val="24"/>
              <w:szCs w:val="24"/>
            </w:rPr>
            <w:fldChar w:fldCharType="end"/>
          </w:r>
        </w:sdtContent>
      </w:sdt>
      <w:r w:rsidRPr="007D7EE7">
        <w:rPr>
          <w:rFonts w:ascii="Times New Roman" w:hAnsi="Times New Roman" w:cs="Times New Roman"/>
          <w:sz w:val="24"/>
          <w:szCs w:val="24"/>
        </w:rPr>
        <w:t>; that is, it must be one of the guilty states of mind categorised by the courts as having a "specific aim," which is a perplexing designation. The first ingredient of murder, the intention to kill or inflict grave bodily damage, is an example of a state of mind referred to as a "specific intent" in criminal law. Because of the evidence of the defendant's intoxicated condition, the prosecution must always demonstrate that Harriet acted in one of these two states of mind; if this cannot be done, Harriet will not be found guilty of murder and will instead be sentenced to death. Basic intent has evolved to refer to offences for which the prosecution does not have to prove that Harriet had a "specific goal" when she committed the conduct. When the subjective fault required by the definition of the offence charged has not been labelled as "particular intent," it makes no difference whether Harriet was under the influence of alcohol when she is claimed to have committed the crime. Would Harriet have behaved in a way consistent with the definition of the crime if she had not been under the influence of alcohol? This means that the jury (or other fact-finding panel) will be required to consider this hypothetical problem. It is not possible to simply dismiss the necessity to demonstrate subjective guilt in the presence of intoxicated individuals. Due to the fact that Harriet can never rely on her state of purposeful drunkenness to diminish or hide her inhibitions or moral vision, the preceding analysis demonstrates that she is unable to rely on it</w:t>
      </w:r>
      <w:r w:rsidR="009A4A50" w:rsidRPr="007D7EE7">
        <w:rPr>
          <w:rFonts w:ascii="Times New Roman" w:hAnsi="Times New Roman" w:cs="Times New Roman"/>
          <w:sz w:val="24"/>
          <w:szCs w:val="24"/>
          <w:lang w:val="en-US"/>
        </w:rPr>
        <w:t>(</w:t>
      </w:r>
      <w:r w:rsidR="009A4A50" w:rsidRPr="007D7EE7">
        <w:rPr>
          <w:rFonts w:ascii="Times New Roman" w:hAnsi="Times New Roman" w:cs="Times New Roman"/>
          <w:i/>
          <w:iCs/>
          <w:color w:val="222222"/>
          <w:sz w:val="24"/>
          <w:szCs w:val="24"/>
          <w:shd w:val="clear" w:color="auto" w:fill="FFFFFF"/>
        </w:rPr>
        <w:t>ex parte Hawthorn</w:t>
      </w:r>
      <w:r w:rsidR="009A4A50" w:rsidRPr="007D7EE7">
        <w:rPr>
          <w:rFonts w:ascii="Times New Roman" w:hAnsi="Times New Roman" w:cs="Times New Roman"/>
          <w:color w:val="222222"/>
          <w:sz w:val="24"/>
          <w:szCs w:val="24"/>
          <w:shd w:val="clear" w:color="auto" w:fill="FFFFFF"/>
        </w:rPr>
        <w:t>, 1 All E.R</w:t>
      </w:r>
      <w:r w:rsidR="009A4A50" w:rsidRPr="007D7EE7">
        <w:rPr>
          <w:rFonts w:ascii="Times New Roman" w:hAnsi="Times New Roman" w:cs="Times New Roman"/>
          <w:sz w:val="24"/>
          <w:szCs w:val="24"/>
          <w:lang w:val="en-US"/>
        </w:rPr>
        <w:t>)</w:t>
      </w:r>
      <w:r w:rsidRPr="007D7EE7">
        <w:rPr>
          <w:rFonts w:ascii="Times New Roman" w:hAnsi="Times New Roman" w:cs="Times New Roman"/>
          <w:sz w:val="24"/>
          <w:szCs w:val="24"/>
        </w:rPr>
        <w:t xml:space="preserve">. All of these implications of Harriet's intoxication are completely immaterial to the court's determination of her liability. However, if the external element of an infraction with the fault </w:t>
      </w:r>
      <w:r w:rsidRPr="007D7EE7">
        <w:rPr>
          <w:rFonts w:ascii="Times New Roman" w:hAnsi="Times New Roman" w:cs="Times New Roman"/>
          <w:sz w:val="24"/>
          <w:szCs w:val="24"/>
        </w:rPr>
        <w:lastRenderedPageBreak/>
        <w:t>essential for culpability is demonstrated, Harriet is guilty of the crime, even though Harriet's inhibitions were not reduced and his or her moral vision was not impaired by the deliberate use of an intoxicant.</w:t>
      </w:r>
    </w:p>
    <w:p w14:paraId="0D10FD75" w14:textId="2A38200A" w:rsidR="00A407BF" w:rsidRPr="007D7EE7" w:rsidRDefault="00A407BF" w:rsidP="007D7EE7">
      <w:pPr>
        <w:pStyle w:val="Heading1"/>
        <w:rPr>
          <w:lang w:val="en-US"/>
        </w:rPr>
      </w:pPr>
      <w:bookmarkStart w:id="4" w:name="_Toc97731562"/>
      <w:r w:rsidRPr="007D7EE7">
        <w:rPr>
          <w:lang w:val="en-US"/>
        </w:rPr>
        <w:t>Application</w:t>
      </w:r>
      <w:bookmarkEnd w:id="4"/>
    </w:p>
    <w:p w14:paraId="43B23801" w14:textId="4EB0F5FD" w:rsidR="00E365A8" w:rsidRPr="007D7EE7" w:rsidRDefault="00E365A8" w:rsidP="007D7EE7">
      <w:pPr>
        <w:spacing w:line="360" w:lineRule="auto"/>
        <w:jc w:val="both"/>
        <w:rPr>
          <w:rFonts w:ascii="Times New Roman" w:hAnsi="Times New Roman" w:cs="Times New Roman"/>
          <w:sz w:val="24"/>
          <w:szCs w:val="24"/>
          <w:lang w:val="en-US"/>
        </w:rPr>
      </w:pPr>
      <w:r w:rsidRPr="007D7EE7">
        <w:rPr>
          <w:rFonts w:ascii="Times New Roman" w:hAnsi="Times New Roman" w:cs="Times New Roman"/>
          <w:sz w:val="24"/>
          <w:szCs w:val="24"/>
        </w:rPr>
        <w:t>Alcohol is a cortical depressant that impairs the brain activities that are related with orderly communal behaviour and the ability to make fine critical judgements. Drugs that depress the central nervous system, such as heroin and morphine, may cause sleepiness and an inability to focus, as well as alleviate concerns in certain people</w:t>
      </w:r>
      <w:sdt>
        <w:sdtPr>
          <w:rPr>
            <w:rFonts w:ascii="Times New Roman" w:hAnsi="Times New Roman" w:cs="Times New Roman"/>
            <w:sz w:val="24"/>
            <w:szCs w:val="24"/>
          </w:rPr>
          <w:id w:val="-1128699342"/>
          <w:citation/>
        </w:sdtPr>
        <w:sdtEndPr/>
        <w:sdtContent>
          <w:r w:rsidR="007D7EE7" w:rsidRPr="007D7EE7">
            <w:rPr>
              <w:rFonts w:ascii="Times New Roman" w:hAnsi="Times New Roman" w:cs="Times New Roman"/>
              <w:sz w:val="24"/>
              <w:szCs w:val="24"/>
            </w:rPr>
            <w:fldChar w:fldCharType="begin"/>
          </w:r>
          <w:r w:rsidR="007D7EE7" w:rsidRPr="007D7EE7">
            <w:rPr>
              <w:rFonts w:ascii="Times New Roman" w:hAnsi="Times New Roman" w:cs="Times New Roman"/>
              <w:sz w:val="24"/>
              <w:szCs w:val="24"/>
              <w:lang w:val="en-US"/>
            </w:rPr>
            <w:instrText xml:space="preserve"> CITATION Tur16 \l 1033 </w:instrText>
          </w:r>
          <w:r w:rsidR="007D7EE7" w:rsidRPr="007D7EE7">
            <w:rPr>
              <w:rFonts w:ascii="Times New Roman" w:hAnsi="Times New Roman" w:cs="Times New Roman"/>
              <w:sz w:val="24"/>
              <w:szCs w:val="24"/>
            </w:rPr>
            <w:fldChar w:fldCharType="separate"/>
          </w:r>
          <w:r w:rsidR="007D7EE7" w:rsidRPr="007D7EE7">
            <w:rPr>
              <w:rFonts w:ascii="Times New Roman" w:hAnsi="Times New Roman" w:cs="Times New Roman"/>
              <w:noProof/>
              <w:sz w:val="24"/>
              <w:szCs w:val="24"/>
              <w:lang w:val="en-US"/>
            </w:rPr>
            <w:t xml:space="preserve"> (Turki, et al., 2016)</w:t>
          </w:r>
          <w:r w:rsidR="007D7EE7" w:rsidRPr="007D7EE7">
            <w:rPr>
              <w:rFonts w:ascii="Times New Roman" w:hAnsi="Times New Roman" w:cs="Times New Roman"/>
              <w:sz w:val="24"/>
              <w:szCs w:val="24"/>
            </w:rPr>
            <w:fldChar w:fldCharType="end"/>
          </w:r>
        </w:sdtContent>
      </w:sdt>
      <w:r w:rsidRPr="007D7EE7">
        <w:rPr>
          <w:rFonts w:ascii="Times New Roman" w:hAnsi="Times New Roman" w:cs="Times New Roman"/>
          <w:sz w:val="24"/>
          <w:szCs w:val="24"/>
        </w:rPr>
        <w:t>. Depressants, on the other hand, may cause psychosis and violent behaviour if used in excess. When Harriet is under the influence of alcohol, he or she may only feel a sense of increased self-confidence and reduced inhibitions. In this case, Harriet recognises what is happening and the potential consequences of his or her actions, but is less inclined to act in accordance with the constraints that would normally keep Harriet within the bounds of civilised behaviour when sober. As a result, it is possible that Harriet meets both the external and blame aspects of an offence, and Harriet's sole claim to exculpation is that he or she would not have done the offence if he or she had been sober.</w:t>
      </w:r>
      <w:r w:rsidRPr="007D7EE7">
        <w:rPr>
          <w:rFonts w:ascii="Times New Roman" w:hAnsi="Times New Roman" w:cs="Times New Roman"/>
          <w:sz w:val="24"/>
          <w:szCs w:val="24"/>
          <w:lang w:val="en-US"/>
        </w:rPr>
        <w:t xml:space="preserve"> It will mean that Harriet will have to prove beyond reasonable doubt that she was in delirium and could not think like a person of ordinary prudence</w:t>
      </w:r>
      <w:sdt>
        <w:sdtPr>
          <w:rPr>
            <w:rFonts w:ascii="Times New Roman" w:hAnsi="Times New Roman" w:cs="Times New Roman"/>
            <w:sz w:val="24"/>
            <w:szCs w:val="24"/>
            <w:lang w:val="en-US"/>
          </w:rPr>
          <w:id w:val="1472554989"/>
          <w:citation/>
        </w:sdtPr>
        <w:sdtEndPr/>
        <w:sdtContent>
          <w:r w:rsidR="007D7EE7" w:rsidRPr="007D7EE7">
            <w:rPr>
              <w:rFonts w:ascii="Times New Roman" w:hAnsi="Times New Roman" w:cs="Times New Roman"/>
              <w:sz w:val="24"/>
              <w:szCs w:val="24"/>
              <w:lang w:val="en-US"/>
            </w:rPr>
            <w:fldChar w:fldCharType="begin"/>
          </w:r>
          <w:r w:rsidR="007D7EE7" w:rsidRPr="007D7EE7">
            <w:rPr>
              <w:rFonts w:ascii="Times New Roman" w:hAnsi="Times New Roman" w:cs="Times New Roman"/>
              <w:sz w:val="24"/>
              <w:szCs w:val="24"/>
              <w:lang w:val="en-US"/>
            </w:rPr>
            <w:instrText xml:space="preserve"> CITATION Jar20 \l 1033 </w:instrText>
          </w:r>
          <w:r w:rsidR="007D7EE7" w:rsidRPr="007D7EE7">
            <w:rPr>
              <w:rFonts w:ascii="Times New Roman" w:hAnsi="Times New Roman" w:cs="Times New Roman"/>
              <w:sz w:val="24"/>
              <w:szCs w:val="24"/>
              <w:lang w:val="en-US"/>
            </w:rPr>
            <w:fldChar w:fldCharType="separate"/>
          </w:r>
          <w:r w:rsidR="007D7EE7" w:rsidRPr="007D7EE7">
            <w:rPr>
              <w:rFonts w:ascii="Times New Roman" w:hAnsi="Times New Roman" w:cs="Times New Roman"/>
              <w:noProof/>
              <w:sz w:val="24"/>
              <w:szCs w:val="24"/>
              <w:lang w:val="en-US"/>
            </w:rPr>
            <w:t xml:space="preserve"> (Jargar, 2020)</w:t>
          </w:r>
          <w:r w:rsidR="007D7EE7" w:rsidRPr="007D7EE7">
            <w:rPr>
              <w:rFonts w:ascii="Times New Roman" w:hAnsi="Times New Roman" w:cs="Times New Roman"/>
              <w:sz w:val="24"/>
              <w:szCs w:val="24"/>
              <w:lang w:val="en-US"/>
            </w:rPr>
            <w:fldChar w:fldCharType="end"/>
          </w:r>
        </w:sdtContent>
      </w:sdt>
      <w:r w:rsidRPr="007D7EE7">
        <w:rPr>
          <w:rFonts w:ascii="Times New Roman" w:hAnsi="Times New Roman" w:cs="Times New Roman"/>
          <w:sz w:val="24"/>
          <w:szCs w:val="24"/>
          <w:lang w:val="en-US"/>
        </w:rPr>
        <w:t xml:space="preserve">. Furthermore, it also implies that Leon will either have to prove it beyond all reasonable doubts that he was not aware of the allergy of </w:t>
      </w:r>
      <w:proofErr w:type="spellStart"/>
      <w:r w:rsidRPr="007D7EE7">
        <w:rPr>
          <w:rFonts w:ascii="Times New Roman" w:hAnsi="Times New Roman" w:cs="Times New Roman"/>
          <w:sz w:val="24"/>
          <w:szCs w:val="24"/>
          <w:lang w:val="en-US"/>
        </w:rPr>
        <w:t>harriet</w:t>
      </w:r>
      <w:proofErr w:type="spellEnd"/>
      <w:r w:rsidRPr="007D7EE7">
        <w:rPr>
          <w:rFonts w:ascii="Times New Roman" w:hAnsi="Times New Roman" w:cs="Times New Roman"/>
          <w:sz w:val="24"/>
          <w:szCs w:val="24"/>
          <w:lang w:val="en-US"/>
        </w:rPr>
        <w:t xml:space="preserve"> and it was a mere mistake to give her alcohol. On the contrary he will be liable to </w:t>
      </w:r>
      <w:r w:rsidR="009A4A50" w:rsidRPr="007D7EE7">
        <w:rPr>
          <w:rFonts w:ascii="Times New Roman" w:hAnsi="Times New Roman" w:cs="Times New Roman"/>
          <w:sz w:val="24"/>
          <w:szCs w:val="24"/>
          <w:lang w:val="en-US"/>
        </w:rPr>
        <w:t xml:space="preserve">Daniel for indirectly causing him a physical injury, to Christine for causing damage to her house and to Harriet to cause her a mental injury, falling under vindictive damages. </w:t>
      </w:r>
    </w:p>
    <w:p w14:paraId="74052AE9" w14:textId="4A308D86" w:rsidR="00E365A8" w:rsidRPr="007D7EE7" w:rsidRDefault="00E365A8" w:rsidP="007D7EE7">
      <w:pPr>
        <w:pStyle w:val="Heading1"/>
        <w:rPr>
          <w:lang w:val="en-US"/>
        </w:rPr>
      </w:pPr>
      <w:bookmarkStart w:id="5" w:name="_Toc97731563"/>
      <w:r w:rsidRPr="007D7EE7">
        <w:rPr>
          <w:lang w:val="en-US"/>
        </w:rPr>
        <w:t>Conclusion</w:t>
      </w:r>
      <w:bookmarkEnd w:id="5"/>
    </w:p>
    <w:p w14:paraId="4CA39E02" w14:textId="77777777" w:rsidR="00E365A8" w:rsidRPr="007D7EE7" w:rsidRDefault="00E365A8" w:rsidP="007D7EE7">
      <w:pPr>
        <w:spacing w:line="360" w:lineRule="auto"/>
        <w:jc w:val="both"/>
        <w:rPr>
          <w:rFonts w:ascii="Times New Roman" w:hAnsi="Times New Roman" w:cs="Times New Roman"/>
          <w:sz w:val="24"/>
          <w:szCs w:val="24"/>
          <w:lang w:val="en-US"/>
        </w:rPr>
      </w:pPr>
      <w:r w:rsidRPr="007D7EE7">
        <w:rPr>
          <w:rFonts w:ascii="Times New Roman" w:hAnsi="Times New Roman" w:cs="Times New Roman"/>
          <w:sz w:val="24"/>
          <w:szCs w:val="24"/>
        </w:rPr>
        <w:t xml:space="preserve">The defence of automatism may also be used by Harriet if she was in a state of involuntary intoxication at the time of the incident. If Harriet's condition of automatism was caused by involuntary drunkenness, the rule that prohibits her from relying on the defence does not apply to her situation. In the same way, Harriet's general defence to escape culpability is based on a faulty interpretation of the facts that was induced by involuntary drunkenness, which is also correct. Aside from that, juries and magistrates' courts have yet to create a consistent criterion for evaluating whether Harriet's self-induced intoxication is significant in assessing his or her criminal liability. Our criteria is unambiguous, and it is supported by a number of appellate court rulings. However, the case law as well as some academic authors propose an alternative </w:t>
      </w:r>
      <w:r w:rsidRPr="007D7EE7">
        <w:rPr>
          <w:rFonts w:ascii="Times New Roman" w:hAnsi="Times New Roman" w:cs="Times New Roman"/>
          <w:sz w:val="24"/>
          <w:szCs w:val="24"/>
        </w:rPr>
        <w:lastRenderedPageBreak/>
        <w:t>criteria that, if true, would be hard to put into practise. We believe that a more straightforward, easier to comprehend, and more comprehensive test should be developed to evaluate whether or not drinking is a factor in criminal liability.</w:t>
      </w:r>
      <w:r w:rsidRPr="007D7EE7">
        <w:rPr>
          <w:rFonts w:ascii="Times New Roman" w:hAnsi="Times New Roman" w:cs="Times New Roman"/>
          <w:sz w:val="24"/>
          <w:szCs w:val="24"/>
          <w:lang w:val="en-US"/>
        </w:rPr>
        <w:t xml:space="preserve"> </w:t>
      </w:r>
    </w:p>
    <w:p w14:paraId="7CA3F969" w14:textId="77777777" w:rsidR="00DF77AB" w:rsidRDefault="00DF77AB">
      <w:pPr>
        <w:rPr>
          <w:rFonts w:ascii="Times New Roman" w:eastAsia="Times New Roman" w:hAnsi="Times New Roman" w:cstheme="majorBidi"/>
          <w:b/>
          <w:sz w:val="32"/>
          <w:szCs w:val="32"/>
          <w:u w:val="single"/>
          <w:lang w:val="en-US"/>
        </w:rPr>
      </w:pPr>
      <w:r>
        <w:rPr>
          <w:lang w:val="en-US"/>
        </w:rPr>
        <w:br w:type="page"/>
      </w:r>
    </w:p>
    <w:p w14:paraId="7316CC2C" w14:textId="79278847" w:rsidR="00E365A8" w:rsidRPr="007D7EE7" w:rsidRDefault="009A4A50" w:rsidP="007D7EE7">
      <w:pPr>
        <w:pStyle w:val="Heading1"/>
        <w:rPr>
          <w:lang w:val="en-US"/>
        </w:rPr>
      </w:pPr>
      <w:bookmarkStart w:id="6" w:name="_Toc97731564"/>
      <w:r w:rsidRPr="007D7EE7">
        <w:rPr>
          <w:lang w:val="en-US"/>
        </w:rPr>
        <w:lastRenderedPageBreak/>
        <w:t>References</w:t>
      </w:r>
      <w:bookmarkEnd w:id="6"/>
    </w:p>
    <w:p w14:paraId="021DB06A" w14:textId="77777777" w:rsidR="007D7EE7" w:rsidRPr="007D7EE7" w:rsidRDefault="007D7EE7" w:rsidP="007D7EE7">
      <w:pPr>
        <w:spacing w:line="360" w:lineRule="auto"/>
        <w:jc w:val="both"/>
        <w:rPr>
          <w:rFonts w:ascii="Times New Roman" w:hAnsi="Times New Roman" w:cs="Times New Roman"/>
          <w:sz w:val="24"/>
          <w:szCs w:val="24"/>
          <w:lang w:val="en-US"/>
        </w:rPr>
      </w:pPr>
      <w:r w:rsidRPr="007D7EE7">
        <w:rPr>
          <w:rFonts w:ascii="Times New Roman" w:hAnsi="Times New Roman" w:cs="Times New Roman"/>
          <w:color w:val="222222"/>
          <w:sz w:val="24"/>
          <w:szCs w:val="24"/>
          <w:shd w:val="clear" w:color="auto" w:fill="FFFFFF"/>
        </w:rPr>
        <w:t>de Freitas, L.C., Argôlo, M.J.R. and Valença, A.M., 2019. Application of the criminal liability biopsychological criterion in a case of delusional disorder. </w:t>
      </w:r>
      <w:r w:rsidRPr="007D7EE7">
        <w:rPr>
          <w:rFonts w:ascii="Times New Roman" w:hAnsi="Times New Roman" w:cs="Times New Roman"/>
          <w:i/>
          <w:iCs/>
          <w:color w:val="222222"/>
          <w:sz w:val="24"/>
          <w:szCs w:val="24"/>
          <w:shd w:val="clear" w:color="auto" w:fill="FFFFFF"/>
        </w:rPr>
        <w:t>Revista Colombiana de Psiquiatría (English ed.)</w:t>
      </w:r>
      <w:r w:rsidRPr="007D7EE7">
        <w:rPr>
          <w:rFonts w:ascii="Times New Roman" w:hAnsi="Times New Roman" w:cs="Times New Roman"/>
          <w:color w:val="222222"/>
          <w:sz w:val="24"/>
          <w:szCs w:val="24"/>
          <w:shd w:val="clear" w:color="auto" w:fill="FFFFFF"/>
        </w:rPr>
        <w:t>, </w:t>
      </w:r>
      <w:r w:rsidRPr="007D7EE7">
        <w:rPr>
          <w:rFonts w:ascii="Times New Roman" w:hAnsi="Times New Roman" w:cs="Times New Roman"/>
          <w:i/>
          <w:iCs/>
          <w:color w:val="222222"/>
          <w:sz w:val="24"/>
          <w:szCs w:val="24"/>
          <w:shd w:val="clear" w:color="auto" w:fill="FFFFFF"/>
        </w:rPr>
        <w:t>48</w:t>
      </w:r>
      <w:r w:rsidRPr="007D7EE7">
        <w:rPr>
          <w:rFonts w:ascii="Times New Roman" w:hAnsi="Times New Roman" w:cs="Times New Roman"/>
          <w:color w:val="222222"/>
          <w:sz w:val="24"/>
          <w:szCs w:val="24"/>
          <w:shd w:val="clear" w:color="auto" w:fill="FFFFFF"/>
        </w:rPr>
        <w:t>(3), pp.192-195.</w:t>
      </w:r>
    </w:p>
    <w:p w14:paraId="480581F0" w14:textId="77777777" w:rsidR="007D7EE7" w:rsidRPr="007D7EE7" w:rsidRDefault="007D7EE7" w:rsidP="007D7EE7">
      <w:pPr>
        <w:spacing w:line="360" w:lineRule="auto"/>
        <w:jc w:val="both"/>
        <w:rPr>
          <w:rFonts w:ascii="Times New Roman" w:hAnsi="Times New Roman" w:cs="Times New Roman"/>
          <w:color w:val="222222"/>
          <w:sz w:val="24"/>
          <w:szCs w:val="24"/>
          <w:shd w:val="clear" w:color="auto" w:fill="FFFFFF"/>
        </w:rPr>
      </w:pPr>
      <w:r w:rsidRPr="007D7EE7">
        <w:rPr>
          <w:rFonts w:ascii="Times New Roman" w:hAnsi="Times New Roman" w:cs="Times New Roman"/>
          <w:i/>
          <w:iCs/>
          <w:color w:val="222222"/>
          <w:sz w:val="24"/>
          <w:szCs w:val="24"/>
          <w:shd w:val="clear" w:color="auto" w:fill="FFFFFF"/>
        </w:rPr>
        <w:t>ex parte Hawthorn</w:t>
      </w:r>
      <w:r w:rsidRPr="007D7EE7">
        <w:rPr>
          <w:rFonts w:ascii="Times New Roman" w:hAnsi="Times New Roman" w:cs="Times New Roman"/>
          <w:color w:val="222222"/>
          <w:sz w:val="24"/>
          <w:szCs w:val="24"/>
          <w:shd w:val="clear" w:color="auto" w:fill="FFFFFF"/>
        </w:rPr>
        <w:t>, 1 All E.R. 209 (1979).</w:t>
      </w:r>
    </w:p>
    <w:p w14:paraId="1656AD35" w14:textId="77777777" w:rsidR="007D7EE7" w:rsidRPr="007D7EE7" w:rsidRDefault="007D7EE7" w:rsidP="007D7EE7">
      <w:pPr>
        <w:spacing w:line="360" w:lineRule="auto"/>
        <w:jc w:val="both"/>
        <w:rPr>
          <w:rFonts w:ascii="Times New Roman" w:hAnsi="Times New Roman" w:cs="Times New Roman"/>
          <w:color w:val="222222"/>
          <w:sz w:val="24"/>
          <w:szCs w:val="24"/>
          <w:shd w:val="clear" w:color="auto" w:fill="FFFFFF"/>
        </w:rPr>
      </w:pPr>
      <w:r w:rsidRPr="007D7EE7">
        <w:rPr>
          <w:rFonts w:ascii="Times New Roman" w:hAnsi="Times New Roman" w:cs="Times New Roman"/>
          <w:i/>
          <w:iCs/>
          <w:color w:val="222222"/>
          <w:sz w:val="24"/>
          <w:szCs w:val="24"/>
          <w:shd w:val="clear" w:color="auto" w:fill="FFFFFF"/>
        </w:rPr>
        <w:t>Ivey v. Genting Casinos (UK) Ltd</w:t>
      </w:r>
      <w:r w:rsidRPr="007D7EE7">
        <w:rPr>
          <w:rFonts w:ascii="Times New Roman" w:hAnsi="Times New Roman" w:cs="Times New Roman"/>
          <w:color w:val="222222"/>
          <w:sz w:val="24"/>
          <w:szCs w:val="24"/>
          <w:shd w:val="clear" w:color="auto" w:fill="FFFFFF"/>
        </w:rPr>
        <w:t>, 2017 U.K.S.C. 67 (2017).</w:t>
      </w:r>
    </w:p>
    <w:p w14:paraId="163F8CA5" w14:textId="77777777" w:rsidR="007D7EE7" w:rsidRPr="007D7EE7" w:rsidRDefault="007D7EE7" w:rsidP="007D7EE7">
      <w:pPr>
        <w:spacing w:line="360" w:lineRule="auto"/>
        <w:jc w:val="both"/>
        <w:rPr>
          <w:rFonts w:ascii="Times New Roman" w:hAnsi="Times New Roman" w:cs="Times New Roman"/>
          <w:color w:val="222222"/>
          <w:sz w:val="24"/>
          <w:szCs w:val="24"/>
          <w:shd w:val="clear" w:color="auto" w:fill="FFFFFF"/>
        </w:rPr>
      </w:pPr>
      <w:r w:rsidRPr="007D7EE7">
        <w:rPr>
          <w:rFonts w:ascii="Times New Roman" w:hAnsi="Times New Roman" w:cs="Times New Roman"/>
          <w:color w:val="222222"/>
          <w:sz w:val="24"/>
          <w:szCs w:val="24"/>
          <w:shd w:val="clear" w:color="auto" w:fill="FFFFFF"/>
        </w:rPr>
        <w:t>Jargar, G., 2020. Delirium Fortifications: An Escaping Clause for the Culprit from the Criminal Prosecution. </w:t>
      </w:r>
      <w:r w:rsidRPr="007D7EE7">
        <w:rPr>
          <w:rFonts w:ascii="Times New Roman" w:hAnsi="Times New Roman" w:cs="Times New Roman"/>
          <w:i/>
          <w:iCs/>
          <w:color w:val="222222"/>
          <w:sz w:val="24"/>
          <w:szCs w:val="24"/>
          <w:shd w:val="clear" w:color="auto" w:fill="FFFFFF"/>
        </w:rPr>
        <w:t>Neolexvision Blogs</w:t>
      </w:r>
      <w:r w:rsidRPr="007D7EE7">
        <w:rPr>
          <w:rFonts w:ascii="Times New Roman" w:hAnsi="Times New Roman" w:cs="Times New Roman"/>
          <w:color w:val="222222"/>
          <w:sz w:val="24"/>
          <w:szCs w:val="24"/>
          <w:shd w:val="clear" w:color="auto" w:fill="FFFFFF"/>
        </w:rPr>
        <w:t>.</w:t>
      </w:r>
    </w:p>
    <w:p w14:paraId="1F0346DF" w14:textId="77777777" w:rsidR="007D7EE7" w:rsidRPr="007D7EE7" w:rsidRDefault="007D7EE7" w:rsidP="007D7EE7">
      <w:pPr>
        <w:spacing w:line="360" w:lineRule="auto"/>
        <w:jc w:val="both"/>
        <w:rPr>
          <w:rFonts w:ascii="Times New Roman" w:hAnsi="Times New Roman" w:cs="Times New Roman"/>
          <w:color w:val="222222"/>
          <w:sz w:val="24"/>
          <w:szCs w:val="24"/>
          <w:shd w:val="clear" w:color="auto" w:fill="FFFFFF"/>
        </w:rPr>
      </w:pPr>
      <w:r w:rsidRPr="007D7EE7">
        <w:rPr>
          <w:rFonts w:ascii="Times New Roman" w:hAnsi="Times New Roman" w:cs="Times New Roman"/>
          <w:color w:val="222222"/>
          <w:sz w:val="24"/>
          <w:szCs w:val="24"/>
          <w:shd w:val="clear" w:color="auto" w:fill="FFFFFF"/>
        </w:rPr>
        <w:t>Turki, M., Halouani, N., Naoui, R., Gassara, I., Hamza, N., Aloulou, J. and Amami, O., 2016. Delirium, hallucinations and criminal liability. </w:t>
      </w:r>
      <w:r w:rsidRPr="007D7EE7">
        <w:rPr>
          <w:rFonts w:ascii="Times New Roman" w:hAnsi="Times New Roman" w:cs="Times New Roman"/>
          <w:i/>
          <w:iCs/>
          <w:color w:val="222222"/>
          <w:sz w:val="24"/>
          <w:szCs w:val="24"/>
          <w:shd w:val="clear" w:color="auto" w:fill="FFFFFF"/>
        </w:rPr>
        <w:t>European Psychiatry</w:t>
      </w:r>
      <w:r w:rsidRPr="007D7EE7">
        <w:rPr>
          <w:rFonts w:ascii="Times New Roman" w:hAnsi="Times New Roman" w:cs="Times New Roman"/>
          <w:color w:val="222222"/>
          <w:sz w:val="24"/>
          <w:szCs w:val="24"/>
          <w:shd w:val="clear" w:color="auto" w:fill="FFFFFF"/>
        </w:rPr>
        <w:t>, </w:t>
      </w:r>
      <w:r w:rsidRPr="007D7EE7">
        <w:rPr>
          <w:rFonts w:ascii="Times New Roman" w:hAnsi="Times New Roman" w:cs="Times New Roman"/>
          <w:i/>
          <w:iCs/>
          <w:color w:val="222222"/>
          <w:sz w:val="24"/>
          <w:szCs w:val="24"/>
          <w:shd w:val="clear" w:color="auto" w:fill="FFFFFF"/>
        </w:rPr>
        <w:t>33</w:t>
      </w:r>
      <w:r w:rsidRPr="007D7EE7">
        <w:rPr>
          <w:rFonts w:ascii="Times New Roman" w:hAnsi="Times New Roman" w:cs="Times New Roman"/>
          <w:color w:val="222222"/>
          <w:sz w:val="24"/>
          <w:szCs w:val="24"/>
          <w:shd w:val="clear" w:color="auto" w:fill="FFFFFF"/>
        </w:rPr>
        <w:t>(S1), pp.S464-S465.</w:t>
      </w:r>
    </w:p>
    <w:sectPr w:rsidR="007D7EE7" w:rsidRPr="007D7E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9FE"/>
    <w:rsid w:val="00154A07"/>
    <w:rsid w:val="001D30EF"/>
    <w:rsid w:val="001D7809"/>
    <w:rsid w:val="003123B2"/>
    <w:rsid w:val="0043358E"/>
    <w:rsid w:val="007D7EE7"/>
    <w:rsid w:val="009A4A50"/>
    <w:rsid w:val="009F79FE"/>
    <w:rsid w:val="00A407BF"/>
    <w:rsid w:val="00AD0AF3"/>
    <w:rsid w:val="00DA7C9B"/>
    <w:rsid w:val="00DF77AB"/>
    <w:rsid w:val="00E365A8"/>
    <w:rsid w:val="00F250CD"/>
    <w:rsid w:val="00F6123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C4126"/>
  <w15:chartTrackingRefBased/>
  <w15:docId w15:val="{43242DF7-8470-415E-9F53-3324B92DB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250CD"/>
    <w:pPr>
      <w:keepNext/>
      <w:keepLines/>
      <w:spacing w:before="240" w:after="0"/>
      <w:outlineLvl w:val="0"/>
    </w:pPr>
    <w:rPr>
      <w:rFonts w:ascii="Times New Roman" w:eastAsia="Times New Roman" w:hAnsi="Times New Roman" w:cstheme="majorBidi"/>
      <w:b/>
      <w:sz w:val="32"/>
      <w:szCs w:val="32"/>
      <w:u w:val="single"/>
    </w:rPr>
  </w:style>
  <w:style w:type="paragraph" w:styleId="Heading2">
    <w:name w:val="heading 2"/>
    <w:basedOn w:val="Normal"/>
    <w:next w:val="Normal"/>
    <w:link w:val="Heading2Char"/>
    <w:autoRedefine/>
    <w:uiPriority w:val="9"/>
    <w:semiHidden/>
    <w:unhideWhenUsed/>
    <w:qFormat/>
    <w:rsid w:val="00F61238"/>
    <w:pPr>
      <w:keepNext/>
      <w:keepLines/>
      <w:spacing w:before="40" w:after="0"/>
      <w:outlineLvl w:val="1"/>
    </w:pPr>
    <w:rPr>
      <w:rFonts w:ascii="Times New Roman" w:eastAsiaTheme="majorEastAsia" w:hAnsi="Times New Roman" w:cstheme="majorBidi"/>
      <w:b/>
      <w:sz w:val="26"/>
      <w:szCs w:val="26"/>
      <w:u w:val="single"/>
    </w:rPr>
  </w:style>
  <w:style w:type="paragraph" w:styleId="Heading3">
    <w:name w:val="heading 3"/>
    <w:basedOn w:val="Normal"/>
    <w:next w:val="Normal"/>
    <w:link w:val="Heading3Char"/>
    <w:autoRedefine/>
    <w:uiPriority w:val="9"/>
    <w:unhideWhenUsed/>
    <w:qFormat/>
    <w:rsid w:val="001D7809"/>
    <w:pPr>
      <w:keepNext/>
      <w:keepLines/>
      <w:spacing w:before="40" w:after="0"/>
      <w:outlineLvl w:val="2"/>
    </w:pPr>
    <w:rPr>
      <w:rFonts w:ascii="Times New Roman" w:eastAsiaTheme="majorEastAsia" w:hAnsi="Times New Roman" w:cstheme="majorBidi"/>
      <w:b/>
      <w: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0CD"/>
    <w:rPr>
      <w:rFonts w:ascii="Times New Roman" w:eastAsia="Times New Roman" w:hAnsi="Times New Roman" w:cstheme="majorBidi"/>
      <w:b/>
      <w:sz w:val="32"/>
      <w:szCs w:val="32"/>
      <w:u w:val="single"/>
    </w:rPr>
  </w:style>
  <w:style w:type="character" w:customStyle="1" w:styleId="Heading2Char">
    <w:name w:val="Heading 2 Char"/>
    <w:basedOn w:val="DefaultParagraphFont"/>
    <w:link w:val="Heading2"/>
    <w:uiPriority w:val="9"/>
    <w:semiHidden/>
    <w:rsid w:val="00F61238"/>
    <w:rPr>
      <w:rFonts w:ascii="Times New Roman" w:eastAsiaTheme="majorEastAsia" w:hAnsi="Times New Roman" w:cstheme="majorBidi"/>
      <w:b/>
      <w:sz w:val="26"/>
      <w:szCs w:val="26"/>
      <w:u w:val="single"/>
    </w:rPr>
  </w:style>
  <w:style w:type="character" w:customStyle="1" w:styleId="Heading3Char">
    <w:name w:val="Heading 3 Char"/>
    <w:basedOn w:val="DefaultParagraphFont"/>
    <w:link w:val="Heading3"/>
    <w:uiPriority w:val="9"/>
    <w:rsid w:val="001D7809"/>
    <w:rPr>
      <w:rFonts w:ascii="Times New Roman" w:eastAsiaTheme="majorEastAsia" w:hAnsi="Times New Roman" w:cstheme="majorBidi"/>
      <w:b/>
      <w:i/>
      <w:sz w:val="24"/>
      <w:szCs w:val="24"/>
      <w:u w:val="single"/>
    </w:rPr>
  </w:style>
  <w:style w:type="paragraph" w:styleId="IntenseQuote">
    <w:name w:val="Intense Quote"/>
    <w:basedOn w:val="Normal"/>
    <w:next w:val="Normal"/>
    <w:link w:val="IntenseQuoteChar"/>
    <w:autoRedefine/>
    <w:uiPriority w:val="30"/>
    <w:qFormat/>
    <w:rsid w:val="00F61238"/>
    <w:pPr>
      <w:pBdr>
        <w:top w:val="single" w:sz="4" w:space="10" w:color="4472C4" w:themeColor="accent1"/>
        <w:bottom w:val="single" w:sz="4" w:space="10" w:color="4472C4" w:themeColor="accent1"/>
      </w:pBdr>
      <w:spacing w:before="360" w:after="360"/>
      <w:ind w:left="864" w:right="864"/>
      <w:jc w:val="center"/>
    </w:pPr>
    <w:rPr>
      <w:rFonts w:ascii="Times New Roman" w:hAnsi="Times New Roman"/>
      <w:b/>
      <w:i/>
      <w:iCs/>
      <w:sz w:val="28"/>
    </w:rPr>
  </w:style>
  <w:style w:type="character" w:customStyle="1" w:styleId="IntenseQuoteChar">
    <w:name w:val="Intense Quote Char"/>
    <w:basedOn w:val="DefaultParagraphFont"/>
    <w:link w:val="IntenseQuote"/>
    <w:uiPriority w:val="30"/>
    <w:rsid w:val="00F61238"/>
    <w:rPr>
      <w:rFonts w:ascii="Times New Roman" w:hAnsi="Times New Roman"/>
      <w:b/>
      <w:i/>
      <w:iCs/>
      <w:sz w:val="28"/>
    </w:rPr>
  </w:style>
  <w:style w:type="paragraph" w:styleId="TOCHeading">
    <w:name w:val="TOC Heading"/>
    <w:basedOn w:val="Heading1"/>
    <w:next w:val="Normal"/>
    <w:uiPriority w:val="39"/>
    <w:unhideWhenUsed/>
    <w:qFormat/>
    <w:rsid w:val="00DF77AB"/>
    <w:pPr>
      <w:outlineLvl w:val="9"/>
    </w:pPr>
    <w:rPr>
      <w:rFonts w:asciiTheme="majorHAnsi" w:eastAsiaTheme="majorEastAsia" w:hAnsiTheme="majorHAnsi"/>
      <w:b w:val="0"/>
      <w:color w:val="2F5496" w:themeColor="accent1" w:themeShade="BF"/>
      <w:u w:val="none"/>
      <w:lang w:val="en-US"/>
    </w:rPr>
  </w:style>
  <w:style w:type="paragraph" w:styleId="TOC1">
    <w:name w:val="toc 1"/>
    <w:basedOn w:val="Normal"/>
    <w:next w:val="Normal"/>
    <w:autoRedefine/>
    <w:uiPriority w:val="39"/>
    <w:unhideWhenUsed/>
    <w:rsid w:val="00DF77AB"/>
    <w:pPr>
      <w:spacing w:after="100"/>
    </w:pPr>
  </w:style>
  <w:style w:type="character" w:styleId="Hyperlink">
    <w:name w:val="Hyperlink"/>
    <w:basedOn w:val="DefaultParagraphFont"/>
    <w:uiPriority w:val="99"/>
    <w:unhideWhenUsed/>
    <w:rsid w:val="00DF77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9479710">
      <w:bodyDiv w:val="1"/>
      <w:marLeft w:val="0"/>
      <w:marRight w:val="0"/>
      <w:marTop w:val="0"/>
      <w:marBottom w:val="0"/>
      <w:divBdr>
        <w:top w:val="none" w:sz="0" w:space="0" w:color="auto"/>
        <w:left w:val="none" w:sz="0" w:space="0" w:color="auto"/>
        <w:bottom w:val="none" w:sz="0" w:space="0" w:color="auto"/>
        <w:right w:val="none" w:sz="0" w:space="0" w:color="auto"/>
      </w:divBdr>
    </w:div>
    <w:div w:id="1190489870">
      <w:bodyDiv w:val="1"/>
      <w:marLeft w:val="0"/>
      <w:marRight w:val="0"/>
      <w:marTop w:val="0"/>
      <w:marBottom w:val="0"/>
      <w:divBdr>
        <w:top w:val="none" w:sz="0" w:space="0" w:color="auto"/>
        <w:left w:val="none" w:sz="0" w:space="0" w:color="auto"/>
        <w:bottom w:val="none" w:sz="0" w:space="0" w:color="auto"/>
        <w:right w:val="none" w:sz="0" w:space="0" w:color="auto"/>
      </w:divBdr>
    </w:div>
    <w:div w:id="1214775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Tur16</b:Tag>
    <b:SourceType>JournalArticle</b:SourceType>
    <b:Guid>{EBF90E41-B24A-4629-A565-527FECE7191B}</b:Guid>
    <b:Author>
      <b:Author>
        <b:NameList>
          <b:Person>
            <b:Last>Turki</b:Last>
          </b:Person>
          <b:Person>
            <b:Last>Halouani</b:Last>
          </b:Person>
          <b:Person>
            <b:Last>Naoui</b:Last>
          </b:Person>
          <b:Person>
            <b:Last>Gassara</b:Last>
          </b:Person>
          <b:Person>
            <b:Last>Hamza</b:Last>
          </b:Person>
          <b:Person>
            <b:Last>Aloulou</b:Last>
          </b:Person>
          <b:Person>
            <b:Last>Amami</b:Last>
          </b:Person>
        </b:NameList>
      </b:Author>
    </b:Author>
    <b:Year>2016</b:Year>
    <b:RefOrder>2</b:RefOrder>
  </b:Source>
  <b:Source>
    <b:Tag>Jar20</b:Tag>
    <b:SourceType>JournalArticle</b:SourceType>
    <b:Guid>{E94083BE-43BB-431C-AD4F-ADD29521AEB7}</b:Guid>
    <b:Author>
      <b:Author>
        <b:NameList>
          <b:Person>
            <b:Last>Jargar</b:Last>
          </b:Person>
        </b:NameList>
      </b:Author>
    </b:Author>
    <b:Year>2020</b:Year>
    <b:RefOrder>3</b:RefOrder>
  </b:Source>
  <b:Source>
    <b:Tag>deF19</b:Tag>
    <b:SourceType>JournalArticle</b:SourceType>
    <b:Guid>{E80A1F7F-1A95-45FC-A8E1-02B777B86B8A}</b:Guid>
    <b:Author>
      <b:Author>
        <b:NameList>
          <b:Person>
            <b:Last>Freitas</b:Last>
            <b:First>de</b:First>
          </b:Person>
          <b:Person>
            <b:Last>Argôlo</b:Last>
          </b:Person>
          <b:Person>
            <b:Last>Valença</b:Last>
          </b:Person>
        </b:NameList>
      </b:Author>
    </b:Author>
    <b:Year>2019</b:Year>
    <b:RefOrder>1</b:RefOrder>
  </b:Source>
</b:Sources>
</file>

<file path=customXml/itemProps1.xml><?xml version="1.0" encoding="utf-8"?>
<ds:datastoreItem xmlns:ds="http://schemas.openxmlformats.org/officeDocument/2006/customXml" ds:itemID="{9B38A7D4-B315-B44A-8C2F-AA22DCFCD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1544</Words>
  <Characters>8804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Anisa ibrahim</cp:lastModifiedBy>
  <cp:revision>2</cp:revision>
  <dcterms:created xsi:type="dcterms:W3CDTF">2022-03-29T21:18:00Z</dcterms:created>
  <dcterms:modified xsi:type="dcterms:W3CDTF">2022-03-29T21:18:00Z</dcterms:modified>
</cp:coreProperties>
</file>