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DFFF381" w:rsidR="00B80501" w:rsidRDefault="4D8D5D0A">
      <w:pPr>
        <w:rPr>
          <w:rFonts w:hint="eastAsia"/>
        </w:rPr>
      </w:pPr>
      <w:r w:rsidRPr="0C207D64">
        <w:rPr>
          <w:b/>
          <w:bCs/>
        </w:rPr>
        <w:t>Name:</w:t>
      </w:r>
      <w:r>
        <w:t xml:space="preserve"> </w:t>
      </w:r>
      <w:r w:rsidR="0E65D4A6">
        <w:t xml:space="preserve">Abibat Laura Bamidele Bamidele </w:t>
      </w:r>
      <w:r w:rsidR="3747C8BB">
        <w:t xml:space="preserve"> </w:t>
      </w:r>
    </w:p>
    <w:p w14:paraId="31ED26D8" w14:textId="217A0B3E" w:rsidR="2018FF0E" w:rsidRDefault="2018FF0E">
      <w:pPr>
        <w:rPr>
          <w:rFonts w:hint="eastAsia"/>
        </w:rPr>
      </w:pPr>
      <w:r>
        <w:t xml:space="preserve"> </w:t>
      </w:r>
      <w:r w:rsidRPr="0C207D64">
        <w:rPr>
          <w:b/>
        </w:rPr>
        <w:t>Student ID</w:t>
      </w:r>
      <w:r>
        <w:t>: 2513925</w:t>
      </w:r>
      <w:r w:rsidR="40060FFA">
        <w:t xml:space="preserve">  </w:t>
      </w:r>
    </w:p>
    <w:p w14:paraId="5BF1B318" w14:textId="5B26B9C6" w:rsidR="2018FF0E" w:rsidRDefault="40060FFA">
      <w:pPr>
        <w:rPr>
          <w:rFonts w:hint="eastAsia"/>
        </w:rPr>
      </w:pPr>
      <w:r>
        <w:t xml:space="preserve"> </w:t>
      </w:r>
      <w:r w:rsidR="117EC099" w:rsidRPr="0C207D64">
        <w:rPr>
          <w:b/>
          <w:bCs/>
        </w:rPr>
        <w:t>Module Code:</w:t>
      </w:r>
      <w:r w:rsidRPr="0C207D64">
        <w:rPr>
          <w:b/>
          <w:bCs/>
        </w:rPr>
        <w:t xml:space="preserve"> </w:t>
      </w:r>
      <w:r w:rsidR="5714C54F">
        <w:t>LCHS4003</w:t>
      </w:r>
    </w:p>
    <w:p w14:paraId="1B5A320C" w14:textId="74A719E1" w:rsidR="5714C54F" w:rsidRDefault="5714C54F" w:rsidP="0C207D64">
      <w:pPr>
        <w:rPr>
          <w:rFonts w:hint="eastAsia"/>
          <w:b/>
          <w:bCs/>
        </w:rPr>
      </w:pPr>
      <w:r w:rsidRPr="0C207D64">
        <w:rPr>
          <w:b/>
          <w:bCs/>
        </w:rPr>
        <w:t>Module Title: I</w:t>
      </w:r>
      <w:r>
        <w:t>ntroduction to health and social care</w:t>
      </w:r>
      <w:r w:rsidRPr="0C207D64">
        <w:rPr>
          <w:b/>
          <w:bCs/>
        </w:rPr>
        <w:t xml:space="preserve"> </w:t>
      </w:r>
    </w:p>
    <w:p w14:paraId="1D457DC0" w14:textId="032661FB" w:rsidR="0C207D64" w:rsidRDefault="0C207D64" w:rsidP="0C207D64">
      <w:pPr>
        <w:rPr>
          <w:rFonts w:hint="eastAsia"/>
          <w:b/>
          <w:bCs/>
        </w:rPr>
      </w:pPr>
    </w:p>
    <w:p w14:paraId="03AE22F8" w14:textId="7CC365BC" w:rsidR="00AA310E" w:rsidRPr="00AA310E" w:rsidRDefault="32693CBA" w:rsidP="0A5DC3BE">
      <w:pPr>
        <w:rPr>
          <w:rFonts w:hint="eastAsia"/>
          <w:b/>
          <w:bCs/>
        </w:rPr>
      </w:pPr>
      <w:r w:rsidRPr="0EB863F2">
        <w:t xml:space="preserve"> </w:t>
      </w:r>
      <w:r w:rsidR="33BA6C83" w:rsidRPr="0A5DC3BE">
        <w:rPr>
          <w:lang w:val="en-GB"/>
        </w:rPr>
        <w:t>Community Mental Health Services</w:t>
      </w:r>
      <w:r w:rsidR="4032DC3B" w:rsidRPr="0A5DC3BE">
        <w:rPr>
          <w:lang w:val="en-GB"/>
        </w:rPr>
        <w:t>l</w:t>
      </w:r>
    </w:p>
    <w:p w14:paraId="4A8042E2" w14:textId="77777777" w:rsidR="00AA310E" w:rsidRPr="00AA310E" w:rsidRDefault="00AA310E" w:rsidP="00AA310E">
      <w:pPr>
        <w:spacing w:before="100" w:beforeAutospacing="1" w:after="100" w:afterAutospacing="1" w:line="240" w:lineRule="auto"/>
        <w:outlineLvl w:val="2"/>
        <w:rPr>
          <w:rFonts w:ascii="Times New Roman" w:eastAsia="Times New Roman" w:hAnsi="Times New Roman" w:cs="Times New Roman"/>
          <w:b/>
          <w:bCs/>
          <w:color w:val="000000"/>
          <w:sz w:val="27"/>
          <w:szCs w:val="27"/>
          <w:lang w:val="en-GB" w:eastAsia="en-GB"/>
        </w:rPr>
      </w:pPr>
      <w:r w:rsidRPr="00AA310E">
        <w:rPr>
          <w:rFonts w:ascii="Times New Roman" w:eastAsia="Times New Roman" w:hAnsi="Times New Roman" w:cs="Times New Roman"/>
          <w:b/>
          <w:bCs/>
          <w:i/>
          <w:iCs/>
          <w:color w:val="000000"/>
          <w:sz w:val="27"/>
          <w:szCs w:val="27"/>
          <w:lang w:val="en-GB" w:eastAsia="en-GB"/>
        </w:rPr>
        <w:t>Supporting Mental Wellbeing in the Community</w:t>
      </w:r>
    </w:p>
    <w:p w14:paraId="3592BA2F" w14:textId="77777777" w:rsidR="00AA310E" w:rsidRPr="00AA310E" w:rsidRDefault="00AA310E" w:rsidP="00AA310E">
      <w:pPr>
        <w:spacing w:after="0" w:line="240" w:lineRule="auto"/>
        <w:rPr>
          <w:rFonts w:ascii="Times New Roman" w:eastAsia="Times New Roman" w:hAnsi="Times New Roman" w:cs="Times New Roman"/>
          <w:color w:val="000000"/>
          <w:lang w:val="en-GB" w:eastAsia="en-GB"/>
        </w:rPr>
      </w:pPr>
      <w:r w:rsidRPr="00AA310E">
        <w:rPr>
          <w:rFonts w:ascii="Times New Roman" w:eastAsia="Times New Roman" w:hAnsi="Times New Roman" w:cs="Times New Roman"/>
          <w:noProof/>
          <w:color w:val="000000"/>
          <w:lang w:val="en-GB" w:eastAsia="en-GB"/>
        </w:rPr>
        <w:drawing>
          <wp:inline distT="0" distB="0" distL="0" distR="0" wp14:anchorId="6926A2B2" wp14:editId="5ADE6358">
            <wp:extent cx="2422618" cy="1866392"/>
            <wp:effectExtent l="127000" t="127000" r="269875" b="267335"/>
            <wp:docPr id="955680874" name="Picture 5">
              <a:extLst xmlns:a="http://schemas.openxmlformats.org/drawingml/2006/main">
                <a:ext uri="{FF2B5EF4-FFF2-40B4-BE49-F238E27FC236}">
                  <a16:creationId xmlns:a16="http://schemas.microsoft.com/office/drawing/2014/main" id="{D31C6EB1-7B2A-43EF-8BAD-6C05955749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tretch>
                      <a:fillRect/>
                    </a:stretch>
                  </pic:blipFill>
                  <pic:spPr bwMode="auto">
                    <a:xfrm>
                      <a:off x="0" y="0"/>
                      <a:ext cx="2423284" cy="1866905"/>
                    </a:xfrm>
                    <a:prstGeom prst="rect">
                      <a:avLst/>
                    </a:prstGeom>
                    <a:ln w="127000" cap="sq">
                      <a:solidFill>
                        <a:srgbClr val="000000"/>
                      </a:solidFill>
                      <a:miter lim="800000"/>
                    </a:ln>
                    <a:effectLst>
                      <a:outerShdw blurRad="50800" dist="1143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58FD6DFF" w14:textId="77777777" w:rsidR="00AA310E" w:rsidRPr="00AA310E" w:rsidRDefault="00AA310E" w:rsidP="00AA310E">
      <w:pPr>
        <w:spacing w:after="0" w:line="240" w:lineRule="auto"/>
        <w:rPr>
          <w:rFonts w:ascii="Times New Roman" w:eastAsia="Times New Roman" w:hAnsi="Times New Roman" w:cs="Times New Roman"/>
          <w:color w:val="000000"/>
          <w:lang w:val="en-GB" w:eastAsia="en-GB"/>
        </w:rPr>
      </w:pPr>
      <w:r w:rsidRPr="00AA310E">
        <w:rPr>
          <w:rFonts w:ascii="Times New Roman" w:eastAsia="Times New Roman" w:hAnsi="Times New Roman" w:cs="Times New Roman"/>
          <w:noProof/>
          <w:color w:val="000000"/>
          <w:lang w:val="en-GB" w:eastAsia="en-GB"/>
        </w:rPr>
        <w:drawing>
          <wp:inline distT="0" distB="0" distL="0" distR="0" wp14:anchorId="4C710274" wp14:editId="32E4589A">
            <wp:extent cx="2870447" cy="1700784"/>
            <wp:effectExtent l="0" t="0" r="0" b="1270"/>
            <wp:docPr id="2131571346" name="Picture 4">
              <a:extLst xmlns:a="http://schemas.openxmlformats.org/drawingml/2006/main">
                <a:ext uri="{FF2B5EF4-FFF2-40B4-BE49-F238E27FC236}">
                  <a16:creationId xmlns:a16="http://schemas.microsoft.com/office/drawing/2014/main" id="{EB7ADC3E-EFBD-4724-80B0-10E56E4D1A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874698" cy="1703303"/>
                    </a:xfrm>
                    <a:prstGeom prst="rect">
                      <a:avLst/>
                    </a:prstGeom>
                    <a:noFill/>
                    <a:ln>
                      <a:noFill/>
                    </a:ln>
                  </pic:spPr>
                </pic:pic>
              </a:graphicData>
            </a:graphic>
          </wp:inline>
        </w:drawing>
      </w:r>
    </w:p>
    <w:p w14:paraId="0D71B013" w14:textId="4B61475E" w:rsidR="00AA310E" w:rsidRPr="00AA310E" w:rsidRDefault="00AA310E" w:rsidP="00AA310E">
      <w:pPr>
        <w:spacing w:after="0" w:line="240" w:lineRule="auto"/>
        <w:rPr>
          <w:rFonts w:ascii="Times New Roman" w:eastAsia="Times New Roman" w:hAnsi="Times New Roman" w:cs="Times New Roman"/>
          <w:color w:val="000000"/>
          <w:lang w:val="en-GB" w:eastAsia="en-GB"/>
        </w:rPr>
      </w:pPr>
    </w:p>
    <w:p w14:paraId="5D7C739C" w14:textId="6DFBCFBD" w:rsidR="00AA310E" w:rsidRPr="00AA310E" w:rsidRDefault="00AA310E" w:rsidP="00AA310E">
      <w:pPr>
        <w:spacing w:after="0" w:line="240" w:lineRule="auto"/>
        <w:rPr>
          <w:rFonts w:ascii="Times New Roman" w:eastAsia="Times New Roman" w:hAnsi="Times New Roman" w:cs="Times New Roman"/>
          <w:color w:val="000000"/>
          <w:lang w:val="en-GB" w:eastAsia="en-GB"/>
        </w:rPr>
      </w:pPr>
    </w:p>
    <w:p w14:paraId="0A6C160B" w14:textId="77777777" w:rsidR="00AA310E" w:rsidRPr="00AA310E" w:rsidRDefault="00AA310E" w:rsidP="00AA310E">
      <w:pPr>
        <w:spacing w:after="0" w:line="240" w:lineRule="auto"/>
        <w:rPr>
          <w:rFonts w:ascii="Times New Roman" w:eastAsia="Times New Roman" w:hAnsi="Times New Roman" w:cs="Times New Roman"/>
          <w:lang w:val="en-GB" w:eastAsia="en-GB"/>
        </w:rPr>
      </w:pPr>
      <w:r w:rsidRPr="00AA310E">
        <w:rPr>
          <w:rFonts w:ascii="Times New Roman" w:eastAsia="Times New Roman" w:hAnsi="Times New Roman" w:cs="Times New Roman"/>
          <w:noProof/>
          <w:lang w:val="en-GB" w:eastAsia="en-GB"/>
        </w:rPr>
        <mc:AlternateContent>
          <mc:Choice Requires="wps">
            <w:drawing>
              <wp:inline distT="0" distB="0" distL="0" distR="0" wp14:anchorId="0A415C8A" wp14:editId="0887BF27">
                <wp:extent cx="5943600" cy="1270"/>
                <wp:effectExtent l="0" t="33655" r="0" b="38735"/>
                <wp:docPr id="1309451202" name="Rectangle 1">
                  <a:extLst xmlns:a="http://schemas.openxmlformats.org/drawingml/2006/main">
                    <a:ext uri="{FF2B5EF4-FFF2-40B4-BE49-F238E27FC236}">
                      <a16:creationId xmlns:a16="http://schemas.microsoft.com/office/drawing/2014/main" id="{3E330BA0-DBF9-4FA1-A522-DF3E64E59E18}"/>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16="http://schemas.microsoft.com/office/drawing/2014/main" xmlns:a="http://schemas.openxmlformats.org/drawingml/2006/main">
            <w:pict>
              <v:rect id="Rectangle 1"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0D358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o:lock v:ext="edit" aspectratio="t"/>
                <w10:anchorlock/>
              </v:rect>
            </w:pict>
          </mc:Fallback>
        </mc:AlternateContent>
      </w:r>
    </w:p>
    <w:p w14:paraId="6F966CD3" w14:textId="77777777" w:rsidR="00AA310E" w:rsidRPr="00AA310E" w:rsidRDefault="00AA310E" w:rsidP="00AA310E">
      <w:pPr>
        <w:spacing w:before="100" w:beforeAutospacing="1" w:after="100" w:afterAutospacing="1" w:line="240" w:lineRule="auto"/>
        <w:outlineLvl w:val="1"/>
        <w:rPr>
          <w:rFonts w:ascii="Times New Roman" w:eastAsia="Times New Roman" w:hAnsi="Times New Roman" w:cs="Times New Roman"/>
          <w:b/>
          <w:bCs/>
          <w:color w:val="000000"/>
          <w:sz w:val="36"/>
          <w:szCs w:val="36"/>
          <w:lang w:val="en-GB" w:eastAsia="en-GB"/>
        </w:rPr>
      </w:pPr>
      <w:r w:rsidRPr="00AA310E">
        <w:rPr>
          <w:rFonts w:ascii="Times New Roman" w:eastAsia="Times New Roman" w:hAnsi="Times New Roman" w:cs="Times New Roman"/>
          <w:b/>
          <w:bCs/>
          <w:color w:val="000000"/>
          <w:sz w:val="36"/>
          <w:szCs w:val="36"/>
          <w:lang w:val="en-GB" w:eastAsia="en-GB"/>
        </w:rPr>
        <w:t>1. What Are Community Mental Health Services?</w:t>
      </w:r>
    </w:p>
    <w:p w14:paraId="78D9C9C5" w14:textId="77777777" w:rsidR="00AA310E" w:rsidRPr="00AA310E" w:rsidRDefault="00AA310E" w:rsidP="00AA310E">
      <w:pPr>
        <w:spacing w:before="100" w:beforeAutospacing="1" w:after="100" w:afterAutospacing="1" w:line="240" w:lineRule="auto"/>
        <w:rPr>
          <w:rFonts w:ascii="Times New Roman" w:hAnsi="Times New Roman" w:cs="Times New Roman"/>
          <w:color w:val="000000"/>
          <w:lang w:val="en-GB" w:eastAsia="en-GB"/>
        </w:rPr>
      </w:pPr>
      <w:r w:rsidRPr="00AA310E">
        <w:rPr>
          <w:rFonts w:ascii="Times New Roman" w:hAnsi="Times New Roman" w:cs="Times New Roman"/>
          <w:b/>
          <w:bCs/>
          <w:color w:val="000000"/>
          <w:lang w:val="en-GB" w:eastAsia="en-GB"/>
        </w:rPr>
        <w:t>Community Mental Health Services (CMHS)</w:t>
      </w:r>
      <w:r w:rsidRPr="00AA310E">
        <w:rPr>
          <w:rFonts w:ascii="Times New Roman" w:hAnsi="Times New Roman" w:cs="Times New Roman"/>
          <w:color w:val="000000"/>
          <w:lang w:val="en-GB" w:eastAsia="en-GB"/>
        </w:rPr>
        <w:t> are healthcare services designed to support individuals experiencing mental health difficulties while enabling them to live independently within their communities. Unlike inpatient or hospital-based care, CMHS provide </w:t>
      </w:r>
      <w:r w:rsidRPr="00AA310E">
        <w:rPr>
          <w:rFonts w:ascii="Times New Roman" w:hAnsi="Times New Roman" w:cs="Times New Roman"/>
          <w:b/>
          <w:bCs/>
          <w:color w:val="000000"/>
          <w:lang w:val="en-GB" w:eastAsia="en-GB"/>
        </w:rPr>
        <w:t>accessible, person-centred, and holistic mental health support</w:t>
      </w:r>
      <w:r w:rsidRPr="00AA310E">
        <w:rPr>
          <w:rFonts w:ascii="Times New Roman" w:hAnsi="Times New Roman" w:cs="Times New Roman"/>
          <w:color w:val="000000"/>
          <w:lang w:val="en-GB" w:eastAsia="en-GB"/>
        </w:rPr>
        <w:t> delivered in community settings such as GP surgeries, clinics, patients’ homes, and local organisations (NHS England, 2022).</w:t>
      </w:r>
    </w:p>
    <w:p w14:paraId="561E72CA" w14:textId="77777777" w:rsidR="00AA310E" w:rsidRDefault="00AA310E" w:rsidP="00AA310E">
      <w:pPr>
        <w:spacing w:before="100" w:beforeAutospacing="1" w:after="100" w:afterAutospacing="1" w:line="240" w:lineRule="auto"/>
        <w:rPr>
          <w:rFonts w:ascii="Times New Roman" w:hAnsi="Times New Roman" w:cs="Times New Roman"/>
          <w:color w:val="000000"/>
          <w:lang w:val="en-GB" w:eastAsia="en-GB"/>
        </w:rPr>
      </w:pPr>
      <w:r w:rsidRPr="00AA310E">
        <w:rPr>
          <w:rFonts w:ascii="Times New Roman" w:hAnsi="Times New Roman" w:cs="Times New Roman"/>
          <w:color w:val="000000"/>
          <w:lang w:val="en-GB" w:eastAsia="en-GB"/>
        </w:rPr>
        <w:t>These services support people with </w:t>
      </w:r>
      <w:r w:rsidRPr="00AA310E">
        <w:rPr>
          <w:rFonts w:ascii="Times New Roman" w:hAnsi="Times New Roman" w:cs="Times New Roman"/>
          <w:b/>
          <w:bCs/>
          <w:color w:val="000000"/>
          <w:lang w:val="en-GB" w:eastAsia="en-GB"/>
        </w:rPr>
        <w:t>common mental health conditions</w:t>
      </w:r>
      <w:r w:rsidRPr="00AA310E">
        <w:rPr>
          <w:rFonts w:ascii="Times New Roman" w:hAnsi="Times New Roman" w:cs="Times New Roman"/>
          <w:color w:val="000000"/>
          <w:lang w:val="en-GB" w:eastAsia="en-GB"/>
        </w:rPr>
        <w:t> (e.g. anxiety and depression) as well as </w:t>
      </w:r>
      <w:r w:rsidRPr="00AA310E">
        <w:rPr>
          <w:rFonts w:ascii="Times New Roman" w:hAnsi="Times New Roman" w:cs="Times New Roman"/>
          <w:b/>
          <w:bCs/>
          <w:color w:val="000000"/>
          <w:lang w:val="en-GB" w:eastAsia="en-GB"/>
        </w:rPr>
        <w:t>severe and enduring mental illnesses</w:t>
      </w:r>
      <w:r w:rsidRPr="00AA310E">
        <w:rPr>
          <w:rFonts w:ascii="Times New Roman" w:hAnsi="Times New Roman" w:cs="Times New Roman"/>
          <w:color w:val="000000"/>
          <w:lang w:val="en-GB" w:eastAsia="en-GB"/>
        </w:rPr>
        <w:t> such as schizophrenia, bipolar disorder, and complex personality disorders (WHO, 2021). CMHS aim to promote recovery, reduce hospital admissions, and enhance quality of life by addressing not only psychological needs but also social, cultural, and environmental factors that influence mental wellbeing (Bowers et al., 2018).</w:t>
      </w:r>
    </w:p>
    <w:p w14:paraId="481308BF" w14:textId="77777777" w:rsidR="0017748E" w:rsidRDefault="0017748E" w:rsidP="00AA310E">
      <w:pPr>
        <w:spacing w:before="100" w:beforeAutospacing="1" w:after="100" w:afterAutospacing="1" w:line="240" w:lineRule="auto"/>
        <w:rPr>
          <w:rFonts w:ascii="Times New Roman" w:hAnsi="Times New Roman" w:cs="Times New Roman"/>
          <w:color w:val="000000"/>
          <w:lang w:val="en-GB" w:eastAsia="en-GB"/>
        </w:rPr>
      </w:pPr>
    </w:p>
    <w:p w14:paraId="33137F9F" w14:textId="77777777" w:rsidR="005401BF" w:rsidRPr="005401BF" w:rsidRDefault="005401BF" w:rsidP="005401BF">
      <w:pPr>
        <w:spacing w:before="100" w:beforeAutospacing="1" w:after="100" w:afterAutospacing="1" w:line="240" w:lineRule="auto"/>
        <w:rPr>
          <w:rFonts w:ascii="Times New Roman" w:hAnsi="Times New Roman" w:cs="Times New Roman"/>
          <w:color w:val="000000"/>
          <w:lang w:val="en-GB" w:eastAsia="en-GB"/>
        </w:rPr>
      </w:pPr>
      <w:r w:rsidRPr="005401BF">
        <w:rPr>
          <w:rFonts w:ascii="Times New Roman" w:hAnsi="Times New Roman" w:cs="Times New Roman"/>
          <w:b/>
          <w:bCs/>
          <w:color w:val="000000"/>
          <w:lang w:val="en-GB" w:eastAsia="en-GB"/>
        </w:rPr>
        <w:t>Key principles of CMHS include:</w:t>
      </w:r>
    </w:p>
    <w:p w14:paraId="0E13B4F5" w14:textId="77777777" w:rsidR="005401BF" w:rsidRPr="005401BF" w:rsidRDefault="005401BF" w:rsidP="005401BF">
      <w:pPr>
        <w:numPr>
          <w:ilvl w:val="0"/>
          <w:numId w:val="2"/>
        </w:numPr>
        <w:spacing w:before="100" w:beforeAutospacing="1" w:after="100" w:afterAutospacing="1" w:line="240" w:lineRule="auto"/>
        <w:rPr>
          <w:rFonts w:ascii="Times New Roman" w:hAnsi="Times New Roman" w:cs="Times New Roman"/>
          <w:color w:val="000000"/>
          <w:lang w:val="en-GB" w:eastAsia="en-GB"/>
        </w:rPr>
      </w:pPr>
      <w:r w:rsidRPr="005401BF">
        <w:rPr>
          <w:rFonts w:ascii="Times New Roman" w:hAnsi="Times New Roman" w:cs="Times New Roman"/>
          <w:color w:val="000000"/>
          <w:lang w:val="en-GB" w:eastAsia="en-GB"/>
        </w:rPr>
        <w:t>Recovery-focused care</w:t>
      </w:r>
    </w:p>
    <w:p w14:paraId="2511C557" w14:textId="77777777" w:rsidR="005401BF" w:rsidRPr="005401BF" w:rsidRDefault="005401BF" w:rsidP="005401BF">
      <w:pPr>
        <w:numPr>
          <w:ilvl w:val="0"/>
          <w:numId w:val="2"/>
        </w:numPr>
        <w:spacing w:before="100" w:beforeAutospacing="1" w:after="100" w:afterAutospacing="1" w:line="240" w:lineRule="auto"/>
        <w:rPr>
          <w:rFonts w:ascii="Times New Roman" w:hAnsi="Times New Roman" w:cs="Times New Roman"/>
          <w:color w:val="000000"/>
          <w:lang w:val="en-GB" w:eastAsia="en-GB"/>
        </w:rPr>
      </w:pPr>
      <w:r w:rsidRPr="005401BF">
        <w:rPr>
          <w:rFonts w:ascii="Times New Roman" w:hAnsi="Times New Roman" w:cs="Times New Roman"/>
          <w:color w:val="000000"/>
          <w:lang w:val="en-GB" w:eastAsia="en-GB"/>
        </w:rPr>
        <w:t>Early intervention and prevention</w:t>
      </w:r>
    </w:p>
    <w:p w14:paraId="35CC6622" w14:textId="77777777" w:rsidR="005401BF" w:rsidRPr="005401BF" w:rsidRDefault="005401BF" w:rsidP="005401BF">
      <w:pPr>
        <w:numPr>
          <w:ilvl w:val="0"/>
          <w:numId w:val="2"/>
        </w:numPr>
        <w:spacing w:before="100" w:beforeAutospacing="1" w:after="100" w:afterAutospacing="1" w:line="240" w:lineRule="auto"/>
        <w:rPr>
          <w:rFonts w:ascii="Times New Roman" w:hAnsi="Times New Roman" w:cs="Times New Roman"/>
          <w:color w:val="000000"/>
          <w:lang w:val="en-GB" w:eastAsia="en-GB"/>
        </w:rPr>
      </w:pPr>
      <w:r w:rsidRPr="005401BF">
        <w:rPr>
          <w:rFonts w:ascii="Times New Roman" w:hAnsi="Times New Roman" w:cs="Times New Roman"/>
          <w:color w:val="000000"/>
          <w:lang w:val="en-GB" w:eastAsia="en-GB"/>
        </w:rPr>
        <w:t>Multidisciplinary collaboration</w:t>
      </w:r>
    </w:p>
    <w:p w14:paraId="7D7703C9" w14:textId="77777777" w:rsidR="005401BF" w:rsidRPr="005401BF" w:rsidRDefault="005401BF" w:rsidP="005401BF">
      <w:pPr>
        <w:numPr>
          <w:ilvl w:val="0"/>
          <w:numId w:val="2"/>
        </w:numPr>
        <w:spacing w:before="100" w:beforeAutospacing="1" w:after="100" w:afterAutospacing="1" w:line="240" w:lineRule="auto"/>
        <w:rPr>
          <w:rFonts w:ascii="Times New Roman" w:hAnsi="Times New Roman" w:cs="Times New Roman"/>
          <w:color w:val="000000"/>
          <w:lang w:val="en-GB" w:eastAsia="en-GB"/>
        </w:rPr>
      </w:pPr>
      <w:r w:rsidRPr="005401BF">
        <w:rPr>
          <w:rFonts w:ascii="Times New Roman" w:hAnsi="Times New Roman" w:cs="Times New Roman"/>
          <w:color w:val="000000"/>
          <w:lang w:val="en-GB" w:eastAsia="en-GB"/>
        </w:rPr>
        <w:t>Service user empowerment</w:t>
      </w:r>
    </w:p>
    <w:p w14:paraId="59D92344" w14:textId="77777777" w:rsidR="005401BF" w:rsidRPr="005401BF" w:rsidRDefault="005401BF" w:rsidP="005401BF">
      <w:pPr>
        <w:spacing w:after="0" w:line="240" w:lineRule="auto"/>
        <w:rPr>
          <w:rFonts w:ascii="Times New Roman" w:eastAsia="Times New Roman" w:hAnsi="Times New Roman" w:cs="Times New Roman"/>
          <w:lang w:val="en-GB" w:eastAsia="en-GB"/>
        </w:rPr>
      </w:pPr>
      <w:r w:rsidRPr="005401BF">
        <w:rPr>
          <w:rFonts w:ascii="Times New Roman" w:eastAsia="Times New Roman" w:hAnsi="Times New Roman" w:cs="Times New Roman"/>
          <w:noProof/>
          <w:lang w:val="en-GB" w:eastAsia="en-GB"/>
        </w:rPr>
        <mc:AlternateContent>
          <mc:Choice Requires="wps">
            <w:drawing>
              <wp:inline distT="0" distB="0" distL="0" distR="0" wp14:anchorId="4559923B" wp14:editId="184BACAA">
                <wp:extent cx="5943600" cy="1270"/>
                <wp:effectExtent l="0" t="31750" r="0" b="36830"/>
                <wp:docPr id="688149270" name="Rectangle 2">
                  <a:extLst xmlns:a="http://schemas.openxmlformats.org/drawingml/2006/main">
                    <a:ext uri="{FF2B5EF4-FFF2-40B4-BE49-F238E27FC236}">
                      <a16:creationId xmlns:a16="http://schemas.microsoft.com/office/drawing/2014/main" id="{67A13CA5-3017-48ED-A442-921F8506285A}"/>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16="http://schemas.microsoft.com/office/drawing/2014/main" xmlns:a="http://schemas.openxmlformats.org/drawingml/2006/main">
            <w:pict>
              <v:rect id="Rectangle 2"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B61DE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o:lock v:ext="edit" aspectratio="t"/>
                <w10:anchorlock/>
              </v:rect>
            </w:pict>
          </mc:Fallback>
        </mc:AlternateContent>
      </w:r>
    </w:p>
    <w:p w14:paraId="7A2ABB18" w14:textId="77777777" w:rsidR="005401BF" w:rsidRPr="005401BF" w:rsidRDefault="005401BF" w:rsidP="005401BF">
      <w:pPr>
        <w:spacing w:before="100" w:beforeAutospacing="1" w:after="100" w:afterAutospacing="1" w:line="240" w:lineRule="auto"/>
        <w:outlineLvl w:val="1"/>
        <w:rPr>
          <w:rFonts w:ascii="Times New Roman" w:eastAsia="Times New Roman" w:hAnsi="Times New Roman" w:cs="Times New Roman"/>
          <w:b/>
          <w:bCs/>
          <w:color w:val="000000"/>
          <w:sz w:val="36"/>
          <w:szCs w:val="36"/>
          <w:lang w:val="en-GB" w:eastAsia="en-GB"/>
        </w:rPr>
      </w:pPr>
      <w:r w:rsidRPr="005401BF">
        <w:rPr>
          <w:rFonts w:ascii="Times New Roman" w:eastAsia="Times New Roman" w:hAnsi="Times New Roman" w:cs="Times New Roman"/>
          <w:b/>
          <w:bCs/>
          <w:color w:val="000000"/>
          <w:sz w:val="36"/>
          <w:szCs w:val="36"/>
          <w:lang w:val="en-GB" w:eastAsia="en-GB"/>
        </w:rPr>
        <w:t>2. Brief History of Community Mental Health Services</w:t>
      </w:r>
    </w:p>
    <w:p w14:paraId="54588E4A" w14:textId="77777777" w:rsidR="005401BF" w:rsidRPr="005401BF" w:rsidRDefault="005401BF" w:rsidP="005401BF">
      <w:pPr>
        <w:spacing w:before="100" w:beforeAutospacing="1" w:after="100" w:afterAutospacing="1" w:line="240" w:lineRule="auto"/>
        <w:rPr>
          <w:rFonts w:ascii="Times New Roman" w:hAnsi="Times New Roman" w:cs="Times New Roman"/>
          <w:color w:val="000000"/>
          <w:lang w:val="en-GB" w:eastAsia="en-GB"/>
        </w:rPr>
      </w:pPr>
      <w:r w:rsidRPr="005401BF">
        <w:rPr>
          <w:rFonts w:ascii="Times New Roman" w:hAnsi="Times New Roman" w:cs="Times New Roman"/>
          <w:color w:val="000000"/>
          <w:lang w:val="en-GB" w:eastAsia="en-GB"/>
        </w:rPr>
        <w:t>Historically, mental health care was delivered primarily through large psychiatric institutions or asylums, particularly during the 19th and early 20th centuries. These institutions often isolated individuals from society and were associated with stigma, poor living conditions, and limited therapeutic outcomes (Thornicroft and Tansella, 2013).</w:t>
      </w:r>
    </w:p>
    <w:p w14:paraId="64578F69" w14:textId="77777777" w:rsidR="005401BF" w:rsidRPr="005401BF" w:rsidRDefault="005401BF" w:rsidP="005401BF">
      <w:pPr>
        <w:spacing w:before="100" w:beforeAutospacing="1" w:after="100" w:afterAutospacing="1" w:line="240" w:lineRule="auto"/>
        <w:rPr>
          <w:rFonts w:ascii="Times New Roman" w:hAnsi="Times New Roman" w:cs="Times New Roman"/>
          <w:color w:val="000000"/>
          <w:lang w:val="en-GB" w:eastAsia="en-GB"/>
        </w:rPr>
      </w:pPr>
      <w:r w:rsidRPr="005401BF">
        <w:rPr>
          <w:rFonts w:ascii="Times New Roman" w:hAnsi="Times New Roman" w:cs="Times New Roman"/>
          <w:color w:val="000000"/>
          <w:lang w:val="en-GB" w:eastAsia="en-GB"/>
        </w:rPr>
        <w:t>From the </w:t>
      </w:r>
      <w:r w:rsidRPr="005401BF">
        <w:rPr>
          <w:rFonts w:ascii="Times New Roman" w:hAnsi="Times New Roman" w:cs="Times New Roman"/>
          <w:b/>
          <w:bCs/>
          <w:color w:val="000000"/>
          <w:lang w:val="en-GB" w:eastAsia="en-GB"/>
        </w:rPr>
        <w:t>1950s onwards</w:t>
      </w:r>
      <w:r w:rsidRPr="005401BF">
        <w:rPr>
          <w:rFonts w:ascii="Times New Roman" w:hAnsi="Times New Roman" w:cs="Times New Roman"/>
          <w:color w:val="000000"/>
          <w:lang w:val="en-GB" w:eastAsia="en-GB"/>
        </w:rPr>
        <w:t>, growing awareness of human rights, advances in psychotropic medication, and changing social attitudes led to a shift known as </w:t>
      </w:r>
      <w:r w:rsidRPr="005401BF">
        <w:rPr>
          <w:rFonts w:ascii="Times New Roman" w:hAnsi="Times New Roman" w:cs="Times New Roman"/>
          <w:b/>
          <w:bCs/>
          <w:color w:val="000000"/>
          <w:lang w:val="en-GB" w:eastAsia="en-GB"/>
        </w:rPr>
        <w:t>deinstitutionalisation</w:t>
      </w:r>
      <w:r w:rsidRPr="005401BF">
        <w:rPr>
          <w:rFonts w:ascii="Times New Roman" w:hAnsi="Times New Roman" w:cs="Times New Roman"/>
          <w:color w:val="000000"/>
          <w:lang w:val="en-GB" w:eastAsia="en-GB"/>
        </w:rPr>
        <w:t>. Governments began closing long-stay psychiatric hospitals and investing in community-based alternatives (WHO, 2014).</w:t>
      </w:r>
    </w:p>
    <w:p w14:paraId="0E25A9E1" w14:textId="77777777" w:rsidR="005401BF" w:rsidRPr="005401BF" w:rsidRDefault="005401BF" w:rsidP="005401BF">
      <w:pPr>
        <w:spacing w:before="100" w:beforeAutospacing="1" w:after="100" w:afterAutospacing="1" w:line="240" w:lineRule="auto"/>
        <w:rPr>
          <w:rFonts w:ascii="Times New Roman" w:hAnsi="Times New Roman" w:cs="Times New Roman"/>
          <w:color w:val="000000"/>
          <w:lang w:val="en-GB" w:eastAsia="en-GB"/>
        </w:rPr>
      </w:pPr>
      <w:r w:rsidRPr="005401BF">
        <w:rPr>
          <w:rFonts w:ascii="Times New Roman" w:hAnsi="Times New Roman" w:cs="Times New Roman"/>
          <w:color w:val="000000"/>
          <w:lang w:val="en-GB" w:eastAsia="en-GB"/>
        </w:rPr>
        <w:t>In the UK, this transition accelerated following the </w:t>
      </w:r>
      <w:r w:rsidRPr="005401BF">
        <w:rPr>
          <w:rFonts w:ascii="Times New Roman" w:hAnsi="Times New Roman" w:cs="Times New Roman"/>
          <w:b/>
          <w:bCs/>
          <w:color w:val="000000"/>
          <w:lang w:val="en-GB" w:eastAsia="en-GB"/>
        </w:rPr>
        <w:t>Mental Health Act 1959</w:t>
      </w:r>
      <w:r w:rsidRPr="005401BF">
        <w:rPr>
          <w:rFonts w:ascii="Times New Roman" w:hAnsi="Times New Roman" w:cs="Times New Roman"/>
          <w:color w:val="000000"/>
          <w:lang w:val="en-GB" w:eastAsia="en-GB"/>
        </w:rPr>
        <w:t> and later the </w:t>
      </w:r>
      <w:r w:rsidRPr="005401BF">
        <w:rPr>
          <w:rFonts w:ascii="Times New Roman" w:hAnsi="Times New Roman" w:cs="Times New Roman"/>
          <w:b/>
          <w:bCs/>
          <w:color w:val="000000"/>
          <w:lang w:val="en-GB" w:eastAsia="en-GB"/>
        </w:rPr>
        <w:t>Care in the Community policy</w:t>
      </w:r>
      <w:r w:rsidRPr="005401BF">
        <w:rPr>
          <w:rFonts w:ascii="Times New Roman" w:hAnsi="Times New Roman" w:cs="Times New Roman"/>
          <w:color w:val="000000"/>
          <w:lang w:val="en-GB" w:eastAsia="en-GB"/>
        </w:rPr>
        <w:t> of the 1980s and 1990s. These reforms emphasised supporting individuals within society rather than isolating them in institutions (NHS England, 2022).</w:t>
      </w:r>
    </w:p>
    <w:p w14:paraId="55F2E472" w14:textId="77777777" w:rsidR="005401BF" w:rsidRPr="005401BF" w:rsidRDefault="005401BF" w:rsidP="005401BF">
      <w:pPr>
        <w:spacing w:before="100" w:beforeAutospacing="1" w:after="100" w:afterAutospacing="1" w:line="240" w:lineRule="auto"/>
        <w:rPr>
          <w:rFonts w:ascii="Times New Roman" w:hAnsi="Times New Roman" w:cs="Times New Roman"/>
          <w:color w:val="000000"/>
          <w:lang w:val="en-GB" w:eastAsia="en-GB"/>
        </w:rPr>
      </w:pPr>
      <w:r w:rsidRPr="005401BF">
        <w:rPr>
          <w:rFonts w:ascii="Times New Roman" w:hAnsi="Times New Roman" w:cs="Times New Roman"/>
          <w:color w:val="000000"/>
          <w:lang w:val="en-GB" w:eastAsia="en-GB"/>
        </w:rPr>
        <w:t>Today, CMHS are recognised internationally as a </w:t>
      </w:r>
      <w:r w:rsidRPr="005401BF">
        <w:rPr>
          <w:rFonts w:ascii="Times New Roman" w:hAnsi="Times New Roman" w:cs="Times New Roman"/>
          <w:b/>
          <w:bCs/>
          <w:color w:val="000000"/>
          <w:lang w:val="en-GB" w:eastAsia="en-GB"/>
        </w:rPr>
        <w:t>best-practice model</w:t>
      </w:r>
      <w:r w:rsidRPr="005401BF">
        <w:rPr>
          <w:rFonts w:ascii="Times New Roman" w:hAnsi="Times New Roman" w:cs="Times New Roman"/>
          <w:color w:val="000000"/>
          <w:lang w:val="en-GB" w:eastAsia="en-GB"/>
        </w:rPr>
        <w:t> for delivering equitable, effective, and humane mental health care (WHO, 2021).</w:t>
      </w:r>
    </w:p>
    <w:p w14:paraId="6232BCBC" w14:textId="77777777" w:rsidR="005401BF" w:rsidRPr="005401BF" w:rsidRDefault="005401BF" w:rsidP="005401BF">
      <w:pPr>
        <w:spacing w:after="0" w:line="240" w:lineRule="auto"/>
        <w:rPr>
          <w:rFonts w:ascii="Times New Roman" w:eastAsia="Times New Roman" w:hAnsi="Times New Roman" w:cs="Times New Roman"/>
          <w:lang w:val="en-GB" w:eastAsia="en-GB"/>
        </w:rPr>
      </w:pPr>
      <w:r w:rsidRPr="005401BF">
        <w:rPr>
          <w:rFonts w:ascii="Times New Roman" w:eastAsia="Times New Roman" w:hAnsi="Times New Roman" w:cs="Times New Roman"/>
          <w:noProof/>
          <w:lang w:val="en-GB" w:eastAsia="en-GB"/>
        </w:rPr>
        <mc:AlternateContent>
          <mc:Choice Requires="wps">
            <w:drawing>
              <wp:inline distT="0" distB="0" distL="0" distR="0" wp14:anchorId="2A2BB752" wp14:editId="6A249C27">
                <wp:extent cx="5943600" cy="1270"/>
                <wp:effectExtent l="0" t="31750" r="0" b="36830"/>
                <wp:docPr id="353403433" name="Rectangle 1">
                  <a:extLst xmlns:a="http://schemas.openxmlformats.org/drawingml/2006/main">
                    <a:ext uri="{FF2B5EF4-FFF2-40B4-BE49-F238E27FC236}">
                      <a16:creationId xmlns:a16="http://schemas.microsoft.com/office/drawing/2014/main" id="{A5BDB1BB-01C7-4833-9769-920C83300CE3}"/>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16="http://schemas.microsoft.com/office/drawing/2014/main" xmlns:a="http://schemas.openxmlformats.org/drawingml/2006/main">
            <w:pict>
              <v:rect id="Rectangle 1"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CD49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o:lock v:ext="edit" aspectratio="t"/>
                <w10:anchorlock/>
              </v:rect>
            </w:pict>
          </mc:Fallback>
        </mc:AlternateContent>
      </w:r>
    </w:p>
    <w:p w14:paraId="4F7F5189" w14:textId="77777777" w:rsidR="005401BF" w:rsidRPr="005401BF" w:rsidRDefault="005401BF" w:rsidP="005401BF">
      <w:pPr>
        <w:spacing w:before="100" w:beforeAutospacing="1" w:after="100" w:afterAutospacing="1" w:line="240" w:lineRule="auto"/>
        <w:outlineLvl w:val="1"/>
        <w:rPr>
          <w:rFonts w:ascii="Times New Roman" w:eastAsia="Times New Roman" w:hAnsi="Times New Roman" w:cs="Times New Roman"/>
          <w:b/>
          <w:bCs/>
          <w:color w:val="000000"/>
          <w:sz w:val="36"/>
          <w:szCs w:val="36"/>
          <w:lang w:val="en-GB" w:eastAsia="en-GB"/>
        </w:rPr>
      </w:pPr>
      <w:r w:rsidRPr="005401BF">
        <w:rPr>
          <w:rFonts w:ascii="Times New Roman" w:eastAsia="Times New Roman" w:hAnsi="Times New Roman" w:cs="Times New Roman"/>
          <w:b/>
          <w:bCs/>
          <w:color w:val="000000"/>
          <w:sz w:val="36"/>
          <w:szCs w:val="36"/>
          <w:lang w:val="en-GB" w:eastAsia="en-GB"/>
        </w:rPr>
        <w:t>3. How Do Community Mental Health Services Function Today?</w:t>
      </w:r>
    </w:p>
    <w:p w14:paraId="633584D0" w14:textId="77777777" w:rsidR="004C5C27" w:rsidRDefault="005401BF" w:rsidP="005401BF">
      <w:pPr>
        <w:spacing w:before="100" w:beforeAutospacing="1" w:after="100" w:afterAutospacing="1" w:line="240" w:lineRule="auto"/>
        <w:rPr>
          <w:rFonts w:ascii="Times New Roman" w:hAnsi="Times New Roman" w:cs="Times New Roman"/>
          <w:color w:val="000000"/>
          <w:lang w:val="en-GB" w:eastAsia="en-GB"/>
        </w:rPr>
      </w:pPr>
      <w:r w:rsidRPr="005401BF">
        <w:rPr>
          <w:rFonts w:ascii="Times New Roman" w:hAnsi="Times New Roman" w:cs="Times New Roman"/>
          <w:color w:val="000000"/>
          <w:lang w:val="en-GB" w:eastAsia="en-GB"/>
        </w:rPr>
        <w:t>Modern community mental health services operate through </w:t>
      </w:r>
      <w:r w:rsidRPr="005401BF">
        <w:rPr>
          <w:rFonts w:ascii="Times New Roman" w:hAnsi="Times New Roman" w:cs="Times New Roman"/>
          <w:b/>
          <w:bCs/>
          <w:color w:val="000000"/>
          <w:lang w:val="en-GB" w:eastAsia="en-GB"/>
        </w:rPr>
        <w:t>integrated, multidisciplinary teams (MDTs)</w:t>
      </w:r>
      <w:r w:rsidRPr="005401BF">
        <w:rPr>
          <w:rFonts w:ascii="Times New Roman" w:hAnsi="Times New Roman" w:cs="Times New Roman"/>
          <w:color w:val="000000"/>
          <w:lang w:val="en-GB" w:eastAsia="en-GB"/>
        </w:rPr>
        <w:t> that work collaboratively to address complex mental health needs</w:t>
      </w:r>
    </w:p>
    <w:p w14:paraId="7280EE73" w14:textId="77777777" w:rsidR="004C5C27" w:rsidRPr="004C5C27" w:rsidRDefault="004C5C27" w:rsidP="004C5C27">
      <w:pPr>
        <w:spacing w:before="100" w:beforeAutospacing="1" w:after="100" w:afterAutospacing="1" w:line="240" w:lineRule="auto"/>
        <w:outlineLvl w:val="2"/>
        <w:rPr>
          <w:rFonts w:ascii="Times New Roman" w:eastAsia="Times New Roman" w:hAnsi="Times New Roman" w:cs="Times New Roman"/>
          <w:b/>
          <w:bCs/>
          <w:color w:val="000000"/>
          <w:sz w:val="27"/>
          <w:szCs w:val="27"/>
          <w:lang w:val="en-GB" w:eastAsia="en-GB"/>
        </w:rPr>
      </w:pPr>
      <w:r w:rsidRPr="004C5C27">
        <w:rPr>
          <w:rFonts w:ascii="Times New Roman" w:eastAsia="Times New Roman" w:hAnsi="Times New Roman" w:cs="Times New Roman"/>
          <w:b/>
          <w:bCs/>
          <w:color w:val="000000"/>
          <w:sz w:val="27"/>
          <w:szCs w:val="27"/>
          <w:lang w:val="en-GB" w:eastAsia="en-GB"/>
        </w:rPr>
        <w:t>Core Components of CMHS</w:t>
      </w:r>
    </w:p>
    <w:p w14:paraId="57489B33"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b/>
          <w:bCs/>
          <w:color w:val="000000"/>
          <w:lang w:val="en-GB" w:eastAsia="en-GB"/>
        </w:rPr>
        <w:t>Multidisciplinary Teams typically include:</w:t>
      </w:r>
    </w:p>
    <w:p w14:paraId="1776E340" w14:textId="77777777" w:rsidR="004C5C27" w:rsidRPr="004C5C27" w:rsidRDefault="004C5C27" w:rsidP="004C5C27">
      <w:pPr>
        <w:numPr>
          <w:ilvl w:val="0"/>
          <w:numId w:val="3"/>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Community psychiatric nurses</w:t>
      </w:r>
    </w:p>
    <w:p w14:paraId="46F8BB0F" w14:textId="77777777" w:rsidR="004C5C27" w:rsidRPr="004C5C27" w:rsidRDefault="004C5C27" w:rsidP="004C5C27">
      <w:pPr>
        <w:numPr>
          <w:ilvl w:val="0"/>
          <w:numId w:val="3"/>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Psychiatrists</w:t>
      </w:r>
    </w:p>
    <w:p w14:paraId="4F2CF9C0" w14:textId="77777777" w:rsidR="004C5C27" w:rsidRPr="004C5C27" w:rsidRDefault="004C5C27" w:rsidP="004C5C27">
      <w:pPr>
        <w:numPr>
          <w:ilvl w:val="0"/>
          <w:numId w:val="3"/>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Clinical psychologists</w:t>
      </w:r>
    </w:p>
    <w:p w14:paraId="0B7629A6" w14:textId="77777777" w:rsidR="004C5C27" w:rsidRPr="004C5C27" w:rsidRDefault="004C5C27" w:rsidP="004C5C27">
      <w:pPr>
        <w:numPr>
          <w:ilvl w:val="0"/>
          <w:numId w:val="3"/>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Social workers</w:t>
      </w:r>
    </w:p>
    <w:p w14:paraId="4F287230" w14:textId="77777777" w:rsidR="004C5C27" w:rsidRPr="004C5C27" w:rsidRDefault="004C5C27" w:rsidP="004C5C27">
      <w:pPr>
        <w:numPr>
          <w:ilvl w:val="0"/>
          <w:numId w:val="3"/>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Occupational therapists</w:t>
      </w:r>
    </w:p>
    <w:p w14:paraId="5DB16DB5" w14:textId="77777777" w:rsidR="004C5C27" w:rsidRPr="004C5C27" w:rsidRDefault="004C5C27" w:rsidP="004C5C27">
      <w:pPr>
        <w:numPr>
          <w:ilvl w:val="0"/>
          <w:numId w:val="3"/>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Support workers</w:t>
      </w:r>
    </w:p>
    <w:p w14:paraId="7ACAA386"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b/>
          <w:bCs/>
          <w:color w:val="000000"/>
          <w:lang w:val="en-GB" w:eastAsia="en-GB"/>
        </w:rPr>
        <w:t>Services commonly provided:</w:t>
      </w:r>
    </w:p>
    <w:p w14:paraId="4AF045AA" w14:textId="77777777" w:rsidR="004C5C27" w:rsidRPr="004C5C27" w:rsidRDefault="004C5C27" w:rsidP="004C5C27">
      <w:pPr>
        <w:numPr>
          <w:ilvl w:val="0"/>
          <w:numId w:val="4"/>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Mental health assessments and diagnosis</w:t>
      </w:r>
    </w:p>
    <w:p w14:paraId="7EAD5981" w14:textId="77777777" w:rsidR="004C5C27" w:rsidRPr="004C5C27" w:rsidRDefault="004C5C27" w:rsidP="004C5C27">
      <w:pPr>
        <w:numPr>
          <w:ilvl w:val="0"/>
          <w:numId w:val="4"/>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Psychological therapies (e.g. CBT)</w:t>
      </w:r>
    </w:p>
    <w:p w14:paraId="5B4FA665" w14:textId="77777777" w:rsidR="004C5C27" w:rsidRPr="004C5C27" w:rsidRDefault="004C5C27" w:rsidP="004C5C27">
      <w:pPr>
        <w:numPr>
          <w:ilvl w:val="0"/>
          <w:numId w:val="4"/>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Medication management</w:t>
      </w:r>
    </w:p>
    <w:p w14:paraId="19AF4630" w14:textId="77777777" w:rsidR="004C5C27" w:rsidRPr="004C5C27" w:rsidRDefault="004C5C27" w:rsidP="004C5C27">
      <w:pPr>
        <w:numPr>
          <w:ilvl w:val="0"/>
          <w:numId w:val="4"/>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Crisis intervention and home treatment</w:t>
      </w:r>
    </w:p>
    <w:p w14:paraId="74245C93" w14:textId="77777777" w:rsidR="004C5C27" w:rsidRPr="004C5C27" w:rsidRDefault="004C5C27" w:rsidP="004C5C27">
      <w:pPr>
        <w:numPr>
          <w:ilvl w:val="0"/>
          <w:numId w:val="4"/>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Social support (housing, employment, benefits)</w:t>
      </w:r>
    </w:p>
    <w:p w14:paraId="32007BFF"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CMHS often collaborate with </w:t>
      </w:r>
      <w:r w:rsidRPr="004C5C27">
        <w:rPr>
          <w:rFonts w:ascii="Times New Roman" w:hAnsi="Times New Roman" w:cs="Times New Roman"/>
          <w:b/>
          <w:bCs/>
          <w:color w:val="000000"/>
          <w:lang w:val="en-GB" w:eastAsia="en-GB"/>
        </w:rPr>
        <w:t>primary care, voluntary organisations, housing services, and social care</w:t>
      </w:r>
      <w:r w:rsidRPr="004C5C27">
        <w:rPr>
          <w:rFonts w:ascii="Times New Roman" w:hAnsi="Times New Roman" w:cs="Times New Roman"/>
          <w:color w:val="000000"/>
          <w:lang w:val="en-GB" w:eastAsia="en-GB"/>
        </w:rPr>
        <w:t>, ensuring continuity and holistic support (Bowers et al., 2018).</w:t>
      </w:r>
    </w:p>
    <w:p w14:paraId="57A1C492"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Service users are actively involved in </w:t>
      </w:r>
      <w:r w:rsidRPr="004C5C27">
        <w:rPr>
          <w:rFonts w:ascii="Times New Roman" w:hAnsi="Times New Roman" w:cs="Times New Roman"/>
          <w:b/>
          <w:bCs/>
          <w:color w:val="000000"/>
          <w:lang w:val="en-GB" w:eastAsia="en-GB"/>
        </w:rPr>
        <w:t>care planning and decision-making</w:t>
      </w:r>
      <w:r w:rsidRPr="004C5C27">
        <w:rPr>
          <w:rFonts w:ascii="Times New Roman" w:hAnsi="Times New Roman" w:cs="Times New Roman"/>
          <w:color w:val="000000"/>
          <w:lang w:val="en-GB" w:eastAsia="en-GB"/>
        </w:rPr>
        <w:t>, reflecting a recovery-oriented approach that values autonomy, dignity, and lived experience (Slade et al., 2014).</w:t>
      </w:r>
    </w:p>
    <w:p w14:paraId="73FEF432" w14:textId="77777777" w:rsidR="004C5C27" w:rsidRPr="004C5C27" w:rsidRDefault="004C5C27" w:rsidP="004C5C27">
      <w:pPr>
        <w:spacing w:after="0" w:line="240" w:lineRule="auto"/>
        <w:rPr>
          <w:rFonts w:ascii="Times New Roman" w:eastAsia="Times New Roman" w:hAnsi="Times New Roman" w:cs="Times New Roman"/>
          <w:lang w:val="en-GB" w:eastAsia="en-GB"/>
        </w:rPr>
      </w:pPr>
      <w:r w:rsidRPr="004C5C27">
        <w:rPr>
          <w:rFonts w:ascii="Times New Roman" w:eastAsia="Times New Roman" w:hAnsi="Times New Roman" w:cs="Times New Roman"/>
          <w:noProof/>
          <w:lang w:val="en-GB" w:eastAsia="en-GB"/>
        </w:rPr>
        <mc:AlternateContent>
          <mc:Choice Requires="wps">
            <w:drawing>
              <wp:inline distT="0" distB="0" distL="0" distR="0" wp14:anchorId="20411470" wp14:editId="7BB9E2A1">
                <wp:extent cx="5943600" cy="1270"/>
                <wp:effectExtent l="0" t="31750" r="0" b="36830"/>
                <wp:docPr id="2094929267" name="Rectangle 8">
                  <a:extLst xmlns:a="http://schemas.openxmlformats.org/drawingml/2006/main">
                    <a:ext uri="{FF2B5EF4-FFF2-40B4-BE49-F238E27FC236}">
                      <a16:creationId xmlns:a16="http://schemas.microsoft.com/office/drawing/2014/main" id="{4862B592-3E2C-4EBC-B453-BE5AE7CEDF80}"/>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16="http://schemas.microsoft.com/office/drawing/2014/main" xmlns:a="http://schemas.openxmlformats.org/drawingml/2006/main">
            <w:pict>
              <v:rect id="Rectangle 8"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3621F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o:lock v:ext="edit" aspectratio="t"/>
                <w10:anchorlock/>
              </v:rect>
            </w:pict>
          </mc:Fallback>
        </mc:AlternateContent>
      </w:r>
    </w:p>
    <w:p w14:paraId="16EB163B" w14:textId="77777777" w:rsidR="004C5C27" w:rsidRPr="004C5C27" w:rsidRDefault="004C5C27" w:rsidP="004C5C27">
      <w:pPr>
        <w:spacing w:before="100" w:beforeAutospacing="1" w:after="100" w:afterAutospacing="1" w:line="240" w:lineRule="auto"/>
        <w:outlineLvl w:val="1"/>
        <w:rPr>
          <w:rFonts w:ascii="Times New Roman" w:eastAsia="Times New Roman" w:hAnsi="Times New Roman" w:cs="Times New Roman"/>
          <w:b/>
          <w:bCs/>
          <w:color w:val="000000"/>
          <w:sz w:val="36"/>
          <w:szCs w:val="36"/>
          <w:lang w:val="en-GB" w:eastAsia="en-GB"/>
        </w:rPr>
      </w:pPr>
      <w:r w:rsidRPr="004C5C27">
        <w:rPr>
          <w:rFonts w:ascii="Times New Roman" w:eastAsia="Times New Roman" w:hAnsi="Times New Roman" w:cs="Times New Roman"/>
          <w:b/>
          <w:bCs/>
          <w:color w:val="000000"/>
          <w:sz w:val="36"/>
          <w:szCs w:val="36"/>
          <w:lang w:val="en-GB" w:eastAsia="en-GB"/>
        </w:rPr>
        <w:t>4. Key Challenges Facing Community Mental Health Services</w:t>
      </w:r>
    </w:p>
    <w:p w14:paraId="53C096D8" w14:textId="77777777" w:rsidR="004C5C27" w:rsidRPr="004C5C27" w:rsidRDefault="004C5C27" w:rsidP="004C5C27">
      <w:pPr>
        <w:spacing w:after="0" w:line="240" w:lineRule="auto"/>
        <w:rPr>
          <w:rFonts w:ascii="Times New Roman" w:eastAsia="Times New Roman" w:hAnsi="Times New Roman" w:cs="Times New Roman"/>
          <w:color w:val="000000"/>
          <w:lang w:val="en-GB" w:eastAsia="en-GB"/>
        </w:rPr>
      </w:pPr>
      <w:r w:rsidRPr="004C5C27">
        <w:rPr>
          <w:rFonts w:ascii="Times New Roman" w:eastAsia="Times New Roman" w:hAnsi="Times New Roman" w:cs="Times New Roman"/>
          <w:noProof/>
          <w:color w:val="000000"/>
          <w:lang w:val="en-GB" w:eastAsia="en-GB"/>
        </w:rPr>
        <w:drawing>
          <wp:inline distT="0" distB="0" distL="0" distR="0" wp14:anchorId="25382CF1" wp14:editId="2F66C46B">
            <wp:extent cx="6272530" cy="4470219"/>
            <wp:effectExtent l="0" t="0" r="1270" b="635"/>
            <wp:docPr id="1670837356" name="Picture 7">
              <a:extLst xmlns:a="http://schemas.openxmlformats.org/drawingml/2006/main">
                <a:ext uri="{FF2B5EF4-FFF2-40B4-BE49-F238E27FC236}">
                  <a16:creationId xmlns:a16="http://schemas.microsoft.com/office/drawing/2014/main" id="{A1C5D418-C2E7-4A93-96F3-1A54D5461C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6272784" cy="4470400"/>
                    </a:xfrm>
                    <a:prstGeom prst="rect">
                      <a:avLst/>
                    </a:prstGeom>
                    <a:noFill/>
                    <a:ln>
                      <a:noFill/>
                    </a:ln>
                  </pic:spPr>
                </pic:pic>
              </a:graphicData>
            </a:graphic>
          </wp:inline>
        </w:drawing>
      </w:r>
    </w:p>
    <w:p w14:paraId="1E67CC44" w14:textId="77777777" w:rsidR="004C5C27" w:rsidRPr="004C5C27" w:rsidRDefault="004C5C27" w:rsidP="004C5C27">
      <w:pPr>
        <w:spacing w:after="0" w:line="240" w:lineRule="auto"/>
        <w:rPr>
          <w:rFonts w:ascii="Times New Roman" w:eastAsia="Times New Roman" w:hAnsi="Times New Roman" w:cs="Times New Roman"/>
          <w:color w:val="000000"/>
          <w:lang w:val="en-GB" w:eastAsia="en-GB"/>
        </w:rPr>
      </w:pPr>
      <w:r w:rsidRPr="004C5C27">
        <w:rPr>
          <w:rFonts w:ascii="Times New Roman" w:eastAsia="Times New Roman" w:hAnsi="Times New Roman" w:cs="Times New Roman"/>
          <w:noProof/>
          <w:color w:val="000000"/>
          <w:lang w:val="en-GB" w:eastAsia="en-GB"/>
        </w:rPr>
        <w:drawing>
          <wp:inline distT="0" distB="0" distL="0" distR="0" wp14:anchorId="45E6D7D8" wp14:editId="01D4EEA5">
            <wp:extent cx="5413247" cy="2706624"/>
            <wp:effectExtent l="0" t="0" r="0" b="0"/>
            <wp:docPr id="424400478" name="Picture 6">
              <a:extLst xmlns:a="http://schemas.openxmlformats.org/drawingml/2006/main">
                <a:ext uri="{FF2B5EF4-FFF2-40B4-BE49-F238E27FC236}">
                  <a16:creationId xmlns:a16="http://schemas.microsoft.com/office/drawing/2014/main" id="{4383EE4F-5B53-4ECF-B619-1969EE1201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413995" cy="2706998"/>
                    </a:xfrm>
                    <a:prstGeom prst="rect">
                      <a:avLst/>
                    </a:prstGeom>
                    <a:noFill/>
                    <a:ln>
                      <a:noFill/>
                    </a:ln>
                  </pic:spPr>
                </pic:pic>
              </a:graphicData>
            </a:graphic>
          </wp:inline>
        </w:drawing>
      </w:r>
    </w:p>
    <w:p w14:paraId="0F14007B" w14:textId="77777777" w:rsidR="004C5C27" w:rsidRPr="004C5C27" w:rsidRDefault="004C5C27" w:rsidP="004C5C27">
      <w:pPr>
        <w:spacing w:after="0" w:line="240" w:lineRule="auto"/>
        <w:rPr>
          <w:rFonts w:ascii="Times New Roman" w:eastAsia="Times New Roman" w:hAnsi="Times New Roman" w:cs="Times New Roman"/>
          <w:color w:val="000000"/>
          <w:lang w:val="en-GB" w:eastAsia="en-GB"/>
        </w:rPr>
      </w:pPr>
      <w:r w:rsidRPr="004C5C27">
        <w:rPr>
          <w:rFonts w:ascii="Times New Roman" w:eastAsia="Times New Roman" w:hAnsi="Times New Roman" w:cs="Times New Roman"/>
          <w:noProof/>
          <w:color w:val="000000"/>
          <w:lang w:val="en-GB" w:eastAsia="en-GB"/>
        </w:rPr>
        <w:drawing>
          <wp:inline distT="0" distB="0" distL="0" distR="0" wp14:anchorId="6AD53817" wp14:editId="60D3E045">
            <wp:extent cx="4015110" cy="2670048"/>
            <wp:effectExtent l="0" t="0" r="0" b="0"/>
            <wp:docPr id="186141825" name="Picture 5">
              <a:extLst xmlns:a="http://schemas.openxmlformats.org/drawingml/2006/main">
                <a:ext uri="{FF2B5EF4-FFF2-40B4-BE49-F238E27FC236}">
                  <a16:creationId xmlns:a16="http://schemas.microsoft.com/office/drawing/2014/main" id="{1F50BE8A-595E-401A-B1ED-C2C9A646CF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015110" cy="2670048"/>
                    </a:xfrm>
                    <a:prstGeom prst="rect">
                      <a:avLst/>
                    </a:prstGeom>
                    <a:noFill/>
                    <a:ln>
                      <a:noFill/>
                    </a:ln>
                  </pic:spPr>
                </pic:pic>
              </a:graphicData>
            </a:graphic>
          </wp:inline>
        </w:drawing>
      </w:r>
    </w:p>
    <w:p w14:paraId="0D6335DE" w14:textId="77777777" w:rsidR="004C5C27" w:rsidRPr="004C5C27" w:rsidRDefault="004C5C27" w:rsidP="004C5C27">
      <w:pPr>
        <w:spacing w:before="100" w:beforeAutospacing="1" w:after="100" w:afterAutospacing="1" w:line="240" w:lineRule="auto"/>
        <w:outlineLvl w:val="2"/>
        <w:rPr>
          <w:rFonts w:ascii="Times New Roman" w:eastAsia="Times New Roman" w:hAnsi="Times New Roman" w:cs="Times New Roman"/>
          <w:b/>
          <w:bCs/>
          <w:color w:val="000000"/>
          <w:sz w:val="27"/>
          <w:szCs w:val="27"/>
          <w:lang w:val="en-GB" w:eastAsia="en-GB"/>
        </w:rPr>
      </w:pPr>
      <w:r w:rsidRPr="004C5C27">
        <w:rPr>
          <w:rFonts w:ascii="Times New Roman" w:eastAsia="Times New Roman" w:hAnsi="Times New Roman" w:cs="Times New Roman"/>
          <w:b/>
          <w:bCs/>
          <w:color w:val="000000"/>
          <w:sz w:val="27"/>
          <w:szCs w:val="27"/>
          <w:lang w:val="en-GB" w:eastAsia="en-GB"/>
        </w:rPr>
        <w:t>Challenge 1: Resource and Workforce Shortages</w:t>
      </w:r>
    </w:p>
    <w:p w14:paraId="32164E8E"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One of the most significant challenges facing CMHS is </w:t>
      </w:r>
      <w:r w:rsidRPr="004C5C27">
        <w:rPr>
          <w:rFonts w:ascii="Times New Roman" w:hAnsi="Times New Roman" w:cs="Times New Roman"/>
          <w:b/>
          <w:bCs/>
          <w:color w:val="000000"/>
          <w:lang w:val="en-GB" w:eastAsia="en-GB"/>
        </w:rPr>
        <w:t>underfunding and staff shortages</w:t>
      </w:r>
      <w:r w:rsidRPr="004C5C27">
        <w:rPr>
          <w:rFonts w:ascii="Times New Roman" w:hAnsi="Times New Roman" w:cs="Times New Roman"/>
          <w:color w:val="000000"/>
          <w:lang w:val="en-GB" w:eastAsia="en-GB"/>
        </w:rPr>
        <w:t>. Rising demand for mental health services has not been matched by equivalent increases in funding or workforce capacity (NHS Providers, 2023).</w:t>
      </w:r>
    </w:p>
    <w:p w14:paraId="1CD06D50"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As a result:</w:t>
      </w:r>
    </w:p>
    <w:p w14:paraId="02FE53BC" w14:textId="77777777" w:rsidR="004C5C27" w:rsidRPr="004C5C27" w:rsidRDefault="004C5C27" w:rsidP="004C5C27">
      <w:pPr>
        <w:numPr>
          <w:ilvl w:val="0"/>
          <w:numId w:val="6"/>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Caseloads are often unmanageably high</w:t>
      </w:r>
    </w:p>
    <w:p w14:paraId="71DEF337" w14:textId="77777777" w:rsidR="004C5C27" w:rsidRPr="004C5C27" w:rsidRDefault="004C5C27" w:rsidP="004C5C27">
      <w:pPr>
        <w:numPr>
          <w:ilvl w:val="0"/>
          <w:numId w:val="6"/>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Waiting times for assessments and therapy increase</w:t>
      </w:r>
    </w:p>
    <w:p w14:paraId="11256D5C" w14:textId="77777777" w:rsidR="004C5C27" w:rsidRPr="004C5C27" w:rsidRDefault="004C5C27" w:rsidP="004C5C27">
      <w:pPr>
        <w:numPr>
          <w:ilvl w:val="0"/>
          <w:numId w:val="6"/>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Staff experience burnout and reduced job satisfaction</w:t>
      </w:r>
    </w:p>
    <w:p w14:paraId="63E12DDF"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This can negatively impact the </w:t>
      </w:r>
      <w:r w:rsidRPr="004C5C27">
        <w:rPr>
          <w:rFonts w:ascii="Times New Roman" w:hAnsi="Times New Roman" w:cs="Times New Roman"/>
          <w:b/>
          <w:bCs/>
          <w:color w:val="000000"/>
          <w:lang w:val="en-GB" w:eastAsia="en-GB"/>
        </w:rPr>
        <w:t>quality and continuity of care</w:t>
      </w:r>
      <w:r w:rsidRPr="004C5C27">
        <w:rPr>
          <w:rFonts w:ascii="Times New Roman" w:hAnsi="Times New Roman" w:cs="Times New Roman"/>
          <w:color w:val="000000"/>
          <w:lang w:val="en-GB" w:eastAsia="en-GB"/>
        </w:rPr>
        <w:t>, undermining recovery outcomes for service users (BMA, 2022).</w:t>
      </w:r>
    </w:p>
    <w:p w14:paraId="50A9C0D7" w14:textId="77777777" w:rsidR="004C5C27" w:rsidRPr="004C5C27" w:rsidRDefault="004C5C27" w:rsidP="004C5C27">
      <w:pPr>
        <w:spacing w:after="0" w:line="240" w:lineRule="auto"/>
        <w:rPr>
          <w:rFonts w:ascii="Times New Roman" w:eastAsia="Times New Roman" w:hAnsi="Times New Roman" w:cs="Times New Roman"/>
          <w:lang w:val="en-GB" w:eastAsia="en-GB"/>
        </w:rPr>
      </w:pPr>
      <w:r w:rsidRPr="004C5C27">
        <w:rPr>
          <w:rFonts w:ascii="Times New Roman" w:eastAsia="Times New Roman" w:hAnsi="Times New Roman" w:cs="Times New Roman"/>
          <w:noProof/>
          <w:lang w:val="en-GB" w:eastAsia="en-GB"/>
        </w:rPr>
        <mc:AlternateContent>
          <mc:Choice Requires="wps">
            <w:drawing>
              <wp:inline distT="0" distB="0" distL="0" distR="0" wp14:anchorId="72C8F8B7" wp14:editId="22FA697C">
                <wp:extent cx="5943600" cy="1270"/>
                <wp:effectExtent l="0" t="31750" r="0" b="36830"/>
                <wp:docPr id="1662480398" name="Rectangle 4">
                  <a:extLst xmlns:a="http://schemas.openxmlformats.org/drawingml/2006/main">
                    <a:ext uri="{FF2B5EF4-FFF2-40B4-BE49-F238E27FC236}">
                      <a16:creationId xmlns:a16="http://schemas.microsoft.com/office/drawing/2014/main" id="{3D7BA770-A089-45B3-9E08-BBDA75CAD4C0}"/>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16="http://schemas.microsoft.com/office/drawing/2014/main" xmlns:a="http://schemas.openxmlformats.org/drawingml/2006/main">
            <w:pict>
              <v:rect id="Rectangle 4"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768923D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o:lock v:ext="edit" aspectratio="t"/>
                <w10:anchorlock/>
              </v:rect>
            </w:pict>
          </mc:Fallback>
        </mc:AlternateContent>
      </w:r>
    </w:p>
    <w:p w14:paraId="1B57E979" w14:textId="77777777" w:rsidR="004C5C27" w:rsidRPr="004C5C27" w:rsidRDefault="004C5C27" w:rsidP="004C5C27">
      <w:pPr>
        <w:spacing w:before="100" w:beforeAutospacing="1" w:after="100" w:afterAutospacing="1" w:line="240" w:lineRule="auto"/>
        <w:outlineLvl w:val="2"/>
        <w:rPr>
          <w:rFonts w:ascii="Times New Roman" w:eastAsia="Times New Roman" w:hAnsi="Times New Roman" w:cs="Times New Roman"/>
          <w:b/>
          <w:bCs/>
          <w:color w:val="000000"/>
          <w:sz w:val="27"/>
          <w:szCs w:val="27"/>
          <w:lang w:val="en-GB" w:eastAsia="en-GB"/>
        </w:rPr>
      </w:pPr>
      <w:r w:rsidRPr="004C5C27">
        <w:rPr>
          <w:rFonts w:ascii="Times New Roman" w:eastAsia="Times New Roman" w:hAnsi="Times New Roman" w:cs="Times New Roman"/>
          <w:b/>
          <w:bCs/>
          <w:color w:val="000000"/>
          <w:sz w:val="27"/>
          <w:szCs w:val="27"/>
          <w:lang w:val="en-GB" w:eastAsia="en-GB"/>
        </w:rPr>
        <w:t>Challenge 2: Inequalities in Access and Outcomes</w:t>
      </w:r>
    </w:p>
    <w:p w14:paraId="16A499FB"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Despite their community-based design, CMHS do not always provide </w:t>
      </w:r>
      <w:r w:rsidRPr="004C5C27">
        <w:rPr>
          <w:rFonts w:ascii="Times New Roman" w:hAnsi="Times New Roman" w:cs="Times New Roman"/>
          <w:b/>
          <w:bCs/>
          <w:color w:val="000000"/>
          <w:lang w:val="en-GB" w:eastAsia="en-GB"/>
        </w:rPr>
        <w:t>equitable access</w:t>
      </w:r>
      <w:r w:rsidRPr="004C5C27">
        <w:rPr>
          <w:rFonts w:ascii="Times New Roman" w:hAnsi="Times New Roman" w:cs="Times New Roman"/>
          <w:color w:val="000000"/>
          <w:lang w:val="en-GB" w:eastAsia="en-GB"/>
        </w:rPr>
        <w:t> for all populations. Individuals from ethnic minority backgrounds, socially disadvantaged communities, and rural areas often face barriers to accessing timely and culturally appropriate care (WHO, 2021).</w:t>
      </w:r>
    </w:p>
    <w:p w14:paraId="43B3EF8D"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Contributing factors include:</w:t>
      </w:r>
    </w:p>
    <w:p w14:paraId="68F9C4FE" w14:textId="77777777" w:rsidR="004C5C27" w:rsidRPr="004C5C27" w:rsidRDefault="004C5C27" w:rsidP="004C5C27">
      <w:pPr>
        <w:numPr>
          <w:ilvl w:val="0"/>
          <w:numId w:val="5"/>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Stigma and mistrust of services</w:t>
      </w:r>
    </w:p>
    <w:p w14:paraId="51073D22" w14:textId="77777777" w:rsidR="004C5C27" w:rsidRPr="004C5C27" w:rsidRDefault="004C5C27" w:rsidP="004C5C27">
      <w:pPr>
        <w:numPr>
          <w:ilvl w:val="0"/>
          <w:numId w:val="5"/>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Language and cultural barriers</w:t>
      </w:r>
    </w:p>
    <w:p w14:paraId="1DC11AAB" w14:textId="77777777" w:rsidR="004C5C27" w:rsidRPr="004C5C27" w:rsidRDefault="004C5C27" w:rsidP="004C5C27">
      <w:pPr>
        <w:numPr>
          <w:ilvl w:val="0"/>
          <w:numId w:val="5"/>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Digital exclusion</w:t>
      </w:r>
    </w:p>
    <w:p w14:paraId="1428D962" w14:textId="77777777" w:rsidR="004C5C27" w:rsidRPr="004C5C27" w:rsidRDefault="004C5C27" w:rsidP="004C5C27">
      <w:pPr>
        <w:numPr>
          <w:ilvl w:val="0"/>
          <w:numId w:val="5"/>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Fragmented service pathways</w:t>
      </w:r>
    </w:p>
    <w:p w14:paraId="7E282E1C"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Addressing these inequalities remains a critical priority for the future development of community mental health care (Thornicroft et al., 2016).</w:t>
      </w:r>
    </w:p>
    <w:p w14:paraId="667DDA23" w14:textId="77777777" w:rsidR="004C5C27" w:rsidRPr="004C5C27" w:rsidRDefault="004C5C27" w:rsidP="004C5C27">
      <w:pPr>
        <w:spacing w:after="0" w:line="240" w:lineRule="auto"/>
        <w:rPr>
          <w:rFonts w:ascii="Times New Roman" w:eastAsia="Times New Roman" w:hAnsi="Times New Roman" w:cs="Times New Roman"/>
          <w:lang w:val="en-GB" w:eastAsia="en-GB"/>
        </w:rPr>
      </w:pPr>
      <w:r w:rsidRPr="004C5C27">
        <w:rPr>
          <w:rFonts w:ascii="Times New Roman" w:eastAsia="Times New Roman" w:hAnsi="Times New Roman" w:cs="Times New Roman"/>
          <w:noProof/>
          <w:lang w:val="en-GB" w:eastAsia="en-GB"/>
        </w:rPr>
        <mc:AlternateContent>
          <mc:Choice Requires="wps">
            <w:drawing>
              <wp:inline distT="0" distB="0" distL="0" distR="0" wp14:anchorId="7BAD8E30" wp14:editId="4C34C6F7">
                <wp:extent cx="5943600" cy="1270"/>
                <wp:effectExtent l="0" t="31750" r="0" b="36830"/>
                <wp:docPr id="243385087" name="Rectangle 3">
                  <a:extLst xmlns:a="http://schemas.openxmlformats.org/drawingml/2006/main">
                    <a:ext uri="{FF2B5EF4-FFF2-40B4-BE49-F238E27FC236}">
                      <a16:creationId xmlns:a16="http://schemas.microsoft.com/office/drawing/2014/main" id="{CC10AC22-7783-4AF6-B810-884CF49BC22A}"/>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16="http://schemas.microsoft.com/office/drawing/2014/main" xmlns:a="http://schemas.openxmlformats.org/drawingml/2006/main">
            <w:pict>
              <v:rect id="Rectangle 3"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20C3D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o:lock v:ext="edit" aspectratio="t"/>
                <w10:anchorlock/>
              </v:rect>
            </w:pict>
          </mc:Fallback>
        </mc:AlternateContent>
      </w:r>
    </w:p>
    <w:p w14:paraId="05265533" w14:textId="77777777" w:rsidR="004C5C27" w:rsidRPr="004C5C27" w:rsidRDefault="004C5C27" w:rsidP="004C5C27">
      <w:pPr>
        <w:spacing w:before="100" w:beforeAutospacing="1" w:after="100" w:afterAutospacing="1" w:line="240" w:lineRule="auto"/>
        <w:outlineLvl w:val="1"/>
        <w:rPr>
          <w:rFonts w:ascii="Times New Roman" w:eastAsia="Times New Roman" w:hAnsi="Times New Roman" w:cs="Times New Roman"/>
          <w:b/>
          <w:bCs/>
          <w:color w:val="000000"/>
          <w:sz w:val="36"/>
          <w:szCs w:val="36"/>
          <w:lang w:val="en-GB" w:eastAsia="en-GB"/>
        </w:rPr>
      </w:pPr>
      <w:r w:rsidRPr="004C5C27">
        <w:rPr>
          <w:rFonts w:ascii="Times New Roman" w:eastAsia="Times New Roman" w:hAnsi="Times New Roman" w:cs="Times New Roman"/>
          <w:b/>
          <w:bCs/>
          <w:color w:val="000000"/>
          <w:sz w:val="36"/>
          <w:szCs w:val="36"/>
          <w:lang w:val="en-GB" w:eastAsia="en-GB"/>
        </w:rPr>
        <w:t>5. Why Community Mental Health Services Matter</w:t>
      </w:r>
    </w:p>
    <w:p w14:paraId="2A9F28E5"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Community mental health services play a vital role in:</w:t>
      </w:r>
    </w:p>
    <w:p w14:paraId="36F0A8D7" w14:textId="77777777" w:rsidR="004C5C27" w:rsidRPr="004C5C27" w:rsidRDefault="004C5C27" w:rsidP="004C5C27">
      <w:pPr>
        <w:numPr>
          <w:ilvl w:val="0"/>
          <w:numId w:val="1"/>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Reducing hospital admissions</w:t>
      </w:r>
    </w:p>
    <w:p w14:paraId="498A1D2B" w14:textId="77777777" w:rsidR="004C5C27" w:rsidRPr="004C5C27" w:rsidRDefault="004C5C27" w:rsidP="004C5C27">
      <w:pPr>
        <w:numPr>
          <w:ilvl w:val="0"/>
          <w:numId w:val="1"/>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Supporting long-term recovery</w:t>
      </w:r>
    </w:p>
    <w:p w14:paraId="528DC506" w14:textId="77777777" w:rsidR="004C5C27" w:rsidRPr="004C5C27" w:rsidRDefault="004C5C27" w:rsidP="004C5C27">
      <w:pPr>
        <w:numPr>
          <w:ilvl w:val="0"/>
          <w:numId w:val="1"/>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Promoting social inclusion</w:t>
      </w:r>
    </w:p>
    <w:p w14:paraId="23CC5F2F" w14:textId="77777777" w:rsidR="004C5C27" w:rsidRPr="004C5C27" w:rsidRDefault="004C5C27" w:rsidP="004C5C27">
      <w:pPr>
        <w:numPr>
          <w:ilvl w:val="0"/>
          <w:numId w:val="1"/>
        </w:num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Improving population mental wellbeing</w:t>
      </w:r>
    </w:p>
    <w:p w14:paraId="726C460B"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Evidence shows that effective CMHS lead to </w:t>
      </w:r>
      <w:r w:rsidRPr="004C5C27">
        <w:rPr>
          <w:rFonts w:ascii="Times New Roman" w:hAnsi="Times New Roman" w:cs="Times New Roman"/>
          <w:b/>
          <w:bCs/>
          <w:color w:val="000000"/>
          <w:lang w:val="en-GB" w:eastAsia="en-GB"/>
        </w:rPr>
        <w:t>better clinical outcomes</w:t>
      </w:r>
      <w:r w:rsidRPr="004C5C27">
        <w:rPr>
          <w:rFonts w:ascii="Times New Roman" w:hAnsi="Times New Roman" w:cs="Times New Roman"/>
          <w:color w:val="000000"/>
          <w:lang w:val="en-GB" w:eastAsia="en-GB"/>
        </w:rPr>
        <w:t>, increased service user satisfaction, and more cost-effective care compared to institutional models (WHO, 2014).</w:t>
      </w:r>
    </w:p>
    <w:p w14:paraId="3EC80823" w14:textId="77777777" w:rsidR="004C5C27" w:rsidRPr="004C5C27" w:rsidRDefault="004C5C27" w:rsidP="004C5C27">
      <w:pPr>
        <w:spacing w:after="0" w:line="240" w:lineRule="auto"/>
        <w:rPr>
          <w:rFonts w:ascii="Times New Roman" w:eastAsia="Times New Roman" w:hAnsi="Times New Roman" w:cs="Times New Roman"/>
          <w:lang w:val="en-GB" w:eastAsia="en-GB"/>
        </w:rPr>
      </w:pPr>
      <w:r w:rsidRPr="004C5C27">
        <w:rPr>
          <w:rFonts w:ascii="Times New Roman" w:eastAsia="Times New Roman" w:hAnsi="Times New Roman" w:cs="Times New Roman"/>
          <w:noProof/>
          <w:lang w:val="en-GB" w:eastAsia="en-GB"/>
        </w:rPr>
        <mc:AlternateContent>
          <mc:Choice Requires="wps">
            <w:drawing>
              <wp:inline distT="0" distB="0" distL="0" distR="0" wp14:anchorId="1FC1D16B" wp14:editId="698BA79F">
                <wp:extent cx="5943600" cy="1270"/>
                <wp:effectExtent l="0" t="31750" r="0" b="36830"/>
                <wp:docPr id="1995221457" name="Rectangle 2">
                  <a:extLst xmlns:a="http://schemas.openxmlformats.org/drawingml/2006/main">
                    <a:ext uri="{FF2B5EF4-FFF2-40B4-BE49-F238E27FC236}">
                      <a16:creationId xmlns:a16="http://schemas.microsoft.com/office/drawing/2014/main" id="{AF8255E5-D78A-42E0-919A-29C5614E915F}"/>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16="http://schemas.microsoft.com/office/drawing/2014/main" xmlns:a="http://schemas.openxmlformats.org/drawingml/2006/main">
            <w:pict>
              <v:rect id="Rectangle 2"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708DF45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o:lock v:ext="edit" aspectratio="t"/>
                <w10:anchorlock/>
              </v:rect>
            </w:pict>
          </mc:Fallback>
        </mc:AlternateContent>
      </w:r>
    </w:p>
    <w:p w14:paraId="1AECEF06" w14:textId="77777777" w:rsidR="004C5C27" w:rsidRPr="004C5C27" w:rsidRDefault="004C5C27" w:rsidP="004C5C27">
      <w:pPr>
        <w:spacing w:before="100" w:beforeAutospacing="1" w:after="100" w:afterAutospacing="1" w:line="240" w:lineRule="auto"/>
        <w:outlineLvl w:val="1"/>
        <w:rPr>
          <w:rFonts w:ascii="Times New Roman" w:eastAsia="Times New Roman" w:hAnsi="Times New Roman" w:cs="Times New Roman"/>
          <w:b/>
          <w:bCs/>
          <w:color w:val="000000"/>
          <w:sz w:val="36"/>
          <w:szCs w:val="36"/>
          <w:lang w:val="en-GB" w:eastAsia="en-GB"/>
        </w:rPr>
      </w:pPr>
      <w:r w:rsidRPr="004C5C27">
        <w:rPr>
          <w:rFonts w:ascii="Times New Roman" w:eastAsia="Times New Roman" w:hAnsi="Times New Roman" w:cs="Times New Roman"/>
          <w:b/>
          <w:bCs/>
          <w:color w:val="000000"/>
          <w:sz w:val="36"/>
          <w:szCs w:val="36"/>
          <w:lang w:val="en-GB" w:eastAsia="en-GB"/>
        </w:rPr>
        <w:t>Conclusion</w:t>
      </w:r>
    </w:p>
    <w:p w14:paraId="0E9A7786"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Community Mental Health Services represent a progressive and compassionate approach to mental healthcare. By delivering support within the community, these services empower individuals, uphold human rights, and promote recovery-focused care. While challenges such as resource limitations and inequalities persist, continued investment, workforce development, and service user involvement are essential to ensuring CMHS remain effective and sustainable in the future.</w:t>
      </w:r>
    </w:p>
    <w:p w14:paraId="56E807F3" w14:textId="77777777" w:rsidR="004C5C27" w:rsidRPr="004C5C27" w:rsidRDefault="004C5C27" w:rsidP="004C5C27">
      <w:pPr>
        <w:spacing w:after="0" w:line="240" w:lineRule="auto"/>
        <w:rPr>
          <w:rFonts w:ascii="Times New Roman" w:eastAsia="Times New Roman" w:hAnsi="Times New Roman" w:cs="Times New Roman"/>
          <w:lang w:val="en-GB" w:eastAsia="en-GB"/>
        </w:rPr>
      </w:pPr>
      <w:r w:rsidRPr="004C5C27">
        <w:rPr>
          <w:rFonts w:ascii="Times New Roman" w:eastAsia="Times New Roman" w:hAnsi="Times New Roman" w:cs="Times New Roman"/>
          <w:noProof/>
          <w:lang w:val="en-GB" w:eastAsia="en-GB"/>
        </w:rPr>
        <mc:AlternateContent>
          <mc:Choice Requires="wps">
            <w:drawing>
              <wp:inline distT="0" distB="0" distL="0" distR="0" wp14:anchorId="2DAA6FFB" wp14:editId="7E96B544">
                <wp:extent cx="5943600" cy="1270"/>
                <wp:effectExtent l="0" t="31750" r="0" b="36830"/>
                <wp:docPr id="346610387" name="Rectangle 1">
                  <a:extLst xmlns:a="http://schemas.openxmlformats.org/drawingml/2006/main">
                    <a:ext uri="{FF2B5EF4-FFF2-40B4-BE49-F238E27FC236}">
                      <a16:creationId xmlns:a16="http://schemas.microsoft.com/office/drawing/2014/main" id="{28B1998D-FFC3-4E15-8403-3787D1BC897F}"/>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16="http://schemas.microsoft.com/office/drawing/2014/main" xmlns:a="http://schemas.openxmlformats.org/drawingml/2006/main">
            <w:pict>
              <v:rect id="Rectangle 1"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E6DF0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">
                <o:lock v:ext="edit" aspectratio="t"/>
                <w10:anchorlock/>
              </v:rect>
            </w:pict>
          </mc:Fallback>
        </mc:AlternateContent>
      </w:r>
    </w:p>
    <w:p w14:paraId="1E85DEEE" w14:textId="77777777" w:rsidR="004C5C27" w:rsidRPr="004C5C27" w:rsidRDefault="004C5C27" w:rsidP="004C5C27">
      <w:pPr>
        <w:spacing w:before="100" w:beforeAutospacing="1" w:after="100" w:afterAutospacing="1" w:line="240" w:lineRule="auto"/>
        <w:outlineLvl w:val="1"/>
        <w:rPr>
          <w:rFonts w:ascii="Times New Roman" w:eastAsia="Times New Roman" w:hAnsi="Times New Roman" w:cs="Times New Roman"/>
          <w:b/>
          <w:bCs/>
          <w:color w:val="000000"/>
          <w:sz w:val="36"/>
          <w:szCs w:val="36"/>
          <w:lang w:val="en-GB" w:eastAsia="en-GB"/>
        </w:rPr>
      </w:pPr>
      <w:r w:rsidRPr="004C5C27">
        <w:rPr>
          <w:rFonts w:ascii="Times New Roman" w:eastAsia="Times New Roman" w:hAnsi="Times New Roman" w:cs="Times New Roman"/>
          <w:b/>
          <w:bCs/>
          <w:color w:val="000000"/>
          <w:sz w:val="36"/>
          <w:szCs w:val="36"/>
          <w:lang w:val="en-GB" w:eastAsia="en-GB"/>
        </w:rPr>
        <w:t>Reference List (Harvard Style)</w:t>
      </w:r>
    </w:p>
    <w:p w14:paraId="10C60849"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BMA (2022) </w:t>
      </w:r>
      <w:r w:rsidRPr="004C5C27">
        <w:rPr>
          <w:rFonts w:ascii="Times New Roman" w:hAnsi="Times New Roman" w:cs="Times New Roman"/>
          <w:i/>
          <w:iCs/>
          <w:color w:val="000000"/>
          <w:lang w:val="en-GB" w:eastAsia="en-GB"/>
        </w:rPr>
        <w:t>Mental health workforce pressures in the NHS</w:t>
      </w:r>
      <w:r w:rsidRPr="004C5C27">
        <w:rPr>
          <w:rFonts w:ascii="Times New Roman" w:hAnsi="Times New Roman" w:cs="Times New Roman"/>
          <w:color w:val="000000"/>
          <w:lang w:val="en-GB" w:eastAsia="en-GB"/>
        </w:rPr>
        <w:t>. British Medical Association.</w:t>
      </w:r>
    </w:p>
    <w:p w14:paraId="1838985C"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Bowers, L., James, K. and Quirk, A. (2018) </w:t>
      </w:r>
      <w:r w:rsidRPr="004C5C27">
        <w:rPr>
          <w:rFonts w:ascii="Times New Roman" w:hAnsi="Times New Roman" w:cs="Times New Roman"/>
          <w:i/>
          <w:iCs/>
          <w:color w:val="000000"/>
          <w:lang w:val="en-GB" w:eastAsia="en-GB"/>
        </w:rPr>
        <w:t>The modernisation of community mental health services</w:t>
      </w:r>
      <w:r w:rsidRPr="004C5C27">
        <w:rPr>
          <w:rFonts w:ascii="Times New Roman" w:hAnsi="Times New Roman" w:cs="Times New Roman"/>
          <w:color w:val="000000"/>
          <w:lang w:val="en-GB" w:eastAsia="en-GB"/>
        </w:rPr>
        <w:t>. London: Routledge.</w:t>
      </w:r>
    </w:p>
    <w:p w14:paraId="4E39D1F8"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NHS England (2022) </w:t>
      </w:r>
      <w:r w:rsidRPr="004C5C27">
        <w:rPr>
          <w:rFonts w:ascii="Times New Roman" w:hAnsi="Times New Roman" w:cs="Times New Roman"/>
          <w:i/>
          <w:iCs/>
          <w:color w:val="000000"/>
          <w:lang w:val="en-GB" w:eastAsia="en-GB"/>
        </w:rPr>
        <w:t>Community mental health framework for adults and older adults</w:t>
      </w:r>
      <w:r w:rsidRPr="004C5C27">
        <w:rPr>
          <w:rFonts w:ascii="Times New Roman" w:hAnsi="Times New Roman" w:cs="Times New Roman"/>
          <w:color w:val="000000"/>
          <w:lang w:val="en-GB" w:eastAsia="en-GB"/>
        </w:rPr>
        <w:t>. London: NHS England.</w:t>
      </w:r>
    </w:p>
    <w:p w14:paraId="1B38FB0D"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NHS Providers (2023) </w:t>
      </w:r>
      <w:r w:rsidRPr="004C5C27">
        <w:rPr>
          <w:rFonts w:ascii="Times New Roman" w:hAnsi="Times New Roman" w:cs="Times New Roman"/>
          <w:i/>
          <w:iCs/>
          <w:color w:val="000000"/>
          <w:lang w:val="en-GB" w:eastAsia="en-GB"/>
        </w:rPr>
        <w:t>Mental health services: funding and workforce challenges</w:t>
      </w:r>
      <w:r w:rsidRPr="004C5C27">
        <w:rPr>
          <w:rFonts w:ascii="Times New Roman" w:hAnsi="Times New Roman" w:cs="Times New Roman"/>
          <w:color w:val="000000"/>
          <w:lang w:val="en-GB" w:eastAsia="en-GB"/>
        </w:rPr>
        <w:t>. London: NHS Providers.</w:t>
      </w:r>
    </w:p>
    <w:p w14:paraId="7403E109"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Slade, M., Amering, M. and Oades, L. (2014) ‘Recovery: an international perspective’, </w:t>
      </w:r>
      <w:r w:rsidRPr="004C5C27">
        <w:rPr>
          <w:rFonts w:ascii="Times New Roman" w:hAnsi="Times New Roman" w:cs="Times New Roman"/>
          <w:i/>
          <w:iCs/>
          <w:color w:val="000000"/>
          <w:lang w:val="en-GB" w:eastAsia="en-GB"/>
        </w:rPr>
        <w:t>Epidemiology and Psychiatric Sciences</w:t>
      </w:r>
      <w:r w:rsidRPr="004C5C27">
        <w:rPr>
          <w:rFonts w:ascii="Times New Roman" w:hAnsi="Times New Roman" w:cs="Times New Roman"/>
          <w:color w:val="000000"/>
          <w:lang w:val="en-GB" w:eastAsia="en-GB"/>
        </w:rPr>
        <w:t>, 23(1), pp. 12–20.</w:t>
      </w:r>
    </w:p>
    <w:p w14:paraId="53DD02C4"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Thornicroft, G. and Tansella, M. (2013) </w:t>
      </w:r>
      <w:r w:rsidRPr="004C5C27">
        <w:rPr>
          <w:rFonts w:ascii="Times New Roman" w:hAnsi="Times New Roman" w:cs="Times New Roman"/>
          <w:i/>
          <w:iCs/>
          <w:color w:val="000000"/>
          <w:lang w:val="en-GB" w:eastAsia="en-GB"/>
        </w:rPr>
        <w:t>The balanced care model for global mental health</w:t>
      </w:r>
      <w:r w:rsidRPr="004C5C27">
        <w:rPr>
          <w:rFonts w:ascii="Times New Roman" w:hAnsi="Times New Roman" w:cs="Times New Roman"/>
          <w:color w:val="000000"/>
          <w:lang w:val="en-GB" w:eastAsia="en-GB"/>
        </w:rPr>
        <w:t>. Cambridge: Cambridge University Press.</w:t>
      </w:r>
    </w:p>
    <w:p w14:paraId="60BFF3A4"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Thornicroft, G., et al. (2016) ‘Undertreatment of people with major depressive disorder’, </w:t>
      </w:r>
      <w:r w:rsidRPr="004C5C27">
        <w:rPr>
          <w:rFonts w:ascii="Times New Roman" w:hAnsi="Times New Roman" w:cs="Times New Roman"/>
          <w:i/>
          <w:iCs/>
          <w:color w:val="000000"/>
          <w:lang w:val="en-GB" w:eastAsia="en-GB"/>
        </w:rPr>
        <w:t>British Journal of Psychiatry</w:t>
      </w:r>
      <w:r w:rsidRPr="004C5C27">
        <w:rPr>
          <w:rFonts w:ascii="Times New Roman" w:hAnsi="Times New Roman" w:cs="Times New Roman"/>
          <w:color w:val="000000"/>
          <w:lang w:val="en-GB" w:eastAsia="en-GB"/>
        </w:rPr>
        <w:t>, 208(3), pp. 205–211.</w:t>
      </w:r>
    </w:p>
    <w:p w14:paraId="3EF2BDA2" w14:textId="77777777" w:rsidR="004C5C27" w:rsidRPr="004C5C27" w:rsidRDefault="004C5C27" w:rsidP="004C5C27">
      <w:pPr>
        <w:spacing w:before="100" w:beforeAutospacing="1" w:after="100" w:afterAutospacing="1" w:line="240" w:lineRule="auto"/>
        <w:rPr>
          <w:rFonts w:ascii="Times New Roman" w:hAnsi="Times New Roman" w:cs="Times New Roman"/>
          <w:color w:val="000000"/>
          <w:lang w:val="en-GB" w:eastAsia="en-GB"/>
        </w:rPr>
      </w:pPr>
      <w:r w:rsidRPr="004C5C27">
        <w:rPr>
          <w:rFonts w:ascii="Times New Roman" w:hAnsi="Times New Roman" w:cs="Times New Roman"/>
          <w:color w:val="000000"/>
          <w:lang w:val="en-GB" w:eastAsia="en-GB"/>
        </w:rPr>
        <w:t>World Health Organization (2014) </w:t>
      </w:r>
      <w:r w:rsidRPr="004C5C27">
        <w:rPr>
          <w:rFonts w:ascii="Times New Roman" w:hAnsi="Times New Roman" w:cs="Times New Roman"/>
          <w:i/>
          <w:iCs/>
          <w:color w:val="000000"/>
          <w:lang w:val="en-GB" w:eastAsia="en-GB"/>
        </w:rPr>
        <w:t>Mental health atlas</w:t>
      </w:r>
      <w:r w:rsidRPr="004C5C27">
        <w:rPr>
          <w:rFonts w:ascii="Times New Roman" w:hAnsi="Times New Roman" w:cs="Times New Roman"/>
          <w:color w:val="000000"/>
          <w:lang w:val="en-GB" w:eastAsia="en-GB"/>
        </w:rPr>
        <w:t>. Geneva: WHO.</w:t>
      </w:r>
    </w:p>
    <w:p w14:paraId="0161CEA4" w14:textId="77777777" w:rsidR="004C5C27" w:rsidRPr="004C5C27" w:rsidRDefault="004C5C27" w:rsidP="0C207D64">
      <w:pPr>
        <w:spacing w:before="100" w:beforeAutospacing="1" w:after="100" w:afterAutospacing="1" w:line="240" w:lineRule="auto"/>
        <w:rPr>
          <w:rFonts w:ascii="Times New Roman" w:hAnsi="Times New Roman" w:cs="Times New Roman"/>
          <w:color w:val="000000"/>
          <w:lang w:val="en-GB" w:eastAsia="en-GB"/>
        </w:rPr>
      </w:pPr>
      <w:r w:rsidRPr="0C207D64">
        <w:rPr>
          <w:rFonts w:ascii="Times New Roman" w:hAnsi="Times New Roman" w:cs="Times New Roman"/>
          <w:color w:val="000000" w:themeColor="text1"/>
          <w:lang w:val="en-GB" w:eastAsia="en-GB"/>
        </w:rPr>
        <w:t>World Health Organization (2021) </w:t>
      </w:r>
      <w:r w:rsidRPr="0C207D64">
        <w:rPr>
          <w:rFonts w:ascii="Times New Roman" w:hAnsi="Times New Roman" w:cs="Times New Roman"/>
          <w:i/>
          <w:color w:val="000000" w:themeColor="text1"/>
          <w:lang w:val="en-GB" w:eastAsia="en-GB"/>
        </w:rPr>
        <w:t>Guidance on community mental health services</w:t>
      </w:r>
      <w:r w:rsidRPr="0C207D64">
        <w:rPr>
          <w:rFonts w:ascii="Times New Roman" w:hAnsi="Times New Roman" w:cs="Times New Roman"/>
          <w:color w:val="000000" w:themeColor="text1"/>
          <w:lang w:val="en-GB" w:eastAsia="en-GB"/>
        </w:rPr>
        <w:t>. Geneva: WHO.</w:t>
      </w:r>
    </w:p>
    <w:p w14:paraId="6E2CF2A2" w14:textId="00C22C7D" w:rsidR="0C207D64" w:rsidRDefault="437BD12A" w:rsidP="0C207D64">
      <w:pPr>
        <w:spacing w:beforeAutospacing="1" w:afterAutospacing="1" w:line="240" w:lineRule="auto"/>
        <w:rPr>
          <w:rFonts w:ascii="Times New Roman" w:hAnsi="Times New Roman" w:cs="Times New Roman"/>
          <w:color w:val="000000" w:themeColor="text1"/>
          <w:lang w:val="en-GB" w:eastAsia="en-GB"/>
        </w:rPr>
      </w:pPr>
      <w:r w:rsidRPr="4B4C698A">
        <w:rPr>
          <w:rFonts w:ascii="Times New Roman" w:hAnsi="Times New Roman" w:cs="Times New Roman"/>
          <w:color w:val="000000" w:themeColor="text1"/>
          <w:lang w:val="en-GB" w:eastAsia="en-GB"/>
        </w:rPr>
        <w:t>yh</w:t>
      </w:r>
    </w:p>
    <w:p w14:paraId="42B97441" w14:textId="5C7B70D6" w:rsidR="7965AAFA" w:rsidRDefault="7965AAFA" w:rsidP="0C207D64">
      <w:pPr>
        <w:spacing w:beforeAutospacing="1" w:afterAutospacing="1" w:line="240" w:lineRule="auto"/>
        <w:rPr>
          <w:rFonts w:ascii="Times New Roman" w:hAnsi="Times New Roman" w:cs="Times New Roman"/>
          <w:b/>
          <w:bCs/>
          <w:i/>
          <w:iCs/>
          <w:color w:val="000000" w:themeColor="text1"/>
          <w:sz w:val="28"/>
          <w:szCs w:val="28"/>
          <w:u w:val="single"/>
          <w:lang w:val="en-GB" w:eastAsia="en-GB"/>
        </w:rPr>
      </w:pPr>
      <w:r w:rsidRPr="0055C932">
        <w:rPr>
          <w:rFonts w:ascii="Times New Roman" w:hAnsi="Times New Roman" w:cs="Times New Roman"/>
          <w:b/>
          <w:bCs/>
          <w:i/>
          <w:iCs/>
          <w:color w:val="FF0000"/>
          <w:sz w:val="28"/>
          <w:szCs w:val="28"/>
          <w:u w:val="single"/>
          <w:lang w:val="en-GB" w:eastAsia="en-GB"/>
        </w:rPr>
        <w:t>TASK 2</w:t>
      </w:r>
      <w:r w:rsidR="008A66D3" w:rsidRPr="0055C932">
        <w:rPr>
          <w:rFonts w:ascii="Times New Roman" w:hAnsi="Times New Roman" w:cs="Times New Roman"/>
          <w:b/>
          <w:bCs/>
          <w:i/>
          <w:iCs/>
          <w:color w:val="FF0000"/>
          <w:sz w:val="28"/>
          <w:szCs w:val="28"/>
          <w:u w:val="single"/>
          <w:lang w:val="en-GB" w:eastAsia="en-GB"/>
        </w:rPr>
        <w:t>:</w:t>
      </w:r>
      <w:r w:rsidR="008A66D3" w:rsidRPr="0055C932">
        <w:rPr>
          <w:rFonts w:ascii="Times New Roman" w:hAnsi="Times New Roman" w:cs="Times New Roman"/>
          <w:b/>
          <w:bCs/>
          <w:i/>
          <w:iCs/>
          <w:color w:val="000000" w:themeColor="text1"/>
          <w:sz w:val="28"/>
          <w:szCs w:val="28"/>
          <w:u w:val="single"/>
          <w:lang w:val="en-GB" w:eastAsia="en-GB"/>
        </w:rPr>
        <w:t xml:space="preserve"> </w:t>
      </w:r>
      <w:r w:rsidRPr="0055C932">
        <w:rPr>
          <w:rFonts w:ascii="Times New Roman" w:hAnsi="Times New Roman" w:cs="Times New Roman"/>
          <w:b/>
          <w:bCs/>
          <w:i/>
          <w:iCs/>
          <w:color w:val="000000" w:themeColor="text1"/>
          <w:sz w:val="28"/>
          <w:szCs w:val="28"/>
          <w:u w:val="single"/>
          <w:lang w:val="en-GB" w:eastAsia="en-GB"/>
        </w:rPr>
        <w:t>COMMUNITY ANTENATAL MIDWIFERY SERVICES</w:t>
      </w:r>
    </w:p>
    <w:p w14:paraId="493072D5" w14:textId="071A5936" w:rsidR="00BA21A3" w:rsidRPr="00BA21A3" w:rsidRDefault="00BA21A3" w:rsidP="33B2C04A">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BA21A3">
        <w:rPr>
          <w:rFonts w:ascii="Times New Roman" w:eastAsia="Times New Roman" w:hAnsi="Times New Roman" w:cs="Times New Roman"/>
          <w:b/>
          <w:bCs/>
          <w:sz w:val="36"/>
          <w:szCs w:val="36"/>
          <w:lang w:val="en-GB" w:eastAsia="en-GB"/>
        </w:rPr>
        <w:t>Community Antenatal Midwifery Services</w:t>
      </w:r>
    </w:p>
    <w:p w14:paraId="62B24060"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Community antenatal midwifery services play a vital role in supporting women throughout pregnancy by providing care within community-based settings such as GP surgeries, children’s centres, and family homes. These services focus on promoting maternal and fetal wellbeing, reducing health inequalities, and ensuring continuity of care. This essay explores the historical origins of community antenatal midwifery services, evaluates how they operate in contemporary healthcare, and discusses their importance in improving the quality of life for service users.</w:t>
      </w:r>
    </w:p>
    <w:p w14:paraId="6B5C8B66"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p>
    <w:p w14:paraId="76F7A620" w14:textId="6BE8343F" w:rsidR="00BA21A3" w:rsidRPr="00BA21A3" w:rsidRDefault="00BA21A3" w:rsidP="2E9D6C6E">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BA21A3">
        <w:rPr>
          <w:rFonts w:ascii="Times New Roman" w:eastAsia="Times New Roman" w:hAnsi="Times New Roman" w:cs="Times New Roman"/>
          <w:b/>
          <w:bCs/>
          <w:sz w:val="27"/>
          <w:szCs w:val="27"/>
          <w:lang w:val="en-GB" w:eastAsia="en-GB"/>
        </w:rPr>
        <w:t>Historical Origins and Development</w:t>
      </w:r>
    </w:p>
    <w:p w14:paraId="2A88A56D" w14:textId="54CDCBAA" w:rsidR="00BA21A3" w:rsidRPr="00BA21A3" w:rsidRDefault="00BA21A3" w:rsidP="43D6A042">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The origins of community antenatal midwifery services can be traced back to the early 20th century, when concerns about high maternal and infant mortality rates prompted public health reforms in the United Kingdom. Before this period, pregnancy care was largely informal, with midwives offering support based on experience rather than formal training (Donnison, 1988). The introduction of the Midwives Act 1902 marked a significant turning point, as it established regulation, training standards, and supervision for midwives, thereby improving safety and accountability.</w:t>
      </w:r>
    </w:p>
    <w:p w14:paraId="573F0815"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As public health awareness grew, antenatal care became recognised as essential for preventing complications during pregnancy and childbirth. The establishment of the National Health Service (NHS) in 1948 further shaped community antenatal services by making maternity care universally accessible and free at the point of delivery (Baggott, 2010). Midwives increasingly worked within communities to monitor pregnancies, educate expectant mothers, and identify risks early. Social factors such as poverty, poor housing, and limited access to healthcare also influenced the development of these services, reinforcing the need for community-based care that addressed both medical and social determinants of health (Oakley, 1984).</w:t>
      </w:r>
    </w:p>
    <w:p w14:paraId="28260464"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p>
    <w:p w14:paraId="282E8BE4" w14:textId="17DE2A30" w:rsidR="00BA21A3" w:rsidRPr="00BA21A3" w:rsidRDefault="00BA21A3" w:rsidP="25C81776">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BA21A3">
        <w:rPr>
          <w:rFonts w:ascii="Times New Roman" w:eastAsia="Times New Roman" w:hAnsi="Times New Roman" w:cs="Times New Roman"/>
          <w:b/>
          <w:bCs/>
          <w:sz w:val="27"/>
          <w:szCs w:val="27"/>
          <w:lang w:val="en-GB" w:eastAsia="en-GB"/>
        </w:rPr>
        <w:t>Functioning of the Service Today</w:t>
      </w:r>
    </w:p>
    <w:p w14:paraId="10EC4C1A" w14:textId="5F4194E9"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In modern healthcare, community antenatal midwifery services operate as part of multidisciplinary maternity teams. Midwives provide routine antenatal appointments, health education, screening, and emotional support, often acting as the primary point of contact throughout pregnancy (NHS England, 2022). Care is increasingly guided by national policies such as the Better Births report, which emphasises personalised, woman-centred care and continuity of carer (National Maternity Review, 2016).</w:t>
      </w:r>
    </w:p>
    <w:p w14:paraId="5A39DE95" w14:textId="6EA4713D"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A key strength of current community antenatal services is their accessibility. By delivering care close to where women live, barriers such as transportation difficulties and time constraints are reduced. This is particularly beneficial for vulnerable groups, including women from low-income backgrounds or those with complex social needs (Sandall et al., 2016). However, challenges remain. Workforce shortages, increased caseloads, and regional disparities can limit continuity and place pressure on midwives, potentially affecting the quality of care provided (Royal College of Midwives, 2021).</w:t>
      </w:r>
    </w:p>
    <w:p w14:paraId="65F914DA" w14:textId="1CC95E28" w:rsidR="00BA21A3" w:rsidRPr="00BA21A3" w:rsidRDefault="00BA21A3" w:rsidP="1D81A73C">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BA21A3">
        <w:rPr>
          <w:rFonts w:ascii="Times New Roman" w:eastAsia="Times New Roman" w:hAnsi="Times New Roman" w:cs="Times New Roman"/>
          <w:b/>
          <w:bCs/>
          <w:sz w:val="27"/>
          <w:szCs w:val="27"/>
          <w:lang w:val="en-GB" w:eastAsia="en-GB"/>
        </w:rPr>
        <w:t>Significance in Enhancing Quality of Life</w:t>
      </w:r>
    </w:p>
    <w:p w14:paraId="2195374C" w14:textId="5E003DB4"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Community antenatal midwifery services significantly enhance the quality of life for service users by supporting both physical and emotional wellbeing. Regular monitoring helps identify complications such as gestational diabetes or pre-eclampsia early, improving health outcomes for mothers and babies (WHO, 2016). Additionally, midwives provide education on nutrition, mental health, and infant care, empowering women to make informed decisions about their pregnancies.</w:t>
      </w:r>
    </w:p>
    <w:p w14:paraId="7477360C"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Emotional support is another crucial aspect. Pregnancy can be a period of anxiety, and continuity of care within the community fosters trust and reassurance. Women who receive consistent support from a known midwife often report greater satisfaction and reduced stress levels (Sandall et al., 2016). By addressing individual needs and promoting autonomy, community antenatal services contribute to a more positive pregnancy experience and long-term wellbeing.</w:t>
      </w:r>
    </w:p>
    <w:p w14:paraId="1C616997"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p>
    <w:p w14:paraId="601C89AA" w14:textId="77777777" w:rsidR="00BA21A3" w:rsidRPr="00BA21A3" w:rsidRDefault="00BA21A3" w:rsidP="00BA21A3">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BA21A3">
        <w:rPr>
          <w:rFonts w:ascii="Times New Roman" w:eastAsia="Times New Roman" w:hAnsi="Times New Roman" w:cs="Times New Roman"/>
          <w:b/>
          <w:bCs/>
          <w:sz w:val="27"/>
          <w:szCs w:val="27"/>
          <w:lang w:val="en-GB" w:eastAsia="en-GB"/>
        </w:rPr>
        <w:t>Conclusion</w:t>
      </w:r>
    </w:p>
    <w:p w14:paraId="41DA275C"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p>
    <w:p w14:paraId="6924BDC6"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In conclusion, community antenatal midwifery services have evolved from early public health reforms to become an essential component of modern maternity care. Shaped by historical efforts to reduce maternal mortality and promote equity, these services now deliver accessible, woman-centred care within the community. Despite ongoing challenges, their role in improving health outcomes and enhancing the quality of life for service users remains significant.</w:t>
      </w:r>
    </w:p>
    <w:p w14:paraId="41914E77" w14:textId="77777777" w:rsidR="00BA21A3" w:rsidRPr="00BA21A3" w:rsidRDefault="358C4FE5" w:rsidP="00BA21A3">
      <w:pPr>
        <w:spacing w:after="0" w:line="240" w:lineRule="auto"/>
        <w:rPr>
          <w:rFonts w:ascii="Times New Roman" w:eastAsia="Times New Roman" w:hAnsi="Times New Roman" w:cs="Times New Roman"/>
          <w:lang w:val="en-GB" w:eastAsia="en-GB"/>
        </w:rPr>
      </w:pPr>
      <w:r>
        <w:rPr>
          <w:noProof/>
        </w:rPr>
        <mc:AlternateContent>
          <mc:Choice Requires="wps">
            <w:drawing>
              <wp:inline distT="0" distB="0" distL="0" distR="0" wp14:anchorId="2F670C67" wp14:editId="7701FB20">
                <wp:extent cx="2546985" cy="0"/>
                <wp:effectExtent l="0" t="0" r="0" b="0"/>
                <wp:docPr id="2073351266" name="Rectangle 1">
                  <a:extLst xmlns:a="http://schemas.openxmlformats.org/drawingml/2006/main">
                    <a:ext uri="{FF2B5EF4-FFF2-40B4-BE49-F238E27FC236}">
                      <a16:creationId xmlns:a16="http://schemas.microsoft.com/office/drawing/2014/main" id="{CB539483-F68A-4549-8A24-83C0B83056A2}"/>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546985" cy="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16="http://schemas.microsoft.com/office/drawing/2014/main" xmlns:a="http://schemas.openxmlformats.org/drawingml/2006/main">
            <w:pict>
              <v:rect id="Rectangle 1" style="width:200.55pt;height:0;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F8F045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">
                <o:lock v:ext="edit" aspectratio="t"/>
                <w10:anchorlock/>
              </v:rect>
            </w:pict>
          </mc:Fallback>
        </mc:AlternateContent>
      </w:r>
    </w:p>
    <w:p w14:paraId="74ADAE4C" w14:textId="5146F00E" w:rsidR="00BA21A3" w:rsidRPr="00BA21A3" w:rsidRDefault="00BA21A3" w:rsidP="64BF6E48">
      <w:pPr>
        <w:spacing w:before="100" w:beforeAutospacing="1" w:after="100" w:afterAutospacing="1" w:line="240" w:lineRule="auto"/>
        <w:outlineLvl w:val="1"/>
        <w:rPr>
          <w:rFonts w:ascii="Times New Roman" w:hAnsi="Times New Roman" w:cs="Times New Roman"/>
          <w:b/>
          <w:bCs/>
          <w:sz w:val="36"/>
          <w:szCs w:val="36"/>
          <w:lang w:val="en-GB" w:eastAsia="en-GB"/>
        </w:rPr>
      </w:pPr>
      <w:r w:rsidRPr="00BA21A3">
        <w:rPr>
          <w:rFonts w:ascii="Times New Roman" w:eastAsia="Times New Roman" w:hAnsi="Times New Roman" w:cs="Times New Roman"/>
          <w:b/>
          <w:bCs/>
          <w:sz w:val="36"/>
          <w:szCs w:val="36"/>
          <w:lang w:val="en-GB" w:eastAsia="en-GB"/>
        </w:rPr>
        <w:t>Reference List</w:t>
      </w:r>
    </w:p>
    <w:p w14:paraId="38909DB1" w14:textId="715798E8"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Baggott, R. (2010) Public Health: Policy and Politics. Basingstoke: Palgrave Macmillan.</w:t>
      </w:r>
    </w:p>
    <w:p w14:paraId="1EE994B6" w14:textId="3149D708"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Donnison, J. (1988) Midwives and Medical Men: A History of Inter-professional Rivalries and Women’s Rights. London: Heinemann.</w:t>
      </w:r>
    </w:p>
    <w:p w14:paraId="0F6CF22C" w14:textId="20AB2D65"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National Maternity Review (2016) Better Births: Improving Outcomes of Maternity Services in England. London: NHS England.</w:t>
      </w:r>
    </w:p>
    <w:p w14:paraId="619342DF"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NHS England (2022) The NHS Long Term Plan. London: NHS England.</w:t>
      </w:r>
    </w:p>
    <w:p w14:paraId="709A273F" w14:textId="7DD6C909"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Oakley, A. (1984) The Captured Womb: A History of the Medical Care of Pregnant Women. Oxford: Blackwell.</w:t>
      </w:r>
    </w:p>
    <w:p w14:paraId="14C03356" w14:textId="72EBF229"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Royal College of Midwives (2021) State of Maternity Services Report. London: RCM.</w:t>
      </w:r>
    </w:p>
    <w:p w14:paraId="2C7E29C8"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p>
    <w:p w14:paraId="7F15B8B1" w14:textId="77777777"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Sandall, J. et al. (2016) ‘Midwife-led continuity models versus other models of care for childbearing women’, Cochrane Database of Systematic Reviews, 4, pp. 1–83.</w:t>
      </w:r>
    </w:p>
    <w:p w14:paraId="6D8200D6" w14:textId="29D785B4" w:rsidR="00BA21A3" w:rsidRPr="00BA21A3" w:rsidRDefault="00BA21A3" w:rsidP="00BA21A3">
      <w:pPr>
        <w:spacing w:before="100" w:beforeAutospacing="1" w:after="100" w:afterAutospacing="1" w:line="240" w:lineRule="auto"/>
        <w:rPr>
          <w:rFonts w:ascii="Times New Roman" w:hAnsi="Times New Roman" w:cs="Times New Roman"/>
          <w:lang w:val="en-GB" w:eastAsia="en-GB"/>
        </w:rPr>
      </w:pPr>
      <w:r w:rsidRPr="00BA21A3">
        <w:rPr>
          <w:rFonts w:ascii="Times New Roman" w:hAnsi="Times New Roman" w:cs="Times New Roman"/>
          <w:lang w:val="en-GB" w:eastAsia="en-GB"/>
        </w:rPr>
        <w:t>World Health Organization (2016) WHO Recommendations on Antenatal Care for a Positive Pregnancy Experience. Geneva: WHO.</w:t>
      </w:r>
    </w:p>
    <w:p w14:paraId="4DBC6DB0" w14:textId="77777777" w:rsidR="002E1323" w:rsidRDefault="002E1323" w:rsidP="0C207D64">
      <w:pPr>
        <w:spacing w:beforeAutospacing="1" w:afterAutospacing="1" w:line="240" w:lineRule="auto"/>
        <w:rPr>
          <w:rFonts w:ascii="Times New Roman" w:hAnsi="Times New Roman" w:cs="Times New Roman"/>
          <w:color w:val="000000" w:themeColor="text1"/>
          <w:lang w:val="en-GB" w:eastAsia="en-GB"/>
        </w:rPr>
      </w:pPr>
    </w:p>
    <w:p w14:paraId="3682950A" w14:textId="573B2836" w:rsidR="0C207D64" w:rsidRDefault="0C207D64" w:rsidP="0C207D64">
      <w:pPr>
        <w:spacing w:beforeAutospacing="1" w:afterAutospacing="1" w:line="240" w:lineRule="auto"/>
        <w:rPr>
          <w:rFonts w:ascii="Times New Roman" w:hAnsi="Times New Roman" w:cs="Times New Roman"/>
          <w:color w:val="000000" w:themeColor="text1"/>
          <w:lang w:val="en-GB" w:eastAsia="en-GB"/>
        </w:rPr>
      </w:pPr>
    </w:p>
    <w:p w14:paraId="56EAD57D" w14:textId="77777777" w:rsidR="002E1323" w:rsidRDefault="002E1323" w:rsidP="0C207D64">
      <w:pPr>
        <w:spacing w:beforeAutospacing="1" w:afterAutospacing="1" w:line="240" w:lineRule="auto"/>
        <w:rPr>
          <w:rFonts w:ascii="Times New Roman" w:hAnsi="Times New Roman" w:cs="Times New Roman"/>
          <w:color w:val="000000" w:themeColor="text1"/>
          <w:lang w:val="en-GB" w:eastAsia="en-GB"/>
        </w:rPr>
      </w:pPr>
    </w:p>
    <w:p w14:paraId="2E78051D" w14:textId="77777777" w:rsidR="002E1323" w:rsidRDefault="002E1323" w:rsidP="0C207D64">
      <w:pPr>
        <w:spacing w:beforeAutospacing="1" w:afterAutospacing="1" w:line="240" w:lineRule="auto"/>
        <w:rPr>
          <w:rFonts w:ascii="Times New Roman" w:hAnsi="Times New Roman" w:cs="Times New Roman"/>
          <w:color w:val="000000" w:themeColor="text1"/>
          <w:lang w:val="en-GB" w:eastAsia="en-GB"/>
        </w:rPr>
      </w:pPr>
    </w:p>
    <w:p w14:paraId="6267DB6B" w14:textId="17351BB9" w:rsidR="005401BF" w:rsidRPr="005401BF" w:rsidRDefault="005401BF" w:rsidP="005401BF">
      <w:pPr>
        <w:spacing w:before="100" w:beforeAutospacing="1" w:after="100" w:afterAutospacing="1" w:line="240" w:lineRule="auto"/>
        <w:rPr>
          <w:rFonts w:ascii="Times New Roman" w:hAnsi="Times New Roman" w:cs="Times New Roman"/>
          <w:color w:val="000000"/>
          <w:lang w:val="en-GB" w:eastAsia="en-GB"/>
        </w:rPr>
      </w:pPr>
    </w:p>
    <w:p w14:paraId="757F6742" w14:textId="77777777" w:rsidR="005401BF" w:rsidRPr="00AA310E" w:rsidRDefault="005401BF" w:rsidP="00AA310E">
      <w:pPr>
        <w:spacing w:before="100" w:beforeAutospacing="1" w:after="100" w:afterAutospacing="1" w:line="240" w:lineRule="auto"/>
        <w:rPr>
          <w:rFonts w:ascii="Times New Roman" w:hAnsi="Times New Roman" w:cs="Times New Roman"/>
          <w:color w:val="000000"/>
          <w:lang w:val="en-GB" w:eastAsia="en-GB"/>
        </w:rPr>
      </w:pPr>
    </w:p>
    <w:p w14:paraId="5DA85523" w14:textId="77777777" w:rsidR="00AA310E" w:rsidRPr="00AA310E" w:rsidRDefault="00AA310E">
      <w:pPr>
        <w:rPr>
          <w:rFonts w:hint="eastAsia"/>
        </w:rPr>
      </w:pPr>
    </w:p>
    <w:p w14:paraId="121688C9" w14:textId="77777777" w:rsidR="00023740" w:rsidRDefault="00023740">
      <w:pPr>
        <w:rPr>
          <w:rFonts w:hint="eastAsia"/>
        </w:rPr>
      </w:pPr>
    </w:p>
    <w:p w14:paraId="1DD12EED" w14:textId="630BB101" w:rsidR="07A61A04" w:rsidRDefault="07A61A04">
      <w:pPr>
        <w:rPr>
          <w:rFonts w:hint="eastAsia"/>
        </w:rPr>
      </w:pPr>
    </w:p>
    <w:p w14:paraId="3A32AD9E" w14:textId="0CB8BE4D" w:rsidR="07A61A04" w:rsidRDefault="07A61A04">
      <w:pPr>
        <w:rPr>
          <w:rFonts w:hint="eastAsia"/>
        </w:rPr>
      </w:pPr>
    </w:p>
    <w:p w14:paraId="36C236D3" w14:textId="4CA2ACF0" w:rsidR="07A61A04" w:rsidRDefault="07A61A04" w:rsidP="07A61A04">
      <w:pPr>
        <w:rPr>
          <w:rFonts w:hint="eastAsia"/>
        </w:rPr>
      </w:pPr>
    </w:p>
    <w:p w14:paraId="7F7BFA60" w14:textId="288B19F4" w:rsidR="07A61A04" w:rsidRDefault="07A61A04" w:rsidP="07A61A04">
      <w:pPr>
        <w:rPr>
          <w:rFonts w:hint="eastAsia"/>
        </w:rPr>
      </w:pPr>
    </w:p>
    <w:p w14:paraId="6EAF6B8B" w14:textId="54F17E38" w:rsidR="07A61A04" w:rsidRDefault="07A61A04">
      <w:pPr>
        <w:rPr>
          <w:rFonts w:hint="eastAsia"/>
        </w:rPr>
      </w:pPr>
    </w:p>
    <w:p w14:paraId="637590E0" w14:textId="66DD2A09" w:rsidR="07A61A04" w:rsidRDefault="07A61A04">
      <w:pPr>
        <w:rPr>
          <w:rFonts w:hint="eastAsia"/>
        </w:rPr>
      </w:pPr>
    </w:p>
    <w:sectPr w:rsidR="07A61A0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B7D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A8002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0E4D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5160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C957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740B5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3192780">
    <w:abstractNumId w:val="0"/>
  </w:num>
  <w:num w:numId="2" w16cid:durableId="1556233253">
    <w:abstractNumId w:val="1"/>
  </w:num>
  <w:num w:numId="3" w16cid:durableId="2004502287">
    <w:abstractNumId w:val="5"/>
  </w:num>
  <w:num w:numId="4" w16cid:durableId="493569330">
    <w:abstractNumId w:val="4"/>
  </w:num>
  <w:num w:numId="5" w16cid:durableId="656617604">
    <w:abstractNumId w:val="3"/>
  </w:num>
  <w:num w:numId="6" w16cid:durableId="6951585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1FD287"/>
    <w:rsid w:val="00023740"/>
    <w:rsid w:val="00027C65"/>
    <w:rsid w:val="00052A35"/>
    <w:rsid w:val="000C5A15"/>
    <w:rsid w:val="001445AA"/>
    <w:rsid w:val="0014468A"/>
    <w:rsid w:val="001472A5"/>
    <w:rsid w:val="0017748E"/>
    <w:rsid w:val="00203880"/>
    <w:rsid w:val="002700C7"/>
    <w:rsid w:val="00293113"/>
    <w:rsid w:val="002E1323"/>
    <w:rsid w:val="00373FC5"/>
    <w:rsid w:val="003A313E"/>
    <w:rsid w:val="003E762C"/>
    <w:rsid w:val="004957AF"/>
    <w:rsid w:val="004C5C27"/>
    <w:rsid w:val="004F59D4"/>
    <w:rsid w:val="004F7072"/>
    <w:rsid w:val="005401BF"/>
    <w:rsid w:val="0055C932"/>
    <w:rsid w:val="00565295"/>
    <w:rsid w:val="00584344"/>
    <w:rsid w:val="005914F1"/>
    <w:rsid w:val="005A6526"/>
    <w:rsid w:val="006141B4"/>
    <w:rsid w:val="006A47BA"/>
    <w:rsid w:val="006A5254"/>
    <w:rsid w:val="006E65C6"/>
    <w:rsid w:val="007178AB"/>
    <w:rsid w:val="007215EC"/>
    <w:rsid w:val="00727500"/>
    <w:rsid w:val="007B6489"/>
    <w:rsid w:val="007C21DF"/>
    <w:rsid w:val="007C6CCA"/>
    <w:rsid w:val="007D1105"/>
    <w:rsid w:val="0084350A"/>
    <w:rsid w:val="008A66D3"/>
    <w:rsid w:val="008E3231"/>
    <w:rsid w:val="008E5DFF"/>
    <w:rsid w:val="008F1C49"/>
    <w:rsid w:val="009B047B"/>
    <w:rsid w:val="009F5496"/>
    <w:rsid w:val="00A225C8"/>
    <w:rsid w:val="00A31704"/>
    <w:rsid w:val="00A41C32"/>
    <w:rsid w:val="00A56FD9"/>
    <w:rsid w:val="00A71CD7"/>
    <w:rsid w:val="00A72D40"/>
    <w:rsid w:val="00AA310E"/>
    <w:rsid w:val="00AE3E9F"/>
    <w:rsid w:val="00B030F1"/>
    <w:rsid w:val="00B17E4A"/>
    <w:rsid w:val="00B35F24"/>
    <w:rsid w:val="00B639C2"/>
    <w:rsid w:val="00B80501"/>
    <w:rsid w:val="00B96B94"/>
    <w:rsid w:val="00BA21A3"/>
    <w:rsid w:val="00BB5340"/>
    <w:rsid w:val="00BC200F"/>
    <w:rsid w:val="00C1145A"/>
    <w:rsid w:val="00C53704"/>
    <w:rsid w:val="00CD03C5"/>
    <w:rsid w:val="00D20DCF"/>
    <w:rsid w:val="00D27ECB"/>
    <w:rsid w:val="00D52E07"/>
    <w:rsid w:val="00D97F39"/>
    <w:rsid w:val="00DC5554"/>
    <w:rsid w:val="00E566BE"/>
    <w:rsid w:val="00E66F87"/>
    <w:rsid w:val="00F67CBA"/>
    <w:rsid w:val="00F95475"/>
    <w:rsid w:val="00FA2F82"/>
    <w:rsid w:val="00FA75D8"/>
    <w:rsid w:val="00FE134E"/>
    <w:rsid w:val="00FF0B9E"/>
    <w:rsid w:val="01B44E4C"/>
    <w:rsid w:val="03A576C3"/>
    <w:rsid w:val="03BBB800"/>
    <w:rsid w:val="0489C887"/>
    <w:rsid w:val="0505B936"/>
    <w:rsid w:val="074A87B4"/>
    <w:rsid w:val="0765892D"/>
    <w:rsid w:val="07A61A04"/>
    <w:rsid w:val="08904F36"/>
    <w:rsid w:val="0A5DC3BE"/>
    <w:rsid w:val="0C207D64"/>
    <w:rsid w:val="0E65D4A6"/>
    <w:rsid w:val="0EB863F2"/>
    <w:rsid w:val="0FF7972C"/>
    <w:rsid w:val="10ADCBD7"/>
    <w:rsid w:val="117EC099"/>
    <w:rsid w:val="12FB8268"/>
    <w:rsid w:val="1324CE56"/>
    <w:rsid w:val="1D81A73C"/>
    <w:rsid w:val="2018FF0E"/>
    <w:rsid w:val="21F13F96"/>
    <w:rsid w:val="21F3D737"/>
    <w:rsid w:val="234957A5"/>
    <w:rsid w:val="2497480F"/>
    <w:rsid w:val="25B0F167"/>
    <w:rsid w:val="25C81776"/>
    <w:rsid w:val="2651DF27"/>
    <w:rsid w:val="291FD287"/>
    <w:rsid w:val="2C06FF07"/>
    <w:rsid w:val="2DB1A2F4"/>
    <w:rsid w:val="2E6B6FA6"/>
    <w:rsid w:val="2E9D6C6E"/>
    <w:rsid w:val="3068D473"/>
    <w:rsid w:val="31D42C50"/>
    <w:rsid w:val="322A42F6"/>
    <w:rsid w:val="32693CBA"/>
    <w:rsid w:val="33B2C04A"/>
    <w:rsid w:val="33BA6C83"/>
    <w:rsid w:val="358C4FE5"/>
    <w:rsid w:val="3707F174"/>
    <w:rsid w:val="373DCEC5"/>
    <w:rsid w:val="3747C8BB"/>
    <w:rsid w:val="3D79E03A"/>
    <w:rsid w:val="40060FFA"/>
    <w:rsid w:val="4032DC3B"/>
    <w:rsid w:val="409ACAB1"/>
    <w:rsid w:val="429D3391"/>
    <w:rsid w:val="437BD12A"/>
    <w:rsid w:val="43D6A042"/>
    <w:rsid w:val="44D62156"/>
    <w:rsid w:val="44FFCA2D"/>
    <w:rsid w:val="4634B2DC"/>
    <w:rsid w:val="470EAAC4"/>
    <w:rsid w:val="4956C525"/>
    <w:rsid w:val="4B4C698A"/>
    <w:rsid w:val="4D8D5D0A"/>
    <w:rsid w:val="4F2D0C3D"/>
    <w:rsid w:val="5012EEC1"/>
    <w:rsid w:val="52CC43AE"/>
    <w:rsid w:val="5714C54F"/>
    <w:rsid w:val="581CEE08"/>
    <w:rsid w:val="593F5ECD"/>
    <w:rsid w:val="5BF29D4A"/>
    <w:rsid w:val="5CD2A3D7"/>
    <w:rsid w:val="5CD9B437"/>
    <w:rsid w:val="5F1C8513"/>
    <w:rsid w:val="5FB54B1F"/>
    <w:rsid w:val="602A8288"/>
    <w:rsid w:val="6086B8CD"/>
    <w:rsid w:val="64BF6E48"/>
    <w:rsid w:val="70C40763"/>
    <w:rsid w:val="7653A6F0"/>
    <w:rsid w:val="783105E3"/>
    <w:rsid w:val="7965AAFA"/>
    <w:rsid w:val="7A0EDEB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91FD287"/>
  <w15:chartTrackingRefBased/>
  <w15:docId w15:val="{635706CB-A6BE-4FB4-89DC-F0F3EB6A1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1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31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310E"/>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C21DF"/>
    <w:pPr>
      <w:spacing w:after="0" w:line="240" w:lineRule="auto"/>
    </w:pPr>
    <w:rPr>
      <w:rFonts w:ascii=".AppleSystemUIFont" w:hAnsi=".AppleSystemUIFont" w:cs="Times New Roman"/>
      <w:sz w:val="26"/>
      <w:szCs w:val="26"/>
      <w:lang w:val="en-GB" w:eastAsia="en-GB"/>
    </w:rPr>
  </w:style>
  <w:style w:type="paragraph" w:customStyle="1" w:styleId="p2">
    <w:name w:val="p2"/>
    <w:basedOn w:val="Normal"/>
    <w:rsid w:val="007C21DF"/>
    <w:pPr>
      <w:spacing w:after="0" w:line="240" w:lineRule="auto"/>
    </w:pPr>
    <w:rPr>
      <w:rFonts w:ascii=".AppleSystemUIFont" w:hAnsi=".AppleSystemUIFont" w:cs="Times New Roman"/>
      <w:sz w:val="26"/>
      <w:szCs w:val="26"/>
      <w:lang w:val="en-GB" w:eastAsia="en-GB"/>
    </w:rPr>
  </w:style>
  <w:style w:type="character" w:customStyle="1" w:styleId="s1">
    <w:name w:val="s1"/>
    <w:basedOn w:val="DefaultParagraphFont"/>
    <w:rsid w:val="007C21DF"/>
    <w:rPr>
      <w:rFonts w:ascii="UICTFontTextStyleBody" w:hAnsi="UICTFontTextStyleBody" w:hint="default"/>
      <w:b w:val="0"/>
      <w:bCs w:val="0"/>
      <w:i w:val="0"/>
      <w:iCs w:val="0"/>
      <w:sz w:val="26"/>
      <w:szCs w:val="26"/>
    </w:rPr>
  </w:style>
  <w:style w:type="character" w:customStyle="1" w:styleId="Heading1Char">
    <w:name w:val="Heading 1 Char"/>
    <w:basedOn w:val="DefaultParagraphFont"/>
    <w:link w:val="Heading1"/>
    <w:uiPriority w:val="9"/>
    <w:rsid w:val="00AA310E"/>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AA310E"/>
    <w:rPr>
      <w:rFonts w:eastAsiaTheme="majorEastAsia" w:cstheme="majorBidi"/>
      <w:color w:val="0F4761" w:themeColor="accent1" w:themeShade="BF"/>
      <w:sz w:val="28"/>
      <w:szCs w:val="28"/>
    </w:rPr>
  </w:style>
  <w:style w:type="character" w:customStyle="1" w:styleId="Heading2Char">
    <w:name w:val="Heading 2 Char"/>
    <w:basedOn w:val="DefaultParagraphFont"/>
    <w:link w:val="Heading2"/>
    <w:uiPriority w:val="9"/>
    <w:semiHidden/>
    <w:rsid w:val="00AA310E"/>
    <w:rPr>
      <w:rFonts w:asciiTheme="majorHAnsi" w:eastAsiaTheme="majorEastAsia" w:hAnsiTheme="majorHAnsi" w:cstheme="majorBidi"/>
      <w:color w:val="0F4761" w:themeColor="accent1" w:themeShade="BF"/>
      <w:sz w:val="32"/>
      <w:szCs w:val="32"/>
    </w:rPr>
  </w:style>
  <w:style w:type="character" w:styleId="Strong">
    <w:name w:val="Strong"/>
    <w:basedOn w:val="DefaultParagraphFont"/>
    <w:uiPriority w:val="22"/>
    <w:qFormat/>
    <w:rsid w:val="00AA310E"/>
    <w:rPr>
      <w:b/>
      <w:bCs/>
    </w:rPr>
  </w:style>
  <w:style w:type="character" w:styleId="Emphasis">
    <w:name w:val="Emphasis"/>
    <w:basedOn w:val="DefaultParagraphFont"/>
    <w:uiPriority w:val="20"/>
    <w:qFormat/>
    <w:rsid w:val="00AA310E"/>
    <w:rPr>
      <w:i/>
      <w:iCs/>
    </w:rPr>
  </w:style>
  <w:style w:type="paragraph" w:styleId="NormalWeb">
    <w:name w:val="Normal (Web)"/>
    <w:basedOn w:val="Normal"/>
    <w:uiPriority w:val="99"/>
    <w:semiHidden/>
    <w:unhideWhenUsed/>
    <w:rsid w:val="00AA310E"/>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AA310E"/>
  </w:style>
  <w:style w:type="character" w:customStyle="1" w:styleId="s2">
    <w:name w:val="s2"/>
    <w:basedOn w:val="DefaultParagraphFont"/>
    <w:rsid w:val="00F67CBA"/>
  </w:style>
  <w:style w:type="paragraph" w:customStyle="1" w:styleId="p3">
    <w:name w:val="p3"/>
    <w:basedOn w:val="Normal"/>
    <w:rsid w:val="00F67CBA"/>
    <w:pPr>
      <w:spacing w:before="100" w:beforeAutospacing="1" w:after="100" w:afterAutospacing="1" w:line="240" w:lineRule="auto"/>
    </w:pPr>
    <w:rPr>
      <w:rFonts w:ascii="Times New Roman" w:hAnsi="Times New Roman" w:cs="Times New Roman"/>
      <w:lang w:val="en-GB" w:eastAsia="en-GB"/>
    </w:rPr>
  </w:style>
  <w:style w:type="character" w:customStyle="1" w:styleId="s3">
    <w:name w:val="s3"/>
    <w:basedOn w:val="DefaultParagraphFont"/>
    <w:rsid w:val="00F67CBA"/>
  </w:style>
  <w:style w:type="character" w:customStyle="1" w:styleId="s4">
    <w:name w:val="s4"/>
    <w:basedOn w:val="DefaultParagraphFont"/>
    <w:rsid w:val="00F67C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1794</Words>
  <Characters>10232</Characters>
  <Application>Microsoft Office Word</Application>
  <DocSecurity>0</DocSecurity>
  <Lines>85</Lines>
  <Paragraphs>24</Paragraphs>
  <ScaleCrop>false</ScaleCrop>
  <Company/>
  <LinksUpToDate>false</LinksUpToDate>
  <CharactersWithSpaces>12002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Abibat Laura Bamidele Bamidele (2513925)</dc:creator>
  <cp:keywords/>
  <dc:description/>
  <cp:lastModifiedBy>Abibat Laura Bamidele Bamidele (2513925)</cp:lastModifiedBy>
  <cp:revision>2</cp:revision>
  <dcterms:created xsi:type="dcterms:W3CDTF">2026-02-17T16:04:00Z</dcterms:created>
  <dcterms:modified xsi:type="dcterms:W3CDTF">2026-02-17T16:04:00Z</dcterms:modified>
</cp:coreProperties>
</file>