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DA693" w14:textId="77777777" w:rsidR="00E865DF" w:rsidRPr="00C97F55" w:rsidRDefault="00E865DF" w:rsidP="00E865DF">
      <w:pPr>
        <w:jc w:val="center"/>
        <w:rPr>
          <w:rFonts w:ascii="Times New Roman" w:hAnsi="Times New Roman" w:cs="Times New Roman"/>
          <w:b/>
          <w:color w:val="000000" w:themeColor="text1"/>
          <w:sz w:val="28"/>
          <w:szCs w:val="28"/>
        </w:rPr>
      </w:pPr>
    </w:p>
    <w:p w14:paraId="5D4BFFBC" w14:textId="77777777" w:rsidR="00E865DF" w:rsidRPr="00C97F55" w:rsidRDefault="00E865DF" w:rsidP="00E865DF">
      <w:pPr>
        <w:jc w:val="center"/>
        <w:rPr>
          <w:rFonts w:ascii="Times New Roman" w:hAnsi="Times New Roman" w:cs="Times New Roman"/>
          <w:b/>
          <w:color w:val="000000" w:themeColor="text1"/>
          <w:sz w:val="28"/>
          <w:szCs w:val="28"/>
        </w:rPr>
      </w:pPr>
    </w:p>
    <w:p w14:paraId="479EC130" w14:textId="77777777" w:rsidR="00E865DF" w:rsidRPr="00C97F55" w:rsidRDefault="00E865DF" w:rsidP="00E865DF">
      <w:pPr>
        <w:jc w:val="center"/>
        <w:rPr>
          <w:rFonts w:ascii="Times New Roman" w:hAnsi="Times New Roman" w:cs="Times New Roman"/>
          <w:b/>
          <w:color w:val="000000" w:themeColor="text1"/>
          <w:sz w:val="28"/>
          <w:szCs w:val="28"/>
        </w:rPr>
      </w:pPr>
    </w:p>
    <w:p w14:paraId="30662BE0" w14:textId="77777777" w:rsidR="00E865DF" w:rsidRPr="00C97F55" w:rsidRDefault="00E865DF" w:rsidP="00E865DF">
      <w:pPr>
        <w:jc w:val="center"/>
        <w:rPr>
          <w:rFonts w:ascii="Times New Roman" w:hAnsi="Times New Roman" w:cs="Times New Roman"/>
          <w:b/>
          <w:color w:val="000000" w:themeColor="text1"/>
          <w:sz w:val="28"/>
          <w:szCs w:val="28"/>
        </w:rPr>
      </w:pPr>
    </w:p>
    <w:p w14:paraId="5AADF742" w14:textId="77777777" w:rsidR="00E865DF" w:rsidRPr="00C97F55" w:rsidRDefault="00E865DF" w:rsidP="00E865DF">
      <w:pPr>
        <w:jc w:val="center"/>
        <w:rPr>
          <w:rFonts w:ascii="Times New Roman" w:hAnsi="Times New Roman" w:cs="Times New Roman"/>
          <w:b/>
          <w:color w:val="000000" w:themeColor="text1"/>
          <w:sz w:val="28"/>
          <w:szCs w:val="28"/>
        </w:rPr>
      </w:pPr>
    </w:p>
    <w:p w14:paraId="3390C520" w14:textId="77777777" w:rsidR="00E865DF" w:rsidRPr="00C97F55" w:rsidRDefault="00E865DF" w:rsidP="002C44A5">
      <w:pPr>
        <w:rPr>
          <w:rFonts w:ascii="Times New Roman" w:hAnsi="Times New Roman" w:cs="Times New Roman"/>
          <w:b/>
          <w:color w:val="000000" w:themeColor="text1"/>
          <w:sz w:val="28"/>
          <w:szCs w:val="28"/>
        </w:rPr>
      </w:pPr>
    </w:p>
    <w:p w14:paraId="53E723E2" w14:textId="77777777" w:rsidR="00E865DF" w:rsidRPr="00C97F55" w:rsidRDefault="00E865DF" w:rsidP="00E865DF">
      <w:pPr>
        <w:jc w:val="center"/>
        <w:rPr>
          <w:rFonts w:ascii="Times New Roman" w:hAnsi="Times New Roman" w:cs="Times New Roman"/>
          <w:b/>
          <w:color w:val="000000" w:themeColor="text1"/>
          <w:sz w:val="28"/>
          <w:szCs w:val="28"/>
        </w:rPr>
      </w:pPr>
    </w:p>
    <w:p w14:paraId="0B26966D" w14:textId="089C16D5" w:rsidR="00E865DF" w:rsidRPr="00C97F55" w:rsidRDefault="002C44A5">
      <w:pPr>
        <w:rPr>
          <w:rFonts w:ascii="Times New Roman" w:hAnsi="Times New Roman" w:cs="Times New Roman"/>
          <w:b/>
          <w:color w:val="000000" w:themeColor="text1"/>
          <w:sz w:val="28"/>
          <w:szCs w:val="28"/>
        </w:rPr>
      </w:pPr>
      <w:r>
        <w:rPr>
          <w:noProof/>
        </w:rPr>
        <mc:AlternateContent>
          <mc:Choice Requires="wps">
            <w:drawing>
              <wp:anchor distT="0" distB="0" distL="114300" distR="114300" simplePos="0" relativeHeight="251659264" behindDoc="0" locked="0" layoutInCell="1" allowOverlap="1" wp14:anchorId="6724A086" wp14:editId="032F28E6">
                <wp:simplePos x="0" y="0"/>
                <wp:positionH relativeFrom="margin">
                  <wp:posOffset>0</wp:posOffset>
                </wp:positionH>
                <wp:positionV relativeFrom="paragraph">
                  <wp:posOffset>56515</wp:posOffset>
                </wp:positionV>
                <wp:extent cx="5781675" cy="2943225"/>
                <wp:effectExtent l="76200" t="57150" r="104775" b="123825"/>
                <wp:wrapNone/>
                <wp:docPr id="1" name="Rounded Rectangle 1"/>
                <wp:cNvGraphicFramePr/>
                <a:graphic xmlns:a="http://schemas.openxmlformats.org/drawingml/2006/main">
                  <a:graphicData uri="http://schemas.microsoft.com/office/word/2010/wordprocessingShape">
                    <wps:wsp>
                      <wps:cNvSpPr/>
                      <wps:spPr>
                        <a:xfrm>
                          <a:off x="0" y="0"/>
                          <a:ext cx="5781675" cy="2943225"/>
                        </a:xfrm>
                        <a:prstGeom prst="roundRect">
                          <a:avLst/>
                        </a:prstGeom>
                        <a:solidFill>
                          <a:srgbClr val="00B0F0"/>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1723C92B" w14:textId="29DB9FE1" w:rsidR="002C44A5" w:rsidRDefault="002C44A5" w:rsidP="002C44A5">
                            <w:pPr>
                              <w:jc w:val="center"/>
                              <w:rPr>
                                <w:b/>
                                <w:sz w:val="56"/>
                              </w:rPr>
                            </w:pPr>
                            <w:r>
                              <w:rPr>
                                <w:b/>
                                <w:sz w:val="56"/>
                              </w:rPr>
                              <w:t>Assignment 2</w:t>
                            </w:r>
                          </w:p>
                          <w:p w14:paraId="4FB3F70C" w14:textId="57BE072C" w:rsidR="002C44A5" w:rsidRPr="00A51C4E" w:rsidRDefault="002C44A5" w:rsidP="002C44A5">
                            <w:pPr>
                              <w:pStyle w:val="NoSpacing"/>
                              <w:spacing w:before="120"/>
                              <w:rPr>
                                <w:color w:val="5B9BD5" w:themeColor="accent1"/>
                                <w:sz w:val="44"/>
                                <w:szCs w:val="44"/>
                              </w:rPr>
                            </w:pPr>
                            <w:sdt>
                              <w:sdtPr>
                                <w:rPr>
                                  <w:rFonts w:ascii="Times New Roman" w:eastAsia="Calibri" w:hAnsi="Times New Roman" w:cs="Times New Roman"/>
                                  <w:b/>
                                  <w:color w:val="70AD47" w:themeColor="accent6"/>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rFonts w:ascii="Times New Roman" w:eastAsia="Calibri" w:hAnsi="Times New Roman" w:cs="Times New Roman"/>
                                    <w:b/>
                                    <w:color w:val="70AD47" w:themeColor="accent6"/>
                                    <w:sz w:val="44"/>
                                    <w:szCs w:val="44"/>
                                  </w:rPr>
                                  <w:t xml:space="preserve">     </w:t>
                                </w:r>
                              </w:sdtContent>
                            </w:sdt>
                            <w:r w:rsidRPr="00A51C4E">
                              <w:rPr>
                                <w:noProof/>
                                <w:color w:val="70AD47" w:themeColor="accent6"/>
                                <w:sz w:val="44"/>
                                <w:szCs w:val="44"/>
                              </w:rPr>
                              <w:t xml:space="preserve"> </w:t>
                            </w:r>
                          </w:p>
                          <w:p w14:paraId="52E9436C" w14:textId="341B7C11" w:rsidR="002C44A5" w:rsidRPr="002C44A5" w:rsidRDefault="002C44A5" w:rsidP="002C44A5">
                            <w:pPr>
                              <w:spacing w:line="480" w:lineRule="auto"/>
                              <w:jc w:val="center"/>
                              <w:rPr>
                                <w:b/>
                                <w:bCs/>
                                <w:sz w:val="28"/>
                                <w:szCs w:val="28"/>
                              </w:rPr>
                            </w:pPr>
                            <w:r>
                              <w:rPr>
                                <w:b/>
                                <w:bCs/>
                                <w:sz w:val="28"/>
                                <w:szCs w:val="28"/>
                              </w:rPr>
                              <w:t>Principles of Professional Legal Practice</w:t>
                            </w:r>
                          </w:p>
                          <w:p w14:paraId="59CC670A" w14:textId="77777777" w:rsidR="002C44A5" w:rsidRPr="008B6657" w:rsidRDefault="002C44A5" w:rsidP="002C44A5">
                            <w:pPr>
                              <w:jc w:val="center"/>
                              <w:rPr>
                                <w:b/>
                                <w:color w:val="002060"/>
                                <w:sz w:val="56"/>
                              </w:rPr>
                            </w:pPr>
                          </w:p>
                          <w:p w14:paraId="1199DE8D" w14:textId="77777777" w:rsidR="002C44A5" w:rsidRPr="008B6657" w:rsidRDefault="002C44A5" w:rsidP="002C44A5">
                            <w:pPr>
                              <w:jc w:val="center"/>
                              <w:rPr>
                                <w:b/>
                                <w:sz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724A086" id="Rounded Rectangle 1" o:spid="_x0000_s1026" style="position:absolute;margin-left:0;margin-top:4.45pt;width:455.25pt;height:231.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" fillcolor="#00b0f0" stroked="f" strokeweight="1pt">
                <v:stroke joinstyle="miter"/>
                <v:shadow on="t" color="black" opacity="20971f" offset="0,2.2pt"/>
                <v:textbox>
                  <w:txbxContent>
                    <w:p w14:paraId="1723C92B" w14:textId="29DB9FE1" w:rsidR="002C44A5" w:rsidRDefault="002C44A5" w:rsidP="002C44A5">
                      <w:pPr>
                        <w:jc w:val="center"/>
                        <w:rPr>
                          <w:b/>
                          <w:sz w:val="56"/>
                        </w:rPr>
                      </w:pPr>
                      <w:r>
                        <w:rPr>
                          <w:b/>
                          <w:sz w:val="56"/>
                        </w:rPr>
                        <w:t>Assignment 2</w:t>
                      </w:r>
                    </w:p>
                    <w:p w14:paraId="4FB3F70C" w14:textId="57BE072C" w:rsidR="002C44A5" w:rsidRPr="00A51C4E" w:rsidRDefault="002C44A5" w:rsidP="002C44A5">
                      <w:pPr>
                        <w:pStyle w:val="NoSpacing"/>
                        <w:spacing w:before="120"/>
                        <w:rPr>
                          <w:color w:val="5B9BD5" w:themeColor="accent1"/>
                          <w:sz w:val="44"/>
                          <w:szCs w:val="44"/>
                        </w:rPr>
                      </w:pPr>
                      <w:sdt>
                        <w:sdtPr>
                          <w:rPr>
                            <w:rFonts w:ascii="Times New Roman" w:eastAsia="Calibri" w:hAnsi="Times New Roman" w:cs="Times New Roman"/>
                            <w:b/>
                            <w:color w:val="70AD47" w:themeColor="accent6"/>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rFonts w:ascii="Times New Roman" w:eastAsia="Calibri" w:hAnsi="Times New Roman" w:cs="Times New Roman"/>
                              <w:b/>
                              <w:color w:val="70AD47" w:themeColor="accent6"/>
                              <w:sz w:val="44"/>
                              <w:szCs w:val="44"/>
                            </w:rPr>
                            <w:t xml:space="preserve">     </w:t>
                          </w:r>
                        </w:sdtContent>
                      </w:sdt>
                      <w:r w:rsidRPr="00A51C4E">
                        <w:rPr>
                          <w:noProof/>
                          <w:color w:val="70AD47" w:themeColor="accent6"/>
                          <w:sz w:val="44"/>
                          <w:szCs w:val="44"/>
                        </w:rPr>
                        <w:t xml:space="preserve"> </w:t>
                      </w:r>
                    </w:p>
                    <w:p w14:paraId="52E9436C" w14:textId="341B7C11" w:rsidR="002C44A5" w:rsidRPr="002C44A5" w:rsidRDefault="002C44A5" w:rsidP="002C44A5">
                      <w:pPr>
                        <w:spacing w:line="480" w:lineRule="auto"/>
                        <w:jc w:val="center"/>
                        <w:rPr>
                          <w:b/>
                          <w:bCs/>
                          <w:sz w:val="28"/>
                          <w:szCs w:val="28"/>
                        </w:rPr>
                      </w:pPr>
                      <w:r>
                        <w:rPr>
                          <w:b/>
                          <w:bCs/>
                          <w:sz w:val="28"/>
                          <w:szCs w:val="28"/>
                        </w:rPr>
                        <w:t>Principles of Professional Legal Practice</w:t>
                      </w:r>
                    </w:p>
                    <w:p w14:paraId="59CC670A" w14:textId="77777777" w:rsidR="002C44A5" w:rsidRPr="008B6657" w:rsidRDefault="002C44A5" w:rsidP="002C44A5">
                      <w:pPr>
                        <w:jc w:val="center"/>
                        <w:rPr>
                          <w:b/>
                          <w:color w:val="002060"/>
                          <w:sz w:val="56"/>
                        </w:rPr>
                      </w:pPr>
                    </w:p>
                    <w:p w14:paraId="1199DE8D" w14:textId="77777777" w:rsidR="002C44A5" w:rsidRPr="008B6657" w:rsidRDefault="002C44A5" w:rsidP="002C44A5">
                      <w:pPr>
                        <w:jc w:val="center"/>
                        <w:rPr>
                          <w:b/>
                          <w:sz w:val="56"/>
                        </w:rPr>
                      </w:pPr>
                    </w:p>
                  </w:txbxContent>
                </v:textbox>
                <w10:wrap anchorx="margin"/>
              </v:roundrect>
            </w:pict>
          </mc:Fallback>
        </mc:AlternateContent>
      </w:r>
      <w:r w:rsidR="00816192" w:rsidRPr="00C97F55">
        <w:rPr>
          <w:rFonts w:ascii="Times New Roman" w:hAnsi="Times New Roman" w:cs="Times New Roman"/>
          <w:b/>
          <w:color w:val="000000" w:themeColor="text1"/>
          <w:sz w:val="28"/>
          <w:szCs w:val="28"/>
        </w:rPr>
        <w:br w:type="page"/>
      </w:r>
    </w:p>
    <w:sdt>
      <w:sdtPr>
        <w:rPr>
          <w:rFonts w:ascii="Times New Roman" w:eastAsiaTheme="minorHAnsi" w:hAnsi="Times New Roman" w:cs="Times New Roman"/>
          <w:color w:val="000000" w:themeColor="text1"/>
          <w:sz w:val="28"/>
          <w:szCs w:val="28"/>
          <w:lang w:val="en-GB"/>
        </w:rPr>
        <w:id w:val="1625730426"/>
        <w:docPartObj>
          <w:docPartGallery w:val="Table of Contents"/>
          <w:docPartUnique/>
        </w:docPartObj>
      </w:sdtPr>
      <w:sdtEndPr>
        <w:rPr>
          <w:b/>
          <w:bCs/>
          <w:noProof/>
        </w:rPr>
      </w:sdtEndPr>
      <w:sdtContent>
        <w:p w14:paraId="626591A3" w14:textId="77777777" w:rsidR="007821E2" w:rsidRPr="00C97F55" w:rsidRDefault="00816192">
          <w:pPr>
            <w:pStyle w:val="TOCHeading"/>
            <w:rPr>
              <w:rFonts w:ascii="Times New Roman" w:hAnsi="Times New Roman" w:cs="Times New Roman"/>
              <w:b/>
              <w:color w:val="000000" w:themeColor="text1"/>
              <w:sz w:val="28"/>
              <w:szCs w:val="28"/>
            </w:rPr>
          </w:pPr>
          <w:r w:rsidRPr="00C97F55">
            <w:rPr>
              <w:rFonts w:ascii="Times New Roman" w:hAnsi="Times New Roman" w:cs="Times New Roman"/>
              <w:b/>
              <w:color w:val="000000" w:themeColor="text1"/>
              <w:sz w:val="28"/>
              <w:szCs w:val="28"/>
            </w:rPr>
            <w:t>Table of Contents</w:t>
          </w:r>
        </w:p>
        <w:p w14:paraId="6D910356" w14:textId="77777777" w:rsidR="002C0040" w:rsidRPr="00C97F55" w:rsidRDefault="00E52D6B">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3" w:history="1">
            <w:r w:rsidR="00816192" w:rsidRPr="00C97F55">
              <w:rPr>
                <w:rStyle w:val="Hyperlink"/>
                <w:rFonts w:ascii="Times New Roman" w:hAnsi="Times New Roman" w:cs="Times New Roman"/>
                <w:noProof/>
                <w:color w:val="000000" w:themeColor="text1"/>
                <w:sz w:val="28"/>
                <w:szCs w:val="28"/>
              </w:rPr>
              <w:t>Introduction</w:t>
            </w:r>
            <w:r w:rsidR="00816192" w:rsidRPr="00C97F55">
              <w:rPr>
                <w:rFonts w:ascii="Times New Roman" w:hAnsi="Times New Roman" w:cs="Times New Roman"/>
                <w:noProof/>
                <w:webHidden/>
                <w:color w:val="000000" w:themeColor="text1"/>
                <w:sz w:val="28"/>
                <w:szCs w:val="28"/>
              </w:rPr>
              <w:tab/>
            </w:r>
            <w:r w:rsidR="00816192" w:rsidRPr="00C97F55">
              <w:rPr>
                <w:rFonts w:ascii="Times New Roman" w:hAnsi="Times New Roman" w:cs="Times New Roman"/>
                <w:noProof/>
                <w:webHidden/>
                <w:color w:val="000000" w:themeColor="text1"/>
                <w:sz w:val="28"/>
                <w:szCs w:val="28"/>
              </w:rPr>
              <w:fldChar w:fldCharType="begin"/>
            </w:r>
            <w:r w:rsidR="00816192" w:rsidRPr="00C97F55">
              <w:rPr>
                <w:rFonts w:ascii="Times New Roman" w:hAnsi="Times New Roman" w:cs="Times New Roman"/>
                <w:noProof/>
                <w:webHidden/>
                <w:color w:val="000000" w:themeColor="text1"/>
                <w:sz w:val="28"/>
                <w:szCs w:val="28"/>
              </w:rPr>
              <w:instrText xml:space="preserve"> PAGEREF _Toc70351333 \h </w:instrText>
            </w:r>
            <w:r w:rsidR="00816192" w:rsidRPr="00C97F55">
              <w:rPr>
                <w:rFonts w:ascii="Times New Roman" w:hAnsi="Times New Roman" w:cs="Times New Roman"/>
                <w:noProof/>
                <w:webHidden/>
                <w:color w:val="000000" w:themeColor="text1"/>
                <w:sz w:val="28"/>
                <w:szCs w:val="28"/>
              </w:rPr>
            </w:r>
            <w:r w:rsidR="00816192" w:rsidRPr="00C97F55">
              <w:rPr>
                <w:rFonts w:ascii="Times New Roman" w:hAnsi="Times New Roman" w:cs="Times New Roman"/>
                <w:noProof/>
                <w:webHidden/>
                <w:color w:val="000000" w:themeColor="text1"/>
                <w:sz w:val="28"/>
                <w:szCs w:val="28"/>
              </w:rPr>
              <w:fldChar w:fldCharType="separate"/>
            </w:r>
            <w:r w:rsidR="00816192" w:rsidRPr="00C97F55">
              <w:rPr>
                <w:rFonts w:ascii="Times New Roman" w:hAnsi="Times New Roman" w:cs="Times New Roman"/>
                <w:noProof/>
                <w:webHidden/>
                <w:color w:val="000000" w:themeColor="text1"/>
                <w:sz w:val="28"/>
                <w:szCs w:val="28"/>
              </w:rPr>
              <w:t>3</w:t>
            </w:r>
            <w:r w:rsidR="00816192" w:rsidRPr="00C97F55">
              <w:rPr>
                <w:rFonts w:ascii="Times New Roman" w:hAnsi="Times New Roman" w:cs="Times New Roman"/>
                <w:noProof/>
                <w:webHidden/>
                <w:color w:val="000000" w:themeColor="text1"/>
                <w:sz w:val="28"/>
                <w:szCs w:val="28"/>
              </w:rPr>
              <w:fldChar w:fldCharType="end"/>
            </w:r>
          </w:hyperlink>
        </w:p>
        <w:p w14:paraId="6F39F45F" w14:textId="77777777" w:rsidR="002C0040" w:rsidRPr="00C97F55" w:rsidRDefault="00E52D6B">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4" w:history="1">
            <w:r w:rsidR="00816192" w:rsidRPr="00C97F55">
              <w:rPr>
                <w:rStyle w:val="Hyperlink"/>
                <w:rFonts w:ascii="Times New Roman" w:hAnsi="Times New Roman" w:cs="Times New Roman"/>
                <w:noProof/>
                <w:color w:val="000000" w:themeColor="text1"/>
                <w:sz w:val="28"/>
                <w:szCs w:val="28"/>
              </w:rPr>
              <w:t>Assessing the Reliance On the Solicitors by the Clients</w:t>
            </w:r>
            <w:r w:rsidR="00816192" w:rsidRPr="00C97F55">
              <w:rPr>
                <w:rFonts w:ascii="Times New Roman" w:hAnsi="Times New Roman" w:cs="Times New Roman"/>
                <w:noProof/>
                <w:webHidden/>
                <w:color w:val="000000" w:themeColor="text1"/>
                <w:sz w:val="28"/>
                <w:szCs w:val="28"/>
              </w:rPr>
              <w:tab/>
              <w:t>3</w:t>
            </w:r>
          </w:hyperlink>
        </w:p>
        <w:p w14:paraId="1D60E3B7" w14:textId="77777777" w:rsidR="002C0040" w:rsidRPr="00C97F55" w:rsidRDefault="00E52D6B">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5" w:history="1">
            <w:r w:rsidR="00816192" w:rsidRPr="00C97F55">
              <w:rPr>
                <w:rStyle w:val="Hyperlink"/>
                <w:rFonts w:ascii="Times New Roman" w:hAnsi="Times New Roman" w:cs="Times New Roman"/>
                <w:noProof/>
                <w:color w:val="000000" w:themeColor="text1"/>
                <w:sz w:val="28"/>
                <w:szCs w:val="28"/>
              </w:rPr>
              <w:t>Conclusions</w:t>
            </w:r>
            <w:r w:rsidR="00816192" w:rsidRPr="00C97F55">
              <w:rPr>
                <w:rFonts w:ascii="Times New Roman" w:hAnsi="Times New Roman" w:cs="Times New Roman"/>
                <w:noProof/>
                <w:webHidden/>
                <w:color w:val="000000" w:themeColor="text1"/>
                <w:sz w:val="28"/>
                <w:szCs w:val="28"/>
              </w:rPr>
              <w:tab/>
              <w:t>8</w:t>
            </w:r>
          </w:hyperlink>
        </w:p>
        <w:p w14:paraId="290C990E" w14:textId="77777777" w:rsidR="002C0040" w:rsidRPr="00C97F55" w:rsidRDefault="00E52D6B">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6" w:history="1">
            <w:r w:rsidR="00816192" w:rsidRPr="00C97F55">
              <w:rPr>
                <w:rStyle w:val="Hyperlink"/>
                <w:rFonts w:ascii="Times New Roman" w:hAnsi="Times New Roman" w:cs="Times New Roman"/>
                <w:noProof/>
                <w:color w:val="000000" w:themeColor="text1"/>
                <w:sz w:val="28"/>
                <w:szCs w:val="28"/>
              </w:rPr>
              <w:t>References</w:t>
            </w:r>
            <w:r w:rsidR="00816192" w:rsidRPr="00C97F55">
              <w:rPr>
                <w:rFonts w:ascii="Times New Roman" w:hAnsi="Times New Roman" w:cs="Times New Roman"/>
                <w:noProof/>
                <w:webHidden/>
                <w:color w:val="000000" w:themeColor="text1"/>
                <w:sz w:val="28"/>
                <w:szCs w:val="28"/>
              </w:rPr>
              <w:tab/>
              <w:t>9</w:t>
            </w:r>
          </w:hyperlink>
        </w:p>
        <w:p w14:paraId="6358830E" w14:textId="77777777" w:rsidR="007821E2" w:rsidRPr="00C97F55" w:rsidRDefault="00E52D6B">
          <w:pPr>
            <w:rPr>
              <w:rFonts w:ascii="Times New Roman" w:hAnsi="Times New Roman" w:cs="Times New Roman"/>
              <w:color w:val="000000" w:themeColor="text1"/>
              <w:sz w:val="28"/>
              <w:szCs w:val="28"/>
            </w:rPr>
          </w:pPr>
        </w:p>
      </w:sdtContent>
    </w:sdt>
    <w:p w14:paraId="55A8892D" w14:textId="77777777" w:rsidR="007821E2" w:rsidRPr="00C97F55" w:rsidRDefault="00816192">
      <w:pPr>
        <w:rPr>
          <w:rFonts w:ascii="Times New Roman" w:eastAsiaTheme="majorEastAsia" w:hAnsi="Times New Roman" w:cs="Times New Roman"/>
          <w:b/>
          <w:color w:val="000000" w:themeColor="text1"/>
          <w:sz w:val="28"/>
          <w:szCs w:val="28"/>
        </w:rPr>
      </w:pPr>
      <w:r w:rsidRPr="00C97F55">
        <w:rPr>
          <w:rFonts w:ascii="Times New Roman" w:hAnsi="Times New Roman" w:cs="Times New Roman"/>
          <w:b/>
          <w:color w:val="000000" w:themeColor="text1"/>
          <w:sz w:val="28"/>
          <w:szCs w:val="28"/>
        </w:rPr>
        <w:br w:type="page"/>
      </w:r>
    </w:p>
    <w:p w14:paraId="3DA35C10" w14:textId="77777777" w:rsidR="00CC5CAE" w:rsidRPr="00C97F55" w:rsidRDefault="00816192" w:rsidP="002C0040">
      <w:pPr>
        <w:pStyle w:val="Heading1"/>
        <w:spacing w:line="480" w:lineRule="auto"/>
        <w:jc w:val="both"/>
        <w:rPr>
          <w:rFonts w:ascii="Times New Roman" w:hAnsi="Times New Roman" w:cs="Times New Roman"/>
          <w:b/>
          <w:color w:val="000000" w:themeColor="text1"/>
          <w:sz w:val="28"/>
          <w:szCs w:val="28"/>
        </w:rPr>
      </w:pPr>
      <w:bookmarkStart w:id="0" w:name="_Toc70351333"/>
      <w:r w:rsidRPr="00C97F55">
        <w:rPr>
          <w:rFonts w:ascii="Times New Roman" w:hAnsi="Times New Roman" w:cs="Times New Roman"/>
          <w:b/>
          <w:color w:val="000000" w:themeColor="text1"/>
          <w:sz w:val="28"/>
          <w:szCs w:val="28"/>
        </w:rPr>
        <w:lastRenderedPageBreak/>
        <w:t>Introduction</w:t>
      </w:r>
      <w:bookmarkEnd w:id="0"/>
      <w:r w:rsidRPr="00C97F55">
        <w:rPr>
          <w:rFonts w:ascii="Times New Roman" w:hAnsi="Times New Roman" w:cs="Times New Roman"/>
          <w:b/>
          <w:color w:val="000000" w:themeColor="text1"/>
          <w:sz w:val="28"/>
          <w:szCs w:val="28"/>
        </w:rPr>
        <w:t xml:space="preserve"> </w:t>
      </w:r>
    </w:p>
    <w:p w14:paraId="3F0FAE0D" w14:textId="77777777" w:rsidR="00C63C78" w:rsidRPr="00C97F55" w:rsidRDefault="00816192" w:rsidP="002C0040">
      <w:pPr>
        <w:spacing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t xml:space="preserve">Legal </w:t>
      </w:r>
      <w:r w:rsidR="00F72C2F" w:rsidRPr="00C97F55">
        <w:rPr>
          <w:rFonts w:ascii="Times New Roman" w:hAnsi="Times New Roman" w:cs="Times New Roman"/>
          <w:color w:val="000000" w:themeColor="text1"/>
          <w:sz w:val="28"/>
          <w:szCs w:val="28"/>
        </w:rPr>
        <w:t xml:space="preserve">obligations are one of the </w:t>
      </w:r>
      <w:r w:rsidR="00C555CD" w:rsidRPr="00C97F55">
        <w:rPr>
          <w:rFonts w:ascii="Times New Roman" w:hAnsi="Times New Roman" w:cs="Times New Roman"/>
          <w:color w:val="000000" w:themeColor="text1"/>
          <w:sz w:val="28"/>
          <w:szCs w:val="28"/>
        </w:rPr>
        <w:t xml:space="preserve">most </w:t>
      </w:r>
      <w:r w:rsidR="000753B9" w:rsidRPr="00C97F55">
        <w:rPr>
          <w:rFonts w:ascii="Times New Roman" w:hAnsi="Times New Roman" w:cs="Times New Roman"/>
          <w:color w:val="000000" w:themeColor="text1"/>
          <w:sz w:val="28"/>
          <w:szCs w:val="28"/>
        </w:rPr>
        <w:t xml:space="preserve">crucial duties of the </w:t>
      </w:r>
      <w:r w:rsidRPr="00C97F55">
        <w:rPr>
          <w:rFonts w:ascii="Times New Roman" w:hAnsi="Times New Roman" w:cs="Times New Roman"/>
          <w:color w:val="000000" w:themeColor="text1"/>
          <w:sz w:val="28"/>
          <w:szCs w:val="28"/>
        </w:rPr>
        <w:t xml:space="preserve">people in lawful professions. A solicitor in the legal term is a member of the legal profession who is qualified to deal with the conveyancing matter drawn up on the wills and other associated lawful matters. </w:t>
      </w:r>
      <w:r w:rsidR="00845E78" w:rsidRPr="00C97F55">
        <w:rPr>
          <w:rFonts w:ascii="Times New Roman" w:hAnsi="Times New Roman" w:cs="Times New Roman"/>
          <w:color w:val="000000" w:themeColor="text1"/>
          <w:sz w:val="28"/>
          <w:szCs w:val="28"/>
        </w:rPr>
        <w:t xml:space="preserve">The purpose of this essay is to </w:t>
      </w:r>
      <w:r w:rsidR="007D47D5" w:rsidRPr="00C97F55">
        <w:rPr>
          <w:rFonts w:ascii="Times New Roman" w:hAnsi="Times New Roman" w:cs="Times New Roman"/>
          <w:color w:val="000000" w:themeColor="text1"/>
          <w:sz w:val="28"/>
          <w:szCs w:val="28"/>
        </w:rPr>
        <w:t xml:space="preserve">comprehend the solicitors' code of conduct and the principles plus skills attached to their profession. </w:t>
      </w:r>
      <w:r w:rsidR="00E30332" w:rsidRPr="00C97F55">
        <w:rPr>
          <w:rFonts w:ascii="Times New Roman" w:hAnsi="Times New Roman" w:cs="Times New Roman"/>
          <w:color w:val="000000" w:themeColor="text1"/>
          <w:sz w:val="28"/>
          <w:szCs w:val="28"/>
        </w:rPr>
        <w:t xml:space="preserve">This essay engulfs </w:t>
      </w:r>
      <w:r w:rsidR="00BE77DF" w:rsidRPr="00C97F55">
        <w:rPr>
          <w:rFonts w:ascii="Times New Roman" w:hAnsi="Times New Roman" w:cs="Times New Roman"/>
          <w:color w:val="000000" w:themeColor="text1"/>
          <w:sz w:val="28"/>
          <w:szCs w:val="28"/>
        </w:rPr>
        <w:t xml:space="preserve">some of the major considerations that are taken up under the </w:t>
      </w:r>
      <w:r w:rsidR="00111BCC" w:rsidRPr="00C97F55">
        <w:rPr>
          <w:rFonts w:ascii="Times New Roman" w:hAnsi="Times New Roman" w:cs="Times New Roman"/>
          <w:color w:val="000000" w:themeColor="text1"/>
          <w:sz w:val="28"/>
          <w:szCs w:val="28"/>
        </w:rPr>
        <w:t xml:space="preserve">SRA Code of Conduct such as concepts of conflicts of interest, client care and anti-money laundering. </w:t>
      </w:r>
      <w:r w:rsidR="00FD2363" w:rsidRPr="00C97F55">
        <w:rPr>
          <w:rFonts w:ascii="Times New Roman" w:hAnsi="Times New Roman" w:cs="Times New Roman"/>
          <w:color w:val="000000" w:themeColor="text1"/>
          <w:sz w:val="28"/>
          <w:szCs w:val="28"/>
        </w:rPr>
        <w:t xml:space="preserve">The thesis statement of this </w:t>
      </w:r>
      <w:r w:rsidR="00CC09FB" w:rsidRPr="00C97F55">
        <w:rPr>
          <w:rFonts w:ascii="Times New Roman" w:hAnsi="Times New Roman" w:cs="Times New Roman"/>
          <w:color w:val="000000" w:themeColor="text1"/>
          <w:sz w:val="28"/>
          <w:szCs w:val="28"/>
        </w:rPr>
        <w:t xml:space="preserve">essay is </w:t>
      </w:r>
      <w:r w:rsidR="00AF1117" w:rsidRPr="00C97F55">
        <w:rPr>
          <w:rFonts w:ascii="Times New Roman" w:hAnsi="Times New Roman" w:cs="Times New Roman"/>
          <w:color w:val="000000" w:themeColor="text1"/>
          <w:sz w:val="28"/>
          <w:szCs w:val="28"/>
        </w:rPr>
        <w:t>“</w:t>
      </w:r>
      <w:r w:rsidR="00CC09FB" w:rsidRPr="00C97F55">
        <w:rPr>
          <w:rFonts w:ascii="Times New Roman" w:hAnsi="Times New Roman" w:cs="Times New Roman"/>
          <w:color w:val="000000" w:themeColor="text1"/>
          <w:sz w:val="28"/>
          <w:szCs w:val="28"/>
        </w:rPr>
        <w:t xml:space="preserve">to assess that whether </w:t>
      </w:r>
      <w:r w:rsidR="000D2721" w:rsidRPr="00C97F55">
        <w:rPr>
          <w:rFonts w:ascii="Times New Roman" w:hAnsi="Times New Roman" w:cs="Times New Roman"/>
          <w:color w:val="000000" w:themeColor="text1"/>
          <w:sz w:val="28"/>
          <w:szCs w:val="28"/>
        </w:rPr>
        <w:t xml:space="preserve">the solicitors can be trusted </w:t>
      </w:r>
      <w:r w:rsidR="00AF1117" w:rsidRPr="00C97F55">
        <w:rPr>
          <w:rFonts w:ascii="Times New Roman" w:hAnsi="Times New Roman" w:cs="Times New Roman"/>
          <w:color w:val="000000" w:themeColor="text1"/>
          <w:sz w:val="28"/>
          <w:szCs w:val="28"/>
        </w:rPr>
        <w:t xml:space="preserve">by the clients”. </w:t>
      </w:r>
    </w:p>
    <w:p w14:paraId="5794F333" w14:textId="77777777" w:rsidR="00C44949" w:rsidRPr="00C97F55" w:rsidRDefault="00816192" w:rsidP="002C0040">
      <w:pPr>
        <w:pStyle w:val="Heading1"/>
        <w:spacing w:line="480" w:lineRule="auto"/>
        <w:jc w:val="both"/>
        <w:rPr>
          <w:rFonts w:ascii="Times New Roman" w:hAnsi="Times New Roman" w:cs="Times New Roman"/>
          <w:b/>
          <w:color w:val="000000" w:themeColor="text1"/>
          <w:sz w:val="28"/>
          <w:szCs w:val="28"/>
        </w:rPr>
      </w:pPr>
      <w:bookmarkStart w:id="1" w:name="_Toc70351334"/>
      <w:r w:rsidRPr="00C97F55">
        <w:rPr>
          <w:rFonts w:ascii="Times New Roman" w:hAnsi="Times New Roman" w:cs="Times New Roman"/>
          <w:b/>
          <w:color w:val="000000" w:themeColor="text1"/>
          <w:sz w:val="28"/>
          <w:szCs w:val="28"/>
        </w:rPr>
        <w:t xml:space="preserve">Assessing the Reliance </w:t>
      </w:r>
      <w:proofErr w:type="gramStart"/>
      <w:r w:rsidRPr="00C97F55">
        <w:rPr>
          <w:rFonts w:ascii="Times New Roman" w:hAnsi="Times New Roman" w:cs="Times New Roman"/>
          <w:b/>
          <w:color w:val="000000" w:themeColor="text1"/>
          <w:sz w:val="28"/>
          <w:szCs w:val="28"/>
        </w:rPr>
        <w:t>On</w:t>
      </w:r>
      <w:proofErr w:type="gramEnd"/>
      <w:r w:rsidRPr="00C97F55">
        <w:rPr>
          <w:rFonts w:ascii="Times New Roman" w:hAnsi="Times New Roman" w:cs="Times New Roman"/>
          <w:b/>
          <w:color w:val="000000" w:themeColor="text1"/>
          <w:sz w:val="28"/>
          <w:szCs w:val="28"/>
        </w:rPr>
        <w:t xml:space="preserve"> the Solicitors by the Clients</w:t>
      </w:r>
      <w:bookmarkEnd w:id="1"/>
      <w:r w:rsidRPr="00C97F55">
        <w:rPr>
          <w:rFonts w:ascii="Times New Roman" w:hAnsi="Times New Roman" w:cs="Times New Roman"/>
          <w:b/>
          <w:color w:val="000000" w:themeColor="text1"/>
          <w:sz w:val="28"/>
          <w:szCs w:val="28"/>
        </w:rPr>
        <w:t xml:space="preserve">  </w:t>
      </w:r>
    </w:p>
    <w:p w14:paraId="0842DA80" w14:textId="77777777" w:rsidR="00912998"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t xml:space="preserve">The code of conduct encompasses the standards of professionalism </w:t>
      </w:r>
      <w:r w:rsidR="006C5879" w:rsidRPr="00C97F55">
        <w:rPr>
          <w:rFonts w:ascii="Times New Roman" w:hAnsi="Times New Roman" w:cs="Times New Roman"/>
          <w:bCs/>
          <w:color w:val="000000" w:themeColor="text1"/>
          <w:sz w:val="28"/>
          <w:szCs w:val="28"/>
        </w:rPr>
        <w:t xml:space="preserve">that the SRA and the public </w:t>
      </w:r>
      <w:r w:rsidR="009471F1" w:rsidRPr="00C97F55">
        <w:rPr>
          <w:rFonts w:ascii="Times New Roman" w:hAnsi="Times New Roman" w:cs="Times New Roman"/>
          <w:bCs/>
          <w:color w:val="000000" w:themeColor="text1"/>
          <w:sz w:val="28"/>
          <w:szCs w:val="28"/>
        </w:rPr>
        <w:t xml:space="preserve">expect the individuals authorised by </w:t>
      </w:r>
      <w:r w:rsidR="00573406" w:rsidRPr="00C97F55">
        <w:rPr>
          <w:rFonts w:ascii="Times New Roman" w:hAnsi="Times New Roman" w:cs="Times New Roman"/>
          <w:bCs/>
          <w:color w:val="000000" w:themeColor="text1"/>
          <w:sz w:val="28"/>
          <w:szCs w:val="28"/>
        </w:rPr>
        <w:t xml:space="preserve">providing the legal services. </w:t>
      </w:r>
      <w:r w:rsidR="00BE416C" w:rsidRPr="00C97F55">
        <w:rPr>
          <w:rFonts w:ascii="Times New Roman" w:hAnsi="Times New Roman" w:cs="Times New Roman"/>
          <w:bCs/>
          <w:color w:val="000000" w:themeColor="text1"/>
          <w:sz w:val="28"/>
          <w:szCs w:val="28"/>
        </w:rPr>
        <w:t>The</w:t>
      </w:r>
      <w:r w:rsidR="008430A2" w:rsidRPr="00C97F55">
        <w:rPr>
          <w:rFonts w:ascii="Times New Roman" w:hAnsi="Times New Roman" w:cs="Times New Roman"/>
          <w:bCs/>
          <w:color w:val="000000" w:themeColor="text1"/>
          <w:sz w:val="28"/>
          <w:szCs w:val="28"/>
        </w:rPr>
        <w:t xml:space="preserve"> solicitors apply</w:t>
      </w:r>
      <w:r w:rsidR="00BE416C" w:rsidRPr="00C97F55">
        <w:rPr>
          <w:rFonts w:ascii="Times New Roman" w:hAnsi="Times New Roman" w:cs="Times New Roman"/>
          <w:bCs/>
          <w:color w:val="000000" w:themeColor="text1"/>
          <w:sz w:val="28"/>
          <w:szCs w:val="28"/>
        </w:rPr>
        <w:t xml:space="preserve"> to the conduct and the behaviour associated with the practice. </w:t>
      </w:r>
      <w:r w:rsidR="000F608A" w:rsidRPr="00C97F55">
        <w:rPr>
          <w:rFonts w:ascii="Times New Roman" w:hAnsi="Times New Roman" w:cs="Times New Roman"/>
          <w:bCs/>
          <w:color w:val="000000" w:themeColor="text1"/>
          <w:sz w:val="28"/>
          <w:szCs w:val="28"/>
        </w:rPr>
        <w:t>Th</w:t>
      </w:r>
      <w:r w:rsidR="005668ED" w:rsidRPr="00C97F55">
        <w:rPr>
          <w:rFonts w:ascii="Times New Roman" w:hAnsi="Times New Roman" w:cs="Times New Roman"/>
          <w:bCs/>
          <w:color w:val="000000" w:themeColor="text1"/>
          <w:sz w:val="28"/>
          <w:szCs w:val="28"/>
        </w:rPr>
        <w:t>e Solicitors Regulation Authority is the requirement that solicitors are expected to adhere during the practising while working with the clients and in the public interest</w:t>
      </w:r>
      <w:r w:rsidRPr="00C97F55">
        <w:rPr>
          <w:rFonts w:ascii="Times New Roman" w:hAnsi="Times New Roman" w:cs="Times New Roman"/>
          <w:bCs/>
          <w:color w:val="000000" w:themeColor="text1"/>
          <w:sz w:val="28"/>
          <w:szCs w:val="28"/>
        </w:rPr>
        <w:t xml:space="preserve"> (Solicitors Regulation Authority, 2021)</w:t>
      </w:r>
      <w:r w:rsidR="005668ED" w:rsidRPr="00C97F55">
        <w:rPr>
          <w:rFonts w:ascii="Times New Roman" w:hAnsi="Times New Roman" w:cs="Times New Roman"/>
          <w:bCs/>
          <w:color w:val="000000" w:themeColor="text1"/>
          <w:sz w:val="28"/>
          <w:szCs w:val="28"/>
        </w:rPr>
        <w:t xml:space="preserve">. </w:t>
      </w:r>
      <w:r w:rsidR="008B1C8E" w:rsidRPr="00C97F55">
        <w:rPr>
          <w:rFonts w:ascii="Times New Roman" w:hAnsi="Times New Roman" w:cs="Times New Roman"/>
          <w:bCs/>
          <w:color w:val="000000" w:themeColor="text1"/>
          <w:sz w:val="28"/>
          <w:szCs w:val="28"/>
        </w:rPr>
        <w:t xml:space="preserve">Code of conduct in the solicitors' practice encompasses conduct and behaviour </w:t>
      </w:r>
      <w:r w:rsidR="00CF2B2C" w:rsidRPr="00C97F55">
        <w:rPr>
          <w:rFonts w:ascii="Times New Roman" w:hAnsi="Times New Roman" w:cs="Times New Roman"/>
          <w:bCs/>
          <w:color w:val="000000" w:themeColor="text1"/>
          <w:sz w:val="28"/>
          <w:szCs w:val="28"/>
        </w:rPr>
        <w:t xml:space="preserve">related to the legal practice that comprises of an ethical framework that applies irrespective of the governmental role. </w:t>
      </w:r>
    </w:p>
    <w:p w14:paraId="07C5145B" w14:textId="77777777" w:rsidR="00C63C78"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lastRenderedPageBreak/>
        <w:tab/>
      </w:r>
      <w:r w:rsidR="00CF2B2C" w:rsidRPr="00C97F55">
        <w:rPr>
          <w:rFonts w:ascii="Times New Roman" w:hAnsi="Times New Roman" w:cs="Times New Roman"/>
          <w:bCs/>
          <w:color w:val="000000" w:themeColor="text1"/>
          <w:sz w:val="28"/>
          <w:szCs w:val="28"/>
        </w:rPr>
        <w:t xml:space="preserve">SRA Code of conduct must be exercised </w:t>
      </w:r>
      <w:r w:rsidR="00E72D9D" w:rsidRPr="00C97F55">
        <w:rPr>
          <w:rFonts w:ascii="Times New Roman" w:hAnsi="Times New Roman" w:cs="Times New Roman"/>
          <w:bCs/>
          <w:color w:val="000000" w:themeColor="text1"/>
          <w:sz w:val="28"/>
          <w:szCs w:val="28"/>
        </w:rPr>
        <w:t>in terms of judgements applied to the standards as per the situations</w:t>
      </w:r>
      <w:r w:rsidR="001C3878" w:rsidRPr="00C97F55">
        <w:rPr>
          <w:rFonts w:ascii="Times New Roman" w:hAnsi="Times New Roman" w:cs="Times New Roman"/>
          <w:bCs/>
          <w:color w:val="000000" w:themeColor="text1"/>
          <w:sz w:val="28"/>
          <w:szCs w:val="28"/>
        </w:rPr>
        <w:t xml:space="preserve"> and in deciding the course of actions bearing in mind the concerned roles and the responsibilities, nature of the client, and the areas of practice</w:t>
      </w:r>
      <w:r w:rsidR="00252B88" w:rsidRPr="00C97F55">
        <w:rPr>
          <w:rFonts w:ascii="Times New Roman" w:hAnsi="Times New Roman" w:cs="Times New Roman"/>
          <w:bCs/>
          <w:color w:val="000000" w:themeColor="text1"/>
          <w:sz w:val="28"/>
          <w:szCs w:val="28"/>
        </w:rPr>
        <w:t xml:space="preserve"> (Boon, 2014)</w:t>
      </w:r>
      <w:r w:rsidR="001C3878" w:rsidRPr="00C97F55">
        <w:rPr>
          <w:rFonts w:ascii="Times New Roman" w:hAnsi="Times New Roman" w:cs="Times New Roman"/>
          <w:bCs/>
          <w:color w:val="000000" w:themeColor="text1"/>
          <w:sz w:val="28"/>
          <w:szCs w:val="28"/>
        </w:rPr>
        <w:t>. A solicitor is accountable for compliance with the code of conduct and other regulatory requirements that applies under a profession and must always be prepared for the decisions and the actions</w:t>
      </w:r>
      <w:r w:rsidRPr="00C97F55">
        <w:rPr>
          <w:rFonts w:ascii="Times New Roman" w:hAnsi="Times New Roman" w:cs="Times New Roman"/>
          <w:bCs/>
          <w:color w:val="000000" w:themeColor="text1"/>
          <w:sz w:val="28"/>
          <w:szCs w:val="28"/>
        </w:rPr>
        <w:t xml:space="preserve"> (Solicitors Regulation Authority, 2021)</w:t>
      </w:r>
      <w:r w:rsidR="001C3878" w:rsidRPr="00C97F55">
        <w:rPr>
          <w:rFonts w:ascii="Times New Roman" w:hAnsi="Times New Roman" w:cs="Times New Roman"/>
          <w:bCs/>
          <w:color w:val="000000" w:themeColor="text1"/>
          <w:sz w:val="28"/>
          <w:szCs w:val="28"/>
        </w:rPr>
        <w:t xml:space="preserve">. </w:t>
      </w:r>
      <w:r w:rsidR="003C0F6B" w:rsidRPr="00C97F55">
        <w:rPr>
          <w:rFonts w:ascii="Times New Roman" w:hAnsi="Times New Roman" w:cs="Times New Roman"/>
          <w:bCs/>
          <w:color w:val="000000" w:themeColor="text1"/>
          <w:sz w:val="28"/>
          <w:szCs w:val="28"/>
        </w:rPr>
        <w:t xml:space="preserve">A serious failure/breach in meeting the regulatory standards may result in taking regulatory action against a person. </w:t>
      </w:r>
      <w:r w:rsidR="00A56073" w:rsidRPr="00C97F55">
        <w:rPr>
          <w:rFonts w:ascii="Times New Roman" w:hAnsi="Times New Roman" w:cs="Times New Roman"/>
          <w:bCs/>
          <w:color w:val="000000" w:themeColor="text1"/>
          <w:sz w:val="28"/>
          <w:szCs w:val="28"/>
        </w:rPr>
        <w:t xml:space="preserve">A solicitor is a bind in terms of Codes, Principles and our rules and regulations prescribed in section 56 of the Legal Aid, Sentencing and Punishment of Offenders Act 2012. </w:t>
      </w:r>
    </w:p>
    <w:p w14:paraId="2EAA8ED9" w14:textId="12DB9921" w:rsidR="00912998"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t>The key code of conduct for the solicitors as per clauses is aforesaid. Clause 1 encompasses maintaining the trust and fair treatment of the service user</w:t>
      </w:r>
      <w:r w:rsidR="00B433CA" w:rsidRPr="00C97F55">
        <w:rPr>
          <w:rFonts w:ascii="Times New Roman" w:hAnsi="Times New Roman" w:cs="Times New Roman"/>
          <w:bCs/>
          <w:color w:val="000000" w:themeColor="text1"/>
          <w:sz w:val="28"/>
          <w:szCs w:val="28"/>
        </w:rPr>
        <w:t xml:space="preserve">. </w:t>
      </w:r>
      <w:r w:rsidRPr="00C97F55">
        <w:rPr>
          <w:rFonts w:ascii="Times New Roman" w:hAnsi="Times New Roman" w:cs="Times New Roman"/>
          <w:bCs/>
          <w:color w:val="000000" w:themeColor="text1"/>
          <w:sz w:val="28"/>
          <w:szCs w:val="28"/>
        </w:rPr>
        <w:t>Clause 2 relates to the dispute resolution in the courts and Clause 3 asserts the service and competence delivery in soliciting</w:t>
      </w:r>
      <w:r w:rsidR="001720B7" w:rsidRPr="00C97F55">
        <w:rPr>
          <w:rFonts w:ascii="Times New Roman" w:hAnsi="Times New Roman" w:cs="Times New Roman"/>
          <w:bCs/>
          <w:color w:val="000000" w:themeColor="text1"/>
          <w:sz w:val="28"/>
          <w:szCs w:val="28"/>
        </w:rPr>
        <w:t xml:space="preserve"> (Jackson, Devlin and Cotter, B, 2016)</w:t>
      </w:r>
      <w:r w:rsidRPr="00C97F55">
        <w:rPr>
          <w:rFonts w:ascii="Times New Roman" w:hAnsi="Times New Roman" w:cs="Times New Roman"/>
          <w:bCs/>
          <w:color w:val="000000" w:themeColor="text1"/>
          <w:sz w:val="28"/>
          <w:szCs w:val="28"/>
        </w:rPr>
        <w:t xml:space="preserve">. Clause 4 suggests that the client's money should be safeguarded and permitted under section 10.2(b)(vii) of the Authorisation of Individuals Regulations. Clause 5 acts in pursuit of the fees that should be mentioned in the written form. Clause 6 is quite crucial for a solicitor since it is concerned with conflicts of interests that prescribed risk-free conflicts. In the same </w:t>
      </w:r>
      <w:r w:rsidR="00B45E2C" w:rsidRPr="00C97F55">
        <w:rPr>
          <w:rFonts w:ascii="Times New Roman" w:hAnsi="Times New Roman" w:cs="Times New Roman"/>
          <w:bCs/>
          <w:color w:val="000000" w:themeColor="text1"/>
          <w:sz w:val="28"/>
          <w:szCs w:val="28"/>
        </w:rPr>
        <w:t>line,</w:t>
      </w:r>
      <w:r w:rsidRPr="00C97F55">
        <w:rPr>
          <w:rFonts w:ascii="Times New Roman" w:hAnsi="Times New Roman" w:cs="Times New Roman"/>
          <w:bCs/>
          <w:color w:val="000000" w:themeColor="text1"/>
          <w:sz w:val="28"/>
          <w:szCs w:val="28"/>
        </w:rPr>
        <w:t xml:space="preserve"> clause 7 is associated with cooperation and accountability</w:t>
      </w:r>
      <w:r w:rsidR="0034279D" w:rsidRPr="00C97F55">
        <w:rPr>
          <w:rFonts w:ascii="Times New Roman" w:hAnsi="Times New Roman" w:cs="Times New Roman"/>
          <w:bCs/>
          <w:color w:val="000000" w:themeColor="text1"/>
          <w:sz w:val="28"/>
          <w:szCs w:val="28"/>
        </w:rPr>
        <w:t xml:space="preserve"> (Solicitors Regulation Authority, 2021).</w:t>
      </w:r>
      <w:r w:rsidRPr="00C97F55">
        <w:rPr>
          <w:rFonts w:ascii="Times New Roman" w:hAnsi="Times New Roman" w:cs="Times New Roman"/>
          <w:bCs/>
          <w:color w:val="000000" w:themeColor="text1"/>
          <w:sz w:val="28"/>
          <w:szCs w:val="28"/>
        </w:rPr>
        <w:t xml:space="preserve"> Clause 8 accentuates client identification, client information and complaints handling. </w:t>
      </w:r>
    </w:p>
    <w:p w14:paraId="6036DF9D" w14:textId="1E2DB77A" w:rsidR="00442D62"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lastRenderedPageBreak/>
        <w:tab/>
      </w:r>
      <w:r w:rsidR="006B4C26" w:rsidRPr="00C97F55">
        <w:rPr>
          <w:rFonts w:ascii="Times New Roman" w:hAnsi="Times New Roman" w:cs="Times New Roman"/>
          <w:bCs/>
          <w:color w:val="000000" w:themeColor="text1"/>
          <w:sz w:val="28"/>
          <w:szCs w:val="28"/>
        </w:rPr>
        <w:t xml:space="preserve">The </w:t>
      </w:r>
      <w:r w:rsidR="0031197D" w:rsidRPr="00C97F55">
        <w:rPr>
          <w:rFonts w:ascii="Times New Roman" w:hAnsi="Times New Roman" w:cs="Times New Roman"/>
          <w:bCs/>
          <w:color w:val="000000" w:themeColor="text1"/>
          <w:sz w:val="28"/>
          <w:szCs w:val="28"/>
        </w:rPr>
        <w:t xml:space="preserve">seven </w:t>
      </w:r>
      <w:r w:rsidR="006B4C26" w:rsidRPr="00C97F55">
        <w:rPr>
          <w:rFonts w:ascii="Times New Roman" w:hAnsi="Times New Roman" w:cs="Times New Roman"/>
          <w:bCs/>
          <w:color w:val="000000" w:themeColor="text1"/>
          <w:sz w:val="28"/>
          <w:szCs w:val="28"/>
        </w:rPr>
        <w:t xml:space="preserve">main principles of the SRA code of conduct </w:t>
      </w:r>
      <w:r w:rsidR="0031197D" w:rsidRPr="00C97F55">
        <w:rPr>
          <w:rFonts w:ascii="Times New Roman" w:hAnsi="Times New Roman" w:cs="Times New Roman"/>
          <w:bCs/>
          <w:color w:val="000000" w:themeColor="text1"/>
          <w:sz w:val="28"/>
          <w:szCs w:val="28"/>
        </w:rPr>
        <w:t>are that a solicitor must act in a way that upholds the constitutional principles of law rule and the succinct justice administration. A solicitor must act in a way that upholds a client’s or public trust and confidence in the profession of solicitor legally as prescribed by the authorised persons</w:t>
      </w:r>
      <w:r w:rsidRPr="00C97F55">
        <w:rPr>
          <w:rFonts w:ascii="Times New Roman" w:hAnsi="Times New Roman" w:cs="Times New Roman"/>
          <w:bCs/>
          <w:color w:val="000000" w:themeColor="text1"/>
          <w:sz w:val="28"/>
          <w:szCs w:val="28"/>
        </w:rPr>
        <w:t xml:space="preserve"> (Boon, 2016)</w:t>
      </w:r>
      <w:r w:rsidR="0031197D" w:rsidRPr="00C97F55">
        <w:rPr>
          <w:rFonts w:ascii="Times New Roman" w:hAnsi="Times New Roman" w:cs="Times New Roman"/>
          <w:bCs/>
          <w:color w:val="000000" w:themeColor="text1"/>
          <w:sz w:val="28"/>
          <w:szCs w:val="28"/>
        </w:rPr>
        <w:t xml:space="preserve">. The third and fourth principles guide that a client must be given independence to act and to </w:t>
      </w:r>
      <w:r w:rsidR="004842F8" w:rsidRPr="00C97F55">
        <w:rPr>
          <w:rFonts w:ascii="Times New Roman" w:hAnsi="Times New Roman" w:cs="Times New Roman"/>
          <w:bCs/>
          <w:color w:val="000000" w:themeColor="text1"/>
          <w:sz w:val="28"/>
          <w:szCs w:val="28"/>
        </w:rPr>
        <w:t>speak and</w:t>
      </w:r>
      <w:r w:rsidR="0031197D" w:rsidRPr="00C97F55">
        <w:rPr>
          <w:rFonts w:ascii="Times New Roman" w:hAnsi="Times New Roman" w:cs="Times New Roman"/>
          <w:bCs/>
          <w:color w:val="000000" w:themeColor="text1"/>
          <w:sz w:val="28"/>
          <w:szCs w:val="28"/>
        </w:rPr>
        <w:t xml:space="preserve"> should be served with honesty. The fifth principle talks about integrity and the sixth principle of the SRA code ascribes equality, </w:t>
      </w:r>
      <w:r w:rsidR="004842F8" w:rsidRPr="00C97F55">
        <w:rPr>
          <w:rFonts w:ascii="Times New Roman" w:hAnsi="Times New Roman" w:cs="Times New Roman"/>
          <w:bCs/>
          <w:color w:val="000000" w:themeColor="text1"/>
          <w:sz w:val="28"/>
          <w:szCs w:val="28"/>
        </w:rPr>
        <w:t>inclusion,</w:t>
      </w:r>
      <w:r w:rsidR="0031197D" w:rsidRPr="00C97F55">
        <w:rPr>
          <w:rFonts w:ascii="Times New Roman" w:hAnsi="Times New Roman" w:cs="Times New Roman"/>
          <w:bCs/>
          <w:color w:val="000000" w:themeColor="text1"/>
          <w:sz w:val="28"/>
          <w:szCs w:val="28"/>
        </w:rPr>
        <w:t xml:space="preserve"> and diversity</w:t>
      </w:r>
      <w:r w:rsidR="00D07CE7" w:rsidRPr="00C97F55">
        <w:rPr>
          <w:rFonts w:ascii="Times New Roman" w:hAnsi="Times New Roman" w:cs="Times New Roman"/>
          <w:bCs/>
          <w:color w:val="000000" w:themeColor="text1"/>
          <w:sz w:val="28"/>
          <w:szCs w:val="28"/>
        </w:rPr>
        <w:t xml:space="preserve"> (Passmore, 2016)</w:t>
      </w:r>
      <w:r w:rsidR="0031197D" w:rsidRPr="00C97F55">
        <w:rPr>
          <w:rFonts w:ascii="Times New Roman" w:hAnsi="Times New Roman" w:cs="Times New Roman"/>
          <w:bCs/>
          <w:color w:val="000000" w:themeColor="text1"/>
          <w:sz w:val="28"/>
          <w:szCs w:val="28"/>
        </w:rPr>
        <w:t xml:space="preserve">. A solicitor must act in the best interest of clients. </w:t>
      </w:r>
    </w:p>
    <w:p w14:paraId="342D807F" w14:textId="77777777" w:rsidR="006F1585"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r>
      <w:proofErr w:type="gramStart"/>
      <w:r w:rsidRPr="00C97F55">
        <w:rPr>
          <w:rFonts w:ascii="Times New Roman" w:hAnsi="Times New Roman" w:cs="Times New Roman"/>
          <w:bCs/>
          <w:color w:val="000000" w:themeColor="text1"/>
          <w:sz w:val="28"/>
          <w:szCs w:val="28"/>
        </w:rPr>
        <w:t>In order to</w:t>
      </w:r>
      <w:proofErr w:type="gramEnd"/>
      <w:r w:rsidRPr="00C97F55">
        <w:rPr>
          <w:rFonts w:ascii="Times New Roman" w:hAnsi="Times New Roman" w:cs="Times New Roman"/>
          <w:bCs/>
          <w:color w:val="000000" w:themeColor="text1"/>
          <w:sz w:val="28"/>
          <w:szCs w:val="28"/>
        </w:rPr>
        <w:t xml:space="preserve"> justify the reliability and trustworthiness of the solicitors; client care requirements need to be considered. </w:t>
      </w:r>
      <w:r w:rsidR="0002656B" w:rsidRPr="00C97F55">
        <w:rPr>
          <w:rFonts w:ascii="Times New Roman" w:hAnsi="Times New Roman" w:cs="Times New Roman"/>
          <w:bCs/>
          <w:color w:val="000000" w:themeColor="text1"/>
          <w:sz w:val="28"/>
          <w:szCs w:val="28"/>
        </w:rPr>
        <w:t xml:space="preserve">A client care letter summarises the prime information pertaining to the solicitor's firm and practice to comprehend the ways in which a </w:t>
      </w:r>
      <w:r w:rsidR="00F91C7D" w:rsidRPr="00C97F55">
        <w:rPr>
          <w:rFonts w:ascii="Times New Roman" w:hAnsi="Times New Roman" w:cs="Times New Roman"/>
          <w:bCs/>
          <w:color w:val="000000" w:themeColor="text1"/>
          <w:sz w:val="28"/>
          <w:szCs w:val="28"/>
        </w:rPr>
        <w:t xml:space="preserve">legal matter is proposed to be dealt with in the stipulated period. </w:t>
      </w:r>
      <w:r w:rsidR="006A38CE" w:rsidRPr="00C97F55">
        <w:rPr>
          <w:rFonts w:ascii="Times New Roman" w:hAnsi="Times New Roman" w:cs="Times New Roman"/>
          <w:bCs/>
          <w:color w:val="000000" w:themeColor="text1"/>
          <w:sz w:val="28"/>
          <w:szCs w:val="28"/>
        </w:rPr>
        <w:t>The Easy, Attractive, Social and Timely (EAST) framework principles are applied to the client care under soliciting</w:t>
      </w:r>
      <w:r w:rsidR="00A87442" w:rsidRPr="00C97F55">
        <w:rPr>
          <w:rFonts w:ascii="Times New Roman" w:hAnsi="Times New Roman" w:cs="Times New Roman"/>
          <w:bCs/>
          <w:color w:val="000000" w:themeColor="text1"/>
          <w:sz w:val="28"/>
          <w:szCs w:val="28"/>
        </w:rPr>
        <w:t xml:space="preserve"> (</w:t>
      </w:r>
      <w:r w:rsidR="00A87442" w:rsidRPr="00C97F55">
        <w:rPr>
          <w:rFonts w:ascii="Times New Roman" w:hAnsi="Times New Roman" w:cs="Times New Roman"/>
          <w:color w:val="000000" w:themeColor="text1"/>
          <w:sz w:val="28"/>
          <w:szCs w:val="28"/>
        </w:rPr>
        <w:t xml:space="preserve">Vuong </w:t>
      </w:r>
      <w:r w:rsidR="00A87442" w:rsidRPr="00C97F55">
        <w:rPr>
          <w:rFonts w:ascii="Times New Roman" w:hAnsi="Times New Roman" w:cs="Times New Roman"/>
          <w:i/>
          <w:color w:val="000000" w:themeColor="text1"/>
          <w:sz w:val="28"/>
          <w:szCs w:val="28"/>
        </w:rPr>
        <w:t>et al</w:t>
      </w:r>
      <w:r w:rsidR="00A87442" w:rsidRPr="00C97F55">
        <w:rPr>
          <w:rFonts w:ascii="Times New Roman" w:hAnsi="Times New Roman" w:cs="Times New Roman"/>
          <w:color w:val="000000" w:themeColor="text1"/>
          <w:sz w:val="28"/>
          <w:szCs w:val="28"/>
        </w:rPr>
        <w:t>., 2018</w:t>
      </w:r>
      <w:r w:rsidR="00A87442" w:rsidRPr="00C97F55">
        <w:rPr>
          <w:rFonts w:ascii="Times New Roman" w:hAnsi="Times New Roman" w:cs="Times New Roman"/>
          <w:bCs/>
          <w:color w:val="000000" w:themeColor="text1"/>
          <w:sz w:val="28"/>
          <w:szCs w:val="28"/>
        </w:rPr>
        <w:t>)</w:t>
      </w:r>
      <w:r w:rsidR="006A38CE" w:rsidRPr="00C97F55">
        <w:rPr>
          <w:rFonts w:ascii="Times New Roman" w:hAnsi="Times New Roman" w:cs="Times New Roman"/>
          <w:bCs/>
          <w:color w:val="000000" w:themeColor="text1"/>
          <w:sz w:val="28"/>
          <w:szCs w:val="28"/>
        </w:rPr>
        <w:t xml:space="preserve">. It shows that greater engagement between both parties can be attained if a clear and concise purpose in the universal language is adopted. </w:t>
      </w:r>
    </w:p>
    <w:p w14:paraId="50A768A5" w14:textId="77777777" w:rsidR="0031197D"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r>
      <w:r w:rsidR="006A38CE" w:rsidRPr="00C97F55">
        <w:rPr>
          <w:rFonts w:ascii="Times New Roman" w:hAnsi="Times New Roman" w:cs="Times New Roman"/>
          <w:bCs/>
          <w:color w:val="000000" w:themeColor="text1"/>
          <w:sz w:val="28"/>
          <w:szCs w:val="28"/>
        </w:rPr>
        <w:t>The information should be personalised, and easy to read. The engagement can be attained if additional op</w:t>
      </w:r>
      <w:r w:rsidR="00B2527C" w:rsidRPr="00C97F55">
        <w:rPr>
          <w:rFonts w:ascii="Times New Roman" w:hAnsi="Times New Roman" w:cs="Times New Roman"/>
          <w:bCs/>
          <w:color w:val="000000" w:themeColor="text1"/>
          <w:sz w:val="28"/>
          <w:szCs w:val="28"/>
        </w:rPr>
        <w:t xml:space="preserve">portunities need to be sought. </w:t>
      </w:r>
      <w:r w:rsidR="008F470B" w:rsidRPr="00C97F55">
        <w:rPr>
          <w:rFonts w:ascii="Times New Roman" w:hAnsi="Times New Roman" w:cs="Times New Roman"/>
          <w:bCs/>
          <w:color w:val="000000" w:themeColor="text1"/>
          <w:sz w:val="28"/>
          <w:szCs w:val="28"/>
        </w:rPr>
        <w:t xml:space="preserve">The solicitor firm should address that the terms and conditions and details of the solicitor are </w:t>
      </w:r>
      <w:r w:rsidRPr="00C97F55">
        <w:rPr>
          <w:rFonts w:ascii="Times New Roman" w:hAnsi="Times New Roman" w:cs="Times New Roman"/>
          <w:bCs/>
          <w:color w:val="000000" w:themeColor="text1"/>
          <w:sz w:val="28"/>
          <w:szCs w:val="28"/>
        </w:rPr>
        <w:t>ensured in the letter, and client waiver request is also entailed</w:t>
      </w:r>
      <w:r w:rsidR="00026075" w:rsidRPr="00C97F55">
        <w:rPr>
          <w:rFonts w:ascii="Times New Roman" w:hAnsi="Times New Roman" w:cs="Times New Roman"/>
          <w:bCs/>
          <w:color w:val="000000" w:themeColor="text1"/>
          <w:sz w:val="28"/>
          <w:szCs w:val="28"/>
        </w:rPr>
        <w:t xml:space="preserve"> (Hazelwood, 2014)</w:t>
      </w:r>
      <w:r w:rsidRPr="00C97F55">
        <w:rPr>
          <w:rFonts w:ascii="Times New Roman" w:hAnsi="Times New Roman" w:cs="Times New Roman"/>
          <w:bCs/>
          <w:color w:val="000000" w:themeColor="text1"/>
          <w:sz w:val="28"/>
          <w:szCs w:val="28"/>
        </w:rPr>
        <w:t xml:space="preserve">. The letter informs the client regarding the legal process in a simple English </w:t>
      </w:r>
      <w:r w:rsidRPr="00C97F55">
        <w:rPr>
          <w:rFonts w:ascii="Times New Roman" w:hAnsi="Times New Roman" w:cs="Times New Roman"/>
          <w:bCs/>
          <w:color w:val="000000" w:themeColor="text1"/>
          <w:sz w:val="28"/>
          <w:szCs w:val="28"/>
        </w:rPr>
        <w:lastRenderedPageBreak/>
        <w:t xml:space="preserve">language. The key information pertaining to the soliciting is highlighted in bold for the client's convenience. </w:t>
      </w:r>
    </w:p>
    <w:p w14:paraId="416659FB" w14:textId="77777777" w:rsidR="001310CD"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r>
      <w:r w:rsidR="006F1585" w:rsidRPr="00C97F55">
        <w:rPr>
          <w:rFonts w:ascii="Times New Roman" w:hAnsi="Times New Roman" w:cs="Times New Roman"/>
          <w:bCs/>
          <w:color w:val="000000" w:themeColor="text1"/>
          <w:sz w:val="28"/>
          <w:szCs w:val="28"/>
        </w:rPr>
        <w:t xml:space="preserve">A solicitor </w:t>
      </w:r>
      <w:r w:rsidRPr="00C97F55">
        <w:rPr>
          <w:rFonts w:ascii="Times New Roman" w:hAnsi="Times New Roman" w:cs="Times New Roman"/>
          <w:bCs/>
          <w:color w:val="000000" w:themeColor="text1"/>
          <w:sz w:val="28"/>
          <w:szCs w:val="28"/>
        </w:rPr>
        <w:t>is trusted since he/she respects the client's confidentiality as prescribed under Clause 6 of the SRA</w:t>
      </w:r>
      <w:r w:rsidR="00267A63" w:rsidRPr="00C97F55">
        <w:rPr>
          <w:rFonts w:ascii="Times New Roman" w:hAnsi="Times New Roman" w:cs="Times New Roman"/>
          <w:bCs/>
          <w:color w:val="000000" w:themeColor="text1"/>
          <w:sz w:val="28"/>
          <w:szCs w:val="28"/>
        </w:rPr>
        <w:t xml:space="preserve"> (Solicitors Regulation Authority, 2021).</w:t>
      </w:r>
      <w:r w:rsidRPr="00C97F55">
        <w:rPr>
          <w:rFonts w:ascii="Times New Roman" w:hAnsi="Times New Roman" w:cs="Times New Roman"/>
          <w:bCs/>
          <w:color w:val="000000" w:themeColor="text1"/>
          <w:sz w:val="28"/>
          <w:szCs w:val="28"/>
        </w:rPr>
        <w:t xml:space="preserve"> </w:t>
      </w:r>
      <w:r w:rsidR="00A12A03" w:rsidRPr="00C97F55">
        <w:rPr>
          <w:rFonts w:ascii="Times New Roman" w:hAnsi="Times New Roman" w:cs="Times New Roman"/>
          <w:bCs/>
          <w:color w:val="000000" w:themeColor="text1"/>
          <w:sz w:val="28"/>
          <w:szCs w:val="28"/>
        </w:rPr>
        <w:t>It has been prescribed under paragraph 6.3 of the code of conducts for solicitors that it is required to keep the affairs of current and former clients confidential unless a disclosure permits the consent of the clients. The duty of confidentiality serves as an obligation under the data protection and the common law set out in Section 1(3) of the Legal Service Act 2007</w:t>
      </w:r>
      <w:r w:rsidRPr="00C97F55">
        <w:rPr>
          <w:rFonts w:ascii="Times New Roman" w:hAnsi="Times New Roman" w:cs="Times New Roman"/>
          <w:bCs/>
          <w:color w:val="000000" w:themeColor="text1"/>
          <w:sz w:val="28"/>
          <w:szCs w:val="28"/>
        </w:rPr>
        <w:t xml:space="preserve"> (</w:t>
      </w:r>
      <w:r w:rsidRPr="00C97F55">
        <w:rPr>
          <w:rFonts w:ascii="Times New Roman" w:hAnsi="Times New Roman" w:cs="Times New Roman"/>
          <w:color w:val="000000" w:themeColor="text1"/>
          <w:sz w:val="28"/>
          <w:szCs w:val="28"/>
        </w:rPr>
        <w:t>Castilla, 2011)</w:t>
      </w:r>
      <w:r w:rsidR="00A12A03" w:rsidRPr="00C97F55">
        <w:rPr>
          <w:rFonts w:ascii="Times New Roman" w:hAnsi="Times New Roman" w:cs="Times New Roman"/>
          <w:bCs/>
          <w:color w:val="000000" w:themeColor="text1"/>
          <w:sz w:val="28"/>
          <w:szCs w:val="28"/>
        </w:rPr>
        <w:t xml:space="preserve">. The confidentiality of the client’s information is not only confined to the duty of keeping the information intact but also to safeguard the information by keeping safe and not disclosing without consent of any former client to misuse it or any other concerned third party. </w:t>
      </w:r>
    </w:p>
    <w:p w14:paraId="0E96DC6F" w14:textId="77777777" w:rsidR="00A12A03" w:rsidRPr="00C97F55" w:rsidRDefault="00816192" w:rsidP="002C0040">
      <w:pPr>
        <w:spacing w:after="0" w:line="480" w:lineRule="auto"/>
        <w:jc w:val="both"/>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ab/>
      </w:r>
      <w:r w:rsidR="00380379" w:rsidRPr="00C97F55">
        <w:rPr>
          <w:rFonts w:ascii="Times New Roman" w:hAnsi="Times New Roman" w:cs="Times New Roman"/>
          <w:bCs/>
          <w:color w:val="000000" w:themeColor="text1"/>
          <w:sz w:val="28"/>
          <w:szCs w:val="28"/>
        </w:rPr>
        <w:t xml:space="preserve">The confidentiality aspect under the code of SRA assists in retaining the information of the client by adhering to the duty of confidence. </w:t>
      </w:r>
      <w:r w:rsidR="005A5FC7" w:rsidRPr="00C97F55">
        <w:rPr>
          <w:rFonts w:ascii="Times New Roman" w:hAnsi="Times New Roman" w:cs="Times New Roman"/>
          <w:bCs/>
          <w:color w:val="000000" w:themeColor="text1"/>
          <w:sz w:val="28"/>
          <w:szCs w:val="28"/>
        </w:rPr>
        <w:t xml:space="preserve">The client’s information can be disclosed under the SRA </w:t>
      </w:r>
      <w:r w:rsidR="000C3551" w:rsidRPr="00C97F55">
        <w:rPr>
          <w:rFonts w:ascii="Times New Roman" w:hAnsi="Times New Roman" w:cs="Times New Roman"/>
          <w:bCs/>
          <w:color w:val="000000" w:themeColor="text1"/>
          <w:sz w:val="28"/>
          <w:szCs w:val="28"/>
        </w:rPr>
        <w:t>with the obtained consent either by the law or by the client</w:t>
      </w:r>
      <w:r w:rsidR="00B87FB9" w:rsidRPr="00C97F55">
        <w:rPr>
          <w:rFonts w:ascii="Times New Roman" w:hAnsi="Times New Roman" w:cs="Times New Roman"/>
          <w:bCs/>
          <w:color w:val="000000" w:themeColor="text1"/>
          <w:sz w:val="28"/>
          <w:szCs w:val="28"/>
        </w:rPr>
        <w:t xml:space="preserve"> (</w:t>
      </w:r>
      <w:r w:rsidR="00B87FB9" w:rsidRPr="00C97F55">
        <w:rPr>
          <w:rFonts w:ascii="Times New Roman" w:hAnsi="Times New Roman" w:cs="Times New Roman"/>
          <w:color w:val="000000" w:themeColor="text1"/>
          <w:sz w:val="28"/>
          <w:szCs w:val="28"/>
        </w:rPr>
        <w:t>Stockdale and Mitchell, 2019</w:t>
      </w:r>
      <w:r w:rsidR="00B87FB9" w:rsidRPr="00C97F55">
        <w:rPr>
          <w:rFonts w:ascii="Times New Roman" w:hAnsi="Times New Roman" w:cs="Times New Roman"/>
          <w:bCs/>
          <w:color w:val="000000" w:themeColor="text1"/>
          <w:sz w:val="28"/>
          <w:szCs w:val="28"/>
        </w:rPr>
        <w:t>)</w:t>
      </w:r>
      <w:r w:rsidR="000C3551" w:rsidRPr="00C97F55">
        <w:rPr>
          <w:rFonts w:ascii="Times New Roman" w:hAnsi="Times New Roman" w:cs="Times New Roman"/>
          <w:bCs/>
          <w:color w:val="000000" w:themeColor="text1"/>
          <w:sz w:val="28"/>
          <w:szCs w:val="28"/>
        </w:rPr>
        <w:t xml:space="preserve">. Consent to disclosure of confidential information should be made well communicated to the client such as for what purpose is the information being retrieved or who is obtaining the information and where the information will be used. </w:t>
      </w:r>
    </w:p>
    <w:p w14:paraId="4C935787" w14:textId="77777777" w:rsidR="008B610C"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94150E" w:rsidRPr="00C97F55">
        <w:rPr>
          <w:rFonts w:ascii="Times New Roman" w:hAnsi="Times New Roman" w:cs="Times New Roman"/>
          <w:color w:val="000000" w:themeColor="text1"/>
          <w:sz w:val="28"/>
          <w:szCs w:val="28"/>
        </w:rPr>
        <w:t xml:space="preserve">Conflicts of interest as per SRA falls under clause 6; the clause suggests that a solicitor should not </w:t>
      </w:r>
      <w:r w:rsidR="000F2D62" w:rsidRPr="00C97F55">
        <w:rPr>
          <w:rFonts w:ascii="Times New Roman" w:hAnsi="Times New Roman" w:cs="Times New Roman"/>
          <w:color w:val="000000" w:themeColor="text1"/>
          <w:sz w:val="28"/>
          <w:szCs w:val="28"/>
        </w:rPr>
        <w:t xml:space="preserve">act if there is self-interest or any other significant </w:t>
      </w:r>
      <w:r w:rsidR="000F2D62" w:rsidRPr="00C97F55">
        <w:rPr>
          <w:rFonts w:ascii="Times New Roman" w:hAnsi="Times New Roman" w:cs="Times New Roman"/>
          <w:color w:val="000000" w:themeColor="text1"/>
          <w:sz w:val="28"/>
          <w:szCs w:val="28"/>
        </w:rPr>
        <w:lastRenderedPageBreak/>
        <w:t xml:space="preserve">interest in the legal undertakings. </w:t>
      </w:r>
      <w:r w:rsidRPr="00C97F55">
        <w:rPr>
          <w:rFonts w:ascii="Times New Roman" w:hAnsi="Times New Roman" w:cs="Times New Roman"/>
          <w:color w:val="000000" w:themeColor="text1"/>
          <w:sz w:val="28"/>
          <w:szCs w:val="28"/>
        </w:rPr>
        <w:t>A client may wish to take steps for putting the matters right in the professional obligations where required but a solicitor need</w:t>
      </w:r>
      <w:r w:rsidR="00B7438B" w:rsidRPr="00C97F55">
        <w:rPr>
          <w:rFonts w:ascii="Times New Roman" w:hAnsi="Times New Roman" w:cs="Times New Roman"/>
          <w:color w:val="000000" w:themeColor="text1"/>
          <w:sz w:val="28"/>
          <w:szCs w:val="28"/>
        </w:rPr>
        <w:t>s to carefully consider the advic</w:t>
      </w:r>
      <w:r w:rsidRPr="00C97F55">
        <w:rPr>
          <w:rFonts w:ascii="Times New Roman" w:hAnsi="Times New Roman" w:cs="Times New Roman"/>
          <w:color w:val="000000" w:themeColor="text1"/>
          <w:sz w:val="28"/>
          <w:szCs w:val="28"/>
        </w:rPr>
        <w:t>e to the client on remedial actions under the given authority</w:t>
      </w:r>
      <w:r w:rsidR="00A3316C" w:rsidRPr="00C97F55">
        <w:rPr>
          <w:rFonts w:ascii="Times New Roman" w:hAnsi="Times New Roman" w:cs="Times New Roman"/>
          <w:color w:val="000000" w:themeColor="text1"/>
          <w:sz w:val="28"/>
          <w:szCs w:val="28"/>
        </w:rPr>
        <w:t xml:space="preserve"> (Loughrey, 2011)</w:t>
      </w:r>
      <w:r w:rsidRPr="00C97F55">
        <w:rPr>
          <w:rFonts w:ascii="Times New Roman" w:hAnsi="Times New Roman" w:cs="Times New Roman"/>
          <w:color w:val="000000" w:themeColor="text1"/>
          <w:sz w:val="28"/>
          <w:szCs w:val="28"/>
        </w:rPr>
        <w:t xml:space="preserve">. </w:t>
      </w:r>
      <w:r w:rsidR="00FF2A1E" w:rsidRPr="00C97F55">
        <w:rPr>
          <w:rFonts w:ascii="Times New Roman" w:hAnsi="Times New Roman" w:cs="Times New Roman"/>
          <w:color w:val="000000" w:themeColor="text1"/>
          <w:sz w:val="28"/>
          <w:szCs w:val="28"/>
        </w:rPr>
        <w:t>A solicitor can act in pursuit of the conflict of interest when the clients confess that they have a substantially common interest in the matter. The client or the clients may be competing for the same objective</w:t>
      </w:r>
      <w:r w:rsidR="00A3316C" w:rsidRPr="00C97F55">
        <w:rPr>
          <w:rFonts w:ascii="Times New Roman" w:hAnsi="Times New Roman" w:cs="Times New Roman"/>
          <w:color w:val="000000" w:themeColor="text1"/>
          <w:sz w:val="28"/>
          <w:szCs w:val="28"/>
        </w:rPr>
        <w:t xml:space="preserve"> </w:t>
      </w:r>
      <w:r w:rsidR="00A3316C" w:rsidRPr="00C97F55">
        <w:rPr>
          <w:rFonts w:ascii="Times New Roman" w:hAnsi="Times New Roman" w:cs="Times New Roman"/>
          <w:bCs/>
          <w:color w:val="000000" w:themeColor="text1"/>
          <w:sz w:val="28"/>
          <w:szCs w:val="28"/>
        </w:rPr>
        <w:t>(</w:t>
      </w:r>
      <w:r w:rsidR="00A3316C" w:rsidRPr="00C97F55">
        <w:rPr>
          <w:rFonts w:ascii="Times New Roman" w:hAnsi="Times New Roman" w:cs="Times New Roman"/>
          <w:color w:val="000000" w:themeColor="text1"/>
          <w:sz w:val="28"/>
          <w:szCs w:val="28"/>
        </w:rPr>
        <w:t xml:space="preserve">Vuong </w:t>
      </w:r>
      <w:r w:rsidR="00A3316C" w:rsidRPr="00C97F55">
        <w:rPr>
          <w:rFonts w:ascii="Times New Roman" w:hAnsi="Times New Roman" w:cs="Times New Roman"/>
          <w:i/>
          <w:color w:val="000000" w:themeColor="text1"/>
          <w:sz w:val="28"/>
          <w:szCs w:val="28"/>
        </w:rPr>
        <w:t>et al</w:t>
      </w:r>
      <w:r w:rsidR="00A3316C" w:rsidRPr="00C97F55">
        <w:rPr>
          <w:rFonts w:ascii="Times New Roman" w:hAnsi="Times New Roman" w:cs="Times New Roman"/>
          <w:color w:val="000000" w:themeColor="text1"/>
          <w:sz w:val="28"/>
          <w:szCs w:val="28"/>
        </w:rPr>
        <w:t>., 2018</w:t>
      </w:r>
      <w:r w:rsidR="00A3316C" w:rsidRPr="00C97F55">
        <w:rPr>
          <w:rFonts w:ascii="Times New Roman" w:hAnsi="Times New Roman" w:cs="Times New Roman"/>
          <w:bCs/>
          <w:color w:val="000000" w:themeColor="text1"/>
          <w:sz w:val="28"/>
          <w:szCs w:val="28"/>
        </w:rPr>
        <w:t>)</w:t>
      </w:r>
      <w:r w:rsidR="00FF2A1E" w:rsidRPr="00C97F55">
        <w:rPr>
          <w:rFonts w:ascii="Times New Roman" w:hAnsi="Times New Roman" w:cs="Times New Roman"/>
          <w:color w:val="000000" w:themeColor="text1"/>
          <w:sz w:val="28"/>
          <w:szCs w:val="28"/>
        </w:rPr>
        <w:t xml:space="preserve">. </w:t>
      </w:r>
      <w:r w:rsidRPr="00C97F55">
        <w:rPr>
          <w:rFonts w:ascii="Times New Roman" w:hAnsi="Times New Roman" w:cs="Times New Roman"/>
          <w:color w:val="000000" w:themeColor="text1"/>
          <w:sz w:val="28"/>
          <w:szCs w:val="28"/>
        </w:rPr>
        <w:t>It is suggested that a negotiator should apply the negotiation skills in taking up a case having conflicts.</w:t>
      </w:r>
    </w:p>
    <w:p w14:paraId="4B91C1A4" w14:textId="3C36C443" w:rsidR="00267A63"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FF2A1E" w:rsidRPr="00C97F55">
        <w:rPr>
          <w:rFonts w:ascii="Times New Roman" w:hAnsi="Times New Roman" w:cs="Times New Roman"/>
          <w:color w:val="000000" w:themeColor="text1"/>
          <w:sz w:val="28"/>
          <w:szCs w:val="28"/>
        </w:rPr>
        <w:t xml:space="preserve">Under some of the </w:t>
      </w:r>
      <w:proofErr w:type="gramStart"/>
      <w:r w:rsidR="00FF2A1E" w:rsidRPr="00C97F55">
        <w:rPr>
          <w:rFonts w:ascii="Times New Roman" w:hAnsi="Times New Roman" w:cs="Times New Roman"/>
          <w:color w:val="000000" w:themeColor="text1"/>
          <w:sz w:val="28"/>
          <w:szCs w:val="28"/>
        </w:rPr>
        <w:t>conditions;</w:t>
      </w:r>
      <w:proofErr w:type="gramEnd"/>
      <w:r w:rsidR="00FF2A1E" w:rsidRPr="00C97F55">
        <w:rPr>
          <w:rFonts w:ascii="Times New Roman" w:hAnsi="Times New Roman" w:cs="Times New Roman"/>
          <w:color w:val="000000" w:themeColor="text1"/>
          <w:sz w:val="28"/>
          <w:szCs w:val="28"/>
        </w:rPr>
        <w:t xml:space="preserve"> a solicitor can act on behalf of a client to ignore the </w:t>
      </w:r>
      <w:r w:rsidR="0026709F" w:rsidRPr="00C97F55">
        <w:rPr>
          <w:rFonts w:ascii="Times New Roman" w:hAnsi="Times New Roman" w:cs="Times New Roman"/>
          <w:color w:val="000000" w:themeColor="text1"/>
          <w:sz w:val="28"/>
          <w:szCs w:val="28"/>
        </w:rPr>
        <w:t>conflict-of-interest</w:t>
      </w:r>
      <w:r w:rsidR="00FF2A1E" w:rsidRPr="00C97F55">
        <w:rPr>
          <w:rFonts w:ascii="Times New Roman" w:hAnsi="Times New Roman" w:cs="Times New Roman"/>
          <w:color w:val="000000" w:themeColor="text1"/>
          <w:sz w:val="28"/>
          <w:szCs w:val="28"/>
        </w:rPr>
        <w:t xml:space="preserve"> issue such as when all the concerned clients have given consent in writing</w:t>
      </w:r>
      <w:r w:rsidR="008B610C" w:rsidRPr="00C97F55">
        <w:rPr>
          <w:rFonts w:ascii="Times New Roman" w:hAnsi="Times New Roman" w:cs="Times New Roman"/>
          <w:color w:val="000000" w:themeColor="text1"/>
          <w:sz w:val="28"/>
          <w:szCs w:val="28"/>
        </w:rPr>
        <w:t>. E</w:t>
      </w:r>
      <w:r w:rsidR="00FF2A1E" w:rsidRPr="00C97F55">
        <w:rPr>
          <w:rFonts w:ascii="Times New Roman" w:hAnsi="Times New Roman" w:cs="Times New Roman"/>
          <w:color w:val="000000" w:themeColor="text1"/>
          <w:sz w:val="28"/>
          <w:szCs w:val="28"/>
        </w:rPr>
        <w:t xml:space="preserve">ffective measures </w:t>
      </w:r>
      <w:r w:rsidR="008B610C" w:rsidRPr="00C97F55">
        <w:rPr>
          <w:rFonts w:ascii="Times New Roman" w:hAnsi="Times New Roman" w:cs="Times New Roman"/>
          <w:color w:val="000000" w:themeColor="text1"/>
          <w:sz w:val="28"/>
          <w:szCs w:val="28"/>
        </w:rPr>
        <w:t>should also be</w:t>
      </w:r>
      <w:r w:rsidR="00FF2A1E" w:rsidRPr="00C97F55">
        <w:rPr>
          <w:rFonts w:ascii="Times New Roman" w:hAnsi="Times New Roman" w:cs="Times New Roman"/>
          <w:color w:val="000000" w:themeColor="text1"/>
          <w:sz w:val="28"/>
          <w:szCs w:val="28"/>
        </w:rPr>
        <w:t xml:space="preserve"> taken to protect the client’s confidential information</w:t>
      </w:r>
      <w:r w:rsidR="002C6056" w:rsidRPr="00C97F55">
        <w:rPr>
          <w:rFonts w:ascii="Times New Roman" w:hAnsi="Times New Roman" w:cs="Times New Roman"/>
          <w:color w:val="000000" w:themeColor="text1"/>
          <w:sz w:val="28"/>
          <w:szCs w:val="28"/>
        </w:rPr>
        <w:t xml:space="preserve"> </w:t>
      </w:r>
      <w:r w:rsidR="002C6056" w:rsidRPr="00C97F55">
        <w:rPr>
          <w:rFonts w:ascii="Times New Roman" w:hAnsi="Times New Roman" w:cs="Times New Roman"/>
          <w:bCs/>
          <w:color w:val="000000" w:themeColor="text1"/>
          <w:sz w:val="28"/>
          <w:szCs w:val="28"/>
        </w:rPr>
        <w:t>(Solicitors Regulation Authority, 2021).</w:t>
      </w:r>
      <w:r w:rsidR="00FF2A1E" w:rsidRPr="00C97F55">
        <w:rPr>
          <w:rFonts w:ascii="Times New Roman" w:hAnsi="Times New Roman" w:cs="Times New Roman"/>
          <w:color w:val="000000" w:themeColor="text1"/>
          <w:sz w:val="28"/>
          <w:szCs w:val="28"/>
        </w:rPr>
        <w:t xml:space="preserve"> </w:t>
      </w:r>
      <w:proofErr w:type="gramStart"/>
      <w:r w:rsidRPr="00C97F55">
        <w:rPr>
          <w:rFonts w:ascii="Times New Roman" w:hAnsi="Times New Roman" w:cs="Times New Roman"/>
          <w:color w:val="000000" w:themeColor="text1"/>
          <w:sz w:val="28"/>
          <w:szCs w:val="28"/>
        </w:rPr>
        <w:t>Majorly;</w:t>
      </w:r>
      <w:proofErr w:type="gramEnd"/>
      <w:r w:rsidRPr="00C97F55">
        <w:rPr>
          <w:rFonts w:ascii="Times New Roman" w:hAnsi="Times New Roman" w:cs="Times New Roman"/>
          <w:color w:val="000000" w:themeColor="text1"/>
          <w:sz w:val="28"/>
          <w:szCs w:val="28"/>
        </w:rPr>
        <w:t xml:space="preserve"> the issues of conflicts of interest have been found out in the cases having more than one client. In </w:t>
      </w:r>
      <w:proofErr w:type="gramStart"/>
      <w:r w:rsidRPr="00C97F55">
        <w:rPr>
          <w:rFonts w:ascii="Times New Roman" w:hAnsi="Times New Roman" w:cs="Times New Roman"/>
          <w:color w:val="000000" w:themeColor="text1"/>
          <w:sz w:val="28"/>
          <w:szCs w:val="28"/>
        </w:rPr>
        <w:t>that particular</w:t>
      </w:r>
      <w:r w:rsidR="0026709F">
        <w:rPr>
          <w:rFonts w:ascii="Times New Roman" w:hAnsi="Times New Roman" w:cs="Times New Roman"/>
          <w:color w:val="000000" w:themeColor="text1"/>
          <w:sz w:val="28"/>
          <w:szCs w:val="28"/>
        </w:rPr>
        <w:t xml:space="preserve">, </w:t>
      </w:r>
      <w:r w:rsidRPr="00C97F55">
        <w:rPr>
          <w:rFonts w:ascii="Times New Roman" w:hAnsi="Times New Roman" w:cs="Times New Roman"/>
          <w:color w:val="000000" w:themeColor="text1"/>
          <w:sz w:val="28"/>
          <w:szCs w:val="28"/>
        </w:rPr>
        <w:t>circumstance</w:t>
      </w:r>
      <w:proofErr w:type="gramEnd"/>
      <w:r w:rsidRPr="00C97F55">
        <w:rPr>
          <w:rFonts w:ascii="Times New Roman" w:hAnsi="Times New Roman" w:cs="Times New Roman"/>
          <w:color w:val="000000" w:themeColor="text1"/>
          <w:sz w:val="28"/>
          <w:szCs w:val="28"/>
        </w:rPr>
        <w:t xml:space="preserve">, SRA suggests that a solicitor must act under the given authority and takes the consent of the concerned party/parties prior to taking any action. </w:t>
      </w:r>
    </w:p>
    <w:p w14:paraId="31BE8420" w14:textId="68E025DC" w:rsidR="00A3316C"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t xml:space="preserve">Under the risk and compliance of the SRA; a solicitor should have appropriate advocacy skills in assessing the extent of risk involved in a case and the associated complexities. </w:t>
      </w:r>
      <w:r w:rsidR="004668CC" w:rsidRPr="00C97F55">
        <w:rPr>
          <w:rFonts w:ascii="Times New Roman" w:hAnsi="Times New Roman" w:cs="Times New Roman"/>
          <w:color w:val="000000" w:themeColor="text1"/>
          <w:sz w:val="28"/>
          <w:szCs w:val="28"/>
        </w:rPr>
        <w:t xml:space="preserve">The SRA has ascribed that merging cybersecurity with information security can assist in reflecting that information has become a key asset that is prone to attacks in the same way money is vulnerable to attack. The risk and compliance under the SRA deal with the impediments such as money </w:t>
      </w:r>
      <w:r w:rsidR="004668CC" w:rsidRPr="00C97F55">
        <w:rPr>
          <w:rFonts w:ascii="Times New Roman" w:hAnsi="Times New Roman" w:cs="Times New Roman"/>
          <w:color w:val="000000" w:themeColor="text1"/>
          <w:sz w:val="28"/>
          <w:szCs w:val="28"/>
        </w:rPr>
        <w:lastRenderedPageBreak/>
        <w:t>laundering the profession of soliciting under the National Crime Agency</w:t>
      </w:r>
      <w:r w:rsidR="003D16BE" w:rsidRPr="00C97F55">
        <w:rPr>
          <w:rFonts w:ascii="Times New Roman" w:hAnsi="Times New Roman" w:cs="Times New Roman"/>
          <w:color w:val="000000" w:themeColor="text1"/>
          <w:sz w:val="28"/>
          <w:szCs w:val="28"/>
        </w:rPr>
        <w:t xml:space="preserve"> (</w:t>
      </w:r>
      <w:r w:rsidR="003D16BE" w:rsidRPr="00C97F55">
        <w:rPr>
          <w:rFonts w:ascii="Times New Roman" w:hAnsi="Times New Roman" w:cs="Times New Roman"/>
          <w:bCs/>
          <w:color w:val="000000" w:themeColor="text1"/>
          <w:sz w:val="28"/>
          <w:szCs w:val="28"/>
        </w:rPr>
        <w:t>Solicitors Regulation Authority, 2020)</w:t>
      </w:r>
      <w:r w:rsidR="004668CC" w:rsidRPr="00C97F55">
        <w:rPr>
          <w:rFonts w:ascii="Times New Roman" w:hAnsi="Times New Roman" w:cs="Times New Roman"/>
          <w:color w:val="000000" w:themeColor="text1"/>
          <w:sz w:val="28"/>
          <w:szCs w:val="28"/>
        </w:rPr>
        <w:t xml:space="preserve">. Solicitors are considered primary legal authorities who believes in taking up action against money laundering. </w:t>
      </w:r>
      <w:r w:rsidR="000F61FA" w:rsidRPr="00C97F55">
        <w:rPr>
          <w:rFonts w:ascii="Times New Roman" w:hAnsi="Times New Roman" w:cs="Times New Roman"/>
          <w:color w:val="000000" w:themeColor="text1"/>
          <w:sz w:val="28"/>
          <w:szCs w:val="28"/>
        </w:rPr>
        <w:t xml:space="preserve">Risk assessment of the solicitor’s firm has become mandatory under the 2017 government regulations. </w:t>
      </w:r>
      <w:r w:rsidR="006157EC" w:rsidRPr="00C97F55">
        <w:rPr>
          <w:rFonts w:ascii="Times New Roman" w:hAnsi="Times New Roman" w:cs="Times New Roman"/>
          <w:color w:val="000000" w:themeColor="text1"/>
          <w:sz w:val="28"/>
          <w:szCs w:val="28"/>
        </w:rPr>
        <w:t xml:space="preserve">As per the risk outlook of the year 2019/20; the risk priorities are associated with meeting legal needs, </w:t>
      </w:r>
      <w:r w:rsidR="0026709F" w:rsidRPr="00C97F55">
        <w:rPr>
          <w:rFonts w:ascii="Times New Roman" w:hAnsi="Times New Roman" w:cs="Times New Roman"/>
          <w:color w:val="000000" w:themeColor="text1"/>
          <w:sz w:val="28"/>
          <w:szCs w:val="28"/>
        </w:rPr>
        <w:t>integrity,</w:t>
      </w:r>
      <w:r w:rsidR="006157EC" w:rsidRPr="00C97F55">
        <w:rPr>
          <w:rFonts w:ascii="Times New Roman" w:hAnsi="Times New Roman" w:cs="Times New Roman"/>
          <w:color w:val="000000" w:themeColor="text1"/>
          <w:sz w:val="28"/>
          <w:szCs w:val="28"/>
        </w:rPr>
        <w:t xml:space="preserve"> and ethics, managing claims, managing risks, and information plus cybersecurity. </w:t>
      </w:r>
    </w:p>
    <w:p w14:paraId="74DF8767" w14:textId="36669209" w:rsidR="007E0DCA"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956D45" w:rsidRPr="00C97F55">
        <w:rPr>
          <w:rFonts w:ascii="Times New Roman" w:hAnsi="Times New Roman" w:cs="Times New Roman"/>
          <w:color w:val="000000" w:themeColor="text1"/>
          <w:sz w:val="28"/>
          <w:szCs w:val="28"/>
        </w:rPr>
        <w:t xml:space="preserve">In line with the principles of anti-laundering under the SRA Code of conducts; a solicitor </w:t>
      </w:r>
      <w:r w:rsidR="00155669" w:rsidRPr="00C97F55">
        <w:rPr>
          <w:rFonts w:ascii="Times New Roman" w:hAnsi="Times New Roman" w:cs="Times New Roman"/>
          <w:color w:val="000000" w:themeColor="text1"/>
          <w:sz w:val="28"/>
          <w:szCs w:val="28"/>
        </w:rPr>
        <w:t>should stand against the anti-laundering act as it covers the organised crime under SRA. A solicitor firm can get trapped under the risk of money laundering on the grounds when they can legitimise a transaction, they have access to the financial markets, and they can advise the people on the property and business-related deals</w:t>
      </w:r>
      <w:r w:rsidR="004F373C" w:rsidRPr="00C97F55">
        <w:rPr>
          <w:rFonts w:ascii="Times New Roman" w:hAnsi="Times New Roman" w:cs="Times New Roman"/>
          <w:color w:val="000000" w:themeColor="text1"/>
          <w:sz w:val="28"/>
          <w:szCs w:val="28"/>
        </w:rPr>
        <w:t xml:space="preserve"> (Benson, 2016)</w:t>
      </w:r>
      <w:r w:rsidR="00155669" w:rsidRPr="00C97F55">
        <w:rPr>
          <w:rFonts w:ascii="Times New Roman" w:hAnsi="Times New Roman" w:cs="Times New Roman"/>
          <w:color w:val="000000" w:themeColor="text1"/>
          <w:sz w:val="28"/>
          <w:szCs w:val="28"/>
        </w:rPr>
        <w:t xml:space="preserve">. </w:t>
      </w:r>
      <w:r w:rsidR="00AD3F55" w:rsidRPr="00C97F55">
        <w:rPr>
          <w:rFonts w:ascii="Times New Roman" w:hAnsi="Times New Roman" w:cs="Times New Roman"/>
          <w:color w:val="000000" w:themeColor="text1"/>
          <w:sz w:val="28"/>
          <w:szCs w:val="28"/>
        </w:rPr>
        <w:t xml:space="preserve">This reason makes them prone to get attracted and tempted by the baits thrown by the clients to seek laundering in proceeding crime. </w:t>
      </w:r>
      <w:r w:rsidRPr="00C97F55">
        <w:rPr>
          <w:rFonts w:ascii="Times New Roman" w:hAnsi="Times New Roman" w:cs="Times New Roman"/>
          <w:color w:val="000000" w:themeColor="text1"/>
          <w:sz w:val="28"/>
          <w:szCs w:val="28"/>
        </w:rPr>
        <w:t xml:space="preserve">The impact of money laundering on the solicitors is bad since the National Crime Agency (NCA) considers money laundering as a serious crime. It has been revealed in a report by NCA that hundreds of billions of pounds of money laundering </w:t>
      </w:r>
      <w:r w:rsidR="0026709F" w:rsidRPr="00C97F55">
        <w:rPr>
          <w:rFonts w:ascii="Times New Roman" w:hAnsi="Times New Roman" w:cs="Times New Roman"/>
          <w:color w:val="000000" w:themeColor="text1"/>
          <w:sz w:val="28"/>
          <w:szCs w:val="28"/>
        </w:rPr>
        <w:t>have</w:t>
      </w:r>
      <w:r w:rsidRPr="00C97F55">
        <w:rPr>
          <w:rFonts w:ascii="Times New Roman" w:hAnsi="Times New Roman" w:cs="Times New Roman"/>
          <w:color w:val="000000" w:themeColor="text1"/>
          <w:sz w:val="28"/>
          <w:szCs w:val="28"/>
        </w:rPr>
        <w:t xml:space="preserve"> been done in the UK and it has even given rise to violent crimes such as firearm trafficking, drugs, and smuggling. The organised crime in the UK costs the economy over £37bn each year</w:t>
      </w:r>
      <w:r w:rsidR="00E443D6" w:rsidRPr="00C97F55">
        <w:rPr>
          <w:rFonts w:ascii="Times New Roman" w:hAnsi="Times New Roman" w:cs="Times New Roman"/>
          <w:color w:val="000000" w:themeColor="text1"/>
          <w:sz w:val="28"/>
          <w:szCs w:val="28"/>
        </w:rPr>
        <w:t xml:space="preserve"> (</w:t>
      </w:r>
      <w:r w:rsidR="00E443D6" w:rsidRPr="00C97F55">
        <w:rPr>
          <w:rFonts w:ascii="Times New Roman" w:hAnsi="Times New Roman" w:cs="Times New Roman"/>
          <w:bCs/>
          <w:color w:val="000000" w:themeColor="text1"/>
          <w:sz w:val="28"/>
          <w:szCs w:val="28"/>
        </w:rPr>
        <w:t>Solicitors Regulation Authority, 2020)</w:t>
      </w:r>
      <w:r w:rsidR="00E443D6" w:rsidRPr="00C97F55">
        <w:rPr>
          <w:rFonts w:ascii="Times New Roman" w:hAnsi="Times New Roman" w:cs="Times New Roman"/>
          <w:color w:val="000000" w:themeColor="text1"/>
          <w:sz w:val="28"/>
          <w:szCs w:val="28"/>
        </w:rPr>
        <w:t>.</w:t>
      </w:r>
      <w:r w:rsidRPr="00C97F55">
        <w:rPr>
          <w:rFonts w:ascii="Times New Roman" w:hAnsi="Times New Roman" w:cs="Times New Roman"/>
          <w:color w:val="000000" w:themeColor="text1"/>
          <w:sz w:val="28"/>
          <w:szCs w:val="28"/>
        </w:rPr>
        <w:t xml:space="preserve"> </w:t>
      </w:r>
      <w:r w:rsidR="00016E58" w:rsidRPr="00C97F55">
        <w:rPr>
          <w:rFonts w:ascii="Times New Roman" w:hAnsi="Times New Roman" w:cs="Times New Roman"/>
          <w:color w:val="000000" w:themeColor="text1"/>
          <w:sz w:val="28"/>
          <w:szCs w:val="28"/>
        </w:rPr>
        <w:t xml:space="preserve">A solicitor’s firm must comply with the Money </w:t>
      </w:r>
      <w:r w:rsidR="00016E58" w:rsidRPr="00C97F55">
        <w:rPr>
          <w:rFonts w:ascii="Times New Roman" w:hAnsi="Times New Roman" w:cs="Times New Roman"/>
          <w:color w:val="000000" w:themeColor="text1"/>
          <w:sz w:val="28"/>
          <w:szCs w:val="28"/>
        </w:rPr>
        <w:lastRenderedPageBreak/>
        <w:t xml:space="preserve">Laundering, Terrorist Financing and Transfer of Funds (Information on the Payer) Regulations 2017. </w:t>
      </w:r>
    </w:p>
    <w:p w14:paraId="3E5A7B12" w14:textId="3C36CA59" w:rsidR="00FE50E2"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E443D6" w:rsidRPr="00C97F55">
        <w:rPr>
          <w:rFonts w:ascii="Times New Roman" w:hAnsi="Times New Roman" w:cs="Times New Roman"/>
          <w:color w:val="000000" w:themeColor="text1"/>
          <w:sz w:val="28"/>
          <w:szCs w:val="28"/>
        </w:rPr>
        <w:t xml:space="preserve">Under the profession of </w:t>
      </w:r>
      <w:r w:rsidR="0026709F" w:rsidRPr="00C97F55">
        <w:rPr>
          <w:rFonts w:ascii="Times New Roman" w:hAnsi="Times New Roman" w:cs="Times New Roman"/>
          <w:color w:val="000000" w:themeColor="text1"/>
          <w:sz w:val="28"/>
          <w:szCs w:val="28"/>
        </w:rPr>
        <w:t>soliciting,</w:t>
      </w:r>
      <w:r w:rsidR="00E443D6" w:rsidRPr="00C97F55">
        <w:rPr>
          <w:rFonts w:ascii="Times New Roman" w:hAnsi="Times New Roman" w:cs="Times New Roman"/>
          <w:color w:val="000000" w:themeColor="text1"/>
          <w:sz w:val="28"/>
          <w:szCs w:val="28"/>
        </w:rPr>
        <w:t xml:space="preserve"> </w:t>
      </w:r>
      <w:r w:rsidR="002B2F1D" w:rsidRPr="00C97F55">
        <w:rPr>
          <w:rFonts w:ascii="Times New Roman" w:hAnsi="Times New Roman" w:cs="Times New Roman"/>
          <w:color w:val="000000" w:themeColor="text1"/>
          <w:sz w:val="28"/>
          <w:szCs w:val="28"/>
        </w:rPr>
        <w:t xml:space="preserve">a solicitor has some prescribed responsibility towards respecting Equality, </w:t>
      </w:r>
      <w:r w:rsidR="0026709F" w:rsidRPr="00C97F55">
        <w:rPr>
          <w:rFonts w:ascii="Times New Roman" w:hAnsi="Times New Roman" w:cs="Times New Roman"/>
          <w:color w:val="000000" w:themeColor="text1"/>
          <w:sz w:val="28"/>
          <w:szCs w:val="28"/>
        </w:rPr>
        <w:t>diversity,</w:t>
      </w:r>
      <w:r w:rsidR="002B2F1D" w:rsidRPr="00C97F55">
        <w:rPr>
          <w:rFonts w:ascii="Times New Roman" w:hAnsi="Times New Roman" w:cs="Times New Roman"/>
          <w:color w:val="000000" w:themeColor="text1"/>
          <w:sz w:val="28"/>
          <w:szCs w:val="28"/>
        </w:rPr>
        <w:t xml:space="preserve"> and inclusion. </w:t>
      </w:r>
      <w:r w:rsidRPr="00C97F55">
        <w:rPr>
          <w:rFonts w:ascii="Times New Roman" w:hAnsi="Times New Roman" w:cs="Times New Roman"/>
          <w:color w:val="000000" w:themeColor="text1"/>
          <w:sz w:val="28"/>
          <w:szCs w:val="28"/>
        </w:rPr>
        <w:t>As per principle 6 of the SRA; a solicitor must act in a way that encourages a state of being equal to others, a state of accepting people from diverse backgrounds, and giving equal access to opportunities</w:t>
      </w:r>
      <w:r w:rsidR="00682B42" w:rsidRPr="00C97F55">
        <w:rPr>
          <w:rFonts w:ascii="Times New Roman" w:hAnsi="Times New Roman" w:cs="Times New Roman"/>
          <w:color w:val="000000" w:themeColor="text1"/>
          <w:sz w:val="28"/>
          <w:szCs w:val="28"/>
        </w:rPr>
        <w:t xml:space="preserve"> (</w:t>
      </w:r>
      <w:r w:rsidR="00682B42" w:rsidRPr="00C97F55">
        <w:rPr>
          <w:rFonts w:ascii="Times New Roman" w:hAnsi="Times New Roman" w:cs="Times New Roman"/>
          <w:bCs/>
          <w:color w:val="000000" w:themeColor="text1"/>
          <w:sz w:val="28"/>
          <w:szCs w:val="28"/>
        </w:rPr>
        <w:t>Solicitors Regulation Authority, 2020)</w:t>
      </w:r>
      <w:r w:rsidR="00682B42" w:rsidRPr="00C97F55">
        <w:rPr>
          <w:rFonts w:ascii="Times New Roman" w:hAnsi="Times New Roman" w:cs="Times New Roman"/>
          <w:color w:val="000000" w:themeColor="text1"/>
          <w:sz w:val="28"/>
          <w:szCs w:val="28"/>
        </w:rPr>
        <w:t>.</w:t>
      </w:r>
      <w:r w:rsidRPr="00C97F55">
        <w:rPr>
          <w:rFonts w:ascii="Times New Roman" w:hAnsi="Times New Roman" w:cs="Times New Roman"/>
          <w:color w:val="000000" w:themeColor="text1"/>
          <w:sz w:val="28"/>
          <w:szCs w:val="28"/>
        </w:rPr>
        <w:t xml:space="preserve"> As per SRA </w:t>
      </w:r>
      <w:r w:rsidR="0026709F" w:rsidRPr="00C97F55">
        <w:rPr>
          <w:rFonts w:ascii="Times New Roman" w:hAnsi="Times New Roman" w:cs="Times New Roman"/>
          <w:color w:val="000000" w:themeColor="text1"/>
          <w:sz w:val="28"/>
          <w:szCs w:val="28"/>
        </w:rPr>
        <w:t>norms,</w:t>
      </w:r>
      <w:r w:rsidRPr="00C97F55">
        <w:rPr>
          <w:rFonts w:ascii="Times New Roman" w:hAnsi="Times New Roman" w:cs="Times New Roman"/>
          <w:color w:val="000000" w:themeColor="text1"/>
          <w:sz w:val="28"/>
          <w:szCs w:val="28"/>
        </w:rPr>
        <w:t xml:space="preserve"> the system should remove the barriers of discrimination and intolerance from the soliciting; if present. During an interview of the </w:t>
      </w:r>
      <w:r w:rsidR="0026709F" w:rsidRPr="00C97F55">
        <w:rPr>
          <w:rFonts w:ascii="Times New Roman" w:hAnsi="Times New Roman" w:cs="Times New Roman"/>
          <w:color w:val="000000" w:themeColor="text1"/>
          <w:sz w:val="28"/>
          <w:szCs w:val="28"/>
        </w:rPr>
        <w:t>client,</w:t>
      </w:r>
      <w:r w:rsidRPr="00C97F55">
        <w:rPr>
          <w:rFonts w:ascii="Times New Roman" w:hAnsi="Times New Roman" w:cs="Times New Roman"/>
          <w:color w:val="000000" w:themeColor="text1"/>
          <w:sz w:val="28"/>
          <w:szCs w:val="28"/>
        </w:rPr>
        <w:t xml:space="preserve"> a solicitor must adhere to the equality, </w:t>
      </w:r>
      <w:r w:rsidR="0026709F" w:rsidRPr="00C97F55">
        <w:rPr>
          <w:rFonts w:ascii="Times New Roman" w:hAnsi="Times New Roman" w:cs="Times New Roman"/>
          <w:color w:val="000000" w:themeColor="text1"/>
          <w:sz w:val="28"/>
          <w:szCs w:val="28"/>
        </w:rPr>
        <w:t>diversity,</w:t>
      </w:r>
      <w:r w:rsidRPr="00C97F55">
        <w:rPr>
          <w:rFonts w:ascii="Times New Roman" w:hAnsi="Times New Roman" w:cs="Times New Roman"/>
          <w:color w:val="000000" w:themeColor="text1"/>
          <w:sz w:val="28"/>
          <w:szCs w:val="28"/>
        </w:rPr>
        <w:t xml:space="preserve"> and inclusion clause since it can help in ensuring a client that there would be no discrepancies in the case plus no discrimination would take place during the legal proceedings. </w:t>
      </w:r>
      <w:r w:rsidR="007E766D" w:rsidRPr="00C97F55">
        <w:rPr>
          <w:rFonts w:ascii="Times New Roman" w:hAnsi="Times New Roman" w:cs="Times New Roman"/>
          <w:color w:val="000000" w:themeColor="text1"/>
          <w:sz w:val="28"/>
          <w:szCs w:val="28"/>
        </w:rPr>
        <w:t xml:space="preserve">SRA adheres and works upon the Equality Act 2010 norms that respect </w:t>
      </w:r>
      <w:r w:rsidR="005E3E0F" w:rsidRPr="00C97F55">
        <w:rPr>
          <w:rFonts w:ascii="Times New Roman" w:hAnsi="Times New Roman" w:cs="Times New Roman"/>
          <w:color w:val="000000" w:themeColor="text1"/>
          <w:sz w:val="28"/>
          <w:szCs w:val="28"/>
        </w:rPr>
        <w:t>diversity largely</w:t>
      </w:r>
      <w:r w:rsidR="00682B42" w:rsidRPr="00C97F55">
        <w:rPr>
          <w:rFonts w:ascii="Times New Roman" w:hAnsi="Times New Roman" w:cs="Times New Roman"/>
          <w:color w:val="000000" w:themeColor="text1"/>
          <w:sz w:val="28"/>
          <w:szCs w:val="28"/>
        </w:rPr>
        <w:t xml:space="preserve"> (Feast and Hand, 2015)</w:t>
      </w:r>
      <w:r w:rsidR="005E3E0F" w:rsidRPr="00C97F55">
        <w:rPr>
          <w:rFonts w:ascii="Times New Roman" w:hAnsi="Times New Roman" w:cs="Times New Roman"/>
          <w:color w:val="000000" w:themeColor="text1"/>
          <w:sz w:val="28"/>
          <w:szCs w:val="28"/>
        </w:rPr>
        <w:t>. The diversity can be included if the soliciting firm ensures that the staff has attained diversity inclusion training and it respects any form of disability and tries to mitigate its ill impacts</w:t>
      </w:r>
      <w:r w:rsidR="00682B42" w:rsidRPr="00C97F55">
        <w:rPr>
          <w:rFonts w:ascii="Times New Roman" w:hAnsi="Times New Roman" w:cs="Times New Roman"/>
          <w:color w:val="000000" w:themeColor="text1"/>
          <w:sz w:val="28"/>
          <w:szCs w:val="28"/>
        </w:rPr>
        <w:t xml:space="preserve"> (</w:t>
      </w:r>
      <w:r w:rsidR="00682B42" w:rsidRPr="00C97F55">
        <w:rPr>
          <w:rFonts w:ascii="Times New Roman" w:hAnsi="Times New Roman" w:cs="Times New Roman"/>
          <w:bCs/>
          <w:color w:val="000000" w:themeColor="text1"/>
          <w:sz w:val="28"/>
          <w:szCs w:val="28"/>
        </w:rPr>
        <w:t>Solicitors Regulation Authority, 2020)</w:t>
      </w:r>
      <w:r w:rsidR="00682B42" w:rsidRPr="00C97F55">
        <w:rPr>
          <w:rFonts w:ascii="Times New Roman" w:hAnsi="Times New Roman" w:cs="Times New Roman"/>
          <w:color w:val="000000" w:themeColor="text1"/>
          <w:sz w:val="28"/>
          <w:szCs w:val="28"/>
        </w:rPr>
        <w:t>.</w:t>
      </w:r>
      <w:r w:rsidR="005E3E0F" w:rsidRPr="00C97F55">
        <w:rPr>
          <w:rFonts w:ascii="Times New Roman" w:hAnsi="Times New Roman" w:cs="Times New Roman"/>
          <w:color w:val="000000" w:themeColor="text1"/>
          <w:sz w:val="28"/>
          <w:szCs w:val="28"/>
        </w:rPr>
        <w:t xml:space="preserve"> </w:t>
      </w:r>
      <w:r w:rsidRPr="00C97F55">
        <w:rPr>
          <w:rFonts w:ascii="Times New Roman" w:hAnsi="Times New Roman" w:cs="Times New Roman"/>
          <w:color w:val="000000" w:themeColor="text1"/>
          <w:sz w:val="28"/>
          <w:szCs w:val="28"/>
        </w:rPr>
        <w:t xml:space="preserve">Under a profession of </w:t>
      </w:r>
      <w:r w:rsidR="0026709F" w:rsidRPr="00C97F55">
        <w:rPr>
          <w:rFonts w:ascii="Times New Roman" w:hAnsi="Times New Roman" w:cs="Times New Roman"/>
          <w:color w:val="000000" w:themeColor="text1"/>
          <w:sz w:val="28"/>
          <w:szCs w:val="28"/>
        </w:rPr>
        <w:t>soliciting,</w:t>
      </w:r>
      <w:r w:rsidRPr="00C97F55">
        <w:rPr>
          <w:rFonts w:ascii="Times New Roman" w:hAnsi="Times New Roman" w:cs="Times New Roman"/>
          <w:color w:val="000000" w:themeColor="text1"/>
          <w:sz w:val="28"/>
          <w:szCs w:val="28"/>
        </w:rPr>
        <w:t xml:space="preserve"> the staff should be given a reasonable degree of flexibility such as work from home to in-depth study the case, attaining work-life balance in the staff and taking concern for the disabled people. </w:t>
      </w:r>
    </w:p>
    <w:p w14:paraId="303036BC" w14:textId="77777777" w:rsidR="00FE50E2" w:rsidRPr="00C97F55" w:rsidRDefault="00816192" w:rsidP="002C0040">
      <w:pPr>
        <w:spacing w:after="0"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505669" w:rsidRPr="00C97F55">
        <w:rPr>
          <w:rFonts w:ascii="Times New Roman" w:hAnsi="Times New Roman" w:cs="Times New Roman"/>
          <w:color w:val="000000" w:themeColor="text1"/>
          <w:sz w:val="28"/>
          <w:szCs w:val="28"/>
        </w:rPr>
        <w:t xml:space="preserve">A solicitor owes his obligations to the client, court and third parties. </w:t>
      </w:r>
      <w:r w:rsidRPr="00C97F55">
        <w:rPr>
          <w:rFonts w:ascii="Times New Roman" w:hAnsi="Times New Roman" w:cs="Times New Roman"/>
          <w:color w:val="000000" w:themeColor="text1"/>
          <w:sz w:val="28"/>
          <w:szCs w:val="28"/>
        </w:rPr>
        <w:t xml:space="preserve">It is the responsibility of the solicitor to take care of valuing the concerned parties since if the high professional service standards would not be reflected then there </w:t>
      </w:r>
      <w:r w:rsidRPr="00C97F55">
        <w:rPr>
          <w:rFonts w:ascii="Times New Roman" w:hAnsi="Times New Roman" w:cs="Times New Roman"/>
          <w:color w:val="000000" w:themeColor="text1"/>
          <w:sz w:val="28"/>
          <w:szCs w:val="28"/>
        </w:rPr>
        <w:lastRenderedPageBreak/>
        <w:t>are higher chances of challenging the behaviour and the competence</w:t>
      </w:r>
      <w:r w:rsidR="003325D3" w:rsidRPr="00C97F55">
        <w:rPr>
          <w:rFonts w:ascii="Times New Roman" w:hAnsi="Times New Roman" w:cs="Times New Roman"/>
          <w:color w:val="000000" w:themeColor="text1"/>
          <w:sz w:val="28"/>
          <w:szCs w:val="28"/>
        </w:rPr>
        <w:t xml:space="preserve"> (</w:t>
      </w:r>
      <w:r w:rsidR="003325D3" w:rsidRPr="00C97F55">
        <w:rPr>
          <w:rFonts w:ascii="Times New Roman" w:hAnsi="Times New Roman" w:cs="Times New Roman"/>
          <w:color w:val="000000" w:themeColor="text1"/>
          <w:sz w:val="28"/>
          <w:szCs w:val="28"/>
          <w:shd w:val="clear" w:color="auto" w:fill="FFFFFF"/>
        </w:rPr>
        <w:t>Paterson and Ritchie, 2014</w:t>
      </w:r>
      <w:r w:rsidR="003325D3" w:rsidRPr="00C97F55">
        <w:rPr>
          <w:rFonts w:ascii="Times New Roman" w:hAnsi="Times New Roman" w:cs="Times New Roman"/>
          <w:color w:val="000000" w:themeColor="text1"/>
          <w:sz w:val="28"/>
          <w:szCs w:val="28"/>
        </w:rPr>
        <w:t>)</w:t>
      </w:r>
      <w:r w:rsidRPr="00C97F55">
        <w:rPr>
          <w:rFonts w:ascii="Times New Roman" w:hAnsi="Times New Roman" w:cs="Times New Roman"/>
          <w:color w:val="000000" w:themeColor="text1"/>
          <w:sz w:val="28"/>
          <w:szCs w:val="28"/>
        </w:rPr>
        <w:t>. The lack of service standards would cause harm to the public and the trust under professional ethics. The people who are more at risk would be the vulnerable people who are more at the risk owing to the high impactful stances. The professional integrity and the ethics are crucial for the solicitors as it determines the public confidence within the legal system</w:t>
      </w:r>
      <w:r w:rsidR="00AE016A" w:rsidRPr="00C97F55">
        <w:rPr>
          <w:rFonts w:ascii="Times New Roman" w:hAnsi="Times New Roman" w:cs="Times New Roman"/>
          <w:color w:val="000000" w:themeColor="text1"/>
          <w:sz w:val="28"/>
          <w:szCs w:val="28"/>
        </w:rPr>
        <w:t xml:space="preserve"> (</w:t>
      </w:r>
      <w:r w:rsidR="00AE016A" w:rsidRPr="00C97F55">
        <w:rPr>
          <w:rFonts w:ascii="Times New Roman" w:hAnsi="Times New Roman" w:cs="Times New Roman"/>
          <w:bCs/>
          <w:color w:val="000000" w:themeColor="text1"/>
          <w:sz w:val="28"/>
          <w:szCs w:val="28"/>
        </w:rPr>
        <w:t>Solicitors Regulation Authority, 2020)</w:t>
      </w:r>
      <w:r w:rsidR="00AE016A" w:rsidRPr="00C97F55">
        <w:rPr>
          <w:rFonts w:ascii="Times New Roman" w:hAnsi="Times New Roman" w:cs="Times New Roman"/>
          <w:color w:val="000000" w:themeColor="text1"/>
          <w:sz w:val="28"/>
          <w:szCs w:val="28"/>
        </w:rPr>
        <w:t>.</w:t>
      </w:r>
      <w:r w:rsidRPr="00C97F55">
        <w:rPr>
          <w:rFonts w:ascii="Times New Roman" w:hAnsi="Times New Roman" w:cs="Times New Roman"/>
          <w:color w:val="000000" w:themeColor="text1"/>
          <w:sz w:val="28"/>
          <w:szCs w:val="28"/>
        </w:rPr>
        <w:t xml:space="preserve"> In the given </w:t>
      </w:r>
      <w:proofErr w:type="gramStart"/>
      <w:r w:rsidRPr="00C97F55">
        <w:rPr>
          <w:rFonts w:ascii="Times New Roman" w:hAnsi="Times New Roman" w:cs="Times New Roman"/>
          <w:color w:val="000000" w:themeColor="text1"/>
          <w:sz w:val="28"/>
          <w:szCs w:val="28"/>
        </w:rPr>
        <w:t>case;</w:t>
      </w:r>
      <w:proofErr w:type="gramEnd"/>
      <w:r w:rsidRPr="00C97F55">
        <w:rPr>
          <w:rFonts w:ascii="Times New Roman" w:hAnsi="Times New Roman" w:cs="Times New Roman"/>
          <w:color w:val="000000" w:themeColor="text1"/>
          <w:sz w:val="28"/>
          <w:szCs w:val="28"/>
        </w:rPr>
        <w:t xml:space="preserve"> the clients and the third parties would be affected since the unjustified cases directly go to the courts and tribunals. </w:t>
      </w:r>
    </w:p>
    <w:p w14:paraId="44B091EE" w14:textId="77777777" w:rsidR="007944DA" w:rsidRPr="00C97F55" w:rsidRDefault="00816192" w:rsidP="002C0040">
      <w:pPr>
        <w:pStyle w:val="Heading1"/>
        <w:spacing w:line="480" w:lineRule="auto"/>
        <w:jc w:val="both"/>
        <w:rPr>
          <w:rFonts w:ascii="Times New Roman" w:hAnsi="Times New Roman" w:cs="Times New Roman"/>
          <w:b/>
          <w:color w:val="000000" w:themeColor="text1"/>
          <w:sz w:val="28"/>
          <w:szCs w:val="28"/>
        </w:rPr>
      </w:pPr>
      <w:bookmarkStart w:id="2" w:name="_Toc70351335"/>
      <w:r w:rsidRPr="00C97F55">
        <w:rPr>
          <w:rFonts w:ascii="Times New Roman" w:hAnsi="Times New Roman" w:cs="Times New Roman"/>
          <w:b/>
          <w:color w:val="000000" w:themeColor="text1"/>
          <w:sz w:val="28"/>
          <w:szCs w:val="28"/>
        </w:rPr>
        <w:t>Conclusions</w:t>
      </w:r>
      <w:bookmarkEnd w:id="2"/>
      <w:r w:rsidRPr="00C97F55">
        <w:rPr>
          <w:rFonts w:ascii="Times New Roman" w:hAnsi="Times New Roman" w:cs="Times New Roman"/>
          <w:b/>
          <w:color w:val="000000" w:themeColor="text1"/>
          <w:sz w:val="28"/>
          <w:szCs w:val="28"/>
        </w:rPr>
        <w:t xml:space="preserve"> </w:t>
      </w:r>
    </w:p>
    <w:p w14:paraId="44DB23D0" w14:textId="1B371DD4" w:rsidR="007944DA" w:rsidRPr="00C97F55" w:rsidRDefault="00816192" w:rsidP="002C0040">
      <w:pPr>
        <w:spacing w:line="480" w:lineRule="auto"/>
        <w:jc w:val="both"/>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ab/>
      </w:r>
      <w:r w:rsidR="00241C6A" w:rsidRPr="00C97F55">
        <w:rPr>
          <w:rFonts w:ascii="Times New Roman" w:hAnsi="Times New Roman" w:cs="Times New Roman"/>
          <w:color w:val="000000" w:themeColor="text1"/>
          <w:sz w:val="28"/>
          <w:szCs w:val="28"/>
        </w:rPr>
        <w:t xml:space="preserve">As per the study of the empirical information, it can be concluded that a solicitor has numerous roles and responsibilities under legal and professional boundaries. A solicitor is bound to perform professional conduct in the UK under the pre-described set of norms under the SRA and its breach could cost to the </w:t>
      </w:r>
      <w:r w:rsidRPr="00C97F55">
        <w:rPr>
          <w:rFonts w:ascii="Times New Roman" w:hAnsi="Times New Roman" w:cs="Times New Roman"/>
          <w:color w:val="000000" w:themeColor="text1"/>
          <w:sz w:val="28"/>
          <w:szCs w:val="28"/>
        </w:rPr>
        <w:t xml:space="preserve">culprit. Under the professional </w:t>
      </w:r>
      <w:r w:rsidR="0026709F" w:rsidRPr="00C97F55">
        <w:rPr>
          <w:rFonts w:ascii="Times New Roman" w:hAnsi="Times New Roman" w:cs="Times New Roman"/>
          <w:color w:val="000000" w:themeColor="text1"/>
          <w:sz w:val="28"/>
          <w:szCs w:val="28"/>
        </w:rPr>
        <w:t>walls,</w:t>
      </w:r>
      <w:r w:rsidRPr="00C97F55">
        <w:rPr>
          <w:rFonts w:ascii="Times New Roman" w:hAnsi="Times New Roman" w:cs="Times New Roman"/>
          <w:color w:val="000000" w:themeColor="text1"/>
          <w:sz w:val="28"/>
          <w:szCs w:val="28"/>
        </w:rPr>
        <w:t xml:space="preserve"> anti-money laundering has been considered as one of the serious crimes undertaken by solicitors in pursuit of extra income or profits. Confidentiality and integrity should be maintained by the solicitors to curb any allegation arising out of breaching the principles under SRA.  </w:t>
      </w:r>
    </w:p>
    <w:p w14:paraId="25F9BFED" w14:textId="77777777" w:rsidR="00431849" w:rsidRPr="00C97F55" w:rsidRDefault="00431849" w:rsidP="002C0040">
      <w:pPr>
        <w:spacing w:after="0" w:line="480" w:lineRule="auto"/>
        <w:jc w:val="both"/>
        <w:rPr>
          <w:rFonts w:ascii="Times New Roman" w:hAnsi="Times New Roman" w:cs="Times New Roman"/>
          <w:color w:val="000000" w:themeColor="text1"/>
          <w:sz w:val="28"/>
          <w:szCs w:val="28"/>
        </w:rPr>
      </w:pPr>
    </w:p>
    <w:p w14:paraId="7944A702" w14:textId="77777777" w:rsidR="007944DA" w:rsidRPr="00C97F55" w:rsidRDefault="00816192" w:rsidP="002C0040">
      <w:pPr>
        <w:spacing w:line="480" w:lineRule="auto"/>
        <w:jc w:val="both"/>
        <w:rPr>
          <w:rFonts w:ascii="Times New Roman" w:eastAsiaTheme="majorEastAsia" w:hAnsi="Times New Roman" w:cs="Times New Roman"/>
          <w:b/>
          <w:color w:val="000000" w:themeColor="text1"/>
          <w:sz w:val="28"/>
          <w:szCs w:val="28"/>
        </w:rPr>
      </w:pPr>
      <w:r w:rsidRPr="00C97F55">
        <w:rPr>
          <w:rFonts w:ascii="Times New Roman" w:hAnsi="Times New Roman" w:cs="Times New Roman"/>
          <w:b/>
          <w:color w:val="000000" w:themeColor="text1"/>
          <w:sz w:val="28"/>
          <w:szCs w:val="28"/>
        </w:rPr>
        <w:br w:type="page"/>
      </w:r>
    </w:p>
    <w:p w14:paraId="59C7F59B" w14:textId="77777777" w:rsidR="002C0040" w:rsidRPr="00C97F55" w:rsidRDefault="00816192" w:rsidP="002C0040">
      <w:pPr>
        <w:pStyle w:val="Heading1"/>
        <w:rPr>
          <w:rFonts w:ascii="Times New Roman" w:hAnsi="Times New Roman" w:cs="Times New Roman"/>
          <w:b/>
          <w:color w:val="000000" w:themeColor="text1"/>
          <w:sz w:val="28"/>
          <w:szCs w:val="28"/>
        </w:rPr>
      </w:pPr>
      <w:bookmarkStart w:id="3" w:name="_Toc70351336"/>
      <w:r w:rsidRPr="00C97F55">
        <w:rPr>
          <w:rFonts w:ascii="Times New Roman" w:hAnsi="Times New Roman" w:cs="Times New Roman"/>
          <w:b/>
          <w:color w:val="000000" w:themeColor="text1"/>
          <w:sz w:val="28"/>
          <w:szCs w:val="28"/>
        </w:rPr>
        <w:lastRenderedPageBreak/>
        <w:t>References</w:t>
      </w:r>
      <w:bookmarkEnd w:id="3"/>
      <w:r w:rsidRPr="00C97F55">
        <w:rPr>
          <w:rFonts w:ascii="Times New Roman" w:hAnsi="Times New Roman" w:cs="Times New Roman"/>
          <w:b/>
          <w:color w:val="000000" w:themeColor="text1"/>
          <w:sz w:val="28"/>
          <w:szCs w:val="28"/>
        </w:rPr>
        <w:t xml:space="preserve"> </w:t>
      </w:r>
    </w:p>
    <w:p w14:paraId="67261B24"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 xml:space="preserve">Benson, K. (2016) </w:t>
      </w:r>
      <w:r w:rsidRPr="00C97F55">
        <w:rPr>
          <w:rFonts w:ascii="Times New Roman" w:hAnsi="Times New Roman" w:cs="Times New Roman"/>
          <w:i/>
          <w:color w:val="000000" w:themeColor="text1"/>
          <w:sz w:val="28"/>
          <w:szCs w:val="28"/>
        </w:rPr>
        <w:t>The Facilitation of Money Laundering by Legal and Financial Professionals Roles, Relationships and Response.</w:t>
      </w:r>
      <w:r w:rsidRPr="00C97F55">
        <w:rPr>
          <w:rFonts w:ascii="Times New Roman" w:hAnsi="Times New Roman" w:cs="Times New Roman"/>
          <w:color w:val="000000" w:themeColor="text1"/>
          <w:sz w:val="28"/>
          <w:szCs w:val="28"/>
        </w:rPr>
        <w:t xml:space="preserve"> The University of Manchester (United Kingdom).</w:t>
      </w:r>
    </w:p>
    <w:p w14:paraId="3BEC1A22" w14:textId="77777777" w:rsidR="002C0040" w:rsidRPr="00C97F55" w:rsidRDefault="00816192" w:rsidP="002C0040">
      <w:pPr>
        <w:spacing w:after="0" w:line="480" w:lineRule="auto"/>
        <w:ind w:left="720" w:hanging="720"/>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 xml:space="preserve">Boon, A. (2014) </w:t>
      </w:r>
      <w:r w:rsidRPr="00C97F55">
        <w:rPr>
          <w:rFonts w:ascii="Times New Roman" w:hAnsi="Times New Roman" w:cs="Times New Roman"/>
          <w:bCs/>
          <w:i/>
          <w:color w:val="000000" w:themeColor="text1"/>
          <w:sz w:val="28"/>
          <w:szCs w:val="28"/>
        </w:rPr>
        <w:t>The ethics and conduct of lawyers in England and Wales</w:t>
      </w:r>
      <w:r w:rsidRPr="00C97F55">
        <w:rPr>
          <w:rFonts w:ascii="Times New Roman" w:hAnsi="Times New Roman" w:cs="Times New Roman"/>
          <w:bCs/>
          <w:color w:val="000000" w:themeColor="text1"/>
          <w:sz w:val="28"/>
          <w:szCs w:val="28"/>
        </w:rPr>
        <w:t>. London: Bloomsbury Publishing.</w:t>
      </w:r>
    </w:p>
    <w:p w14:paraId="6BB34CF6"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shd w:val="clear" w:color="auto" w:fill="FFFFFF"/>
        </w:rPr>
      </w:pPr>
      <w:r w:rsidRPr="00C97F55">
        <w:rPr>
          <w:rFonts w:ascii="Times New Roman" w:hAnsi="Times New Roman" w:cs="Times New Roman"/>
          <w:color w:val="000000" w:themeColor="text1"/>
          <w:sz w:val="28"/>
          <w:szCs w:val="28"/>
          <w:shd w:val="clear" w:color="auto" w:fill="FFFFFF"/>
        </w:rPr>
        <w:t>Boon, A. (2016) ‘The legal professions’ new handbooks: narratives, standards and values. </w:t>
      </w:r>
      <w:r w:rsidRPr="00C97F55">
        <w:rPr>
          <w:rFonts w:ascii="Times New Roman" w:hAnsi="Times New Roman" w:cs="Times New Roman"/>
          <w:i/>
          <w:iCs/>
          <w:color w:val="000000" w:themeColor="text1"/>
          <w:sz w:val="28"/>
          <w:szCs w:val="28"/>
          <w:shd w:val="clear" w:color="auto" w:fill="FFFFFF"/>
        </w:rPr>
        <w:t>Legal Ethics</w:t>
      </w:r>
      <w:r w:rsidRPr="00C97F55">
        <w:rPr>
          <w:rFonts w:ascii="Times New Roman" w:hAnsi="Times New Roman" w:cs="Times New Roman"/>
          <w:color w:val="000000" w:themeColor="text1"/>
          <w:sz w:val="28"/>
          <w:szCs w:val="28"/>
          <w:shd w:val="clear" w:color="auto" w:fill="FFFFFF"/>
        </w:rPr>
        <w:t xml:space="preserve">, </w:t>
      </w:r>
      <w:r w:rsidRPr="00C97F55">
        <w:rPr>
          <w:rFonts w:ascii="Times New Roman" w:hAnsi="Times New Roman" w:cs="Times New Roman"/>
          <w:iCs/>
          <w:color w:val="000000" w:themeColor="text1"/>
          <w:sz w:val="28"/>
          <w:szCs w:val="28"/>
          <w:shd w:val="clear" w:color="auto" w:fill="FFFFFF"/>
        </w:rPr>
        <w:t>19</w:t>
      </w:r>
      <w:r w:rsidRPr="00C97F55">
        <w:rPr>
          <w:rFonts w:ascii="Times New Roman" w:hAnsi="Times New Roman" w:cs="Times New Roman"/>
          <w:color w:val="000000" w:themeColor="text1"/>
          <w:sz w:val="28"/>
          <w:szCs w:val="28"/>
          <w:shd w:val="clear" w:color="auto" w:fill="FFFFFF"/>
        </w:rPr>
        <w:t>(2), pp. 207-233.</w:t>
      </w:r>
    </w:p>
    <w:p w14:paraId="589C6590"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 xml:space="preserve">Castilla, M. (2011) 'Client Confidentiality and the External Regulation of the Legal Profession: Reporting Requirements in the United States and the United Kingdom', </w:t>
      </w:r>
      <w:r w:rsidRPr="00C97F55">
        <w:rPr>
          <w:rFonts w:ascii="Times New Roman" w:hAnsi="Times New Roman" w:cs="Times New Roman"/>
          <w:i/>
          <w:color w:val="000000" w:themeColor="text1"/>
          <w:sz w:val="28"/>
          <w:szCs w:val="28"/>
        </w:rPr>
        <w:t>Cardozo Pub. L. Poly &amp; Ethics Journal,</w:t>
      </w:r>
      <w:r w:rsidRPr="00C97F55">
        <w:rPr>
          <w:rFonts w:ascii="Times New Roman" w:hAnsi="Times New Roman" w:cs="Times New Roman"/>
          <w:color w:val="000000" w:themeColor="text1"/>
          <w:sz w:val="28"/>
          <w:szCs w:val="28"/>
        </w:rPr>
        <w:t xml:space="preserve"> 10(3), pp. 321-346.</w:t>
      </w:r>
    </w:p>
    <w:p w14:paraId="02F12A3F"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 xml:space="preserve">Feast, P. and Hand, J. (2015) ‘Enigmas of the Equality Act 2010 - “Three uneasy pieces”, </w:t>
      </w:r>
      <w:r w:rsidRPr="00C97F55">
        <w:rPr>
          <w:rFonts w:ascii="Times New Roman" w:hAnsi="Times New Roman" w:cs="Times New Roman"/>
          <w:i/>
          <w:color w:val="000000" w:themeColor="text1"/>
          <w:sz w:val="28"/>
          <w:szCs w:val="28"/>
        </w:rPr>
        <w:t>Cogent Social Sciences</w:t>
      </w:r>
      <w:r w:rsidRPr="00C97F55">
        <w:rPr>
          <w:rFonts w:ascii="Times New Roman" w:hAnsi="Times New Roman" w:cs="Times New Roman"/>
          <w:color w:val="000000" w:themeColor="text1"/>
          <w:sz w:val="28"/>
          <w:szCs w:val="28"/>
        </w:rPr>
        <w:t>, 1(1), pp. 1-8.</w:t>
      </w:r>
    </w:p>
    <w:p w14:paraId="78EE59B2" w14:textId="77777777" w:rsidR="002C0040" w:rsidRPr="00C97F55" w:rsidRDefault="00816192" w:rsidP="002C0040">
      <w:pPr>
        <w:spacing w:after="0" w:line="480" w:lineRule="auto"/>
        <w:ind w:left="720" w:hanging="720"/>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 xml:space="preserve">Hazelwood, K.J. (2014) ‘Technology and Client Communications: Preparing Law Students and New Lawyers to Make Choices That Comply with the Ethical Duties of Confidentiality, Competence, and Communication’, </w:t>
      </w:r>
      <w:r w:rsidRPr="00C97F55">
        <w:rPr>
          <w:rFonts w:ascii="Times New Roman" w:hAnsi="Times New Roman" w:cs="Times New Roman"/>
          <w:bCs/>
          <w:i/>
          <w:color w:val="000000" w:themeColor="text1"/>
          <w:sz w:val="28"/>
          <w:szCs w:val="28"/>
        </w:rPr>
        <w:t>Mississippi Law Journal</w:t>
      </w:r>
      <w:r w:rsidRPr="00C97F55">
        <w:rPr>
          <w:rFonts w:ascii="Times New Roman" w:hAnsi="Times New Roman" w:cs="Times New Roman"/>
          <w:bCs/>
          <w:color w:val="000000" w:themeColor="text1"/>
          <w:sz w:val="28"/>
          <w:szCs w:val="28"/>
        </w:rPr>
        <w:t>, 83(2), pp. 245-253.</w:t>
      </w:r>
    </w:p>
    <w:p w14:paraId="6AF40550" w14:textId="77777777" w:rsidR="002C0040" w:rsidRPr="00C97F55" w:rsidRDefault="00816192" w:rsidP="002C0040">
      <w:pPr>
        <w:spacing w:after="0" w:line="480" w:lineRule="auto"/>
        <w:ind w:left="720" w:hanging="720"/>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 xml:space="preserve">Jackson, C., Devlin, R. and Cotter, B. (2016) ‘Of Lodestars and Lawyers: Incorporating the Duty of Loyalty into the Model Code of Conduct’, </w:t>
      </w:r>
      <w:r w:rsidRPr="00C97F55">
        <w:rPr>
          <w:rFonts w:ascii="Times New Roman" w:hAnsi="Times New Roman" w:cs="Times New Roman"/>
          <w:bCs/>
          <w:i/>
          <w:color w:val="000000" w:themeColor="text1"/>
          <w:sz w:val="28"/>
          <w:szCs w:val="28"/>
        </w:rPr>
        <w:t>Dalhousie Law Journal</w:t>
      </w:r>
      <w:r w:rsidRPr="00C97F55">
        <w:rPr>
          <w:rFonts w:ascii="Times New Roman" w:hAnsi="Times New Roman" w:cs="Times New Roman"/>
          <w:bCs/>
          <w:color w:val="000000" w:themeColor="text1"/>
          <w:sz w:val="28"/>
          <w:szCs w:val="28"/>
        </w:rPr>
        <w:t>, 39(2), pp. 37-43.</w:t>
      </w:r>
    </w:p>
    <w:p w14:paraId="2E7CC460"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lastRenderedPageBreak/>
        <w:t xml:space="preserve">Loughrey, J. (2011) ‘Large law firms, sophisticated clients, and the regulation of conflicts of interest in England and Wales’, </w:t>
      </w:r>
      <w:r w:rsidRPr="00C97F55">
        <w:rPr>
          <w:rFonts w:ascii="Times New Roman" w:hAnsi="Times New Roman" w:cs="Times New Roman"/>
          <w:i/>
          <w:color w:val="000000" w:themeColor="text1"/>
          <w:sz w:val="28"/>
          <w:szCs w:val="28"/>
        </w:rPr>
        <w:t>Legal Ethics,</w:t>
      </w:r>
      <w:r w:rsidRPr="00C97F55">
        <w:rPr>
          <w:rFonts w:ascii="Times New Roman" w:hAnsi="Times New Roman" w:cs="Times New Roman"/>
          <w:color w:val="000000" w:themeColor="text1"/>
          <w:sz w:val="28"/>
          <w:szCs w:val="28"/>
        </w:rPr>
        <w:t xml:space="preserve"> 14(2), pp. 215-238.</w:t>
      </w:r>
    </w:p>
    <w:p w14:paraId="03866986"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shd w:val="clear" w:color="auto" w:fill="FFFFFF"/>
        </w:rPr>
      </w:pPr>
      <w:r w:rsidRPr="00C97F55">
        <w:rPr>
          <w:rFonts w:ascii="Times New Roman" w:hAnsi="Times New Roman" w:cs="Times New Roman"/>
          <w:color w:val="000000" w:themeColor="text1"/>
          <w:sz w:val="28"/>
          <w:szCs w:val="28"/>
          <w:shd w:val="clear" w:color="auto" w:fill="FFFFFF"/>
        </w:rPr>
        <w:t>Passmore, C. (2016) ‘The Solicitors Regulation Authority: looking to the future. </w:t>
      </w:r>
      <w:r w:rsidRPr="00C97F55">
        <w:rPr>
          <w:rFonts w:ascii="Times New Roman" w:hAnsi="Times New Roman" w:cs="Times New Roman"/>
          <w:i/>
          <w:iCs/>
          <w:color w:val="000000" w:themeColor="text1"/>
          <w:sz w:val="28"/>
          <w:szCs w:val="28"/>
          <w:shd w:val="clear" w:color="auto" w:fill="FFFFFF"/>
        </w:rPr>
        <w:t>Legal Ethics</w:t>
      </w:r>
      <w:r w:rsidRPr="00C97F55">
        <w:rPr>
          <w:rFonts w:ascii="Times New Roman" w:hAnsi="Times New Roman" w:cs="Times New Roman"/>
          <w:color w:val="000000" w:themeColor="text1"/>
          <w:sz w:val="28"/>
          <w:szCs w:val="28"/>
          <w:shd w:val="clear" w:color="auto" w:fill="FFFFFF"/>
        </w:rPr>
        <w:t xml:space="preserve">, </w:t>
      </w:r>
      <w:r w:rsidRPr="00C97F55">
        <w:rPr>
          <w:rFonts w:ascii="Times New Roman" w:hAnsi="Times New Roman" w:cs="Times New Roman"/>
          <w:iCs/>
          <w:color w:val="000000" w:themeColor="text1"/>
          <w:sz w:val="28"/>
          <w:szCs w:val="28"/>
          <w:shd w:val="clear" w:color="auto" w:fill="FFFFFF"/>
        </w:rPr>
        <w:t>19</w:t>
      </w:r>
      <w:r w:rsidRPr="00C97F55">
        <w:rPr>
          <w:rFonts w:ascii="Times New Roman" w:hAnsi="Times New Roman" w:cs="Times New Roman"/>
          <w:color w:val="000000" w:themeColor="text1"/>
          <w:sz w:val="28"/>
          <w:szCs w:val="28"/>
          <w:shd w:val="clear" w:color="auto" w:fill="FFFFFF"/>
        </w:rPr>
        <w:t>(1), pp. 145-159.</w:t>
      </w:r>
    </w:p>
    <w:p w14:paraId="568AFA91"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shd w:val="clear" w:color="auto" w:fill="FFFFFF"/>
        </w:rPr>
        <w:t>Paterson, A. and Ritchie, B. (2014) </w:t>
      </w:r>
      <w:r w:rsidRPr="00C97F55">
        <w:rPr>
          <w:rFonts w:ascii="Times New Roman" w:hAnsi="Times New Roman" w:cs="Times New Roman"/>
          <w:i/>
          <w:iCs/>
          <w:color w:val="000000" w:themeColor="text1"/>
          <w:sz w:val="28"/>
          <w:szCs w:val="28"/>
          <w:shd w:val="clear" w:color="auto" w:fill="FFFFFF"/>
        </w:rPr>
        <w:t>Law, Practice &amp; Conduct for Solicitors</w:t>
      </w:r>
      <w:r w:rsidRPr="00C97F55">
        <w:rPr>
          <w:rFonts w:ascii="Times New Roman" w:hAnsi="Times New Roman" w:cs="Times New Roman"/>
          <w:color w:val="000000" w:themeColor="text1"/>
          <w:sz w:val="28"/>
          <w:szCs w:val="28"/>
          <w:shd w:val="clear" w:color="auto" w:fill="FFFFFF"/>
        </w:rPr>
        <w:t>. London: W. Green.</w:t>
      </w:r>
    </w:p>
    <w:p w14:paraId="2CBB720E" w14:textId="2E908627" w:rsidR="002C0040" w:rsidRPr="00C97F55" w:rsidRDefault="00816192" w:rsidP="002C0040">
      <w:pPr>
        <w:spacing w:after="0" w:line="480" w:lineRule="auto"/>
        <w:ind w:left="720" w:hanging="720"/>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 xml:space="preserve">Solicitors Regulation Authority. (2020) ‘Risk Outlook 2019/2020.’ Available at: </w:t>
      </w:r>
      <w:hyperlink r:id="rId8" w:history="1">
        <w:r w:rsidRPr="00C97F55">
          <w:rPr>
            <w:rStyle w:val="Hyperlink"/>
            <w:rFonts w:ascii="Times New Roman" w:hAnsi="Times New Roman" w:cs="Times New Roman"/>
            <w:bCs/>
            <w:color w:val="000000" w:themeColor="text1"/>
            <w:sz w:val="28"/>
            <w:szCs w:val="28"/>
            <w:u w:val="none"/>
          </w:rPr>
          <w:t>https://www.sra.org.uk/risk/outlook/risk-outlook-2019-2020/</w:t>
        </w:r>
      </w:hyperlink>
      <w:r w:rsidR="009D012D" w:rsidRPr="00C97F55">
        <w:rPr>
          <w:rStyle w:val="Hyperlink"/>
          <w:rFonts w:ascii="Times New Roman" w:hAnsi="Times New Roman" w:cs="Times New Roman"/>
          <w:bCs/>
          <w:color w:val="000000" w:themeColor="text1"/>
          <w:sz w:val="28"/>
          <w:szCs w:val="28"/>
          <w:u w:val="none"/>
        </w:rPr>
        <w:t>.</w:t>
      </w:r>
      <w:r w:rsidR="009D012D" w:rsidRPr="00C97F55">
        <w:rPr>
          <w:rStyle w:val="Hyperlink"/>
          <w:rFonts w:ascii="Times New Roman" w:hAnsi="Times New Roman" w:cs="Times New Roman"/>
          <w:bCs/>
          <w:color w:val="000000" w:themeColor="text1"/>
          <w:sz w:val="28"/>
          <w:szCs w:val="28"/>
        </w:rPr>
        <w:t xml:space="preserve"> </w:t>
      </w:r>
      <w:bookmarkStart w:id="4" w:name="_Hlk70608085"/>
      <w:r w:rsidR="009D012D" w:rsidRPr="00C97F55">
        <w:rPr>
          <w:rStyle w:val="Hyperlink"/>
          <w:rFonts w:ascii="Times New Roman" w:hAnsi="Times New Roman" w:cs="Times New Roman"/>
          <w:bCs/>
          <w:color w:val="000000" w:themeColor="text1"/>
          <w:sz w:val="28"/>
          <w:szCs w:val="28"/>
          <w:u w:val="none"/>
        </w:rPr>
        <w:t>[Accessed</w:t>
      </w:r>
      <w:r w:rsidR="00DE256F" w:rsidRPr="00C97F55">
        <w:rPr>
          <w:rStyle w:val="Hyperlink"/>
          <w:rFonts w:ascii="Times New Roman" w:hAnsi="Times New Roman" w:cs="Times New Roman"/>
          <w:bCs/>
          <w:color w:val="000000" w:themeColor="text1"/>
          <w:sz w:val="28"/>
          <w:szCs w:val="28"/>
          <w:u w:val="none"/>
        </w:rPr>
        <w:t xml:space="preserve">: </w:t>
      </w:r>
      <w:r w:rsidR="009D012D" w:rsidRPr="00C97F55">
        <w:rPr>
          <w:rStyle w:val="Hyperlink"/>
          <w:rFonts w:ascii="Times New Roman" w:hAnsi="Times New Roman" w:cs="Times New Roman"/>
          <w:bCs/>
          <w:color w:val="000000" w:themeColor="text1"/>
          <w:sz w:val="28"/>
          <w:szCs w:val="28"/>
          <w:u w:val="none"/>
        </w:rPr>
        <w:t>26 April 2021].</w:t>
      </w:r>
    </w:p>
    <w:bookmarkEnd w:id="4"/>
    <w:p w14:paraId="31D30A6F" w14:textId="4E5129B4" w:rsidR="009D012D" w:rsidRPr="00C97F55" w:rsidRDefault="00816192" w:rsidP="009D012D">
      <w:pPr>
        <w:spacing w:after="0" w:line="480" w:lineRule="auto"/>
        <w:ind w:left="720" w:hanging="720"/>
        <w:rPr>
          <w:rFonts w:ascii="Times New Roman" w:hAnsi="Times New Roman" w:cs="Times New Roman"/>
          <w:bCs/>
          <w:color w:val="000000" w:themeColor="text1"/>
          <w:sz w:val="28"/>
          <w:szCs w:val="28"/>
        </w:rPr>
      </w:pPr>
      <w:r w:rsidRPr="00C97F55">
        <w:rPr>
          <w:rFonts w:ascii="Times New Roman" w:hAnsi="Times New Roman" w:cs="Times New Roman"/>
          <w:bCs/>
          <w:color w:val="000000" w:themeColor="text1"/>
          <w:sz w:val="28"/>
          <w:szCs w:val="28"/>
        </w:rPr>
        <w:t xml:space="preserve">Solicitors Regulation Authority. (2021) ‘SRA Code of Conduct for Solicitors, RELs and RFLs.’ Available at: </w:t>
      </w:r>
      <w:hyperlink r:id="rId9" w:history="1">
        <w:r w:rsidR="00DE256F" w:rsidRPr="00C97F55">
          <w:rPr>
            <w:rStyle w:val="Hyperlink"/>
            <w:rFonts w:ascii="Times New Roman" w:hAnsi="Times New Roman" w:cs="Times New Roman"/>
            <w:bCs/>
            <w:color w:val="000000" w:themeColor="text1"/>
            <w:sz w:val="28"/>
            <w:szCs w:val="28"/>
            <w:u w:val="none"/>
          </w:rPr>
          <w:t>https://www.sra.org.uk/solicitors/standards-regulations/code-conduct-solicitors/ [Accessed</w:t>
        </w:r>
      </w:hyperlink>
      <w:r w:rsidR="00DE256F" w:rsidRPr="00C97F55">
        <w:rPr>
          <w:rStyle w:val="Hyperlink"/>
          <w:rFonts w:ascii="Times New Roman" w:hAnsi="Times New Roman" w:cs="Times New Roman"/>
          <w:bCs/>
          <w:color w:val="000000" w:themeColor="text1"/>
          <w:sz w:val="28"/>
          <w:szCs w:val="28"/>
          <w:u w:val="none"/>
        </w:rPr>
        <w:t xml:space="preserve">: </w:t>
      </w:r>
      <w:r w:rsidR="009D012D" w:rsidRPr="00C97F55">
        <w:rPr>
          <w:rStyle w:val="Hyperlink"/>
          <w:rFonts w:ascii="Times New Roman" w:hAnsi="Times New Roman" w:cs="Times New Roman"/>
          <w:bCs/>
          <w:color w:val="000000" w:themeColor="text1"/>
          <w:sz w:val="28"/>
          <w:szCs w:val="28"/>
          <w:u w:val="none"/>
        </w:rPr>
        <w:t>27 April 2021].</w:t>
      </w:r>
    </w:p>
    <w:p w14:paraId="2E1353B6" w14:textId="08440FA2" w:rsidR="002C0040" w:rsidRPr="00C97F55" w:rsidRDefault="002C0040" w:rsidP="002C0040">
      <w:pPr>
        <w:spacing w:after="0" w:line="480" w:lineRule="auto"/>
        <w:ind w:left="720" w:hanging="720"/>
        <w:rPr>
          <w:rFonts w:ascii="Times New Roman" w:hAnsi="Times New Roman" w:cs="Times New Roman"/>
          <w:bCs/>
          <w:color w:val="000000" w:themeColor="text1"/>
          <w:sz w:val="28"/>
          <w:szCs w:val="28"/>
        </w:rPr>
      </w:pPr>
    </w:p>
    <w:p w14:paraId="367F31AD"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 xml:space="preserve">Stockdale, M. and Mitchell, R. (2019) ‘Legal advice privilege and artificial legal intelligence: Can robots give privileged legal advice?’, </w:t>
      </w:r>
      <w:r w:rsidRPr="00C97F55">
        <w:rPr>
          <w:rFonts w:ascii="Times New Roman" w:hAnsi="Times New Roman" w:cs="Times New Roman"/>
          <w:i/>
          <w:color w:val="000000" w:themeColor="text1"/>
          <w:sz w:val="28"/>
          <w:szCs w:val="28"/>
        </w:rPr>
        <w:t>The International Journal of Evidence &amp; Proof</w:t>
      </w:r>
      <w:r w:rsidRPr="00C97F55">
        <w:rPr>
          <w:rFonts w:ascii="Times New Roman" w:hAnsi="Times New Roman" w:cs="Times New Roman"/>
          <w:color w:val="000000" w:themeColor="text1"/>
          <w:sz w:val="28"/>
          <w:szCs w:val="28"/>
        </w:rPr>
        <w:t>, 23(4), pp.422-439.</w:t>
      </w:r>
    </w:p>
    <w:p w14:paraId="48A19B67" w14:textId="77777777" w:rsidR="002C0040" w:rsidRPr="00C97F55" w:rsidRDefault="00816192" w:rsidP="002C0040">
      <w:pPr>
        <w:spacing w:after="0" w:line="480" w:lineRule="auto"/>
        <w:ind w:left="720" w:hanging="720"/>
        <w:rPr>
          <w:rFonts w:ascii="Times New Roman" w:hAnsi="Times New Roman" w:cs="Times New Roman"/>
          <w:color w:val="000000" w:themeColor="text1"/>
          <w:sz w:val="28"/>
          <w:szCs w:val="28"/>
        </w:rPr>
      </w:pPr>
      <w:r w:rsidRPr="00C97F55">
        <w:rPr>
          <w:rFonts w:ascii="Times New Roman" w:hAnsi="Times New Roman" w:cs="Times New Roman"/>
          <w:color w:val="000000" w:themeColor="text1"/>
          <w:sz w:val="28"/>
          <w:szCs w:val="28"/>
        </w:rPr>
        <w:t>Vuong, Q.H., Bui, Q.K., La, V.P., Vuong, T.T., Nguyen, V.H.T., Ho, M.T., Nguyen, H.K.T. and Ho, M.T. (2018) ‘Cultural additivity: behavioural insights from the interaction of Confucianism, Buddhism and Taoism in folktales’,</w:t>
      </w:r>
      <w:r w:rsidRPr="00C97F55">
        <w:rPr>
          <w:rFonts w:ascii="Times New Roman" w:hAnsi="Times New Roman" w:cs="Times New Roman"/>
          <w:i/>
          <w:color w:val="000000" w:themeColor="text1"/>
          <w:sz w:val="28"/>
          <w:szCs w:val="28"/>
        </w:rPr>
        <w:t xml:space="preserve"> Palgrave Communications</w:t>
      </w:r>
      <w:r w:rsidRPr="00C97F55">
        <w:rPr>
          <w:rFonts w:ascii="Times New Roman" w:hAnsi="Times New Roman" w:cs="Times New Roman"/>
          <w:color w:val="000000" w:themeColor="text1"/>
          <w:sz w:val="28"/>
          <w:szCs w:val="28"/>
        </w:rPr>
        <w:t>, 4(1), pp. 1-15.</w:t>
      </w:r>
    </w:p>
    <w:p w14:paraId="7AD3AB49" w14:textId="77777777" w:rsidR="00114952" w:rsidRPr="00C97F55" w:rsidRDefault="00114952" w:rsidP="002C0040">
      <w:pPr>
        <w:spacing w:after="0" w:line="480" w:lineRule="auto"/>
        <w:ind w:left="720" w:hanging="720"/>
        <w:rPr>
          <w:rFonts w:ascii="Times New Roman" w:hAnsi="Times New Roman" w:cs="Times New Roman"/>
          <w:color w:val="000000" w:themeColor="text1"/>
          <w:sz w:val="28"/>
          <w:szCs w:val="28"/>
        </w:rPr>
      </w:pPr>
    </w:p>
    <w:sectPr w:rsidR="00114952" w:rsidRPr="00C97F5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8E927" w14:textId="77777777" w:rsidR="00E52D6B" w:rsidRDefault="00E52D6B">
      <w:pPr>
        <w:spacing w:after="0" w:line="240" w:lineRule="auto"/>
      </w:pPr>
      <w:r>
        <w:separator/>
      </w:r>
    </w:p>
  </w:endnote>
  <w:endnote w:type="continuationSeparator" w:id="0">
    <w:p w14:paraId="6AAFB745" w14:textId="77777777" w:rsidR="00E52D6B" w:rsidRDefault="00E5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123B" w14:textId="77777777" w:rsidR="009E35E1" w:rsidRDefault="009E35E1">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1115B378" w14:textId="77777777" w:rsidR="00E865DF" w:rsidRDefault="00E86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6D707" w14:textId="77777777" w:rsidR="00E52D6B" w:rsidRDefault="00E52D6B">
      <w:pPr>
        <w:spacing w:after="0" w:line="240" w:lineRule="auto"/>
      </w:pPr>
      <w:r>
        <w:separator/>
      </w:r>
    </w:p>
  </w:footnote>
  <w:footnote w:type="continuationSeparator" w:id="0">
    <w:p w14:paraId="6B4F2185" w14:textId="77777777" w:rsidR="00E52D6B" w:rsidRDefault="00E52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47A61"/>
    <w:multiLevelType w:val="hybridMultilevel"/>
    <w:tmpl w:val="40D6AFDE"/>
    <w:lvl w:ilvl="0" w:tplc="A992C752">
      <w:start w:val="1"/>
      <w:numFmt w:val="decimal"/>
      <w:lvlText w:val="%1."/>
      <w:lvlJc w:val="left"/>
      <w:pPr>
        <w:ind w:left="1080" w:hanging="360"/>
      </w:pPr>
      <w:rPr>
        <w:rFonts w:hint="default"/>
      </w:rPr>
    </w:lvl>
    <w:lvl w:ilvl="1" w:tplc="14F68316" w:tentative="1">
      <w:start w:val="1"/>
      <w:numFmt w:val="lowerLetter"/>
      <w:lvlText w:val="%2."/>
      <w:lvlJc w:val="left"/>
      <w:pPr>
        <w:ind w:left="1800" w:hanging="360"/>
      </w:pPr>
    </w:lvl>
    <w:lvl w:ilvl="2" w:tplc="89DC63BC" w:tentative="1">
      <w:start w:val="1"/>
      <w:numFmt w:val="lowerRoman"/>
      <w:lvlText w:val="%3."/>
      <w:lvlJc w:val="right"/>
      <w:pPr>
        <w:ind w:left="2520" w:hanging="180"/>
      </w:pPr>
    </w:lvl>
    <w:lvl w:ilvl="3" w:tplc="979CA3F0" w:tentative="1">
      <w:start w:val="1"/>
      <w:numFmt w:val="decimal"/>
      <w:lvlText w:val="%4."/>
      <w:lvlJc w:val="left"/>
      <w:pPr>
        <w:ind w:left="3240" w:hanging="360"/>
      </w:pPr>
    </w:lvl>
    <w:lvl w:ilvl="4" w:tplc="A8126B28" w:tentative="1">
      <w:start w:val="1"/>
      <w:numFmt w:val="lowerLetter"/>
      <w:lvlText w:val="%5."/>
      <w:lvlJc w:val="left"/>
      <w:pPr>
        <w:ind w:left="3960" w:hanging="360"/>
      </w:pPr>
    </w:lvl>
    <w:lvl w:ilvl="5" w:tplc="7CD6A55C" w:tentative="1">
      <w:start w:val="1"/>
      <w:numFmt w:val="lowerRoman"/>
      <w:lvlText w:val="%6."/>
      <w:lvlJc w:val="right"/>
      <w:pPr>
        <w:ind w:left="4680" w:hanging="180"/>
      </w:pPr>
    </w:lvl>
    <w:lvl w:ilvl="6" w:tplc="659A26B2" w:tentative="1">
      <w:start w:val="1"/>
      <w:numFmt w:val="decimal"/>
      <w:lvlText w:val="%7."/>
      <w:lvlJc w:val="left"/>
      <w:pPr>
        <w:ind w:left="5400" w:hanging="360"/>
      </w:pPr>
    </w:lvl>
    <w:lvl w:ilvl="7" w:tplc="DFF20662" w:tentative="1">
      <w:start w:val="1"/>
      <w:numFmt w:val="lowerLetter"/>
      <w:lvlText w:val="%8."/>
      <w:lvlJc w:val="left"/>
      <w:pPr>
        <w:ind w:left="6120" w:hanging="360"/>
      </w:pPr>
    </w:lvl>
    <w:lvl w:ilvl="8" w:tplc="4C3C32F0" w:tentative="1">
      <w:start w:val="1"/>
      <w:numFmt w:val="lowerRoman"/>
      <w:lvlText w:val="%9."/>
      <w:lvlJc w:val="right"/>
      <w:pPr>
        <w:ind w:left="6840" w:hanging="180"/>
      </w:pPr>
    </w:lvl>
  </w:abstractNum>
  <w:abstractNum w:abstractNumId="1" w15:restartNumberingAfterBreak="0">
    <w:nsid w:val="31054012"/>
    <w:multiLevelType w:val="multilevel"/>
    <w:tmpl w:val="817CEEA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623846"/>
    <w:multiLevelType w:val="multilevel"/>
    <w:tmpl w:val="1B88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DC7509"/>
    <w:multiLevelType w:val="multilevel"/>
    <w:tmpl w:val="4C88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2F06FA"/>
    <w:multiLevelType w:val="multilevel"/>
    <w:tmpl w:val="9CDC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3E75B7"/>
    <w:multiLevelType w:val="multilevel"/>
    <w:tmpl w:val="729AD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A46"/>
    <w:rsid w:val="0001188E"/>
    <w:rsid w:val="00016E58"/>
    <w:rsid w:val="000179D2"/>
    <w:rsid w:val="00026075"/>
    <w:rsid w:val="0002656B"/>
    <w:rsid w:val="00041BE1"/>
    <w:rsid w:val="00056163"/>
    <w:rsid w:val="000753B9"/>
    <w:rsid w:val="00084868"/>
    <w:rsid w:val="000A2ABC"/>
    <w:rsid w:val="000C3551"/>
    <w:rsid w:val="000D2721"/>
    <w:rsid w:val="000F2D62"/>
    <w:rsid w:val="000F608A"/>
    <w:rsid w:val="000F61FA"/>
    <w:rsid w:val="000F65B4"/>
    <w:rsid w:val="001104DC"/>
    <w:rsid w:val="00111BCC"/>
    <w:rsid w:val="00114952"/>
    <w:rsid w:val="001310CD"/>
    <w:rsid w:val="00155669"/>
    <w:rsid w:val="001720B7"/>
    <w:rsid w:val="00182341"/>
    <w:rsid w:val="0019474D"/>
    <w:rsid w:val="001C3878"/>
    <w:rsid w:val="001C39E8"/>
    <w:rsid w:val="001E64A9"/>
    <w:rsid w:val="002305BE"/>
    <w:rsid w:val="00241C6A"/>
    <w:rsid w:val="00244B6D"/>
    <w:rsid w:val="002452A4"/>
    <w:rsid w:val="00252B88"/>
    <w:rsid w:val="0026681F"/>
    <w:rsid w:val="0026709F"/>
    <w:rsid w:val="00267A63"/>
    <w:rsid w:val="002776DF"/>
    <w:rsid w:val="0028124D"/>
    <w:rsid w:val="002A0FCC"/>
    <w:rsid w:val="002B2F1D"/>
    <w:rsid w:val="002C0040"/>
    <w:rsid w:val="002C44A5"/>
    <w:rsid w:val="002C6056"/>
    <w:rsid w:val="002D5D32"/>
    <w:rsid w:val="0031197D"/>
    <w:rsid w:val="003214D5"/>
    <w:rsid w:val="003325D3"/>
    <w:rsid w:val="00337026"/>
    <w:rsid w:val="0034279D"/>
    <w:rsid w:val="0037017C"/>
    <w:rsid w:val="003711E1"/>
    <w:rsid w:val="00380379"/>
    <w:rsid w:val="003C0F6B"/>
    <w:rsid w:val="003D16BE"/>
    <w:rsid w:val="00431849"/>
    <w:rsid w:val="00442D62"/>
    <w:rsid w:val="004668CC"/>
    <w:rsid w:val="004842F8"/>
    <w:rsid w:val="004A227E"/>
    <w:rsid w:val="004E0DBF"/>
    <w:rsid w:val="004E7DE9"/>
    <w:rsid w:val="004F373C"/>
    <w:rsid w:val="005048B8"/>
    <w:rsid w:val="00505669"/>
    <w:rsid w:val="005318FE"/>
    <w:rsid w:val="00537E66"/>
    <w:rsid w:val="00551930"/>
    <w:rsid w:val="005668ED"/>
    <w:rsid w:val="00573406"/>
    <w:rsid w:val="005A5FC7"/>
    <w:rsid w:val="005B7E01"/>
    <w:rsid w:val="005E3E0F"/>
    <w:rsid w:val="005F6342"/>
    <w:rsid w:val="00615144"/>
    <w:rsid w:val="006157EC"/>
    <w:rsid w:val="00676E38"/>
    <w:rsid w:val="00682B42"/>
    <w:rsid w:val="006A38CE"/>
    <w:rsid w:val="006A4808"/>
    <w:rsid w:val="006B4C26"/>
    <w:rsid w:val="006C5879"/>
    <w:rsid w:val="006E44A6"/>
    <w:rsid w:val="006F1585"/>
    <w:rsid w:val="00722FB9"/>
    <w:rsid w:val="007821E2"/>
    <w:rsid w:val="007944DA"/>
    <w:rsid w:val="00795E71"/>
    <w:rsid w:val="007A3EBF"/>
    <w:rsid w:val="007D47D5"/>
    <w:rsid w:val="007E0DCA"/>
    <w:rsid w:val="007E766D"/>
    <w:rsid w:val="00816192"/>
    <w:rsid w:val="008430A2"/>
    <w:rsid w:val="00845E78"/>
    <w:rsid w:val="00873DEC"/>
    <w:rsid w:val="008B1C8E"/>
    <w:rsid w:val="008B610C"/>
    <w:rsid w:val="008C1417"/>
    <w:rsid w:val="008F470B"/>
    <w:rsid w:val="00912998"/>
    <w:rsid w:val="0094150E"/>
    <w:rsid w:val="009471F1"/>
    <w:rsid w:val="00952F22"/>
    <w:rsid w:val="00956D45"/>
    <w:rsid w:val="009D012D"/>
    <w:rsid w:val="009E335B"/>
    <w:rsid w:val="009E35E1"/>
    <w:rsid w:val="00A12A03"/>
    <w:rsid w:val="00A3316C"/>
    <w:rsid w:val="00A42B98"/>
    <w:rsid w:val="00A56073"/>
    <w:rsid w:val="00A614EC"/>
    <w:rsid w:val="00A85898"/>
    <w:rsid w:val="00A87442"/>
    <w:rsid w:val="00AD3F55"/>
    <w:rsid w:val="00AD511D"/>
    <w:rsid w:val="00AE016A"/>
    <w:rsid w:val="00AF1117"/>
    <w:rsid w:val="00AF2AB3"/>
    <w:rsid w:val="00B2527C"/>
    <w:rsid w:val="00B433CA"/>
    <w:rsid w:val="00B45E2C"/>
    <w:rsid w:val="00B7438B"/>
    <w:rsid w:val="00B75457"/>
    <w:rsid w:val="00B87FB9"/>
    <w:rsid w:val="00BA0017"/>
    <w:rsid w:val="00BE416C"/>
    <w:rsid w:val="00BE77DF"/>
    <w:rsid w:val="00C1077C"/>
    <w:rsid w:val="00C345A7"/>
    <w:rsid w:val="00C44949"/>
    <w:rsid w:val="00C555CD"/>
    <w:rsid w:val="00C63C78"/>
    <w:rsid w:val="00C97F55"/>
    <w:rsid w:val="00CC09FB"/>
    <w:rsid w:val="00CC5CAE"/>
    <w:rsid w:val="00CF2B2C"/>
    <w:rsid w:val="00D07CE7"/>
    <w:rsid w:val="00D64775"/>
    <w:rsid w:val="00DD037E"/>
    <w:rsid w:val="00DE256F"/>
    <w:rsid w:val="00E06702"/>
    <w:rsid w:val="00E176AC"/>
    <w:rsid w:val="00E30332"/>
    <w:rsid w:val="00E30CC4"/>
    <w:rsid w:val="00E443D6"/>
    <w:rsid w:val="00E50625"/>
    <w:rsid w:val="00E52D6B"/>
    <w:rsid w:val="00E72D9D"/>
    <w:rsid w:val="00E865DF"/>
    <w:rsid w:val="00EB7A46"/>
    <w:rsid w:val="00EF26B8"/>
    <w:rsid w:val="00F16DF0"/>
    <w:rsid w:val="00F230B1"/>
    <w:rsid w:val="00F72C2F"/>
    <w:rsid w:val="00F91C7D"/>
    <w:rsid w:val="00FA3CEA"/>
    <w:rsid w:val="00FB512B"/>
    <w:rsid w:val="00FD2363"/>
    <w:rsid w:val="00FE50E2"/>
    <w:rsid w:val="00FF2A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3FE78"/>
  <w15:chartTrackingRefBased/>
  <w15:docId w15:val="{7BA630E6-7993-4845-8528-C462C83F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C39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60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452A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5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5DF"/>
    <w:rPr>
      <w:lang w:val="en-GB"/>
    </w:rPr>
  </w:style>
  <w:style w:type="paragraph" w:styleId="Footer">
    <w:name w:val="footer"/>
    <w:basedOn w:val="Normal"/>
    <w:link w:val="FooterChar"/>
    <w:uiPriority w:val="99"/>
    <w:unhideWhenUsed/>
    <w:rsid w:val="00E86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5DF"/>
    <w:rPr>
      <w:lang w:val="en-GB"/>
    </w:rPr>
  </w:style>
  <w:style w:type="character" w:customStyle="1" w:styleId="Heading1Char">
    <w:name w:val="Heading 1 Char"/>
    <w:basedOn w:val="DefaultParagraphFont"/>
    <w:link w:val="Heading1"/>
    <w:uiPriority w:val="9"/>
    <w:rsid w:val="001C39E8"/>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link w:val="ListParagraphChar"/>
    <w:uiPriority w:val="34"/>
    <w:qFormat/>
    <w:rsid w:val="0011495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114952"/>
    <w:rPr>
      <w:rFonts w:ascii="Times New Roman" w:eastAsia="Times New Roman" w:hAnsi="Times New Roman" w:cs="Times New Roman"/>
      <w:sz w:val="20"/>
      <w:szCs w:val="20"/>
      <w:lang w:val="en-GB" w:eastAsia="en-GB"/>
    </w:rPr>
  </w:style>
  <w:style w:type="paragraph" w:styleId="FootnoteText">
    <w:name w:val="footnote text"/>
    <w:basedOn w:val="Normal"/>
    <w:link w:val="FootnoteTextChar"/>
    <w:semiHidden/>
    <w:unhideWhenUsed/>
    <w:rsid w:val="0011495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114952"/>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unhideWhenUsed/>
    <w:rsid w:val="00114952"/>
    <w:rPr>
      <w:vertAlign w:val="superscript"/>
    </w:rPr>
  </w:style>
  <w:style w:type="paragraph" w:styleId="NormalWeb">
    <w:name w:val="Normal (Web)"/>
    <w:basedOn w:val="Normal"/>
    <w:uiPriority w:val="99"/>
    <w:unhideWhenUsed/>
    <w:rsid w:val="005048B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7821E2"/>
    <w:pPr>
      <w:outlineLvl w:val="9"/>
    </w:pPr>
    <w:rPr>
      <w:lang w:val="en-US"/>
    </w:rPr>
  </w:style>
  <w:style w:type="paragraph" w:styleId="TOC1">
    <w:name w:val="toc 1"/>
    <w:basedOn w:val="Normal"/>
    <w:next w:val="Normal"/>
    <w:autoRedefine/>
    <w:uiPriority w:val="39"/>
    <w:unhideWhenUsed/>
    <w:rsid w:val="007821E2"/>
    <w:pPr>
      <w:spacing w:after="100"/>
    </w:pPr>
  </w:style>
  <w:style w:type="character" w:styleId="Hyperlink">
    <w:name w:val="Hyperlink"/>
    <w:basedOn w:val="DefaultParagraphFont"/>
    <w:uiPriority w:val="99"/>
    <w:unhideWhenUsed/>
    <w:rsid w:val="007821E2"/>
    <w:rPr>
      <w:color w:val="0563C1" w:themeColor="hyperlink"/>
      <w:u w:val="single"/>
    </w:rPr>
  </w:style>
  <w:style w:type="character" w:customStyle="1" w:styleId="Heading3Char">
    <w:name w:val="Heading 3 Char"/>
    <w:basedOn w:val="DefaultParagraphFont"/>
    <w:link w:val="Heading3"/>
    <w:uiPriority w:val="9"/>
    <w:semiHidden/>
    <w:rsid w:val="00026075"/>
    <w:rPr>
      <w:rFonts w:asciiTheme="majorHAnsi" w:eastAsiaTheme="majorEastAsia" w:hAnsiTheme="majorHAnsi" w:cstheme="majorBidi"/>
      <w:color w:val="1F4D78" w:themeColor="accent1" w:themeShade="7F"/>
      <w:sz w:val="24"/>
      <w:szCs w:val="24"/>
      <w:lang w:val="en-GB"/>
    </w:rPr>
  </w:style>
  <w:style w:type="character" w:styleId="Emphasis">
    <w:name w:val="Emphasis"/>
    <w:basedOn w:val="DefaultParagraphFont"/>
    <w:uiPriority w:val="20"/>
    <w:qFormat/>
    <w:rsid w:val="00873DEC"/>
    <w:rPr>
      <w:i/>
      <w:iCs/>
    </w:rPr>
  </w:style>
  <w:style w:type="character" w:customStyle="1" w:styleId="Heading4Char">
    <w:name w:val="Heading 4 Char"/>
    <w:basedOn w:val="DefaultParagraphFont"/>
    <w:link w:val="Heading4"/>
    <w:uiPriority w:val="9"/>
    <w:semiHidden/>
    <w:rsid w:val="002452A4"/>
    <w:rPr>
      <w:rFonts w:asciiTheme="majorHAnsi" w:eastAsiaTheme="majorEastAsia" w:hAnsiTheme="majorHAnsi" w:cstheme="majorBidi"/>
      <w:i/>
      <w:iCs/>
      <w:color w:val="2E74B5" w:themeColor="accent1" w:themeShade="BF"/>
      <w:lang w:val="en-GB"/>
    </w:rPr>
  </w:style>
  <w:style w:type="character" w:styleId="UnresolvedMention">
    <w:name w:val="Unresolved Mention"/>
    <w:basedOn w:val="DefaultParagraphFont"/>
    <w:uiPriority w:val="99"/>
    <w:semiHidden/>
    <w:unhideWhenUsed/>
    <w:rsid w:val="00DE256F"/>
    <w:rPr>
      <w:color w:val="605E5C"/>
      <w:shd w:val="clear" w:color="auto" w:fill="E1DFDD"/>
    </w:rPr>
  </w:style>
  <w:style w:type="paragraph" w:styleId="NoSpacing">
    <w:name w:val="No Spacing"/>
    <w:link w:val="NoSpacingChar"/>
    <w:uiPriority w:val="1"/>
    <w:qFormat/>
    <w:rsid w:val="002C44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4A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ra.org.uk/solicitors/standards-regulations/code-conduct-solicitors/%20%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8A2D1-ECB3-47C6-AE61-47DE0939A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2325</Words>
  <Characters>13257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Roshid Ahmed</dc:creator>
  <cp:lastModifiedBy>Roshid Ahmed</cp:lastModifiedBy>
  <cp:revision>11</cp:revision>
  <dcterms:created xsi:type="dcterms:W3CDTF">2021-04-29T15:58:00Z</dcterms:created>
  <dcterms:modified xsi:type="dcterms:W3CDTF">2021-05-04T00:54:00Z</dcterms:modified>
</cp:coreProperties>
</file>