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25F5D" w:rsidRPr="00786E87" w:rsidRDefault="00C34C62" w:rsidP="00B4474B">
      <w:pPr>
        <w:spacing w:before="1440" w:line="276" w:lineRule="auto"/>
        <w:jc w:val="center"/>
      </w:pPr>
      <w:r w:rsidRPr="00786E87">
        <w:rPr>
          <w:noProof/>
        </w:rPr>
        <w:drawing>
          <wp:inline distT="0" distB="0" distL="0" distR="0" wp14:anchorId="3EC34611" wp14:editId="6463E133">
            <wp:extent cx="4648200" cy="1752600"/>
            <wp:effectExtent l="0" t="0" r="0" b="0"/>
            <wp:docPr id="47" name="Picture 47" descr="A logo with text on it&#10;&#10;AI-generated content may be incorrect."/>
            <wp:cNvGraphicFramePr/>
            <a:graphic xmlns:a="http://schemas.openxmlformats.org/drawingml/2006/main">
              <a:graphicData uri="http://schemas.openxmlformats.org/drawingml/2006/picture">
                <pic:pic xmlns:pic="http://schemas.openxmlformats.org/drawingml/2006/picture">
                  <pic:nvPicPr>
                    <pic:cNvPr id="47" name="Picture 47" descr="A logo with text on it&#10;&#10;AI-generated content may be incorrect."/>
                    <pic:cNvPicPr/>
                  </pic:nvPicPr>
                  <pic:blipFill>
                    <a:blip r:embed="rId8"/>
                    <a:stretch>
                      <a:fillRect/>
                    </a:stretch>
                  </pic:blipFill>
                  <pic:spPr>
                    <a:xfrm>
                      <a:off x="0" y="0"/>
                      <a:ext cx="4674497" cy="1762515"/>
                    </a:xfrm>
                    <a:prstGeom prst="rect">
                      <a:avLst/>
                    </a:prstGeom>
                  </pic:spPr>
                </pic:pic>
              </a:graphicData>
            </a:graphic>
          </wp:inline>
        </w:drawing>
      </w:r>
    </w:p>
    <w:p w:rsidR="00025F5D" w:rsidRPr="00786E87" w:rsidRDefault="00025F5D" w:rsidP="00B4474B">
      <w:pPr>
        <w:pBdr>
          <w:bottom w:val="single" w:sz="8" w:space="8" w:color="1F3864"/>
        </w:pBdr>
        <w:spacing w:after="80" w:line="276" w:lineRule="auto"/>
      </w:pPr>
    </w:p>
    <w:p w:rsidR="00025F5D" w:rsidRPr="00786E87" w:rsidRDefault="00025F5D" w:rsidP="00B4474B">
      <w:pPr>
        <w:spacing w:after="80" w:line="276" w:lineRule="auto"/>
      </w:pPr>
    </w:p>
    <w:p w:rsidR="00025F5D" w:rsidRPr="00786E87" w:rsidRDefault="00025F5D" w:rsidP="00B4474B">
      <w:pPr>
        <w:spacing w:after="80" w:line="276" w:lineRule="auto"/>
        <w:rPr>
          <w:b/>
          <w:bCs/>
          <w:color w:val="333333"/>
        </w:rPr>
      </w:pPr>
    </w:p>
    <w:p w:rsidR="00C34C62" w:rsidRPr="00786E87" w:rsidRDefault="00C34C62" w:rsidP="00B4474B">
      <w:pPr>
        <w:spacing w:after="80" w:line="276" w:lineRule="auto"/>
        <w:rPr>
          <w:b/>
          <w:bCs/>
          <w:color w:val="333333"/>
        </w:rPr>
      </w:pPr>
    </w:p>
    <w:p w:rsidR="00C34C62" w:rsidRPr="00786E87" w:rsidRDefault="00C34C62" w:rsidP="00B4474B">
      <w:pPr>
        <w:spacing w:after="80" w:line="276" w:lineRule="auto"/>
        <w:rPr>
          <w:b/>
          <w:bCs/>
          <w:color w:val="333333"/>
        </w:rPr>
      </w:pPr>
    </w:p>
    <w:p w:rsidR="00C34C62" w:rsidRPr="00786E87" w:rsidRDefault="00C34C62" w:rsidP="00B4474B">
      <w:pPr>
        <w:spacing w:after="80" w:line="276" w:lineRule="auto"/>
        <w:rPr>
          <w:b/>
          <w:bCs/>
          <w:color w:val="333333"/>
        </w:rPr>
      </w:pPr>
    </w:p>
    <w:p w:rsidR="00C34C62" w:rsidRPr="00786E87" w:rsidRDefault="00C34C62" w:rsidP="00B4474B">
      <w:pPr>
        <w:spacing w:after="80" w:line="276" w:lineRule="auto"/>
      </w:pPr>
    </w:p>
    <w:p w:rsidR="00025F5D" w:rsidRPr="00786E87" w:rsidRDefault="00025F5D" w:rsidP="00B4474B">
      <w:pPr>
        <w:spacing w:after="80" w:line="276" w:lineRule="auto"/>
      </w:pPr>
    </w:p>
    <w:tbl>
      <w:tblPr>
        <w:tblW w:w="7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800"/>
        <w:gridCol w:w="4200"/>
      </w:tblGrid>
      <w:tr w:rsidR="00025F5D" w:rsidRPr="00786E87">
        <w:tc>
          <w:tcPr>
            <w:tcW w:w="2800" w:type="dxa"/>
            <w:tcBorders>
              <w:top w:val="single" w:sz="1" w:space="0" w:color="CCCCCC"/>
              <w:left w:val="single" w:sz="1" w:space="0" w:color="CCCCCC"/>
              <w:bottom w:val="single" w:sz="1" w:space="0" w:color="CCCCCC"/>
              <w:right w:val="single" w:sz="1" w:space="0" w:color="CCCCCC"/>
            </w:tcBorders>
            <w:shd w:val="clear" w:color="auto" w:fill="D6E4F7"/>
            <w:tcMar>
              <w:top w:w="75" w:type="dxa"/>
              <w:left w:w="130" w:type="dxa"/>
              <w:bottom w:w="75" w:type="dxa"/>
              <w:right w:w="130" w:type="dxa"/>
            </w:tcMar>
          </w:tcPr>
          <w:p w:rsidR="00025F5D" w:rsidRPr="00786E87" w:rsidRDefault="00786413" w:rsidP="00B4474B">
            <w:pPr>
              <w:spacing w:before="55" w:after="55" w:line="276" w:lineRule="auto"/>
            </w:pPr>
            <w:proofErr w:type="spellStart"/>
            <w:r w:rsidRPr="00786E87">
              <w:rPr>
                <w:b/>
                <w:bCs/>
              </w:rPr>
              <w:t>Programme</w:t>
            </w:r>
            <w:proofErr w:type="spellEnd"/>
          </w:p>
        </w:tc>
        <w:tc>
          <w:tcPr>
            <w:tcW w:w="4200" w:type="dxa"/>
            <w:tcBorders>
              <w:top w:val="single" w:sz="1" w:space="0" w:color="CCCCCC"/>
              <w:left w:val="single" w:sz="1" w:space="0" w:color="CCCCCC"/>
              <w:bottom w:val="single" w:sz="1" w:space="0" w:color="CCCCCC"/>
              <w:right w:val="single" w:sz="1" w:space="0" w:color="CCCCCC"/>
            </w:tcBorders>
            <w:tcMar>
              <w:top w:w="75" w:type="dxa"/>
              <w:left w:w="130" w:type="dxa"/>
              <w:bottom w:w="75" w:type="dxa"/>
              <w:right w:w="130" w:type="dxa"/>
            </w:tcMar>
          </w:tcPr>
          <w:p w:rsidR="00025F5D" w:rsidRPr="00786E87" w:rsidRDefault="00786413" w:rsidP="00B4474B">
            <w:pPr>
              <w:spacing w:before="55" w:after="55" w:line="276" w:lineRule="auto"/>
            </w:pPr>
            <w:r w:rsidRPr="00786E87">
              <w:t>Master of Business Administration</w:t>
            </w:r>
          </w:p>
        </w:tc>
      </w:tr>
      <w:tr w:rsidR="00025F5D" w:rsidRPr="00786E87">
        <w:tc>
          <w:tcPr>
            <w:tcW w:w="2800" w:type="dxa"/>
            <w:tcBorders>
              <w:top w:val="single" w:sz="1" w:space="0" w:color="CCCCCC"/>
              <w:left w:val="single" w:sz="1" w:space="0" w:color="CCCCCC"/>
              <w:bottom w:val="single" w:sz="1" w:space="0" w:color="CCCCCC"/>
              <w:right w:val="single" w:sz="1" w:space="0" w:color="CCCCCC"/>
            </w:tcBorders>
            <w:shd w:val="clear" w:color="auto" w:fill="D6E4F7"/>
            <w:tcMar>
              <w:top w:w="75" w:type="dxa"/>
              <w:left w:w="130" w:type="dxa"/>
              <w:bottom w:w="75" w:type="dxa"/>
              <w:right w:w="130" w:type="dxa"/>
            </w:tcMar>
          </w:tcPr>
          <w:p w:rsidR="00025F5D" w:rsidRPr="00786E87" w:rsidRDefault="00786413" w:rsidP="00B4474B">
            <w:pPr>
              <w:spacing w:before="55" w:after="55" w:line="276" w:lineRule="auto"/>
            </w:pPr>
            <w:r w:rsidRPr="00786E87">
              <w:rPr>
                <w:b/>
                <w:bCs/>
              </w:rPr>
              <w:t>Module</w:t>
            </w:r>
          </w:p>
        </w:tc>
        <w:tc>
          <w:tcPr>
            <w:tcW w:w="4200" w:type="dxa"/>
            <w:tcBorders>
              <w:top w:val="single" w:sz="1" w:space="0" w:color="CCCCCC"/>
              <w:left w:val="single" w:sz="1" w:space="0" w:color="CCCCCC"/>
              <w:bottom w:val="single" w:sz="1" w:space="0" w:color="CCCCCC"/>
              <w:right w:val="single" w:sz="1" w:space="0" w:color="CCCCCC"/>
            </w:tcBorders>
            <w:tcMar>
              <w:top w:w="75" w:type="dxa"/>
              <w:left w:w="130" w:type="dxa"/>
              <w:bottom w:w="75" w:type="dxa"/>
              <w:right w:w="130" w:type="dxa"/>
            </w:tcMar>
          </w:tcPr>
          <w:p w:rsidR="00025F5D" w:rsidRPr="00786E87" w:rsidRDefault="00786413" w:rsidP="00B4474B">
            <w:pPr>
              <w:spacing w:before="55" w:after="55" w:line="276" w:lineRule="auto"/>
            </w:pPr>
            <w:r w:rsidRPr="00786E87">
              <w:t>International Business Concepts</w:t>
            </w:r>
          </w:p>
        </w:tc>
      </w:tr>
      <w:tr w:rsidR="00025F5D" w:rsidRPr="00786E87">
        <w:tc>
          <w:tcPr>
            <w:tcW w:w="2800" w:type="dxa"/>
            <w:tcBorders>
              <w:top w:val="single" w:sz="1" w:space="0" w:color="CCCCCC"/>
              <w:left w:val="single" w:sz="1" w:space="0" w:color="CCCCCC"/>
              <w:bottom w:val="single" w:sz="1" w:space="0" w:color="CCCCCC"/>
              <w:right w:val="single" w:sz="1" w:space="0" w:color="CCCCCC"/>
            </w:tcBorders>
            <w:shd w:val="clear" w:color="auto" w:fill="D6E4F7"/>
            <w:tcMar>
              <w:top w:w="75" w:type="dxa"/>
              <w:left w:w="130" w:type="dxa"/>
              <w:bottom w:w="75" w:type="dxa"/>
              <w:right w:w="130" w:type="dxa"/>
            </w:tcMar>
          </w:tcPr>
          <w:p w:rsidR="00025F5D" w:rsidRPr="00786E87" w:rsidRDefault="00786413" w:rsidP="00B4474B">
            <w:pPr>
              <w:spacing w:before="55" w:after="55" w:line="276" w:lineRule="auto"/>
            </w:pPr>
            <w:r w:rsidRPr="00786E87">
              <w:rPr>
                <w:b/>
                <w:bCs/>
              </w:rPr>
              <w:t>Code</w:t>
            </w:r>
          </w:p>
        </w:tc>
        <w:tc>
          <w:tcPr>
            <w:tcW w:w="4200" w:type="dxa"/>
            <w:tcBorders>
              <w:top w:val="single" w:sz="1" w:space="0" w:color="CCCCCC"/>
              <w:left w:val="single" w:sz="1" w:space="0" w:color="CCCCCC"/>
              <w:bottom w:val="single" w:sz="1" w:space="0" w:color="CCCCCC"/>
              <w:right w:val="single" w:sz="1" w:space="0" w:color="CCCCCC"/>
            </w:tcBorders>
            <w:tcMar>
              <w:top w:w="75" w:type="dxa"/>
              <w:left w:w="130" w:type="dxa"/>
              <w:bottom w:w="75" w:type="dxa"/>
              <w:right w:w="130" w:type="dxa"/>
            </w:tcMar>
          </w:tcPr>
          <w:p w:rsidR="00025F5D" w:rsidRPr="00786E87" w:rsidRDefault="00786413" w:rsidP="00B4474B">
            <w:pPr>
              <w:spacing w:before="55" w:after="55" w:line="276" w:lineRule="auto"/>
            </w:pPr>
            <w:r w:rsidRPr="00786E87">
              <w:t>LCMB7034</w:t>
            </w:r>
          </w:p>
        </w:tc>
      </w:tr>
      <w:tr w:rsidR="00025F5D" w:rsidRPr="00786E87">
        <w:tc>
          <w:tcPr>
            <w:tcW w:w="2800" w:type="dxa"/>
            <w:tcBorders>
              <w:top w:val="single" w:sz="1" w:space="0" w:color="CCCCCC"/>
              <w:left w:val="single" w:sz="1" w:space="0" w:color="CCCCCC"/>
              <w:bottom w:val="single" w:sz="1" w:space="0" w:color="CCCCCC"/>
              <w:right w:val="single" w:sz="1" w:space="0" w:color="CCCCCC"/>
            </w:tcBorders>
            <w:shd w:val="clear" w:color="auto" w:fill="D6E4F7"/>
            <w:tcMar>
              <w:top w:w="75" w:type="dxa"/>
              <w:left w:w="130" w:type="dxa"/>
              <w:bottom w:w="75" w:type="dxa"/>
              <w:right w:w="130" w:type="dxa"/>
            </w:tcMar>
          </w:tcPr>
          <w:p w:rsidR="00025F5D" w:rsidRPr="00786E87" w:rsidRDefault="00786413" w:rsidP="00B4474B">
            <w:pPr>
              <w:spacing w:before="55" w:after="55" w:line="276" w:lineRule="auto"/>
            </w:pPr>
            <w:r w:rsidRPr="00786E87">
              <w:rPr>
                <w:b/>
                <w:bCs/>
              </w:rPr>
              <w:t>Assignment</w:t>
            </w:r>
          </w:p>
        </w:tc>
        <w:tc>
          <w:tcPr>
            <w:tcW w:w="4200" w:type="dxa"/>
            <w:tcBorders>
              <w:top w:val="single" w:sz="1" w:space="0" w:color="CCCCCC"/>
              <w:left w:val="single" w:sz="1" w:space="0" w:color="CCCCCC"/>
              <w:bottom w:val="single" w:sz="1" w:space="0" w:color="CCCCCC"/>
              <w:right w:val="single" w:sz="1" w:space="0" w:color="CCCCCC"/>
            </w:tcBorders>
            <w:tcMar>
              <w:top w:w="75" w:type="dxa"/>
              <w:left w:w="130" w:type="dxa"/>
              <w:bottom w:w="75" w:type="dxa"/>
              <w:right w:w="130" w:type="dxa"/>
            </w:tcMar>
          </w:tcPr>
          <w:p w:rsidR="00025F5D" w:rsidRPr="00786E87" w:rsidRDefault="00C34C62" w:rsidP="00B4474B">
            <w:pPr>
              <w:spacing w:before="55" w:after="55" w:line="276" w:lineRule="auto"/>
            </w:pPr>
            <w:r w:rsidRPr="00786E87">
              <w:t>International Business Report</w:t>
            </w:r>
          </w:p>
        </w:tc>
      </w:tr>
      <w:tr w:rsidR="00025F5D" w:rsidRPr="00786E87">
        <w:tc>
          <w:tcPr>
            <w:tcW w:w="2800" w:type="dxa"/>
            <w:tcBorders>
              <w:top w:val="single" w:sz="1" w:space="0" w:color="CCCCCC"/>
              <w:left w:val="single" w:sz="1" w:space="0" w:color="CCCCCC"/>
              <w:bottom w:val="single" w:sz="1" w:space="0" w:color="CCCCCC"/>
              <w:right w:val="single" w:sz="1" w:space="0" w:color="CCCCCC"/>
            </w:tcBorders>
            <w:shd w:val="clear" w:color="auto" w:fill="D6E4F7"/>
            <w:tcMar>
              <w:top w:w="75" w:type="dxa"/>
              <w:left w:w="130" w:type="dxa"/>
              <w:bottom w:w="75" w:type="dxa"/>
              <w:right w:w="130" w:type="dxa"/>
            </w:tcMar>
          </w:tcPr>
          <w:p w:rsidR="00025F5D" w:rsidRPr="00786E87" w:rsidRDefault="00786413" w:rsidP="00B4474B">
            <w:pPr>
              <w:spacing w:before="55" w:after="55" w:line="276" w:lineRule="auto"/>
            </w:pPr>
            <w:r w:rsidRPr="00786E87">
              <w:rPr>
                <w:b/>
                <w:bCs/>
              </w:rPr>
              <w:t>Lecturer</w:t>
            </w:r>
          </w:p>
        </w:tc>
        <w:tc>
          <w:tcPr>
            <w:tcW w:w="4200" w:type="dxa"/>
            <w:tcBorders>
              <w:top w:val="single" w:sz="1" w:space="0" w:color="CCCCCC"/>
              <w:left w:val="single" w:sz="1" w:space="0" w:color="CCCCCC"/>
              <w:bottom w:val="single" w:sz="1" w:space="0" w:color="CCCCCC"/>
              <w:right w:val="single" w:sz="1" w:space="0" w:color="CCCCCC"/>
            </w:tcBorders>
            <w:tcMar>
              <w:top w:w="75" w:type="dxa"/>
              <w:left w:w="130" w:type="dxa"/>
              <w:bottom w:w="75" w:type="dxa"/>
              <w:right w:w="130" w:type="dxa"/>
            </w:tcMar>
          </w:tcPr>
          <w:p w:rsidR="00025F5D" w:rsidRPr="00786E87" w:rsidRDefault="00786E87" w:rsidP="00B4474B">
            <w:pPr>
              <w:spacing w:before="55" w:after="55" w:line="276" w:lineRule="auto"/>
            </w:pPr>
            <w:r w:rsidRPr="00786E87">
              <w:t xml:space="preserve">Dr. Robert </w:t>
            </w:r>
            <w:proofErr w:type="spellStart"/>
            <w:r w:rsidRPr="00786E87">
              <w:t>Ejike</w:t>
            </w:r>
            <w:proofErr w:type="spellEnd"/>
            <w:r w:rsidRPr="00786E87">
              <w:t xml:space="preserve"> </w:t>
            </w:r>
            <w:proofErr w:type="spellStart"/>
            <w:r w:rsidRPr="00786E87">
              <w:t>Udeogu</w:t>
            </w:r>
            <w:proofErr w:type="spellEnd"/>
          </w:p>
        </w:tc>
      </w:tr>
      <w:tr w:rsidR="00C34C62" w:rsidRPr="00786E87">
        <w:tc>
          <w:tcPr>
            <w:tcW w:w="2800" w:type="dxa"/>
            <w:tcBorders>
              <w:top w:val="single" w:sz="1" w:space="0" w:color="CCCCCC"/>
              <w:left w:val="single" w:sz="1" w:space="0" w:color="CCCCCC"/>
              <w:bottom w:val="single" w:sz="1" w:space="0" w:color="CCCCCC"/>
              <w:right w:val="single" w:sz="1" w:space="0" w:color="CCCCCC"/>
            </w:tcBorders>
            <w:shd w:val="clear" w:color="auto" w:fill="D6E4F7"/>
            <w:tcMar>
              <w:top w:w="75" w:type="dxa"/>
              <w:left w:w="130" w:type="dxa"/>
              <w:bottom w:w="75" w:type="dxa"/>
              <w:right w:w="130" w:type="dxa"/>
            </w:tcMar>
          </w:tcPr>
          <w:p w:rsidR="00C34C62" w:rsidRPr="00786E87" w:rsidRDefault="00C34C62" w:rsidP="00B4474B">
            <w:pPr>
              <w:spacing w:before="55" w:after="55" w:line="276" w:lineRule="auto"/>
              <w:rPr>
                <w:b/>
                <w:bCs/>
              </w:rPr>
            </w:pPr>
            <w:r w:rsidRPr="00786E87">
              <w:rPr>
                <w:b/>
                <w:bCs/>
              </w:rPr>
              <w:t>Student Name</w:t>
            </w:r>
          </w:p>
        </w:tc>
        <w:tc>
          <w:tcPr>
            <w:tcW w:w="4200" w:type="dxa"/>
            <w:tcBorders>
              <w:top w:val="single" w:sz="1" w:space="0" w:color="CCCCCC"/>
              <w:left w:val="single" w:sz="1" w:space="0" w:color="CCCCCC"/>
              <w:bottom w:val="single" w:sz="1" w:space="0" w:color="CCCCCC"/>
              <w:right w:val="single" w:sz="1" w:space="0" w:color="CCCCCC"/>
            </w:tcBorders>
            <w:tcMar>
              <w:top w:w="75" w:type="dxa"/>
              <w:left w:w="130" w:type="dxa"/>
              <w:bottom w:w="75" w:type="dxa"/>
              <w:right w:w="130" w:type="dxa"/>
            </w:tcMar>
          </w:tcPr>
          <w:p w:rsidR="00C34C62" w:rsidRPr="00786E87" w:rsidRDefault="001A7690" w:rsidP="00B4474B">
            <w:pPr>
              <w:spacing w:before="55" w:after="55" w:line="276" w:lineRule="auto"/>
            </w:pPr>
            <w:r w:rsidRPr="00786E87">
              <w:t xml:space="preserve">Raj </w:t>
            </w:r>
            <w:proofErr w:type="spellStart"/>
            <w:r w:rsidRPr="00786E87">
              <w:t>Nalinkumar</w:t>
            </w:r>
            <w:proofErr w:type="spellEnd"/>
            <w:r w:rsidRPr="00786E87">
              <w:t xml:space="preserve"> </w:t>
            </w:r>
            <w:proofErr w:type="spellStart"/>
            <w:r w:rsidRPr="00786E87">
              <w:t>Bharucha</w:t>
            </w:r>
            <w:proofErr w:type="spellEnd"/>
          </w:p>
        </w:tc>
      </w:tr>
      <w:tr w:rsidR="00C34C62" w:rsidRPr="00786E87">
        <w:tc>
          <w:tcPr>
            <w:tcW w:w="2800" w:type="dxa"/>
            <w:tcBorders>
              <w:top w:val="single" w:sz="1" w:space="0" w:color="CCCCCC"/>
              <w:left w:val="single" w:sz="1" w:space="0" w:color="CCCCCC"/>
              <w:bottom w:val="single" w:sz="1" w:space="0" w:color="CCCCCC"/>
              <w:right w:val="single" w:sz="1" w:space="0" w:color="CCCCCC"/>
            </w:tcBorders>
            <w:shd w:val="clear" w:color="auto" w:fill="D6E4F7"/>
            <w:tcMar>
              <w:top w:w="75" w:type="dxa"/>
              <w:left w:w="130" w:type="dxa"/>
              <w:bottom w:w="75" w:type="dxa"/>
              <w:right w:w="130" w:type="dxa"/>
            </w:tcMar>
          </w:tcPr>
          <w:p w:rsidR="00C34C62" w:rsidRPr="00786E87" w:rsidRDefault="00C34C62" w:rsidP="00B4474B">
            <w:pPr>
              <w:spacing w:before="55" w:after="55" w:line="276" w:lineRule="auto"/>
              <w:rPr>
                <w:b/>
                <w:bCs/>
              </w:rPr>
            </w:pPr>
            <w:r w:rsidRPr="00786E87">
              <w:rPr>
                <w:b/>
                <w:bCs/>
              </w:rPr>
              <w:t>Student ID</w:t>
            </w:r>
          </w:p>
        </w:tc>
        <w:tc>
          <w:tcPr>
            <w:tcW w:w="4200" w:type="dxa"/>
            <w:tcBorders>
              <w:top w:val="single" w:sz="1" w:space="0" w:color="CCCCCC"/>
              <w:left w:val="single" w:sz="1" w:space="0" w:color="CCCCCC"/>
              <w:bottom w:val="single" w:sz="1" w:space="0" w:color="CCCCCC"/>
              <w:right w:val="single" w:sz="1" w:space="0" w:color="CCCCCC"/>
            </w:tcBorders>
            <w:tcMar>
              <w:top w:w="75" w:type="dxa"/>
              <w:left w:w="130" w:type="dxa"/>
              <w:bottom w:w="75" w:type="dxa"/>
              <w:right w:w="130" w:type="dxa"/>
            </w:tcMar>
          </w:tcPr>
          <w:p w:rsidR="00C34C62" w:rsidRPr="00786E87" w:rsidRDefault="001A7690" w:rsidP="00B4474B">
            <w:pPr>
              <w:spacing w:before="55" w:after="55" w:line="276" w:lineRule="auto"/>
            </w:pPr>
            <w:r w:rsidRPr="00786E87">
              <w:t>2510180</w:t>
            </w:r>
          </w:p>
        </w:tc>
      </w:tr>
      <w:tr w:rsidR="00025F5D" w:rsidRPr="00786E87">
        <w:tc>
          <w:tcPr>
            <w:tcW w:w="2800" w:type="dxa"/>
            <w:tcBorders>
              <w:top w:val="single" w:sz="1" w:space="0" w:color="CCCCCC"/>
              <w:left w:val="single" w:sz="1" w:space="0" w:color="CCCCCC"/>
              <w:bottom w:val="single" w:sz="1" w:space="0" w:color="CCCCCC"/>
              <w:right w:val="single" w:sz="1" w:space="0" w:color="CCCCCC"/>
            </w:tcBorders>
            <w:shd w:val="clear" w:color="auto" w:fill="D6E4F7"/>
            <w:tcMar>
              <w:top w:w="75" w:type="dxa"/>
              <w:left w:w="130" w:type="dxa"/>
              <w:bottom w:w="75" w:type="dxa"/>
              <w:right w:w="130" w:type="dxa"/>
            </w:tcMar>
          </w:tcPr>
          <w:p w:rsidR="00025F5D" w:rsidRPr="00786E87" w:rsidRDefault="00786413" w:rsidP="00B4474B">
            <w:pPr>
              <w:spacing w:before="55" w:after="55" w:line="276" w:lineRule="auto"/>
            </w:pPr>
            <w:r w:rsidRPr="00786E87">
              <w:rPr>
                <w:b/>
                <w:bCs/>
              </w:rPr>
              <w:t>Word Count</w:t>
            </w:r>
          </w:p>
        </w:tc>
        <w:tc>
          <w:tcPr>
            <w:tcW w:w="4200" w:type="dxa"/>
            <w:tcBorders>
              <w:top w:val="single" w:sz="1" w:space="0" w:color="CCCCCC"/>
              <w:left w:val="single" w:sz="1" w:space="0" w:color="CCCCCC"/>
              <w:bottom w:val="single" w:sz="1" w:space="0" w:color="CCCCCC"/>
              <w:right w:val="single" w:sz="1" w:space="0" w:color="CCCCCC"/>
            </w:tcBorders>
            <w:tcMar>
              <w:top w:w="75" w:type="dxa"/>
              <w:left w:w="130" w:type="dxa"/>
              <w:bottom w:w="75" w:type="dxa"/>
              <w:right w:w="130" w:type="dxa"/>
            </w:tcMar>
          </w:tcPr>
          <w:p w:rsidR="00025F5D" w:rsidRPr="00786E87" w:rsidRDefault="00C34C62" w:rsidP="00B4474B">
            <w:pPr>
              <w:spacing w:before="55" w:after="55" w:line="276" w:lineRule="auto"/>
            </w:pPr>
            <w:r w:rsidRPr="00786E87">
              <w:t xml:space="preserve"> 5</w:t>
            </w:r>
            <w:r w:rsidR="00B4474B">
              <w:t>237</w:t>
            </w:r>
            <w:r w:rsidR="00786413" w:rsidRPr="00786E87">
              <w:t xml:space="preserve"> words</w:t>
            </w:r>
          </w:p>
        </w:tc>
      </w:tr>
      <w:tr w:rsidR="00025F5D" w:rsidRPr="00786E87">
        <w:tc>
          <w:tcPr>
            <w:tcW w:w="2800" w:type="dxa"/>
            <w:tcBorders>
              <w:top w:val="single" w:sz="1" w:space="0" w:color="CCCCCC"/>
              <w:left w:val="single" w:sz="1" w:space="0" w:color="CCCCCC"/>
              <w:bottom w:val="single" w:sz="1" w:space="0" w:color="CCCCCC"/>
              <w:right w:val="single" w:sz="1" w:space="0" w:color="CCCCCC"/>
            </w:tcBorders>
            <w:shd w:val="clear" w:color="auto" w:fill="D6E4F7"/>
            <w:tcMar>
              <w:top w:w="75" w:type="dxa"/>
              <w:left w:w="130" w:type="dxa"/>
              <w:bottom w:w="75" w:type="dxa"/>
              <w:right w:w="130" w:type="dxa"/>
            </w:tcMar>
          </w:tcPr>
          <w:p w:rsidR="00025F5D" w:rsidRPr="00786E87" w:rsidRDefault="00786413" w:rsidP="00B4474B">
            <w:pPr>
              <w:spacing w:before="55" w:after="55" w:line="276" w:lineRule="auto"/>
            </w:pPr>
            <w:r w:rsidRPr="00786E87">
              <w:rPr>
                <w:b/>
                <w:bCs/>
              </w:rPr>
              <w:t>Submission</w:t>
            </w:r>
          </w:p>
        </w:tc>
        <w:tc>
          <w:tcPr>
            <w:tcW w:w="4200" w:type="dxa"/>
            <w:tcBorders>
              <w:top w:val="single" w:sz="1" w:space="0" w:color="CCCCCC"/>
              <w:left w:val="single" w:sz="1" w:space="0" w:color="CCCCCC"/>
              <w:bottom w:val="single" w:sz="1" w:space="0" w:color="CCCCCC"/>
              <w:right w:val="single" w:sz="1" w:space="0" w:color="CCCCCC"/>
            </w:tcBorders>
            <w:tcMar>
              <w:top w:w="75" w:type="dxa"/>
              <w:left w:w="130" w:type="dxa"/>
              <w:bottom w:w="75" w:type="dxa"/>
              <w:right w:w="130" w:type="dxa"/>
            </w:tcMar>
          </w:tcPr>
          <w:p w:rsidR="00025F5D" w:rsidRPr="00786E87" w:rsidRDefault="00786413" w:rsidP="00B4474B">
            <w:pPr>
              <w:spacing w:before="55" w:after="55" w:line="276" w:lineRule="auto"/>
            </w:pPr>
            <w:r w:rsidRPr="00786E87">
              <w:t>Friday 20/03/2026</w:t>
            </w:r>
          </w:p>
        </w:tc>
      </w:tr>
    </w:tbl>
    <w:p w:rsidR="00786E87" w:rsidRDefault="00786413" w:rsidP="00B4474B">
      <w:pPr>
        <w:spacing w:line="276" w:lineRule="auto"/>
        <w:rPr>
          <w:b/>
          <w:bCs/>
          <w:color w:val="1F3864"/>
        </w:rPr>
      </w:pPr>
      <w:r w:rsidRPr="00786E87">
        <w:br/>
      </w:r>
    </w:p>
    <w:p w:rsidR="00786E87" w:rsidRDefault="00786E87" w:rsidP="00B4474B">
      <w:pPr>
        <w:spacing w:line="276" w:lineRule="auto"/>
        <w:rPr>
          <w:b/>
          <w:bCs/>
          <w:color w:val="1F3864"/>
        </w:rPr>
      </w:pPr>
    </w:p>
    <w:p w:rsidR="00025F5D" w:rsidRPr="00786E87" w:rsidRDefault="00786413" w:rsidP="00B4474B">
      <w:pPr>
        <w:spacing w:line="276" w:lineRule="auto"/>
        <w:jc w:val="center"/>
        <w:rPr>
          <w:sz w:val="32"/>
        </w:rPr>
      </w:pPr>
      <w:r w:rsidRPr="00786E87">
        <w:rPr>
          <w:b/>
          <w:bCs/>
          <w:color w:val="1F3864"/>
          <w:sz w:val="32"/>
        </w:rPr>
        <w:lastRenderedPageBreak/>
        <w:t>Table of Contents</w:t>
      </w:r>
    </w:p>
    <w:p w:rsidR="00786E87" w:rsidRDefault="00786E87" w:rsidP="00B4474B">
      <w:pPr>
        <w:spacing w:after="75" w:line="276" w:lineRule="auto"/>
        <w:rPr>
          <w:b/>
          <w:bCs/>
        </w:rPr>
      </w:pPr>
    </w:p>
    <w:p w:rsidR="00025F5D" w:rsidRPr="00786E87" w:rsidRDefault="00786413" w:rsidP="00B4474B">
      <w:pPr>
        <w:spacing w:after="75" w:line="276" w:lineRule="auto"/>
        <w:rPr>
          <w:sz w:val="32"/>
        </w:rPr>
      </w:pPr>
      <w:r w:rsidRPr="00786E87">
        <w:rPr>
          <w:b/>
          <w:bCs/>
          <w:sz w:val="32"/>
        </w:rPr>
        <w:t>SECTION 1: INTERNATIONAL INDUSTRY REPORT</w:t>
      </w:r>
    </w:p>
    <w:p w:rsidR="00025F5D" w:rsidRPr="00786E87" w:rsidRDefault="00786413" w:rsidP="00B4474B">
      <w:pPr>
        <w:spacing w:after="65" w:line="276" w:lineRule="auto"/>
        <w:rPr>
          <w:sz w:val="28"/>
        </w:rPr>
      </w:pPr>
      <w:proofErr w:type="gramStart"/>
      <w:r w:rsidRPr="00786E87">
        <w:rPr>
          <w:sz w:val="28"/>
        </w:rPr>
        <w:t>1.0  Introduction</w:t>
      </w:r>
      <w:proofErr w:type="gramEnd"/>
    </w:p>
    <w:p w:rsidR="00025F5D" w:rsidRPr="00786E87" w:rsidRDefault="00786413" w:rsidP="00B4474B">
      <w:pPr>
        <w:spacing w:after="65" w:line="276" w:lineRule="auto"/>
        <w:rPr>
          <w:sz w:val="28"/>
        </w:rPr>
      </w:pPr>
      <w:proofErr w:type="gramStart"/>
      <w:r w:rsidRPr="00786E87">
        <w:rPr>
          <w:sz w:val="28"/>
        </w:rPr>
        <w:t>2.0  Industry</w:t>
      </w:r>
      <w:proofErr w:type="gramEnd"/>
      <w:r w:rsidRPr="00786E87">
        <w:rPr>
          <w:sz w:val="28"/>
        </w:rPr>
        <w:t xml:space="preserve"> and Country Overview</w:t>
      </w:r>
    </w:p>
    <w:p w:rsidR="00025F5D" w:rsidRPr="00786E87" w:rsidRDefault="00786413" w:rsidP="00B4474B">
      <w:pPr>
        <w:spacing w:after="65" w:line="276" w:lineRule="auto"/>
        <w:ind w:left="360"/>
      </w:pPr>
      <w:proofErr w:type="gramStart"/>
      <w:r w:rsidRPr="00786E87">
        <w:t>2.1  The</w:t>
      </w:r>
      <w:proofErr w:type="gramEnd"/>
      <w:r w:rsidRPr="00786E87">
        <w:t xml:space="preserve"> Indian Automotive Industry</w:t>
      </w:r>
    </w:p>
    <w:p w:rsidR="00025F5D" w:rsidRPr="00786E87" w:rsidRDefault="00786413" w:rsidP="00B4474B">
      <w:pPr>
        <w:spacing w:after="65" w:line="276" w:lineRule="auto"/>
        <w:ind w:left="360"/>
      </w:pPr>
      <w:proofErr w:type="gramStart"/>
      <w:r w:rsidRPr="00786E87">
        <w:t>2.2  Size</w:t>
      </w:r>
      <w:proofErr w:type="gramEnd"/>
      <w:r w:rsidRPr="00786E87">
        <w:t>, Scope and Economic Significance</w:t>
      </w:r>
    </w:p>
    <w:p w:rsidR="00025F5D" w:rsidRPr="00786E87" w:rsidRDefault="00786413" w:rsidP="00B4474B">
      <w:pPr>
        <w:spacing w:after="65" w:line="276" w:lineRule="auto"/>
        <w:ind w:left="360"/>
      </w:pPr>
      <w:proofErr w:type="gramStart"/>
      <w:r w:rsidRPr="00786E87">
        <w:t>2.3  Key</w:t>
      </w:r>
      <w:proofErr w:type="gramEnd"/>
      <w:r w:rsidRPr="00786E87">
        <w:t xml:space="preserve"> Competitors and Market Structure</w:t>
      </w:r>
    </w:p>
    <w:p w:rsidR="00025F5D" w:rsidRPr="00786E87" w:rsidRDefault="00786413" w:rsidP="00B4474B">
      <w:pPr>
        <w:spacing w:after="65" w:line="276" w:lineRule="auto"/>
        <w:ind w:left="360"/>
      </w:pPr>
      <w:proofErr w:type="gramStart"/>
      <w:r w:rsidRPr="00786E87">
        <w:t>2.4  Comparative</w:t>
      </w:r>
      <w:proofErr w:type="gramEnd"/>
      <w:r w:rsidRPr="00786E87">
        <w:t xml:space="preserve"> Strategic Positioning</w:t>
      </w:r>
    </w:p>
    <w:p w:rsidR="00025F5D" w:rsidRPr="00786E87" w:rsidRDefault="00786413" w:rsidP="00B4474B">
      <w:pPr>
        <w:spacing w:after="65" w:line="276" w:lineRule="auto"/>
        <w:rPr>
          <w:sz w:val="28"/>
        </w:rPr>
      </w:pPr>
      <w:proofErr w:type="gramStart"/>
      <w:r w:rsidRPr="00786E87">
        <w:rPr>
          <w:sz w:val="28"/>
        </w:rPr>
        <w:t>3.0  Porter's</w:t>
      </w:r>
      <w:proofErr w:type="gramEnd"/>
      <w:r w:rsidRPr="00786E87">
        <w:rPr>
          <w:sz w:val="28"/>
        </w:rPr>
        <w:t xml:space="preserve"> Diamond Model Analysis</w:t>
      </w:r>
    </w:p>
    <w:p w:rsidR="00025F5D" w:rsidRPr="00786E87" w:rsidRDefault="00786413" w:rsidP="00B4474B">
      <w:pPr>
        <w:spacing w:after="65" w:line="276" w:lineRule="auto"/>
        <w:ind w:left="360"/>
      </w:pPr>
      <w:proofErr w:type="gramStart"/>
      <w:r w:rsidRPr="00786E87">
        <w:t>3.1  Factor</w:t>
      </w:r>
      <w:proofErr w:type="gramEnd"/>
      <w:r w:rsidRPr="00786E87">
        <w:t xml:space="preserve"> Conditions</w:t>
      </w:r>
    </w:p>
    <w:p w:rsidR="00025F5D" w:rsidRPr="00786E87" w:rsidRDefault="00786413" w:rsidP="00B4474B">
      <w:pPr>
        <w:spacing w:after="65" w:line="276" w:lineRule="auto"/>
        <w:ind w:left="360"/>
      </w:pPr>
      <w:proofErr w:type="gramStart"/>
      <w:r w:rsidRPr="00786E87">
        <w:t>3.2  Demand</w:t>
      </w:r>
      <w:proofErr w:type="gramEnd"/>
      <w:r w:rsidRPr="00786E87">
        <w:t xml:space="preserve"> Conditions</w:t>
      </w:r>
    </w:p>
    <w:p w:rsidR="00025F5D" w:rsidRPr="00786E87" w:rsidRDefault="00786413" w:rsidP="00B4474B">
      <w:pPr>
        <w:spacing w:after="65" w:line="276" w:lineRule="auto"/>
        <w:ind w:left="360"/>
      </w:pPr>
      <w:proofErr w:type="gramStart"/>
      <w:r w:rsidRPr="00786E87">
        <w:t>3.3  Related</w:t>
      </w:r>
      <w:proofErr w:type="gramEnd"/>
      <w:r w:rsidRPr="00786E87">
        <w:t xml:space="preserve"> and Supporting Industries</w:t>
      </w:r>
    </w:p>
    <w:p w:rsidR="00025F5D" w:rsidRPr="00786E87" w:rsidRDefault="00786413" w:rsidP="00B4474B">
      <w:pPr>
        <w:spacing w:after="65" w:line="276" w:lineRule="auto"/>
        <w:ind w:left="360"/>
      </w:pPr>
      <w:proofErr w:type="gramStart"/>
      <w:r w:rsidRPr="00786E87">
        <w:t>3.4  Firm</w:t>
      </w:r>
      <w:proofErr w:type="gramEnd"/>
      <w:r w:rsidRPr="00786E87">
        <w:t xml:space="preserve"> Strategy, Structure and Rivalry</w:t>
      </w:r>
    </w:p>
    <w:p w:rsidR="00025F5D" w:rsidRPr="00786E87" w:rsidRDefault="00786413" w:rsidP="00B4474B">
      <w:pPr>
        <w:spacing w:after="65" w:line="276" w:lineRule="auto"/>
        <w:ind w:left="360"/>
      </w:pPr>
      <w:proofErr w:type="gramStart"/>
      <w:r w:rsidRPr="00786E87">
        <w:t>3.5  Government</w:t>
      </w:r>
      <w:proofErr w:type="gramEnd"/>
      <w:r w:rsidRPr="00786E87">
        <w:t xml:space="preserve"> Policy and Chance Events</w:t>
      </w:r>
    </w:p>
    <w:p w:rsidR="00025F5D" w:rsidRPr="00786E87" w:rsidRDefault="00786413" w:rsidP="00B4474B">
      <w:pPr>
        <w:spacing w:after="65" w:line="276" w:lineRule="auto"/>
        <w:rPr>
          <w:sz w:val="28"/>
        </w:rPr>
      </w:pPr>
      <w:proofErr w:type="gramStart"/>
      <w:r w:rsidRPr="00786E87">
        <w:rPr>
          <w:sz w:val="28"/>
        </w:rPr>
        <w:t>4.0  Toyota</w:t>
      </w:r>
      <w:proofErr w:type="gramEnd"/>
      <w:r w:rsidRPr="00786E87">
        <w:rPr>
          <w:sz w:val="28"/>
        </w:rPr>
        <w:t xml:space="preserve"> </w:t>
      </w:r>
      <w:proofErr w:type="spellStart"/>
      <w:r w:rsidRPr="00786E87">
        <w:rPr>
          <w:sz w:val="28"/>
        </w:rPr>
        <w:t>Kirloskar</w:t>
      </w:r>
      <w:proofErr w:type="spellEnd"/>
      <w:r w:rsidRPr="00786E87">
        <w:rPr>
          <w:sz w:val="28"/>
        </w:rPr>
        <w:t xml:space="preserve"> Motor: Critical Market Analysis</w:t>
      </w:r>
    </w:p>
    <w:p w:rsidR="00025F5D" w:rsidRPr="00786E87" w:rsidRDefault="00786413" w:rsidP="00B4474B">
      <w:pPr>
        <w:spacing w:after="65" w:line="276" w:lineRule="auto"/>
        <w:ind w:left="360"/>
      </w:pPr>
      <w:proofErr w:type="gramStart"/>
      <w:r w:rsidRPr="00786E87">
        <w:t>4.1  Company</w:t>
      </w:r>
      <w:proofErr w:type="gramEnd"/>
      <w:r w:rsidRPr="00786E87">
        <w:t xml:space="preserve"> Overview</w:t>
      </w:r>
    </w:p>
    <w:p w:rsidR="00025F5D" w:rsidRPr="00786E87" w:rsidRDefault="00786413" w:rsidP="00B4474B">
      <w:pPr>
        <w:spacing w:after="65" w:line="276" w:lineRule="auto"/>
        <w:ind w:left="360"/>
      </w:pPr>
      <w:proofErr w:type="gramStart"/>
      <w:r w:rsidRPr="00786E87">
        <w:t>4.2  Political</w:t>
      </w:r>
      <w:proofErr w:type="gramEnd"/>
      <w:r w:rsidRPr="00786E87">
        <w:t xml:space="preserve"> Factors</w:t>
      </w:r>
    </w:p>
    <w:p w:rsidR="00025F5D" w:rsidRPr="00786E87" w:rsidRDefault="00786413" w:rsidP="00B4474B">
      <w:pPr>
        <w:spacing w:after="65" w:line="276" w:lineRule="auto"/>
        <w:ind w:left="360"/>
      </w:pPr>
      <w:proofErr w:type="gramStart"/>
      <w:r w:rsidRPr="00786E87">
        <w:t>4.3  Economic</w:t>
      </w:r>
      <w:proofErr w:type="gramEnd"/>
      <w:r w:rsidRPr="00786E87">
        <w:t xml:space="preserve"> Factors</w:t>
      </w:r>
    </w:p>
    <w:p w:rsidR="00025F5D" w:rsidRPr="00786E87" w:rsidRDefault="00786413" w:rsidP="00B4474B">
      <w:pPr>
        <w:spacing w:after="65" w:line="276" w:lineRule="auto"/>
        <w:ind w:left="360"/>
      </w:pPr>
      <w:proofErr w:type="gramStart"/>
      <w:r w:rsidRPr="00786E87">
        <w:t>4.4  Legal</w:t>
      </w:r>
      <w:proofErr w:type="gramEnd"/>
      <w:r w:rsidRPr="00786E87">
        <w:t xml:space="preserve"> Factors</w:t>
      </w:r>
    </w:p>
    <w:p w:rsidR="00025F5D" w:rsidRPr="00786E87" w:rsidRDefault="00786413" w:rsidP="00B4474B">
      <w:pPr>
        <w:spacing w:after="65" w:line="276" w:lineRule="auto"/>
        <w:ind w:left="360"/>
      </w:pPr>
      <w:proofErr w:type="gramStart"/>
      <w:r w:rsidRPr="00786E87">
        <w:t>4.5  Cultural</w:t>
      </w:r>
      <w:proofErr w:type="gramEnd"/>
      <w:r w:rsidRPr="00786E87">
        <w:t xml:space="preserve"> Factors</w:t>
      </w:r>
    </w:p>
    <w:p w:rsidR="00025F5D" w:rsidRPr="00786E87" w:rsidRDefault="00786413" w:rsidP="00B4474B">
      <w:pPr>
        <w:spacing w:after="65" w:line="276" w:lineRule="auto"/>
        <w:ind w:left="360"/>
      </w:pPr>
      <w:proofErr w:type="gramStart"/>
      <w:r w:rsidRPr="00786E87">
        <w:t>4.6  CAGE</w:t>
      </w:r>
      <w:proofErr w:type="gramEnd"/>
      <w:r w:rsidRPr="00786E87">
        <w:t xml:space="preserve"> Framework Application</w:t>
      </w:r>
    </w:p>
    <w:p w:rsidR="00025F5D" w:rsidRPr="00786E87" w:rsidRDefault="00786413" w:rsidP="00B4474B">
      <w:pPr>
        <w:spacing w:after="65" w:line="276" w:lineRule="auto"/>
        <w:ind w:left="360"/>
      </w:pPr>
      <w:proofErr w:type="gramStart"/>
      <w:r w:rsidRPr="00786E87">
        <w:t>4.7  Strategic</w:t>
      </w:r>
      <w:proofErr w:type="gramEnd"/>
      <w:r w:rsidRPr="00786E87">
        <w:t xml:space="preserve"> Synthesis</w:t>
      </w:r>
    </w:p>
    <w:p w:rsidR="00025F5D" w:rsidRPr="00786E87" w:rsidRDefault="00786413" w:rsidP="00B4474B">
      <w:pPr>
        <w:spacing w:after="65" w:line="276" w:lineRule="auto"/>
        <w:rPr>
          <w:sz w:val="28"/>
        </w:rPr>
      </w:pPr>
      <w:proofErr w:type="gramStart"/>
      <w:r w:rsidRPr="00786E87">
        <w:rPr>
          <w:sz w:val="28"/>
        </w:rPr>
        <w:t>5.0  Conclusion</w:t>
      </w:r>
      <w:proofErr w:type="gramEnd"/>
    </w:p>
    <w:p w:rsidR="00025F5D" w:rsidRPr="00786E87" w:rsidRDefault="00025F5D" w:rsidP="00B4474B">
      <w:pPr>
        <w:spacing w:after="80" w:line="276" w:lineRule="auto"/>
      </w:pPr>
    </w:p>
    <w:p w:rsidR="00025F5D" w:rsidRPr="00786E87" w:rsidRDefault="00786413" w:rsidP="00B4474B">
      <w:pPr>
        <w:spacing w:after="75" w:line="276" w:lineRule="auto"/>
        <w:rPr>
          <w:sz w:val="32"/>
        </w:rPr>
      </w:pPr>
      <w:r w:rsidRPr="00786E87">
        <w:rPr>
          <w:b/>
          <w:bCs/>
          <w:sz w:val="32"/>
        </w:rPr>
        <w:t>SECTION 2: REFLECTIVE ACCOUNT</w:t>
      </w:r>
    </w:p>
    <w:p w:rsidR="00025F5D" w:rsidRPr="00786E87" w:rsidRDefault="00786413" w:rsidP="00B4474B">
      <w:pPr>
        <w:spacing w:after="65" w:line="276" w:lineRule="auto"/>
      </w:pPr>
      <w:r w:rsidRPr="00786E87">
        <w:t>Application of Gibbs' Reflective Cycle</w:t>
      </w:r>
    </w:p>
    <w:p w:rsidR="00025F5D" w:rsidRPr="00786E87" w:rsidRDefault="00025F5D" w:rsidP="00B4474B">
      <w:pPr>
        <w:spacing w:after="80" w:line="276" w:lineRule="auto"/>
      </w:pPr>
    </w:p>
    <w:p w:rsidR="00025F5D" w:rsidRPr="00786E87" w:rsidRDefault="00786413" w:rsidP="00B4474B">
      <w:pPr>
        <w:spacing w:after="75" w:line="276" w:lineRule="auto"/>
        <w:rPr>
          <w:sz w:val="32"/>
        </w:rPr>
      </w:pPr>
      <w:r w:rsidRPr="00786E87">
        <w:rPr>
          <w:b/>
          <w:bCs/>
          <w:sz w:val="32"/>
        </w:rPr>
        <w:t>References</w:t>
      </w:r>
    </w:p>
    <w:p w:rsidR="00E1705B" w:rsidRPr="00786E87" w:rsidRDefault="00E1705B" w:rsidP="00B4474B">
      <w:pPr>
        <w:spacing w:line="276" w:lineRule="auto"/>
      </w:pPr>
    </w:p>
    <w:p w:rsidR="00E1705B" w:rsidRPr="00786E87" w:rsidRDefault="00E1705B" w:rsidP="00B4474B">
      <w:pPr>
        <w:spacing w:line="276" w:lineRule="auto"/>
      </w:pPr>
    </w:p>
    <w:p w:rsidR="00E1705B" w:rsidRPr="00786E87" w:rsidRDefault="00E1705B" w:rsidP="00B4474B">
      <w:pPr>
        <w:spacing w:line="276" w:lineRule="auto"/>
      </w:pPr>
    </w:p>
    <w:p w:rsidR="00E1705B" w:rsidRPr="00786E87" w:rsidRDefault="00E1705B" w:rsidP="00B4474B">
      <w:pPr>
        <w:spacing w:line="276" w:lineRule="auto"/>
      </w:pPr>
    </w:p>
    <w:p w:rsidR="00E1705B" w:rsidRPr="00786E87" w:rsidRDefault="00E1705B" w:rsidP="00B4474B">
      <w:pPr>
        <w:spacing w:line="276" w:lineRule="auto"/>
      </w:pPr>
    </w:p>
    <w:p w:rsidR="00E1705B" w:rsidRPr="00786E87" w:rsidRDefault="00E1705B" w:rsidP="00B4474B">
      <w:pPr>
        <w:spacing w:line="276" w:lineRule="auto"/>
      </w:pPr>
    </w:p>
    <w:p w:rsidR="00E1705B" w:rsidRPr="00786E87" w:rsidRDefault="00E1705B" w:rsidP="00B4474B">
      <w:pPr>
        <w:shd w:val="clear" w:color="auto" w:fill="EBF0FA"/>
        <w:spacing w:before="280" w:after="280" w:line="276" w:lineRule="auto"/>
        <w:jc w:val="center"/>
        <w:rPr>
          <w:sz w:val="28"/>
        </w:rPr>
      </w:pPr>
      <w:r w:rsidRPr="00786E87">
        <w:rPr>
          <w:b/>
          <w:bCs/>
          <w:color w:val="1F3864"/>
          <w:sz w:val="28"/>
        </w:rPr>
        <w:lastRenderedPageBreak/>
        <w:t xml:space="preserve">Toyota </w:t>
      </w:r>
      <w:proofErr w:type="spellStart"/>
      <w:r w:rsidRPr="00786E87">
        <w:rPr>
          <w:b/>
          <w:bCs/>
          <w:color w:val="1F3864"/>
          <w:sz w:val="28"/>
        </w:rPr>
        <w:t>Kirloskar</w:t>
      </w:r>
      <w:proofErr w:type="spellEnd"/>
      <w:r w:rsidRPr="00786E87">
        <w:rPr>
          <w:b/>
          <w:bCs/>
          <w:color w:val="1F3864"/>
          <w:sz w:val="28"/>
        </w:rPr>
        <w:t xml:space="preserve"> Motor in India: A Critical Analysis of Industry Competitiveness and Multinational Operations</w:t>
      </w:r>
    </w:p>
    <w:p w:rsidR="00025F5D" w:rsidRPr="00786E87" w:rsidRDefault="00786413" w:rsidP="00B4474B">
      <w:pPr>
        <w:spacing w:line="276" w:lineRule="auto"/>
        <w:jc w:val="center"/>
      </w:pPr>
      <w:r w:rsidRPr="00786E87">
        <w:br/>
      </w:r>
    </w:p>
    <w:p w:rsidR="00025F5D" w:rsidRPr="00786E87" w:rsidRDefault="00786413" w:rsidP="00B4474B">
      <w:pPr>
        <w:spacing w:after="200" w:line="276" w:lineRule="auto"/>
        <w:jc w:val="center"/>
        <w:rPr>
          <w:sz w:val="32"/>
        </w:rPr>
      </w:pPr>
      <w:r w:rsidRPr="00786E87">
        <w:rPr>
          <w:b/>
          <w:bCs/>
          <w:color w:val="1F3864"/>
          <w:sz w:val="32"/>
        </w:rPr>
        <w:t>SECTION 1: INTERNATIONAL INDUSTRY REPORT</w:t>
      </w:r>
    </w:p>
    <w:p w:rsidR="00025F5D" w:rsidRPr="00786E87" w:rsidRDefault="00786413" w:rsidP="00B4474B">
      <w:pPr>
        <w:pStyle w:val="Heading1"/>
        <w:spacing w:line="276" w:lineRule="auto"/>
        <w:rPr>
          <w:sz w:val="32"/>
          <w:szCs w:val="24"/>
        </w:rPr>
      </w:pPr>
      <w:r w:rsidRPr="00786E87">
        <w:rPr>
          <w:sz w:val="32"/>
          <w:szCs w:val="24"/>
        </w:rPr>
        <w:t>1.0 Introduction</w:t>
      </w:r>
    </w:p>
    <w:p w:rsidR="00025F5D" w:rsidRPr="00786E87" w:rsidRDefault="008E7CEF" w:rsidP="00B4474B">
      <w:pPr>
        <w:spacing w:after="130" w:line="276" w:lineRule="auto"/>
        <w:jc w:val="both"/>
      </w:pPr>
      <w:r>
        <w:t>This is arguably one of the most interesting types of businesses to analyze with respect to the nature of global business strategy colliding with local reality, large enough to be of concern to the whole world, competitive enough to take a toll on strategic errors and complicated enough so that no single playbook will suffice.</w:t>
      </w:r>
      <w:r w:rsidR="00786413" w:rsidRPr="00786E87">
        <w:t xml:space="preserve"> This report uses Porter's (1990) Diamond Model to explain India's national competitive advantage in automotive manufacturing, and PESTEL analysis combined with </w:t>
      </w:r>
      <w:proofErr w:type="spellStart"/>
      <w:r w:rsidR="00786413" w:rsidRPr="00786E87">
        <w:t>Ghemawat's</w:t>
      </w:r>
      <w:proofErr w:type="spellEnd"/>
      <w:r w:rsidR="00786413" w:rsidRPr="00786E87">
        <w:t xml:space="preserve"> (2001) CAGE framework to evaluate what it takes to operate successfully as a foreign multinational here. The focal company is Toyota </w:t>
      </w:r>
      <w:proofErr w:type="spellStart"/>
      <w:r w:rsidR="00786413" w:rsidRPr="00786E87">
        <w:t>Kirloskar</w:t>
      </w:r>
      <w:proofErr w:type="spellEnd"/>
      <w:r w:rsidR="00786413" w:rsidRPr="00786E87">
        <w:t xml:space="preserve"> Motor (TKM). Toyota is a deliberate choice: a company with extraordinary brand equity and engineering capability that holds only 4–5 percent market share against Hyundai's 15 percent and </w:t>
      </w:r>
      <w:proofErr w:type="spellStart"/>
      <w:r w:rsidR="00786413" w:rsidRPr="00786E87">
        <w:t>Maruti</w:t>
      </w:r>
      <w:proofErr w:type="spellEnd"/>
      <w:r w:rsidR="00786413" w:rsidRPr="00786E87">
        <w:t xml:space="preserve"> Suzuki's 42 percent. That gap is worth explaining, and doing so produces lessons that apply well beyond the automotive sector.</w:t>
      </w:r>
    </w:p>
    <w:p w:rsidR="00786E87" w:rsidRDefault="00786E87" w:rsidP="00B4474B">
      <w:pPr>
        <w:pStyle w:val="Heading1"/>
        <w:spacing w:line="276" w:lineRule="auto"/>
        <w:rPr>
          <w:sz w:val="32"/>
          <w:szCs w:val="24"/>
        </w:rPr>
      </w:pPr>
    </w:p>
    <w:p w:rsidR="00786E87" w:rsidRPr="00B4474B" w:rsidRDefault="00786413" w:rsidP="00B4474B">
      <w:pPr>
        <w:pStyle w:val="Heading1"/>
        <w:spacing w:line="276" w:lineRule="auto"/>
        <w:rPr>
          <w:sz w:val="32"/>
          <w:szCs w:val="24"/>
        </w:rPr>
      </w:pPr>
      <w:r w:rsidRPr="00786E87">
        <w:rPr>
          <w:sz w:val="32"/>
          <w:szCs w:val="24"/>
        </w:rPr>
        <w:t>2.0 Industry and Country Overview</w:t>
      </w:r>
    </w:p>
    <w:p w:rsidR="00025F5D" w:rsidRPr="00786E87" w:rsidRDefault="00786413" w:rsidP="00B4474B">
      <w:pPr>
        <w:pStyle w:val="Heading2"/>
        <w:spacing w:line="276" w:lineRule="auto"/>
        <w:rPr>
          <w:sz w:val="28"/>
        </w:rPr>
      </w:pPr>
      <w:r w:rsidRPr="00786E87">
        <w:rPr>
          <w:sz w:val="28"/>
        </w:rPr>
        <w:t>2.1 The Indian Automotive Industry</w:t>
      </w:r>
    </w:p>
    <w:p w:rsidR="00786E87" w:rsidRDefault="00E1705B" w:rsidP="00B4474B">
      <w:pPr>
        <w:spacing w:line="276" w:lineRule="auto"/>
      </w:pPr>
      <w:r w:rsidRPr="00786E87">
        <w:t xml:space="preserve">Two things changed that had a big effect on India's car industry. The first one happened when the country became independent and put up strong barriers to imports to protect domestic manufacturing. The second thing that happened was economic liberalization in 1991. This opened the market to foreign investment, technology partnerships, and real competition (Mukherjee and </w:t>
      </w:r>
      <w:proofErr w:type="spellStart"/>
      <w:r w:rsidRPr="00786E87">
        <w:t>Sastry</w:t>
      </w:r>
      <w:proofErr w:type="spellEnd"/>
      <w:r w:rsidRPr="00786E87">
        <w:t xml:space="preserve">, 1996). In the last thirty years, incomes have gone up and more people have moved to cities. This has made the world the third-largest vehicle manufacturer and the fourth-largest vehicle market. The National Capital Region, Tamil Nadu (with Chennai as its center), Maharashtra (with Pune as its center), and Gujarat (with </w:t>
      </w:r>
      <w:proofErr w:type="spellStart"/>
      <w:r w:rsidRPr="00786E87">
        <w:t>Sanand</w:t>
      </w:r>
      <w:proofErr w:type="spellEnd"/>
      <w:r w:rsidRPr="00786E87">
        <w:t xml:space="preserve"> as its center) are the four main places where most of the production takes place. </w:t>
      </w:r>
      <w:r w:rsidR="008E7CEF">
        <w:t>These clusters show agglomeration effects as explained by Marshall (1890), who suggested that agglomeration leads to creation of shared knowledge, specialized suppliers and large pools of labor.</w:t>
      </w:r>
      <w:r w:rsidRPr="00786E87">
        <w:t xml:space="preserve"> Hyundai, Renault-Nissan, and Toyota all have their second factories in Chennai, which is often called the "Detroit of India." It is the best example of that logic of bringing things together.</w:t>
      </w:r>
    </w:p>
    <w:p w:rsidR="00B4474B" w:rsidRDefault="00B4474B" w:rsidP="00B4474B">
      <w:pPr>
        <w:spacing w:line="276" w:lineRule="auto"/>
      </w:pPr>
    </w:p>
    <w:p w:rsidR="00025F5D" w:rsidRPr="00786E87" w:rsidRDefault="00786413" w:rsidP="00B4474B">
      <w:pPr>
        <w:spacing w:line="276" w:lineRule="auto"/>
      </w:pPr>
      <w:r w:rsidRPr="00786E87">
        <w:rPr>
          <w:b/>
          <w:bCs/>
          <w:color w:val="2E5FA3"/>
          <w:sz w:val="28"/>
        </w:rPr>
        <w:lastRenderedPageBreak/>
        <w:t>2.2 Size, Scope and Economic Significance</w:t>
      </w:r>
    </w:p>
    <w:p w:rsidR="00743CA6" w:rsidRPr="00BA5A1C" w:rsidRDefault="00743CA6" w:rsidP="00B4474B">
      <w:pPr>
        <w:spacing w:after="140" w:line="276" w:lineRule="auto"/>
        <w:jc w:val="both"/>
      </w:pPr>
      <w:r w:rsidRPr="00BA5A1C">
        <w:t>In 2022</w:t>
      </w:r>
      <w:r>
        <w:t>-</w:t>
      </w:r>
      <w:r w:rsidRPr="00BA5A1C">
        <w:t>23, India produced 23.8 million vehicles of every type (Society of Indian Automobile Manufacturers, 2023). With approximately 37 million employees, the industry contributes 7.1 percent of the GDP, and it received the export revenue of 15.6 billion (Automotive Component Manufacturers Association of India, 2023). Between 2000 and 2023, the number of foreign direct investments in the industry amounted to approximately USD 34 billion (Department for Promotion of Industry and Internal Trade, 2023). The Production Linked Incentive program by the government has allocated INR 25,938 crore to the innovative automotive technologies. This is an indication that support to the policy is not confined to the past.</w:t>
      </w:r>
    </w:p>
    <w:p w:rsidR="00786E87" w:rsidRDefault="00786E87" w:rsidP="00B4474B">
      <w:pPr>
        <w:pStyle w:val="Heading2"/>
        <w:spacing w:line="276" w:lineRule="auto"/>
        <w:rPr>
          <w:sz w:val="28"/>
        </w:rPr>
      </w:pPr>
    </w:p>
    <w:p w:rsidR="00025F5D" w:rsidRPr="00786E87" w:rsidRDefault="00786413" w:rsidP="00B4474B">
      <w:pPr>
        <w:pStyle w:val="Heading2"/>
        <w:spacing w:line="276" w:lineRule="auto"/>
        <w:rPr>
          <w:sz w:val="28"/>
        </w:rPr>
      </w:pPr>
      <w:r w:rsidRPr="00786E87">
        <w:rPr>
          <w:sz w:val="28"/>
        </w:rPr>
        <w:t>2.3 Key Competitors and Market Structure</w:t>
      </w:r>
    </w:p>
    <w:p w:rsidR="00E1705B" w:rsidRPr="00786E87" w:rsidRDefault="00E1705B" w:rsidP="00B4474B">
      <w:pPr>
        <w:spacing w:line="276" w:lineRule="auto"/>
      </w:pPr>
      <w:proofErr w:type="spellStart"/>
      <w:r w:rsidRPr="00786E87">
        <w:t>Maruti</w:t>
      </w:r>
      <w:proofErr w:type="spellEnd"/>
      <w:r w:rsidRPr="00786E87">
        <w:t xml:space="preserve"> Suzuki has about 42% of the market for passenger cars because it is big, knows a lot about the area, and has a network of dealerships that goes beyond major cities (</w:t>
      </w:r>
      <w:proofErr w:type="spellStart"/>
      <w:r w:rsidRPr="00786E87">
        <w:t>Maruti</w:t>
      </w:r>
      <w:proofErr w:type="spellEnd"/>
      <w:r w:rsidRPr="00786E87">
        <w:t xml:space="preserve"> Suzuki, 2023). It can make more than two million units a year, and no other company can beat its prices when it comes to structure. Hyundai, which has about 15% of the market, has focused on making its cars stand out instead of lowering prices. For city dwellers who want to move up, models like the </w:t>
      </w:r>
      <w:proofErr w:type="spellStart"/>
      <w:r w:rsidRPr="00786E87">
        <w:t>Creta</w:t>
      </w:r>
      <w:proofErr w:type="spellEnd"/>
      <w:r w:rsidRPr="00786E87">
        <w:t xml:space="preserve"> and i20 have more features than entry-level models and are only a little more expensive (Hyundai Motor India, 2023). Tata Motors has shifted its focus to design and early EV commitment, and the </w:t>
      </w:r>
      <w:proofErr w:type="spellStart"/>
      <w:r w:rsidRPr="00786E87">
        <w:t>Nexon</w:t>
      </w:r>
      <w:proofErr w:type="spellEnd"/>
      <w:r w:rsidRPr="00786E87">
        <w:t xml:space="preserve"> EV and Tiago EV give them a real first-mover advantage (Tata Motors, 2023). Mahindra and Mahindra is still the best at making utility vehicles, even though it only has about 8% of the market. The XUV series was a recent move upmarket for the company. Toyota </w:t>
      </w:r>
      <w:proofErr w:type="spellStart"/>
      <w:r w:rsidRPr="00786E87">
        <w:t>Kirloskar</w:t>
      </w:r>
      <w:proofErr w:type="spellEnd"/>
      <w:r w:rsidRPr="00786E87">
        <w:t xml:space="preserve"> Motor has a small market share of 4–5%, which is low for the brand but shows that it has had problems with pricing in the past (Toyota </w:t>
      </w:r>
      <w:proofErr w:type="spellStart"/>
      <w:r w:rsidRPr="00786E87">
        <w:t>Kirloskar</w:t>
      </w:r>
      <w:proofErr w:type="spellEnd"/>
      <w:r w:rsidRPr="00786E87">
        <w:t xml:space="preserve"> Motor, 2023).</w:t>
      </w:r>
    </w:p>
    <w:p w:rsidR="00786E87" w:rsidRDefault="00786E87" w:rsidP="00B4474B">
      <w:pPr>
        <w:pStyle w:val="Heading2"/>
        <w:spacing w:line="276" w:lineRule="auto"/>
        <w:rPr>
          <w:sz w:val="28"/>
        </w:rPr>
      </w:pPr>
    </w:p>
    <w:p w:rsidR="00025F5D" w:rsidRPr="00786E87" w:rsidRDefault="00786413" w:rsidP="00B4474B">
      <w:pPr>
        <w:pStyle w:val="Heading2"/>
        <w:spacing w:line="276" w:lineRule="auto"/>
        <w:rPr>
          <w:sz w:val="28"/>
        </w:rPr>
      </w:pPr>
      <w:r w:rsidRPr="00786E87">
        <w:rPr>
          <w:sz w:val="28"/>
        </w:rPr>
        <w:t>2.4 Comparative Strategic Positioning</w:t>
      </w:r>
    </w:p>
    <w:p w:rsidR="00E1705B" w:rsidRPr="00786E87" w:rsidRDefault="00E1705B" w:rsidP="00B4474B">
      <w:pPr>
        <w:spacing w:line="276" w:lineRule="auto"/>
      </w:pPr>
      <w:r w:rsidRPr="00786E87">
        <w:t xml:space="preserve">Mapping these players with Porter's (1980, 1985) generic strategy framework gives us a clear picture. It would be dumb to try to compete with </w:t>
      </w:r>
      <w:proofErr w:type="spellStart"/>
      <w:r w:rsidRPr="00786E87">
        <w:t>Maruti</w:t>
      </w:r>
      <w:proofErr w:type="spellEnd"/>
      <w:r w:rsidRPr="00786E87">
        <w:t xml:space="preserve"> Suzuki on price because it owns that market so completely. Hyundai has a strong place in the market for small cars that people want to own. Tata Motors is taking a chance by changing its strategy to bet that the market is going toward design and electric cars. It's not as easy to tell what Toyota is doing. It began as a high-end brand, built real brand equity, and is now using its partnership with </w:t>
      </w:r>
      <w:proofErr w:type="spellStart"/>
      <w:r w:rsidRPr="00786E87">
        <w:t>Maruti</w:t>
      </w:r>
      <w:proofErr w:type="spellEnd"/>
      <w:r w:rsidRPr="00786E87">
        <w:t xml:space="preserve"> Suzuki to offer rebadged models in volume segments it didn't pay much attention to before. This report's main question is whether the brand is stronger or weaker because of the hybrid strategy.</w:t>
      </w:r>
    </w:p>
    <w:p w:rsidR="00786E87" w:rsidRDefault="00786E87" w:rsidP="00B4474B">
      <w:pPr>
        <w:pStyle w:val="Heading1"/>
        <w:spacing w:line="276" w:lineRule="auto"/>
        <w:rPr>
          <w:sz w:val="24"/>
          <w:szCs w:val="24"/>
        </w:rPr>
      </w:pPr>
    </w:p>
    <w:p w:rsidR="00786E87" w:rsidRDefault="00786E87" w:rsidP="00B4474B">
      <w:pPr>
        <w:pStyle w:val="Heading1"/>
        <w:spacing w:line="276" w:lineRule="auto"/>
        <w:rPr>
          <w:sz w:val="24"/>
          <w:szCs w:val="24"/>
        </w:rPr>
      </w:pPr>
    </w:p>
    <w:p w:rsidR="00025F5D" w:rsidRPr="00786E87" w:rsidRDefault="00786413" w:rsidP="00B4474B">
      <w:pPr>
        <w:pStyle w:val="Heading1"/>
        <w:spacing w:line="276" w:lineRule="auto"/>
        <w:rPr>
          <w:sz w:val="32"/>
          <w:szCs w:val="24"/>
        </w:rPr>
      </w:pPr>
      <w:r w:rsidRPr="00786E87">
        <w:rPr>
          <w:sz w:val="32"/>
          <w:szCs w:val="24"/>
        </w:rPr>
        <w:t>3.0 Porter's Diamond Model Analysis</w:t>
      </w:r>
    </w:p>
    <w:p w:rsidR="00E1705B" w:rsidRPr="00786E87" w:rsidRDefault="008E7CEF" w:rsidP="00B4474B">
      <w:pPr>
        <w:spacing w:line="276" w:lineRule="auto"/>
      </w:pPr>
      <w:r>
        <w:t>According to Porters Diamond Model (Porter, 1990), national competitive advantage is developed as a result of interaction between four determinants, which are factor conditions, demand conditions, related and supporting industries, and firm strategy, structure and rivalry, which is influenced by government policy and unforeseen events.</w:t>
      </w:r>
    </w:p>
    <w:p w:rsidR="00786E87" w:rsidRDefault="00786E87" w:rsidP="00B4474B">
      <w:pPr>
        <w:pStyle w:val="Heading2"/>
        <w:spacing w:line="276" w:lineRule="auto"/>
      </w:pPr>
    </w:p>
    <w:p w:rsidR="00025F5D" w:rsidRPr="00786E87" w:rsidRDefault="00786413" w:rsidP="00B4474B">
      <w:pPr>
        <w:pStyle w:val="Heading2"/>
        <w:spacing w:line="276" w:lineRule="auto"/>
        <w:rPr>
          <w:sz w:val="28"/>
        </w:rPr>
      </w:pPr>
      <w:r w:rsidRPr="00786E87">
        <w:rPr>
          <w:sz w:val="28"/>
        </w:rPr>
        <w:t>3.1 Factor Conditions</w:t>
      </w:r>
    </w:p>
    <w:p w:rsidR="00E1705B" w:rsidRPr="00786E87" w:rsidRDefault="00E1705B" w:rsidP="00B4474B">
      <w:pPr>
        <w:spacing w:line="276" w:lineRule="auto"/>
      </w:pPr>
      <w:r w:rsidRPr="00786E87">
        <w:t xml:space="preserve">India has good basic conditions for doing business. The country has more than 900 million people who are able to work, and it can make things on a large scale for wages that are about one-tenth of what they are in Germany and one-sixth of what they are in China (International </w:t>
      </w:r>
      <w:proofErr w:type="spellStart"/>
      <w:r w:rsidRPr="00786E87">
        <w:t>Labour</w:t>
      </w:r>
      <w:proofErr w:type="spellEnd"/>
      <w:r w:rsidRPr="00786E87">
        <w:t xml:space="preserve"> Organization, 2023). This is a long-term cost benefit for making things that need a lot of people to do. Advanced factor conditions are more mixed: India produces about 1.5 million engineering graduates every year, which means there are a lot of skilled technical workers in the country (All India Council for Technical Education, 2023). But the infrastructure in secondary locations is still not very good, and smaller suppliers still have to pay a lot for financing. </w:t>
      </w:r>
      <w:r w:rsidR="008E7CEF">
        <w:t xml:space="preserve">According to </w:t>
      </w:r>
      <w:proofErr w:type="spellStart"/>
      <w:r w:rsidR="008E7CEF">
        <w:t>Lall</w:t>
      </w:r>
      <w:proofErr w:type="spellEnd"/>
      <w:r w:rsidR="008E7CEF">
        <w:t xml:space="preserve"> (2001), to overcome dependence on low-cost factors, it is important to intentionally invest in knowledge infrastructure and India is moving towards this goal but does not fulfil it as yet.</w:t>
      </w:r>
    </w:p>
    <w:p w:rsidR="00786E87" w:rsidRDefault="00786E87" w:rsidP="00B4474B">
      <w:pPr>
        <w:pStyle w:val="Heading2"/>
        <w:spacing w:line="276" w:lineRule="auto"/>
        <w:rPr>
          <w:sz w:val="28"/>
        </w:rPr>
      </w:pPr>
    </w:p>
    <w:p w:rsidR="00025F5D" w:rsidRPr="00786E87" w:rsidRDefault="00786413" w:rsidP="00B4474B">
      <w:pPr>
        <w:pStyle w:val="Heading2"/>
        <w:spacing w:line="276" w:lineRule="auto"/>
        <w:rPr>
          <w:sz w:val="28"/>
        </w:rPr>
      </w:pPr>
      <w:r w:rsidRPr="00786E87">
        <w:rPr>
          <w:sz w:val="28"/>
        </w:rPr>
        <w:t>3.2 Demand Conditions</w:t>
      </w:r>
    </w:p>
    <w:p w:rsidR="00786E87" w:rsidRDefault="006321F5" w:rsidP="00B4474B">
      <w:pPr>
        <w:spacing w:line="276" w:lineRule="auto"/>
      </w:pPr>
      <w:r w:rsidRPr="00786E87">
        <w:t xml:space="preserve">The car market in India is the fourth largest in the world. According to KPMG (2023), sales of passenger cars will be between 5 and 7 million units by 2030. The problem is that customers have always been very sensitive to price, especially in the entry-level and compact segments. The average income per person is about $2,500, so most buyers are really pushing their budgets. The quality of demand at the top is changing. Cities are home to more people than ever before, and digital media has made them more aware of global trends. People are also more worried about safety and the environment. These changes are changing what young city buyers want. </w:t>
      </w:r>
      <w:r w:rsidR="008E7CEF">
        <w:t>The EVs are gaining popularity with the FAME II incentive program, but they only constitute less than 2 percent of the market (Society of Indian Automobile Manufacturers, 2023).</w:t>
      </w:r>
      <w:r w:rsidRPr="00786E87">
        <w:t xml:space="preserve"> Porter (1990) asserts that advanced domestic demand functions as a competitive training ground — India is transitioning into that market, although it has not yet fully materialized.</w:t>
      </w:r>
    </w:p>
    <w:p w:rsidR="00B4474B" w:rsidRPr="00743CA6" w:rsidRDefault="00B4474B" w:rsidP="00B4474B">
      <w:pPr>
        <w:spacing w:line="276" w:lineRule="auto"/>
      </w:pPr>
    </w:p>
    <w:p w:rsidR="00025F5D" w:rsidRPr="00786E87" w:rsidRDefault="00786413" w:rsidP="00B4474B">
      <w:pPr>
        <w:pStyle w:val="Heading2"/>
        <w:spacing w:line="276" w:lineRule="auto"/>
        <w:rPr>
          <w:sz w:val="28"/>
        </w:rPr>
      </w:pPr>
      <w:r w:rsidRPr="00786E87">
        <w:rPr>
          <w:sz w:val="28"/>
        </w:rPr>
        <w:lastRenderedPageBreak/>
        <w:t>3.3 Related and Supporting Industries</w:t>
      </w:r>
    </w:p>
    <w:p w:rsidR="006321F5" w:rsidRPr="00786E87" w:rsidRDefault="008E7CEF" w:rsidP="00B4474B">
      <w:pPr>
        <w:spacing w:line="276" w:lineRule="auto"/>
      </w:pPr>
      <w:r>
        <w:t xml:space="preserve">The automotive parts sector companies in India have approximately 500 Tier 1 suppliers and thousands of other smaller manufacturers. The Automotive Component Manufacturers Association of India (2023) estimated that the exports in the component industry were approximately USD 20 billion in 2022-23. There is also Bosch, Continental, Denso and ZF Friedrichshafen which are all global Tier 1 companies that transact quite a lot of business in India. This increases the level of technical standards and eases the process of sharing technology. The theory of agglomeration gathers by Marshall (1890) the reason of clustering the cities of Chennai, Pune, and the NCR: they have agglomeration of logistics, they work together on development, and have a cheaper cost of transaction. The Toyota Production System can easily deal with a very tight supply chain since the Toyota </w:t>
      </w:r>
      <w:proofErr w:type="spellStart"/>
      <w:r>
        <w:t>Bidadi</w:t>
      </w:r>
      <w:proofErr w:type="spellEnd"/>
      <w:r>
        <w:t xml:space="preserve"> plant is near to the suppliers in Karnataka and Tamil Nadu. The gap is last in the advanced semiconductors. The worldwide pandemic of chip shortage in 2021-22 reflected how reliant India is in this regard.</w:t>
      </w:r>
    </w:p>
    <w:p w:rsidR="00786E87" w:rsidRDefault="00786E87" w:rsidP="00B4474B">
      <w:pPr>
        <w:pStyle w:val="Heading2"/>
        <w:spacing w:line="276" w:lineRule="auto"/>
        <w:rPr>
          <w:sz w:val="28"/>
        </w:rPr>
      </w:pPr>
    </w:p>
    <w:p w:rsidR="00025F5D" w:rsidRPr="00786E87" w:rsidRDefault="00786413" w:rsidP="00B4474B">
      <w:pPr>
        <w:pStyle w:val="Heading2"/>
        <w:spacing w:line="276" w:lineRule="auto"/>
        <w:rPr>
          <w:sz w:val="28"/>
        </w:rPr>
      </w:pPr>
      <w:r w:rsidRPr="00786E87">
        <w:rPr>
          <w:sz w:val="28"/>
        </w:rPr>
        <w:t>3.4 Firm Strategy, Structure and Rivalry</w:t>
      </w:r>
    </w:p>
    <w:p w:rsidR="006321F5" w:rsidRPr="00786E87" w:rsidRDefault="006321F5" w:rsidP="00B4474B">
      <w:pPr>
        <w:spacing w:line="276" w:lineRule="auto"/>
      </w:pPr>
      <w:r w:rsidRPr="00786E87">
        <w:t xml:space="preserve">There is a strong domestic leader in the Indian passenger vehicle market, as well as several well-funded multinational subsidiaries and new companies from South Korea and China that are very aggressive. There is no such thing as a competitive edge that lasts forever. </w:t>
      </w:r>
      <w:r w:rsidR="008E7CEF">
        <w:t>The departure of Ford in 2021 and the previous one of General Motors indicate that being a famous international brand does not necessarily translate into success: both companies failed to achieve their fixed-cost coverage and consumer pertinence.</w:t>
      </w:r>
      <w:r w:rsidRPr="00786E87">
        <w:t xml:space="preserve"> The survivors have really improved their management skills. Tata Motors' purchase of Jaguar Land Rover and Mahindra's global partnerships show that they want to do more than just sell cars in India. Toyota's decision to strengthen its partnership with </w:t>
      </w:r>
      <w:proofErr w:type="spellStart"/>
      <w:r w:rsidRPr="00786E87">
        <w:t>Maruti</w:t>
      </w:r>
      <w:proofErr w:type="spellEnd"/>
      <w:r w:rsidRPr="00786E87">
        <w:t xml:space="preserve"> Suzuki instead of trying to become fully independent shows that it has honestly thought about how much it would cost to be self-sufficient in the market.</w:t>
      </w:r>
    </w:p>
    <w:p w:rsidR="00786E87" w:rsidRDefault="00786E87" w:rsidP="00B4474B">
      <w:pPr>
        <w:pStyle w:val="Heading2"/>
        <w:spacing w:line="276" w:lineRule="auto"/>
      </w:pPr>
    </w:p>
    <w:p w:rsidR="00025F5D" w:rsidRPr="00786E87" w:rsidRDefault="00786413" w:rsidP="00B4474B">
      <w:pPr>
        <w:pStyle w:val="Heading2"/>
        <w:spacing w:line="276" w:lineRule="auto"/>
        <w:rPr>
          <w:sz w:val="28"/>
        </w:rPr>
      </w:pPr>
      <w:r w:rsidRPr="00786E87">
        <w:rPr>
          <w:sz w:val="28"/>
        </w:rPr>
        <w:t>3.5 Government Policy and Chance Events</w:t>
      </w:r>
    </w:p>
    <w:p w:rsidR="006321F5" w:rsidRDefault="006321F5" w:rsidP="00B4474B">
      <w:pPr>
        <w:spacing w:line="276" w:lineRule="auto"/>
      </w:pPr>
      <w:r w:rsidRPr="00786E87">
        <w:t xml:space="preserve">The Automotive Mission Plan 2016–26, the Production Linked Incentive scheme, and the FAME II EV program are all examples of current policy support, not just past support (Ministry of Heavy Industries, 2016). The effectiveness of something changes depending on how well it is put into practice and how well it works in all states. The COVID-19 pandemic messed up supply chains and made demand drop sharply, but its longer-term effects—speeding up digitalization and making people want to be able to move around more—have been mostly good. The switch to electric vehicles (EVs) around the world is the biggest change in the structure of the </w:t>
      </w:r>
      <w:r w:rsidRPr="00786E87">
        <w:lastRenderedPageBreak/>
        <w:t>industry, changing what it needs to be competitive. India's ability to build its own battery and charging infrastructure will determine whether it stays competitive or loses ground in the next ten years.</w:t>
      </w:r>
    </w:p>
    <w:p w:rsidR="00B4474B" w:rsidRPr="00786E87" w:rsidRDefault="00B4474B" w:rsidP="00B4474B">
      <w:pPr>
        <w:spacing w:line="276" w:lineRule="auto"/>
      </w:pPr>
    </w:p>
    <w:p w:rsidR="00025F5D" w:rsidRPr="00786E87" w:rsidRDefault="00786413" w:rsidP="00B4474B">
      <w:pPr>
        <w:pStyle w:val="Heading1"/>
        <w:spacing w:line="276" w:lineRule="auto"/>
        <w:rPr>
          <w:sz w:val="32"/>
          <w:szCs w:val="24"/>
        </w:rPr>
      </w:pPr>
      <w:r w:rsidRPr="00786E87">
        <w:rPr>
          <w:sz w:val="32"/>
          <w:szCs w:val="24"/>
        </w:rPr>
        <w:t xml:space="preserve">4.0 Toyota </w:t>
      </w:r>
      <w:proofErr w:type="spellStart"/>
      <w:r w:rsidRPr="00786E87">
        <w:rPr>
          <w:sz w:val="32"/>
          <w:szCs w:val="24"/>
        </w:rPr>
        <w:t>Kirloskar</w:t>
      </w:r>
      <w:proofErr w:type="spellEnd"/>
      <w:r w:rsidRPr="00786E87">
        <w:rPr>
          <w:sz w:val="32"/>
          <w:szCs w:val="24"/>
        </w:rPr>
        <w:t xml:space="preserve"> Motor: Critical Market Analysis</w:t>
      </w:r>
    </w:p>
    <w:p w:rsidR="00025F5D" w:rsidRPr="00786E87" w:rsidRDefault="00786413" w:rsidP="00B4474B">
      <w:pPr>
        <w:pStyle w:val="Heading2"/>
        <w:spacing w:line="276" w:lineRule="auto"/>
        <w:rPr>
          <w:sz w:val="28"/>
        </w:rPr>
      </w:pPr>
      <w:r w:rsidRPr="00786E87">
        <w:rPr>
          <w:sz w:val="28"/>
        </w:rPr>
        <w:t>4.1 Company Overview</w:t>
      </w:r>
    </w:p>
    <w:p w:rsidR="006321F5" w:rsidRPr="00786E87" w:rsidRDefault="006321F5" w:rsidP="00B4474B">
      <w:pPr>
        <w:spacing w:line="276" w:lineRule="auto"/>
      </w:pPr>
      <w:r w:rsidRPr="00786E87">
        <w:t xml:space="preserve">Toyota Motor Corporation makes about 10 million cars a year. Its network includes Japan, the United States, Europe, Southeast Asia, and South America (Toyota Motor Corporation, 2023). It came up with the Toyota Production System, a type of lean manufacturing that has changed how businesses work all over the world since the 1980s. It also made the Prius, which was the first hybrid car that was available to everyone. Toyota always puts making things in the country ahead of servicing things that are brought in. This fits with its philosophy of lean production and the fact that host governments treat companies that really invest locally differently. Toyota (89% equity) and the </w:t>
      </w:r>
      <w:proofErr w:type="spellStart"/>
      <w:r w:rsidRPr="00786E87">
        <w:t>Kirloskar</w:t>
      </w:r>
      <w:proofErr w:type="spellEnd"/>
      <w:r w:rsidRPr="00786E87">
        <w:t xml:space="preserve"> Group (11% equity) started TKM in India in 1997. In 2000, the first factory opened in </w:t>
      </w:r>
      <w:proofErr w:type="spellStart"/>
      <w:r w:rsidRPr="00786E87">
        <w:t>Bidadi</w:t>
      </w:r>
      <w:proofErr w:type="spellEnd"/>
      <w:r w:rsidRPr="00786E87">
        <w:t xml:space="preserve">, Karnataka. In 2010, a second factory was added (Toyota </w:t>
      </w:r>
      <w:proofErr w:type="spellStart"/>
      <w:r w:rsidRPr="00786E87">
        <w:t>Kirloskar</w:t>
      </w:r>
      <w:proofErr w:type="spellEnd"/>
      <w:r w:rsidRPr="00786E87">
        <w:t xml:space="preserve"> Motor, 2023). The factory can make about 310,000 units a year, and the total amount of money invested is more than $2 billion. The main point of the analysis below is how to meet India's price-sensitive demand while still having a high-end brand image.</w:t>
      </w:r>
    </w:p>
    <w:p w:rsidR="00786E87" w:rsidRDefault="00786E87" w:rsidP="00B4474B">
      <w:pPr>
        <w:pStyle w:val="Heading2"/>
        <w:spacing w:line="276" w:lineRule="auto"/>
      </w:pPr>
    </w:p>
    <w:p w:rsidR="00025F5D" w:rsidRPr="00786E87" w:rsidRDefault="00786413" w:rsidP="00B4474B">
      <w:pPr>
        <w:pStyle w:val="Heading2"/>
        <w:spacing w:line="276" w:lineRule="auto"/>
        <w:rPr>
          <w:sz w:val="28"/>
        </w:rPr>
      </w:pPr>
      <w:r w:rsidRPr="00786E87">
        <w:rPr>
          <w:sz w:val="28"/>
        </w:rPr>
        <w:t>4.2 Political Factors</w:t>
      </w:r>
    </w:p>
    <w:p w:rsidR="00786E87" w:rsidRDefault="006321F5" w:rsidP="00B4474B">
      <w:pPr>
        <w:spacing w:line="276" w:lineRule="auto"/>
      </w:pPr>
      <w:r w:rsidRPr="00786E87">
        <w:t xml:space="preserve">The political climate for foreign direct investment in the auto industry has been mostly good. The Japan-India Comprehensive Economic Partnership Agreement (2011) made it easier for Toyota to invest in India by lowering tariffs and making the rules </w:t>
      </w:r>
      <w:proofErr w:type="gramStart"/>
      <w:r w:rsidRPr="00786E87">
        <w:t>more clear</w:t>
      </w:r>
      <w:proofErr w:type="gramEnd"/>
      <w:r w:rsidRPr="00786E87">
        <w:t xml:space="preserve">. This is a key CAGE dimension in </w:t>
      </w:r>
      <w:proofErr w:type="spellStart"/>
      <w:r w:rsidRPr="00786E87">
        <w:t>Ghemawat</w:t>
      </w:r>
      <w:proofErr w:type="spellEnd"/>
      <w:r w:rsidRPr="00786E87">
        <w:t xml:space="preserve"> (2001). The Make in India program has been actively promoting full-scale local manufacturing since 2014. The state of Karnataka has helped </w:t>
      </w:r>
      <w:proofErr w:type="spellStart"/>
      <w:r w:rsidRPr="00786E87">
        <w:t>Bidadi</w:t>
      </w:r>
      <w:proofErr w:type="spellEnd"/>
      <w:r w:rsidRPr="00786E87">
        <w:t xml:space="preserve"> by giving it land and infrastructure (Government of India, 2023). The federal structure of India makes things harder. For instance, each state has its own set of rules for workers, taxes, and the environment, which makes things more difficult and adds to the work that managers have to do. By focusing production in Karnataka and only making a few models in Gujarat by </w:t>
      </w:r>
      <w:proofErr w:type="spellStart"/>
      <w:r w:rsidRPr="00786E87">
        <w:t>Maruti</w:t>
      </w:r>
      <w:proofErr w:type="spellEnd"/>
      <w:r w:rsidRPr="00786E87">
        <w:t xml:space="preserve"> Suzuki, Toyota makes it easier to manage by cutting down on the number of locations. India's choice to stop talking about RCEP in 2019 made it harder for Toyota's Indian exports to get into Asian markets with lower tariffs. Tariffs change from time to time, which makes it harder to guess how much exports will cost (Ministry of Commerce and Industry, 2019). Dunning's (1993) OLI framework is useful in this case. Location advantages encompass not only cost but also </w:t>
      </w:r>
      <w:r w:rsidRPr="00786E87">
        <w:lastRenderedPageBreak/>
        <w:t>institutional quality and policy stability. This means that managing political risk is a real strategic priority, not just something that needs to be done to stay in compliance.</w:t>
      </w:r>
    </w:p>
    <w:p w:rsidR="00B4474B" w:rsidRDefault="00B4474B" w:rsidP="00B4474B">
      <w:pPr>
        <w:spacing w:line="276" w:lineRule="auto"/>
      </w:pPr>
    </w:p>
    <w:p w:rsidR="00025F5D" w:rsidRPr="00786E87" w:rsidRDefault="00786413" w:rsidP="00B4474B">
      <w:pPr>
        <w:pStyle w:val="Heading2"/>
        <w:spacing w:line="276" w:lineRule="auto"/>
        <w:rPr>
          <w:sz w:val="28"/>
        </w:rPr>
      </w:pPr>
      <w:r w:rsidRPr="00786E87">
        <w:rPr>
          <w:sz w:val="28"/>
        </w:rPr>
        <w:t>4.3 Economic Factors</w:t>
      </w:r>
    </w:p>
    <w:p w:rsidR="006321F5" w:rsidRPr="00786E87" w:rsidRDefault="006321F5" w:rsidP="00B4474B">
      <w:pPr>
        <w:spacing w:line="276" w:lineRule="auto"/>
      </w:pPr>
      <w:r w:rsidRPr="00786E87">
        <w:t xml:space="preserve">India's nominal GDP was over $3.5 trillion in 2023, and it grew by 6–7 percent every year. According to the World Bank (2023), there are now 300 million middle-class people, and by 2030, there will be 500 million. The main problem for Toyota is that most of the cars people want are small and entry-level, which is where </w:t>
      </w:r>
      <w:proofErr w:type="spellStart"/>
      <w:r w:rsidRPr="00786E87">
        <w:t>Maruti</w:t>
      </w:r>
      <w:proofErr w:type="spellEnd"/>
      <w:r w:rsidRPr="00786E87">
        <w:t xml:space="preserve"> Suzuki does best. Toyota's own models have never been able to beat the price. </w:t>
      </w:r>
      <w:proofErr w:type="spellStart"/>
      <w:r w:rsidRPr="00786E87">
        <w:t>Prahalad</w:t>
      </w:r>
      <w:proofErr w:type="spellEnd"/>
      <w:r w:rsidRPr="00786E87">
        <w:t xml:space="preserve"> (2005) asserts that adequately addressing the needs of lower-income consumers requires genuine adaptation of the business model rather than simply lowering the prices of current products. Toyota's use of rebadged </w:t>
      </w:r>
      <w:proofErr w:type="spellStart"/>
      <w:r w:rsidRPr="00786E87">
        <w:t>Maruti</w:t>
      </w:r>
      <w:proofErr w:type="spellEnd"/>
      <w:r w:rsidRPr="00786E87">
        <w:t xml:space="preserve"> Suzuki models like the Urban Cruiser </w:t>
      </w:r>
      <w:proofErr w:type="spellStart"/>
      <w:r w:rsidRPr="00786E87">
        <w:t>Hyryder</w:t>
      </w:r>
      <w:proofErr w:type="spellEnd"/>
      <w:r w:rsidRPr="00786E87">
        <w:t xml:space="preserve"> and </w:t>
      </w:r>
      <w:proofErr w:type="spellStart"/>
      <w:r w:rsidRPr="00786E87">
        <w:t>Glanza</w:t>
      </w:r>
      <w:proofErr w:type="spellEnd"/>
      <w:r w:rsidRPr="00786E87">
        <w:t xml:space="preserve"> for volume segments is a smart move, but it does make people worry about the brand's long-term coherence. Changes in currency make things even more difficult. For instance, the rupee's long-term drop in value against the yen makes parts that are imported more expensive and lowers India's earnings in Toyota's consolidated accounts. A localization rate of 70–80% is a good level of protection, but there is still some risk from the powertrain and electronics (Ministry of Road Transport and Highways, 2023).</w:t>
      </w:r>
    </w:p>
    <w:p w:rsidR="00786E87" w:rsidRDefault="00786E87" w:rsidP="00B4474B">
      <w:pPr>
        <w:pStyle w:val="Heading2"/>
        <w:spacing w:line="276" w:lineRule="auto"/>
      </w:pPr>
    </w:p>
    <w:p w:rsidR="00025F5D" w:rsidRPr="00786E87" w:rsidRDefault="00786413" w:rsidP="00B4474B">
      <w:pPr>
        <w:pStyle w:val="Heading2"/>
        <w:spacing w:line="276" w:lineRule="auto"/>
        <w:rPr>
          <w:sz w:val="28"/>
        </w:rPr>
      </w:pPr>
      <w:r w:rsidRPr="00786E87">
        <w:rPr>
          <w:sz w:val="28"/>
        </w:rPr>
        <w:t>4.4 Legal Factors</w:t>
      </w:r>
    </w:p>
    <w:p w:rsidR="006321F5" w:rsidRPr="00786E87" w:rsidRDefault="008E7CEF" w:rsidP="00B4474B">
      <w:pPr>
        <w:spacing w:line="276" w:lineRule="auto"/>
      </w:pPr>
      <w:r>
        <w:t>The common law tradition of India offers an overall framework of contract and regulation of multinational agreements but does not resolve dispute promptly due to the court delays (World Bank, 2020).</w:t>
      </w:r>
      <w:r w:rsidR="006321F5" w:rsidRPr="00786E87">
        <w:t xml:space="preserve"> Changes to the law and commitments made under TRIPS have made intellectual property protection stronger. Toyota needs to know this because it owns the hybrid powertrain technologies used in the </w:t>
      </w:r>
      <w:proofErr w:type="spellStart"/>
      <w:r w:rsidR="006321F5" w:rsidRPr="00786E87">
        <w:t>Hyryder</w:t>
      </w:r>
      <w:proofErr w:type="spellEnd"/>
      <w:r w:rsidR="006321F5" w:rsidRPr="00786E87">
        <w:t xml:space="preserve"> and </w:t>
      </w:r>
      <w:proofErr w:type="spellStart"/>
      <w:r w:rsidR="006321F5" w:rsidRPr="00786E87">
        <w:t>Vellfire</w:t>
      </w:r>
      <w:proofErr w:type="spellEnd"/>
      <w:r w:rsidR="006321F5" w:rsidRPr="00786E87">
        <w:t xml:space="preserve">. The switch to BS-VI emission standards, which are the same as Euro 6, in April 2020 cost a lot of money to re-engineer engines all over the place (Ministry of Road Transport and Highways, 2020). This was both a cost of compliance and a chance to compete for Toyota, which has a strong powertrain. Manufacturers with less advanced engine portfolios find it harder to get into the market when standards are stricter. </w:t>
      </w:r>
      <w:r>
        <w:t>The Bharat NCAP safety program (2023) is financially compensated, yet it compensates manufacturers, in whose global platforms, the basic requirements are already satisfied or even more.</w:t>
      </w:r>
      <w:r w:rsidR="006321F5" w:rsidRPr="00786E87">
        <w:t xml:space="preserve"> The Ministry of Road Transport and Highways says that Toyota's platforms do. The automatic FDI route that lets 100% foreign ownership in car manufacturing means that Toyota doesn't need the government's permission to keep its large TKM equity stake. This means it can work to its own quality standards without having to follow the rules for joint ventures.</w:t>
      </w:r>
    </w:p>
    <w:p w:rsidR="00786E87" w:rsidRDefault="00786E87" w:rsidP="00B4474B">
      <w:pPr>
        <w:pStyle w:val="Heading2"/>
        <w:spacing w:line="276" w:lineRule="auto"/>
        <w:rPr>
          <w:sz w:val="28"/>
        </w:rPr>
      </w:pPr>
    </w:p>
    <w:p w:rsidR="00025F5D" w:rsidRPr="00786E87" w:rsidRDefault="00786413" w:rsidP="00B4474B">
      <w:pPr>
        <w:pStyle w:val="Heading2"/>
        <w:spacing w:line="276" w:lineRule="auto"/>
        <w:rPr>
          <w:sz w:val="28"/>
        </w:rPr>
      </w:pPr>
      <w:r w:rsidRPr="00786E87">
        <w:rPr>
          <w:sz w:val="28"/>
        </w:rPr>
        <w:lastRenderedPageBreak/>
        <w:t>4.5 Cultural Factors</w:t>
      </w:r>
    </w:p>
    <w:p w:rsidR="006321F5" w:rsidRPr="00786E87" w:rsidRDefault="006321F5" w:rsidP="00B4474B">
      <w:pPr>
        <w:spacing w:line="276" w:lineRule="auto"/>
      </w:pPr>
      <w:r w:rsidRPr="00786E87">
        <w:t xml:space="preserve">Japan and India have a cultural gap that is real but not too big to handle. Hofstede's (2011) framework shows that both societies have a lot of power distance, which means that Toyota doesn't need to change its hierarchical management style very much. India's lower score on uncertainty avoidance shows that they are more open to improvisation than the Toyota Production System, which is all about getting things right. Japan, on the other hand, is much better at long-term planning. Consumer behavior is also shaped by culture. For example, in India, buying a car is usually a family decision that shows off your social status as well as your practical needs. These reasons fit well with Toyota's reputation as a high-end, reliable brand. Because of differences between regions, marketing localization is necessary for 1.4 billion people. Toyota meets these needs by talking to people at the state level while keeping a consistent national brand identity. </w:t>
      </w:r>
      <w:r w:rsidR="008E7CEF">
        <w:t xml:space="preserve">According to </w:t>
      </w:r>
      <w:proofErr w:type="spellStart"/>
      <w:r w:rsidR="008E7CEF">
        <w:t>Triandis</w:t>
      </w:r>
      <w:proofErr w:type="spellEnd"/>
      <w:r w:rsidR="008E7CEF">
        <w:t xml:space="preserve"> (1995), collectivist cultures focus on relational trust as a factor in business partnerships; the fact that the working relationship between Toyota and </w:t>
      </w:r>
      <w:proofErr w:type="spellStart"/>
      <w:r w:rsidR="008E7CEF">
        <w:t>Kirloskar</w:t>
      </w:r>
      <w:proofErr w:type="spellEnd"/>
      <w:r w:rsidR="008E7CEF">
        <w:t xml:space="preserve"> has lasted almost a period of thirty years is evidence of the fact that such an institution has decided to build trust over a long period.</w:t>
      </w:r>
    </w:p>
    <w:p w:rsidR="00786E87" w:rsidRDefault="00786E87" w:rsidP="00B4474B">
      <w:pPr>
        <w:pStyle w:val="Heading2"/>
        <w:spacing w:line="276" w:lineRule="auto"/>
      </w:pPr>
    </w:p>
    <w:p w:rsidR="00025F5D" w:rsidRPr="00786E87" w:rsidRDefault="00786413" w:rsidP="00B4474B">
      <w:pPr>
        <w:pStyle w:val="Heading2"/>
        <w:spacing w:line="276" w:lineRule="auto"/>
        <w:rPr>
          <w:sz w:val="28"/>
        </w:rPr>
      </w:pPr>
      <w:r w:rsidRPr="00786E87">
        <w:rPr>
          <w:sz w:val="28"/>
        </w:rPr>
        <w:t>4.6 CAGE Framework Application</w:t>
      </w:r>
    </w:p>
    <w:p w:rsidR="00786E87" w:rsidRDefault="006321F5" w:rsidP="00B4474B">
      <w:pPr>
        <w:spacing w:line="276" w:lineRule="auto"/>
      </w:pPr>
      <w:r w:rsidRPr="00786E87">
        <w:t xml:space="preserve">You can easily see what is most important when you use </w:t>
      </w:r>
      <w:proofErr w:type="spellStart"/>
      <w:r w:rsidRPr="00786E87">
        <w:t>Ghemawat's</w:t>
      </w:r>
      <w:proofErr w:type="spellEnd"/>
      <w:r w:rsidRPr="00786E87">
        <w:t xml:space="preserve"> (2001) CAGE framework in a systematic way. After 20 years of working in India, cultural distance is moderate and well-managed. Bilateral agreements have slowly made the government and politics less separate, but the federal system is still a point of contention because it is so complicated. Geographic distance is important in general, but TKM's fully integrated local manufacturing fixes the problem. The main limit is how far away the economy is. Japan has a per capita income of about $34,000, while India has a per capita income of about $2,500. This has an effect on every part of Toyota's business plan, from which models to sell to how much to charge for service and parts. The fact that the economies are so different is a big reason why Toyota can't just use the same strategy that works in Japan or Europe. </w:t>
      </w:r>
      <w:r w:rsidR="008E7CEF">
        <w:t xml:space="preserve">CAG analysis indicates that the key issue is the economic distance, and not the political risk, legal uncertainty, or cultural differences. </w:t>
      </w:r>
      <w:r w:rsidRPr="00786E87">
        <w:t>These can all be fixed. The main problem is that Toyota's brand equity supports a high-end position, but people in India are very price-sensitive because of how they make money. The main strategic goal is</w:t>
      </w:r>
      <w:r w:rsidR="008E7CEF">
        <w:t xml:space="preserve"> to figure out how to fix this.</w:t>
      </w:r>
    </w:p>
    <w:p w:rsidR="00743CA6" w:rsidRDefault="00743CA6" w:rsidP="00B4474B">
      <w:pPr>
        <w:pStyle w:val="Heading2"/>
        <w:spacing w:line="276" w:lineRule="auto"/>
      </w:pPr>
    </w:p>
    <w:p w:rsidR="00025F5D" w:rsidRPr="00786E87" w:rsidRDefault="00786413" w:rsidP="00B4474B">
      <w:pPr>
        <w:pStyle w:val="Heading2"/>
        <w:spacing w:line="276" w:lineRule="auto"/>
        <w:rPr>
          <w:sz w:val="28"/>
        </w:rPr>
      </w:pPr>
      <w:r w:rsidRPr="00786E87">
        <w:rPr>
          <w:sz w:val="28"/>
        </w:rPr>
        <w:t>4.7 Strategic Synthesis and Implications</w:t>
      </w:r>
    </w:p>
    <w:p w:rsidR="008E7CEF" w:rsidRDefault="006321F5" w:rsidP="00B4474B">
      <w:pPr>
        <w:spacing w:line="276" w:lineRule="auto"/>
      </w:pPr>
      <w:r w:rsidRPr="00786E87">
        <w:t xml:space="preserve">The picture shows that the market has a lot of long-term potential, but Toyota is having a lot of trouble right now. The political and legal climate is mostly good. The economy is good for long-term growth, but it's hard to make short-term gains. It is </w:t>
      </w:r>
      <w:r w:rsidRPr="00786E87">
        <w:lastRenderedPageBreak/>
        <w:t xml:space="preserve">possible to adapt to a new culture with practice. The biggest problem is that the economy is too far away, and the best way for Toyota to respond is to be the best at global hybrid technology. </w:t>
      </w:r>
      <w:r w:rsidR="008E7CEF">
        <w:t xml:space="preserve">Many people in India are unable to change to battery-electric due to the lack of good infrastructure in terms of charging. Moreover, the electricity grid is so carbon-heavy, so the case in favor of the grid-charged vehicles is undermined. The situation in India on the adoption of new technology is in a better position to support strong self-charging technology on hybrid that is proven to be cheap and does not need infrastructure. The ideal path to BEV that is leading policy discussions is not so good. This reading is supported by the fact that the </w:t>
      </w:r>
      <w:proofErr w:type="spellStart"/>
      <w:r w:rsidR="008E7CEF">
        <w:t>Hyryder</w:t>
      </w:r>
      <w:proofErr w:type="spellEnd"/>
      <w:r w:rsidR="008E7CEF">
        <w:t xml:space="preserve"> has performed well in the market early enough. This advantage will increase further in such case you aggressively localize hybrid parts. Toyota and Suzuki partnership also require increased investments. It not just is a compromise over market requirements, but also a genuine learning experience to Toyota. It allows them to get a glimpse into what </w:t>
      </w:r>
      <w:proofErr w:type="spellStart"/>
      <w:r w:rsidR="008E7CEF">
        <w:t>Maruti</w:t>
      </w:r>
      <w:proofErr w:type="spellEnd"/>
      <w:r w:rsidR="008E7CEF">
        <w:t xml:space="preserve"> Suzuki does regarding cost engineering and cost distribution and this could assist them in other emerging markets that share the same issue with economic distance. According to Johnson, Scholes, and Whittington (2017), alliances in complex markets are the most beneficial when considered as capability improvement platforms- the alliance (in India) of the Toyota company reflects such potential. </w:t>
      </w:r>
    </w:p>
    <w:p w:rsidR="00743CA6" w:rsidRPr="00743CA6" w:rsidRDefault="00743CA6" w:rsidP="00B4474B">
      <w:pPr>
        <w:spacing w:line="276" w:lineRule="auto"/>
      </w:pPr>
    </w:p>
    <w:p w:rsidR="00025F5D" w:rsidRPr="00786E87" w:rsidRDefault="00786413" w:rsidP="00B4474B">
      <w:pPr>
        <w:pStyle w:val="Heading1"/>
        <w:spacing w:line="276" w:lineRule="auto"/>
        <w:rPr>
          <w:sz w:val="32"/>
          <w:szCs w:val="24"/>
        </w:rPr>
      </w:pPr>
      <w:r w:rsidRPr="00786E87">
        <w:rPr>
          <w:sz w:val="32"/>
          <w:szCs w:val="24"/>
        </w:rPr>
        <w:t>5.0 Conclusion</w:t>
      </w:r>
    </w:p>
    <w:p w:rsidR="006321F5" w:rsidRPr="00786E87" w:rsidRDefault="006321F5" w:rsidP="00B4474B">
      <w:pPr>
        <w:spacing w:line="276" w:lineRule="auto"/>
      </w:pPr>
      <w:r w:rsidRPr="00786E87">
        <w:t xml:space="preserve">This report has used Porter's Diamond Model, PESTEL analysis, and the CAGE framework to look at the Indian automotive industry and see how Toyota </w:t>
      </w:r>
      <w:proofErr w:type="spellStart"/>
      <w:r w:rsidRPr="00786E87">
        <w:t>Kirloskar</w:t>
      </w:r>
      <w:proofErr w:type="spellEnd"/>
      <w:r w:rsidRPr="00786E87">
        <w:t xml:space="preserve"> Motor fits into it.</w:t>
      </w:r>
    </w:p>
    <w:p w:rsidR="006321F5" w:rsidRPr="00786E87" w:rsidRDefault="006321F5" w:rsidP="00B4474B">
      <w:pPr>
        <w:spacing w:line="276" w:lineRule="auto"/>
      </w:pPr>
      <w:r w:rsidRPr="00786E87">
        <w:t xml:space="preserve">The overview of the industry showed that it is a truly global sector that is changing structurally because of electrification and higher consumer expectations. </w:t>
      </w:r>
      <w:proofErr w:type="spellStart"/>
      <w:r w:rsidRPr="00786E87">
        <w:t>Maruti</w:t>
      </w:r>
      <w:proofErr w:type="spellEnd"/>
      <w:r w:rsidRPr="00786E87">
        <w:t xml:space="preserve"> Suzuki is the leader in low prices; Hyundai has a strong niche for differentiation; Tata Motors is shifting its focus to design and electric vehicles; and Toyota has a high-end position that is limited by volume and needs to be expanded rather than defended. The Diamond Model proved that India's competitive advantages, like low labor costs, skilled engineers, a wide range of suppliers, and a lot of competition, are real. But upgrading is hard because of problems with infrastructure, reliance on imported semiconductors, and a history of price-sensitive demand. The CAGE analysis revealed that economic distance constitutes Toyota's most significant strategic challenge. This is not the same as when political or cultural factors are more important. The main thing TKM needs to do to deal with that tension is to lead with hybrid technology, keep localizing, and make the </w:t>
      </w:r>
      <w:proofErr w:type="spellStart"/>
      <w:r w:rsidRPr="00786E87">
        <w:t>Maruti</w:t>
      </w:r>
      <w:proofErr w:type="spellEnd"/>
      <w:r w:rsidRPr="00786E87">
        <w:t xml:space="preserve"> Suzuki partnership more ambitious in terms of strategy. The main point is that international companies need to adapt to local conditions in order to do well in complex new markets. They can't lose the skills that make them a good choice.</w:t>
      </w:r>
    </w:p>
    <w:p w:rsidR="008E7CEF" w:rsidRDefault="008E7CEF" w:rsidP="00B4474B">
      <w:pPr>
        <w:spacing w:line="276" w:lineRule="auto"/>
        <w:jc w:val="center"/>
        <w:rPr>
          <w:b/>
          <w:bCs/>
          <w:color w:val="1F3864"/>
          <w:sz w:val="32"/>
        </w:rPr>
      </w:pPr>
    </w:p>
    <w:p w:rsidR="008E7CEF" w:rsidRDefault="008E7CEF" w:rsidP="00B4474B">
      <w:pPr>
        <w:spacing w:line="276" w:lineRule="auto"/>
        <w:jc w:val="center"/>
        <w:rPr>
          <w:b/>
          <w:bCs/>
          <w:color w:val="1F3864"/>
          <w:sz w:val="32"/>
        </w:rPr>
      </w:pPr>
    </w:p>
    <w:p w:rsidR="00025F5D" w:rsidRPr="00786E87" w:rsidRDefault="00786413" w:rsidP="00B4474B">
      <w:pPr>
        <w:spacing w:line="276" w:lineRule="auto"/>
        <w:jc w:val="center"/>
        <w:rPr>
          <w:sz w:val="32"/>
        </w:rPr>
      </w:pPr>
      <w:r w:rsidRPr="00786E87">
        <w:rPr>
          <w:b/>
          <w:bCs/>
          <w:color w:val="1F3864"/>
          <w:sz w:val="32"/>
        </w:rPr>
        <w:t>SECTION 2: REFLECTIVE ACCOUNT</w:t>
      </w:r>
    </w:p>
    <w:p w:rsidR="00786E87" w:rsidRDefault="00786E87" w:rsidP="00B4474B">
      <w:pPr>
        <w:pStyle w:val="Heading1"/>
        <w:spacing w:line="276" w:lineRule="auto"/>
        <w:rPr>
          <w:szCs w:val="24"/>
        </w:rPr>
      </w:pPr>
    </w:p>
    <w:p w:rsidR="00025F5D" w:rsidRPr="00786E87" w:rsidRDefault="00786413" w:rsidP="00B4474B">
      <w:pPr>
        <w:pStyle w:val="Heading1"/>
        <w:spacing w:line="276" w:lineRule="auto"/>
        <w:rPr>
          <w:szCs w:val="24"/>
        </w:rPr>
      </w:pPr>
      <w:r w:rsidRPr="00786E87">
        <w:rPr>
          <w:szCs w:val="24"/>
        </w:rPr>
        <w:t>Application of Gibbs' Reflective Cycle</w:t>
      </w:r>
    </w:p>
    <w:p w:rsidR="006321F5" w:rsidRPr="00786E87" w:rsidRDefault="008E7CEF" w:rsidP="00B4474B">
      <w:pPr>
        <w:spacing w:line="276" w:lineRule="auto"/>
      </w:pPr>
      <w:r>
        <w:t>According to Gibbs Reflective Cycle (Gibbs, 1988), experience provides a way of learning experience which is subdivided into six steps which include Description, Feelings, Evaluation, Analysis, Conclusion and Action Plan.</w:t>
      </w:r>
    </w:p>
    <w:p w:rsidR="00786E87" w:rsidRDefault="00786E87" w:rsidP="00B4474B">
      <w:pPr>
        <w:pStyle w:val="Heading2"/>
        <w:spacing w:line="276" w:lineRule="auto"/>
      </w:pPr>
    </w:p>
    <w:p w:rsidR="00025F5D" w:rsidRPr="00786E87" w:rsidRDefault="00786413" w:rsidP="00B4474B">
      <w:pPr>
        <w:pStyle w:val="Heading2"/>
        <w:spacing w:line="276" w:lineRule="auto"/>
        <w:rPr>
          <w:sz w:val="28"/>
        </w:rPr>
      </w:pPr>
      <w:r w:rsidRPr="00786E87">
        <w:rPr>
          <w:sz w:val="28"/>
        </w:rPr>
        <w:t>Description</w:t>
      </w:r>
    </w:p>
    <w:p w:rsidR="006321F5" w:rsidRPr="00786E87" w:rsidRDefault="006321F5" w:rsidP="00B4474B">
      <w:pPr>
        <w:spacing w:line="276" w:lineRule="auto"/>
      </w:pPr>
      <w:r w:rsidRPr="00786E87">
        <w:t xml:space="preserve">The task was to choose a country-industry pair, write an overview of the industry using Porter's Diamond Model, and look at how a specific foreign multinational company does business. I chose India and the automotive industry because there is a lot of analytical depth in the field and the data landscape is strong. It was clear that Toyota </w:t>
      </w:r>
      <w:proofErr w:type="spellStart"/>
      <w:r w:rsidRPr="00786E87">
        <w:t>Kirloskar</w:t>
      </w:r>
      <w:proofErr w:type="spellEnd"/>
      <w:r w:rsidRPr="00786E87">
        <w:t xml:space="preserve"> Motor would be the main company. The story of its time in India is interesting to look at because it isn't a clear success. A company that can make things at a world-class level and has a real brand name only has 4–5% of the market. A company that is connected to Japan has 42%. We need to explain that gap. </w:t>
      </w:r>
      <w:r w:rsidR="00743CA6">
        <w:t xml:space="preserve">The research was developed in such a way that it stopped focusing on a wide appeal to the publications of industry and financial media; it started to systematically analyze academic literature, governmental policy reports, and annual reports of companies. Frameworks necessitated a review of the key sources Porter (1990), </w:t>
      </w:r>
      <w:proofErr w:type="spellStart"/>
      <w:r w:rsidR="00743CA6">
        <w:t>Ghemawat</w:t>
      </w:r>
      <w:proofErr w:type="spellEnd"/>
      <w:r w:rsidR="00743CA6">
        <w:t xml:space="preserve"> (2001), Dunning (1993), </w:t>
      </w:r>
      <w:proofErr w:type="spellStart"/>
      <w:r w:rsidR="00743CA6">
        <w:t>Prahalad</w:t>
      </w:r>
      <w:proofErr w:type="spellEnd"/>
      <w:r w:rsidR="00743CA6">
        <w:t xml:space="preserve"> (2005) because the details that are important to critical analysis are often hidden in textbook summaries</w:t>
      </w:r>
    </w:p>
    <w:p w:rsidR="00786E87" w:rsidRDefault="00786E87" w:rsidP="00B4474B">
      <w:pPr>
        <w:pStyle w:val="Heading2"/>
        <w:spacing w:line="276" w:lineRule="auto"/>
        <w:rPr>
          <w:sz w:val="28"/>
        </w:rPr>
      </w:pPr>
    </w:p>
    <w:p w:rsidR="00025F5D" w:rsidRPr="00786E87" w:rsidRDefault="00786413" w:rsidP="00B4474B">
      <w:pPr>
        <w:pStyle w:val="Heading2"/>
        <w:spacing w:line="276" w:lineRule="auto"/>
        <w:rPr>
          <w:sz w:val="28"/>
        </w:rPr>
      </w:pPr>
      <w:r w:rsidRPr="00786E87">
        <w:rPr>
          <w:sz w:val="28"/>
        </w:rPr>
        <w:t>Feelings</w:t>
      </w:r>
    </w:p>
    <w:p w:rsidR="00786E87" w:rsidRDefault="006321F5" w:rsidP="00B4474B">
      <w:pPr>
        <w:spacing w:line="276" w:lineRule="auto"/>
      </w:pPr>
      <w:r w:rsidRPr="00786E87">
        <w:t xml:space="preserve">People were really excited about the topic at first, but they were also worried that they would get a fancy description instead of an in-depth analysis. It was hard not to want to tell the story of Toyota's history in India instead of analyzing it because the history is so interesting. The CAGE framework was the part that made me the </w:t>
      </w:r>
      <w:proofErr w:type="gramStart"/>
      <w:r w:rsidRPr="00786E87">
        <w:t>most angry</w:t>
      </w:r>
      <w:proofErr w:type="gramEnd"/>
      <w:r w:rsidRPr="00786E87">
        <w:t xml:space="preserve"> at first. I wrote the same amount about each of the four dimensions, which made me think they were all equally important. It took a long time to figure out that economic distance was the most important factor and that the argument should be based on that. This needed a lot of work to be done. When I stopped writing a symmetrical framework application and asked which dimension really explained the most important part of Toyota's strategic situation, the analysis got clearer and more honest.</w:t>
      </w:r>
    </w:p>
    <w:p w:rsidR="00025F5D" w:rsidRPr="00786E87" w:rsidRDefault="00786413" w:rsidP="00B4474B">
      <w:pPr>
        <w:pStyle w:val="Heading2"/>
        <w:spacing w:line="276" w:lineRule="auto"/>
        <w:rPr>
          <w:sz w:val="28"/>
        </w:rPr>
      </w:pPr>
      <w:r w:rsidRPr="00786E87">
        <w:rPr>
          <w:sz w:val="28"/>
        </w:rPr>
        <w:lastRenderedPageBreak/>
        <w:t>Evaluation</w:t>
      </w:r>
    </w:p>
    <w:p w:rsidR="006321F5" w:rsidRPr="00786E87" w:rsidRDefault="006321F5" w:rsidP="00B4474B">
      <w:pPr>
        <w:spacing w:line="276" w:lineRule="auto"/>
      </w:pPr>
      <w:r w:rsidRPr="00786E87">
        <w:t xml:space="preserve">The CAGE application and the Diamond Model analysis are the best parts. </w:t>
      </w:r>
      <w:r w:rsidR="008E7CEF">
        <w:t xml:space="preserve">The Diamond analysis does not merely tell what India has made it tries to examine the ways in which the strengths would benefit or work against the competitiveness of India. Indicatively, it examines the weakness of the semiconductor supply chain something that is generally absent in the happy stories. The CAGE application is quite persuasive in urging one to consider prioritizing over meandering towards the four-dimensional description. The weakest part of the initial few sections was the industry overview, which wasted excessive time addressing the past, and the legal analysis, which in its initial form, had provided a list of regulatory requirements with no reference to the specific competitive position of Toyota. The latter is </w:t>
      </w:r>
      <w:proofErr w:type="gramStart"/>
      <w:r w:rsidR="008E7CEF">
        <w:t>more sincere</w:t>
      </w:r>
      <w:proofErr w:type="gramEnd"/>
      <w:r w:rsidR="008E7CEF">
        <w:t xml:space="preserve"> in the sense that it views harsher regulations as a cost and an opportunity to compete.</w:t>
      </w:r>
    </w:p>
    <w:p w:rsidR="00786E87" w:rsidRDefault="00786E87" w:rsidP="00B4474B">
      <w:pPr>
        <w:pStyle w:val="Heading2"/>
        <w:spacing w:line="276" w:lineRule="auto"/>
        <w:rPr>
          <w:sz w:val="28"/>
        </w:rPr>
      </w:pPr>
    </w:p>
    <w:p w:rsidR="00025F5D" w:rsidRPr="00786E87" w:rsidRDefault="00786413" w:rsidP="00B4474B">
      <w:pPr>
        <w:pStyle w:val="Heading2"/>
        <w:spacing w:line="276" w:lineRule="auto"/>
        <w:rPr>
          <w:sz w:val="28"/>
        </w:rPr>
      </w:pPr>
      <w:r w:rsidRPr="00786E87">
        <w:rPr>
          <w:sz w:val="28"/>
        </w:rPr>
        <w:t>Analysis</w:t>
      </w:r>
    </w:p>
    <w:p w:rsidR="00743CA6" w:rsidRPr="00BA5A1C" w:rsidRDefault="00743CA6" w:rsidP="00B4474B">
      <w:pPr>
        <w:spacing w:after="140" w:line="276" w:lineRule="auto"/>
        <w:jc w:val="both"/>
      </w:pPr>
      <w:r w:rsidRPr="00BA5A1C">
        <w:t xml:space="preserve">A more underlying trend in my experience is that I collect information and then ask questions afterwards resulting in the production of informative and not critical writing. Kolb (1984) calls this the discrepancy between the concrete experience and the reflective observation - I was making experience before I had frameworks to make inquiries rather than recording what I was reading. The analytical writing skill was only achieved as I stopped adding on to my knowledge base but started questioning the assumptions about the real implications of the evidence. This has been effectively captured by </w:t>
      </w:r>
      <w:proofErr w:type="spellStart"/>
      <w:r w:rsidRPr="00BA5A1C">
        <w:t>Schon</w:t>
      </w:r>
      <w:proofErr w:type="spellEnd"/>
      <w:r w:rsidRPr="00BA5A1C">
        <w:t xml:space="preserve"> (1983) when she distinguished between the use of technical rationality to follow what is provided in the structure and reflective practice expressing doubt in what the evidence really means. The original CAG was unsophisticated and low-wit due to rationality of technical nature. The last version was based on reflective practice. </w:t>
      </w:r>
      <w:proofErr w:type="spellStart"/>
      <w:r w:rsidRPr="00BA5A1C">
        <w:t>Mezzrow</w:t>
      </w:r>
      <w:proofErr w:type="spellEnd"/>
      <w:r w:rsidRPr="00BA5A1C">
        <w:t xml:space="preserve"> (1991) would describe this change as transformational: it required tracking the urge to consider frameworks as templates rather than lenses which should render unexpected insights.                                     </w:t>
      </w:r>
      <w:r>
        <w:t xml:space="preserve">                             </w:t>
      </w:r>
    </w:p>
    <w:p w:rsidR="00961699" w:rsidRPr="00786E87" w:rsidRDefault="00961699" w:rsidP="00B4474B">
      <w:pPr>
        <w:spacing w:line="276" w:lineRule="auto"/>
      </w:pPr>
    </w:p>
    <w:p w:rsidR="00961699" w:rsidRPr="00786E87" w:rsidRDefault="00961699" w:rsidP="00B4474B">
      <w:pPr>
        <w:pStyle w:val="Heading2"/>
        <w:spacing w:line="276" w:lineRule="auto"/>
        <w:rPr>
          <w:sz w:val="28"/>
        </w:rPr>
      </w:pPr>
      <w:r w:rsidRPr="00786E87">
        <w:rPr>
          <w:sz w:val="28"/>
        </w:rPr>
        <w:t>Final Thoughts</w:t>
      </w:r>
    </w:p>
    <w:p w:rsidR="00961699" w:rsidRDefault="00961699" w:rsidP="00B4474B">
      <w:pPr>
        <w:spacing w:line="276" w:lineRule="auto"/>
      </w:pPr>
      <w:r w:rsidRPr="00786E87">
        <w:t xml:space="preserve">Analytical depth necessitates prioritization. Writing equally long sections on every aspect of a complicated case results in work that is thorough but not critical. The intellectually honest thing to do is to figure out which dimension is most important in this case, say so clearly, and accept that this means giving less attention to other dimensions. For Toyota in India, economic distance elucidates the most strategically significant aspects of the company's circumstances, and organizing the analysis around this premise yields more robust results than a uniform distribution of focus. International business frameworks are most useful when they lead to new ideas instead of when they are used in the same way all the time. The difference between </w:t>
      </w:r>
      <w:r w:rsidRPr="00786E87">
        <w:lastRenderedPageBreak/>
        <w:t>analysis and description is that analysis is open to evidence that goes against what was thought before.</w:t>
      </w:r>
    </w:p>
    <w:p w:rsidR="00B4474B" w:rsidRPr="00786E87" w:rsidRDefault="00B4474B" w:rsidP="00B4474B">
      <w:pPr>
        <w:spacing w:line="276" w:lineRule="auto"/>
      </w:pPr>
    </w:p>
    <w:p w:rsidR="00025F5D" w:rsidRPr="00786E87" w:rsidRDefault="00786413" w:rsidP="00B4474B">
      <w:pPr>
        <w:pStyle w:val="Heading2"/>
        <w:spacing w:line="276" w:lineRule="auto"/>
        <w:rPr>
          <w:sz w:val="28"/>
        </w:rPr>
      </w:pPr>
      <w:r w:rsidRPr="00786E87">
        <w:rPr>
          <w:sz w:val="28"/>
        </w:rPr>
        <w:t>Action Plan</w:t>
      </w:r>
    </w:p>
    <w:p w:rsidR="00025F5D" w:rsidRPr="00786E87" w:rsidRDefault="00786413" w:rsidP="00B4474B">
      <w:pPr>
        <w:spacing w:after="130" w:line="276" w:lineRule="auto"/>
        <w:jc w:val="both"/>
      </w:pPr>
      <w:r w:rsidRPr="00786E87">
        <w:t>Based on this experience, I will make the following specific changes:</w:t>
      </w:r>
    </w:p>
    <w:p w:rsidR="00961699" w:rsidRPr="00786E87" w:rsidRDefault="00961699" w:rsidP="00B4474B">
      <w:pPr>
        <w:pStyle w:val="ListParagraph"/>
        <w:numPr>
          <w:ilvl w:val="0"/>
          <w:numId w:val="3"/>
        </w:numPr>
        <w:spacing w:line="276" w:lineRule="auto"/>
      </w:pPr>
      <w:r w:rsidRPr="00786E87">
        <w:t>Before I start collecting data, I will make research checklists for each framework that list exactly what evidence each framework needs. This will keep me from gathering background information that doesn't help the analysis.</w:t>
      </w:r>
    </w:p>
    <w:p w:rsidR="00961699" w:rsidRPr="00786E87" w:rsidRDefault="00743CA6" w:rsidP="00B4474B">
      <w:pPr>
        <w:pStyle w:val="ListParagraph"/>
        <w:numPr>
          <w:ilvl w:val="0"/>
          <w:numId w:val="3"/>
        </w:numPr>
        <w:spacing w:line="276" w:lineRule="auto"/>
      </w:pPr>
      <w:r>
        <w:t>I will allocate time under protection when synthesizing since the transformation of evidence into argument is a situation that can be not done well in haste as part of the research</w:t>
      </w:r>
      <w:r w:rsidR="00961699" w:rsidRPr="00786E87">
        <w:t>.</w:t>
      </w:r>
    </w:p>
    <w:p w:rsidR="00961699" w:rsidRPr="00786E87" w:rsidRDefault="00743CA6" w:rsidP="00B4474B">
      <w:pPr>
        <w:pStyle w:val="ListParagraph"/>
        <w:numPr>
          <w:ilvl w:val="0"/>
          <w:numId w:val="3"/>
        </w:numPr>
        <w:spacing w:line="276" w:lineRule="auto"/>
      </w:pPr>
      <w:r>
        <w:t xml:space="preserve">My thought will be to first write down what each framework would say about this case before examining the evidences. Then I shall check whether the evidence either backs, opposes or complicates that prediction. Where real analytical insight generally exists is between what you think is going to happen and what actually does </w:t>
      </w:r>
      <w:proofErr w:type="gramStart"/>
      <w:r>
        <w:t>happen.</w:t>
      </w:r>
      <w:r w:rsidR="00961699" w:rsidRPr="00786E87">
        <w:t>.</w:t>
      </w:r>
      <w:proofErr w:type="gramEnd"/>
    </w:p>
    <w:p w:rsidR="00961699" w:rsidRPr="00786E87" w:rsidRDefault="00743CA6" w:rsidP="00B4474B">
      <w:pPr>
        <w:pStyle w:val="ListParagraph"/>
        <w:numPr>
          <w:ilvl w:val="0"/>
          <w:numId w:val="3"/>
        </w:numPr>
        <w:spacing w:line="276" w:lineRule="auto"/>
      </w:pPr>
      <w:r>
        <w:t>I will seek peer review which seeks description and not analysis. This is what I find is the most common type of failure that I am more likely to commit and which is the most difficult to detect in my own work.</w:t>
      </w:r>
    </w:p>
    <w:p w:rsidR="00961699" w:rsidRPr="00786E87" w:rsidRDefault="00743CA6" w:rsidP="00B4474B">
      <w:pPr>
        <w:pStyle w:val="ListParagraph"/>
        <w:numPr>
          <w:ilvl w:val="0"/>
          <w:numId w:val="3"/>
        </w:numPr>
        <w:spacing w:line="276" w:lineRule="auto"/>
      </w:pPr>
      <w:r>
        <w:t>To ensure that I keep a concise research journal in the future, I will also record methodological decisions in real-time and not build the rationale in hindsight when it has already become dilute in memory.</w:t>
      </w:r>
    </w:p>
    <w:p w:rsidR="00025F5D" w:rsidRPr="00786E87" w:rsidRDefault="00025F5D" w:rsidP="00B4474B">
      <w:pPr>
        <w:spacing w:after="80" w:line="276" w:lineRule="auto"/>
      </w:pPr>
    </w:p>
    <w:p w:rsidR="00025F5D" w:rsidRPr="00786E87" w:rsidRDefault="00743CA6" w:rsidP="00B4474B">
      <w:pPr>
        <w:spacing w:after="130" w:line="276" w:lineRule="auto"/>
        <w:jc w:val="both"/>
      </w:pPr>
      <w:r>
        <w:t>When I wrote this report, it was a true learning experience about the Indian automotive industry and the issues of strategy analysis in terms of applying international business frameworks to actual strategic scenarios. The Gibbs model has helped me to make myself clearly describe not only what I have created but also how - and where the difference between the two things indicates what can be improved specifically</w:t>
      </w:r>
    </w:p>
    <w:p w:rsidR="00025F5D" w:rsidRPr="00786E87" w:rsidRDefault="00786413" w:rsidP="00B4474B">
      <w:pPr>
        <w:spacing w:line="276" w:lineRule="auto"/>
      </w:pPr>
      <w:r w:rsidRPr="00786E87">
        <w:br/>
      </w:r>
    </w:p>
    <w:p w:rsidR="00786E87" w:rsidRDefault="00786E87" w:rsidP="00B4474B">
      <w:pPr>
        <w:pStyle w:val="Heading1"/>
        <w:spacing w:line="276" w:lineRule="auto"/>
        <w:rPr>
          <w:sz w:val="24"/>
          <w:szCs w:val="24"/>
        </w:rPr>
      </w:pPr>
    </w:p>
    <w:p w:rsidR="00786E87" w:rsidRDefault="00786E87" w:rsidP="00B4474B">
      <w:pPr>
        <w:pStyle w:val="Heading1"/>
        <w:spacing w:line="276" w:lineRule="auto"/>
        <w:rPr>
          <w:sz w:val="24"/>
          <w:szCs w:val="24"/>
        </w:rPr>
      </w:pPr>
    </w:p>
    <w:p w:rsidR="00786E87" w:rsidRDefault="00786E87" w:rsidP="00B4474B">
      <w:pPr>
        <w:pStyle w:val="Heading1"/>
        <w:spacing w:line="276" w:lineRule="auto"/>
        <w:rPr>
          <w:sz w:val="24"/>
          <w:szCs w:val="24"/>
        </w:rPr>
      </w:pPr>
    </w:p>
    <w:p w:rsidR="00786E87" w:rsidRDefault="00786E87" w:rsidP="00B4474B">
      <w:pPr>
        <w:pStyle w:val="Heading1"/>
        <w:spacing w:line="276" w:lineRule="auto"/>
        <w:rPr>
          <w:sz w:val="24"/>
          <w:szCs w:val="24"/>
        </w:rPr>
      </w:pPr>
    </w:p>
    <w:p w:rsidR="00786E87" w:rsidRDefault="00786E87" w:rsidP="00B4474B">
      <w:pPr>
        <w:pStyle w:val="Heading1"/>
        <w:spacing w:line="276" w:lineRule="auto"/>
        <w:rPr>
          <w:sz w:val="24"/>
          <w:szCs w:val="24"/>
        </w:rPr>
      </w:pPr>
    </w:p>
    <w:p w:rsidR="00025F5D" w:rsidRPr="00786E87" w:rsidRDefault="00786413" w:rsidP="00B4474B">
      <w:pPr>
        <w:pStyle w:val="Heading1"/>
        <w:spacing w:line="276" w:lineRule="auto"/>
        <w:rPr>
          <w:sz w:val="24"/>
          <w:szCs w:val="24"/>
        </w:rPr>
      </w:pPr>
      <w:r w:rsidRPr="00786E87">
        <w:rPr>
          <w:sz w:val="24"/>
          <w:szCs w:val="24"/>
        </w:rPr>
        <w:lastRenderedPageBreak/>
        <w:t>References</w:t>
      </w:r>
    </w:p>
    <w:p w:rsidR="00394714" w:rsidRDefault="00394714" w:rsidP="00394714">
      <w:pPr>
        <w:pStyle w:val="NormalWeb"/>
        <w:numPr>
          <w:ilvl w:val="0"/>
          <w:numId w:val="4"/>
        </w:numPr>
        <w:spacing w:after="0" w:afterAutospacing="0" w:line="276" w:lineRule="auto"/>
        <w:ind w:left="0"/>
        <w:rPr>
          <w:color w:val="1F1F1F"/>
        </w:rPr>
      </w:pPr>
      <w:r>
        <w:rPr>
          <w:b/>
          <w:bCs/>
          <w:color w:val="1F1F1F"/>
          <w:bdr w:val="none" w:sz="0" w:space="0" w:color="auto" w:frame="1"/>
        </w:rPr>
        <w:t>Barrow, C.</w:t>
      </w:r>
      <w:r>
        <w:rPr>
          <w:color w:val="1F1F1F"/>
        </w:rPr>
        <w:t xml:space="preserve"> (2023). </w:t>
      </w:r>
      <w:r>
        <w:rPr>
          <w:i/>
          <w:iCs/>
          <w:color w:val="1F1F1F"/>
          <w:bdr w:val="none" w:sz="0" w:space="0" w:color="auto" w:frame="1"/>
        </w:rPr>
        <w:t>The 30 Day MBA in International Business</w:t>
      </w:r>
      <w:r>
        <w:rPr>
          <w:color w:val="1F1F1F"/>
        </w:rPr>
        <w:t xml:space="preserve">. 3rd </w:t>
      </w:r>
      <w:proofErr w:type="spellStart"/>
      <w:r>
        <w:rPr>
          <w:color w:val="1F1F1F"/>
        </w:rPr>
        <w:t>edn</w:t>
      </w:r>
      <w:proofErr w:type="spellEnd"/>
      <w:r>
        <w:rPr>
          <w:color w:val="1F1F1F"/>
        </w:rPr>
        <w:t xml:space="preserve">. London: </w:t>
      </w:r>
      <w:proofErr w:type="spellStart"/>
      <w:r>
        <w:rPr>
          <w:color w:val="1F1F1F"/>
        </w:rPr>
        <w:t>Kogan</w:t>
      </w:r>
      <w:proofErr w:type="spellEnd"/>
      <w:r>
        <w:rPr>
          <w:color w:val="1F1F1F"/>
        </w:rPr>
        <w:t xml:space="preserve"> Page.</w:t>
      </w:r>
    </w:p>
    <w:p w:rsidR="00394714" w:rsidRDefault="00394714" w:rsidP="00394714">
      <w:pPr>
        <w:pStyle w:val="NormalWeb"/>
        <w:numPr>
          <w:ilvl w:val="0"/>
          <w:numId w:val="4"/>
        </w:numPr>
        <w:spacing w:after="0" w:afterAutospacing="0" w:line="276" w:lineRule="auto"/>
        <w:ind w:left="0"/>
        <w:rPr>
          <w:color w:val="1F1F1F"/>
        </w:rPr>
      </w:pPr>
      <w:r>
        <w:rPr>
          <w:b/>
          <w:bCs/>
          <w:color w:val="1F1F1F"/>
          <w:bdr w:val="none" w:sz="0" w:space="0" w:color="auto" w:frame="1"/>
        </w:rPr>
        <w:t>Bartlett, C.A. and Beamish, P.W.</w:t>
      </w:r>
      <w:r>
        <w:rPr>
          <w:color w:val="1F1F1F"/>
        </w:rPr>
        <w:t xml:space="preserve"> (2018). </w:t>
      </w:r>
      <w:r>
        <w:rPr>
          <w:i/>
          <w:iCs/>
          <w:color w:val="1F1F1F"/>
          <w:bdr w:val="none" w:sz="0" w:space="0" w:color="auto" w:frame="1"/>
        </w:rPr>
        <w:t>Transnational Management: Strategy, Communication, and Decisions in the Global Ocean</w:t>
      </w:r>
      <w:r>
        <w:rPr>
          <w:color w:val="1F1F1F"/>
        </w:rPr>
        <w:t xml:space="preserve">. 8th </w:t>
      </w:r>
      <w:proofErr w:type="spellStart"/>
      <w:r>
        <w:rPr>
          <w:color w:val="1F1F1F"/>
        </w:rPr>
        <w:t>edn</w:t>
      </w:r>
      <w:proofErr w:type="spellEnd"/>
      <w:r>
        <w:rPr>
          <w:color w:val="1F1F1F"/>
        </w:rPr>
        <w:t>. Cambridge: Cambridge University Press.</w:t>
      </w:r>
    </w:p>
    <w:p w:rsidR="00394714" w:rsidRDefault="00394714" w:rsidP="00394714">
      <w:pPr>
        <w:pStyle w:val="NormalWeb"/>
        <w:numPr>
          <w:ilvl w:val="0"/>
          <w:numId w:val="4"/>
        </w:numPr>
        <w:spacing w:after="0" w:afterAutospacing="0" w:line="276" w:lineRule="auto"/>
        <w:ind w:left="0"/>
        <w:rPr>
          <w:color w:val="1F1F1F"/>
        </w:rPr>
      </w:pPr>
      <w:proofErr w:type="spellStart"/>
      <w:r>
        <w:rPr>
          <w:b/>
          <w:bCs/>
          <w:color w:val="1F1F1F"/>
          <w:bdr w:val="none" w:sz="0" w:space="0" w:color="auto" w:frame="1"/>
        </w:rPr>
        <w:t>Cavusgil</w:t>
      </w:r>
      <w:proofErr w:type="spellEnd"/>
      <w:r>
        <w:rPr>
          <w:b/>
          <w:bCs/>
          <w:color w:val="1F1F1F"/>
          <w:bdr w:val="none" w:sz="0" w:space="0" w:color="auto" w:frame="1"/>
        </w:rPr>
        <w:t xml:space="preserve">, S.T., Knight, G. and </w:t>
      </w:r>
      <w:proofErr w:type="spellStart"/>
      <w:r>
        <w:rPr>
          <w:b/>
          <w:bCs/>
          <w:color w:val="1F1F1F"/>
          <w:bdr w:val="none" w:sz="0" w:space="0" w:color="auto" w:frame="1"/>
        </w:rPr>
        <w:t>Riesenberger</w:t>
      </w:r>
      <w:proofErr w:type="spellEnd"/>
      <w:r>
        <w:rPr>
          <w:b/>
          <w:bCs/>
          <w:color w:val="1F1F1F"/>
          <w:bdr w:val="none" w:sz="0" w:space="0" w:color="auto" w:frame="1"/>
        </w:rPr>
        <w:t>, J.R.</w:t>
      </w:r>
      <w:r>
        <w:rPr>
          <w:color w:val="1F1F1F"/>
        </w:rPr>
        <w:t xml:space="preserve"> (2020). </w:t>
      </w:r>
      <w:r>
        <w:rPr>
          <w:i/>
          <w:iCs/>
          <w:color w:val="1F1F1F"/>
          <w:bdr w:val="none" w:sz="0" w:space="0" w:color="auto" w:frame="1"/>
        </w:rPr>
        <w:t>International Business: The New Realities</w:t>
      </w:r>
      <w:r>
        <w:rPr>
          <w:color w:val="1F1F1F"/>
        </w:rPr>
        <w:t xml:space="preserve">. 5th </w:t>
      </w:r>
      <w:proofErr w:type="spellStart"/>
      <w:r>
        <w:rPr>
          <w:color w:val="1F1F1F"/>
        </w:rPr>
        <w:t>edn</w:t>
      </w:r>
      <w:proofErr w:type="spellEnd"/>
      <w:r>
        <w:rPr>
          <w:color w:val="1F1F1F"/>
        </w:rPr>
        <w:t>. Harlow: Pearson.</w:t>
      </w:r>
    </w:p>
    <w:p w:rsidR="00394714" w:rsidRDefault="00394714" w:rsidP="00394714">
      <w:pPr>
        <w:pStyle w:val="NormalWeb"/>
        <w:numPr>
          <w:ilvl w:val="0"/>
          <w:numId w:val="4"/>
        </w:numPr>
        <w:spacing w:after="0" w:afterAutospacing="0" w:line="276" w:lineRule="auto"/>
        <w:ind w:left="0"/>
        <w:rPr>
          <w:color w:val="1F1F1F"/>
        </w:rPr>
      </w:pPr>
      <w:r>
        <w:rPr>
          <w:b/>
          <w:bCs/>
          <w:color w:val="1F1F1F"/>
          <w:bdr w:val="none" w:sz="0" w:space="0" w:color="auto" w:frame="1"/>
        </w:rPr>
        <w:t xml:space="preserve">Daniels, J., </w:t>
      </w:r>
      <w:proofErr w:type="spellStart"/>
      <w:r>
        <w:rPr>
          <w:b/>
          <w:bCs/>
          <w:color w:val="1F1F1F"/>
          <w:bdr w:val="none" w:sz="0" w:space="0" w:color="auto" w:frame="1"/>
        </w:rPr>
        <w:t>Radebaugh</w:t>
      </w:r>
      <w:proofErr w:type="spellEnd"/>
      <w:r>
        <w:rPr>
          <w:b/>
          <w:bCs/>
          <w:color w:val="1F1F1F"/>
          <w:bdr w:val="none" w:sz="0" w:space="0" w:color="auto" w:frame="1"/>
        </w:rPr>
        <w:t>, L. and Sullivan, D.</w:t>
      </w:r>
      <w:r>
        <w:rPr>
          <w:color w:val="1F1F1F"/>
        </w:rPr>
        <w:t xml:space="preserve"> (2018). </w:t>
      </w:r>
      <w:r>
        <w:rPr>
          <w:i/>
          <w:iCs/>
          <w:color w:val="1F1F1F"/>
          <w:bdr w:val="none" w:sz="0" w:space="0" w:color="auto" w:frame="1"/>
        </w:rPr>
        <w:t>International Business: Environments and Operations</w:t>
      </w:r>
      <w:r>
        <w:rPr>
          <w:color w:val="1F1F1F"/>
        </w:rPr>
        <w:t xml:space="preserve">. 16th </w:t>
      </w:r>
      <w:proofErr w:type="spellStart"/>
      <w:r>
        <w:rPr>
          <w:color w:val="1F1F1F"/>
        </w:rPr>
        <w:t>edn</w:t>
      </w:r>
      <w:proofErr w:type="spellEnd"/>
      <w:r>
        <w:rPr>
          <w:color w:val="1F1F1F"/>
        </w:rPr>
        <w:t>. Harlow: Pearson.</w:t>
      </w:r>
    </w:p>
    <w:p w:rsidR="00394714" w:rsidRDefault="00394714" w:rsidP="00394714">
      <w:pPr>
        <w:pStyle w:val="NormalWeb"/>
        <w:numPr>
          <w:ilvl w:val="0"/>
          <w:numId w:val="4"/>
        </w:numPr>
        <w:spacing w:after="0" w:afterAutospacing="0" w:line="276" w:lineRule="auto"/>
        <w:ind w:left="0"/>
        <w:rPr>
          <w:color w:val="1F1F1F"/>
        </w:rPr>
      </w:pPr>
      <w:proofErr w:type="spellStart"/>
      <w:r>
        <w:rPr>
          <w:b/>
          <w:bCs/>
          <w:color w:val="1F1F1F"/>
          <w:bdr w:val="none" w:sz="0" w:space="0" w:color="auto" w:frame="1"/>
        </w:rPr>
        <w:t>Deresky</w:t>
      </w:r>
      <w:proofErr w:type="spellEnd"/>
      <w:r>
        <w:rPr>
          <w:b/>
          <w:bCs/>
          <w:color w:val="1F1F1F"/>
          <w:bdr w:val="none" w:sz="0" w:space="0" w:color="auto" w:frame="1"/>
        </w:rPr>
        <w:t>, H.</w:t>
      </w:r>
      <w:r>
        <w:rPr>
          <w:color w:val="1F1F1F"/>
        </w:rPr>
        <w:t xml:space="preserve"> (2017). </w:t>
      </w:r>
      <w:r>
        <w:rPr>
          <w:i/>
          <w:iCs/>
          <w:color w:val="1F1F1F"/>
          <w:bdr w:val="none" w:sz="0" w:space="0" w:color="auto" w:frame="1"/>
        </w:rPr>
        <w:t>International Management: Managing Across Borders and Cultures</w:t>
      </w:r>
      <w:r>
        <w:rPr>
          <w:color w:val="1F1F1F"/>
        </w:rPr>
        <w:t xml:space="preserve">. 9th </w:t>
      </w:r>
      <w:proofErr w:type="spellStart"/>
      <w:r>
        <w:rPr>
          <w:color w:val="1F1F1F"/>
        </w:rPr>
        <w:t>edn</w:t>
      </w:r>
      <w:proofErr w:type="spellEnd"/>
      <w:r>
        <w:rPr>
          <w:color w:val="1F1F1F"/>
        </w:rPr>
        <w:t>. Boston: Pearson.</w:t>
      </w:r>
    </w:p>
    <w:p w:rsidR="00394714" w:rsidRDefault="00394714" w:rsidP="00394714">
      <w:pPr>
        <w:pStyle w:val="NormalWeb"/>
        <w:numPr>
          <w:ilvl w:val="0"/>
          <w:numId w:val="4"/>
        </w:numPr>
        <w:spacing w:after="0" w:afterAutospacing="0" w:line="276" w:lineRule="auto"/>
        <w:ind w:left="0"/>
        <w:rPr>
          <w:color w:val="1F1F1F"/>
        </w:rPr>
      </w:pPr>
      <w:r>
        <w:rPr>
          <w:b/>
          <w:bCs/>
          <w:color w:val="1F1F1F"/>
          <w:bdr w:val="none" w:sz="0" w:space="0" w:color="auto" w:frame="1"/>
        </w:rPr>
        <w:t xml:space="preserve">Hill, C.W.L. and </w:t>
      </w:r>
      <w:proofErr w:type="spellStart"/>
      <w:r>
        <w:rPr>
          <w:b/>
          <w:bCs/>
          <w:color w:val="1F1F1F"/>
          <w:bdr w:val="none" w:sz="0" w:space="0" w:color="auto" w:frame="1"/>
        </w:rPr>
        <w:t>Hult</w:t>
      </w:r>
      <w:proofErr w:type="spellEnd"/>
      <w:r>
        <w:rPr>
          <w:b/>
          <w:bCs/>
          <w:color w:val="1F1F1F"/>
          <w:bdr w:val="none" w:sz="0" w:space="0" w:color="auto" w:frame="1"/>
        </w:rPr>
        <w:t>, G.T.M.</w:t>
      </w:r>
      <w:r>
        <w:rPr>
          <w:color w:val="1F1F1F"/>
        </w:rPr>
        <w:t xml:space="preserve"> (2023). </w:t>
      </w:r>
      <w:r>
        <w:rPr>
          <w:i/>
          <w:iCs/>
          <w:color w:val="1F1F1F"/>
          <w:bdr w:val="none" w:sz="0" w:space="0" w:color="auto" w:frame="1"/>
        </w:rPr>
        <w:t>International Business: Competing in the Global Marketplace</w:t>
      </w:r>
      <w:r>
        <w:rPr>
          <w:color w:val="1F1F1F"/>
        </w:rPr>
        <w:t xml:space="preserve">. 14th </w:t>
      </w:r>
      <w:proofErr w:type="spellStart"/>
      <w:r>
        <w:rPr>
          <w:color w:val="1F1F1F"/>
        </w:rPr>
        <w:t>edn</w:t>
      </w:r>
      <w:proofErr w:type="spellEnd"/>
      <w:r>
        <w:rPr>
          <w:color w:val="1F1F1F"/>
        </w:rPr>
        <w:t>. New York: McGraw-Hill.</w:t>
      </w:r>
    </w:p>
    <w:p w:rsidR="00394714" w:rsidRDefault="00394714" w:rsidP="00394714">
      <w:pPr>
        <w:pStyle w:val="NormalWeb"/>
        <w:numPr>
          <w:ilvl w:val="0"/>
          <w:numId w:val="4"/>
        </w:numPr>
        <w:spacing w:after="0" w:afterAutospacing="0" w:line="276" w:lineRule="auto"/>
        <w:ind w:left="0"/>
        <w:rPr>
          <w:color w:val="1F1F1F"/>
        </w:rPr>
      </w:pPr>
      <w:r>
        <w:rPr>
          <w:b/>
          <w:bCs/>
          <w:color w:val="1F1F1F"/>
          <w:bdr w:val="none" w:sz="0" w:space="0" w:color="auto" w:frame="1"/>
        </w:rPr>
        <w:t xml:space="preserve">Johnson, G., Whittington, R., Scholes, K., </w:t>
      </w:r>
      <w:proofErr w:type="spellStart"/>
      <w:r>
        <w:rPr>
          <w:b/>
          <w:bCs/>
          <w:color w:val="1F1F1F"/>
          <w:bdr w:val="none" w:sz="0" w:space="0" w:color="auto" w:frame="1"/>
        </w:rPr>
        <w:t>Angwin</w:t>
      </w:r>
      <w:proofErr w:type="spellEnd"/>
      <w:r>
        <w:rPr>
          <w:b/>
          <w:bCs/>
          <w:color w:val="1F1F1F"/>
          <w:bdr w:val="none" w:sz="0" w:space="0" w:color="auto" w:frame="1"/>
        </w:rPr>
        <w:t xml:space="preserve">, D. and </w:t>
      </w:r>
      <w:proofErr w:type="spellStart"/>
      <w:r>
        <w:rPr>
          <w:b/>
          <w:bCs/>
          <w:color w:val="1F1F1F"/>
          <w:bdr w:val="none" w:sz="0" w:space="0" w:color="auto" w:frame="1"/>
        </w:rPr>
        <w:t>Regner</w:t>
      </w:r>
      <w:proofErr w:type="spellEnd"/>
      <w:r>
        <w:rPr>
          <w:b/>
          <w:bCs/>
          <w:color w:val="1F1F1F"/>
          <w:bdr w:val="none" w:sz="0" w:space="0" w:color="auto" w:frame="1"/>
        </w:rPr>
        <w:t>, P.</w:t>
      </w:r>
      <w:r>
        <w:rPr>
          <w:color w:val="1F1F1F"/>
        </w:rPr>
        <w:t xml:space="preserve"> (2020). </w:t>
      </w:r>
      <w:r>
        <w:rPr>
          <w:i/>
          <w:iCs/>
          <w:color w:val="1F1F1F"/>
          <w:bdr w:val="none" w:sz="0" w:space="0" w:color="auto" w:frame="1"/>
        </w:rPr>
        <w:t>Exploring Strategy: Text and Cases</w:t>
      </w:r>
      <w:r>
        <w:rPr>
          <w:color w:val="1F1F1F"/>
        </w:rPr>
        <w:t xml:space="preserve">. 12th </w:t>
      </w:r>
      <w:proofErr w:type="spellStart"/>
      <w:r>
        <w:rPr>
          <w:color w:val="1F1F1F"/>
        </w:rPr>
        <w:t>edn</w:t>
      </w:r>
      <w:proofErr w:type="spellEnd"/>
      <w:r>
        <w:rPr>
          <w:color w:val="1F1F1F"/>
        </w:rPr>
        <w:t>. Harlow: Pearson.</w:t>
      </w:r>
    </w:p>
    <w:p w:rsidR="00394714" w:rsidRDefault="00394714" w:rsidP="00394714">
      <w:pPr>
        <w:pStyle w:val="NormalWeb"/>
        <w:numPr>
          <w:ilvl w:val="0"/>
          <w:numId w:val="4"/>
        </w:numPr>
        <w:spacing w:after="0" w:afterAutospacing="0" w:line="276" w:lineRule="auto"/>
        <w:ind w:left="0"/>
        <w:rPr>
          <w:color w:val="1F1F1F"/>
        </w:rPr>
      </w:pPr>
      <w:proofErr w:type="spellStart"/>
      <w:r>
        <w:rPr>
          <w:b/>
          <w:bCs/>
          <w:color w:val="1F1F1F"/>
          <w:bdr w:val="none" w:sz="0" w:space="0" w:color="auto" w:frame="1"/>
        </w:rPr>
        <w:t>Mellahi</w:t>
      </w:r>
      <w:proofErr w:type="spellEnd"/>
      <w:r>
        <w:rPr>
          <w:b/>
          <w:bCs/>
          <w:color w:val="1F1F1F"/>
          <w:bdr w:val="none" w:sz="0" w:space="0" w:color="auto" w:frame="1"/>
        </w:rPr>
        <w:t xml:space="preserve">, K., Meyer, K., </w:t>
      </w:r>
      <w:proofErr w:type="spellStart"/>
      <w:r>
        <w:rPr>
          <w:b/>
          <w:bCs/>
          <w:color w:val="1F1F1F"/>
          <w:bdr w:val="none" w:sz="0" w:space="0" w:color="auto" w:frame="1"/>
        </w:rPr>
        <w:t>Narula</w:t>
      </w:r>
      <w:proofErr w:type="spellEnd"/>
      <w:r>
        <w:rPr>
          <w:b/>
          <w:bCs/>
          <w:color w:val="1F1F1F"/>
          <w:bdr w:val="none" w:sz="0" w:space="0" w:color="auto" w:frame="1"/>
        </w:rPr>
        <w:t xml:space="preserve">, R., </w:t>
      </w:r>
      <w:proofErr w:type="spellStart"/>
      <w:r>
        <w:rPr>
          <w:b/>
          <w:bCs/>
          <w:color w:val="1F1F1F"/>
          <w:bdr w:val="none" w:sz="0" w:space="0" w:color="auto" w:frame="1"/>
        </w:rPr>
        <w:t>Surdu</w:t>
      </w:r>
      <w:proofErr w:type="spellEnd"/>
      <w:r>
        <w:rPr>
          <w:b/>
          <w:bCs/>
          <w:color w:val="1F1F1F"/>
          <w:bdr w:val="none" w:sz="0" w:space="0" w:color="auto" w:frame="1"/>
        </w:rPr>
        <w:t xml:space="preserve">, I. and </w:t>
      </w:r>
      <w:proofErr w:type="spellStart"/>
      <w:r>
        <w:rPr>
          <w:b/>
          <w:bCs/>
          <w:color w:val="1F1F1F"/>
          <w:bdr w:val="none" w:sz="0" w:space="0" w:color="auto" w:frame="1"/>
        </w:rPr>
        <w:t>Verbeke</w:t>
      </w:r>
      <w:proofErr w:type="spellEnd"/>
      <w:r>
        <w:rPr>
          <w:b/>
          <w:bCs/>
          <w:color w:val="1F1F1F"/>
          <w:bdr w:val="none" w:sz="0" w:space="0" w:color="auto" w:frame="1"/>
        </w:rPr>
        <w:t>, A.</w:t>
      </w:r>
      <w:r>
        <w:rPr>
          <w:color w:val="1F1F1F"/>
        </w:rPr>
        <w:t xml:space="preserve"> (2021). </w:t>
      </w:r>
      <w:r>
        <w:rPr>
          <w:i/>
          <w:iCs/>
          <w:color w:val="1F1F1F"/>
          <w:bdr w:val="none" w:sz="0" w:space="0" w:color="auto" w:frame="1"/>
        </w:rPr>
        <w:t>The Oxford Handbook of International Business Strategy</w:t>
      </w:r>
      <w:r>
        <w:rPr>
          <w:color w:val="1F1F1F"/>
        </w:rPr>
        <w:t>. Oxford: Oxford University Press.</w:t>
      </w:r>
    </w:p>
    <w:p w:rsidR="00394714" w:rsidRDefault="00394714" w:rsidP="00394714">
      <w:pPr>
        <w:pStyle w:val="NormalWeb"/>
        <w:numPr>
          <w:ilvl w:val="0"/>
          <w:numId w:val="4"/>
        </w:numPr>
        <w:spacing w:after="0" w:afterAutospacing="0" w:line="276" w:lineRule="auto"/>
        <w:ind w:left="0"/>
        <w:rPr>
          <w:color w:val="1F1F1F"/>
        </w:rPr>
      </w:pPr>
      <w:r>
        <w:rPr>
          <w:b/>
          <w:bCs/>
          <w:color w:val="1F1F1F"/>
          <w:bdr w:val="none" w:sz="0" w:space="0" w:color="auto" w:frame="1"/>
        </w:rPr>
        <w:t>Peng, M.W.</w:t>
      </w:r>
      <w:r>
        <w:rPr>
          <w:color w:val="1F1F1F"/>
        </w:rPr>
        <w:t xml:space="preserve"> (2022). </w:t>
      </w:r>
      <w:r>
        <w:rPr>
          <w:i/>
          <w:iCs/>
          <w:color w:val="1F1F1F"/>
          <w:bdr w:val="none" w:sz="0" w:space="0" w:color="auto" w:frame="1"/>
        </w:rPr>
        <w:t>Global Strategy</w:t>
      </w:r>
      <w:r>
        <w:rPr>
          <w:color w:val="1F1F1F"/>
        </w:rPr>
        <w:t xml:space="preserve">. 5th </w:t>
      </w:r>
      <w:proofErr w:type="spellStart"/>
      <w:r>
        <w:rPr>
          <w:color w:val="1F1F1F"/>
        </w:rPr>
        <w:t>edn</w:t>
      </w:r>
      <w:proofErr w:type="spellEnd"/>
      <w:r>
        <w:rPr>
          <w:color w:val="1F1F1F"/>
        </w:rPr>
        <w:t>. Boston: Cengage Learning.</w:t>
      </w:r>
    </w:p>
    <w:p w:rsidR="00394714" w:rsidRDefault="00394714" w:rsidP="00394714">
      <w:pPr>
        <w:pStyle w:val="NormalWeb"/>
        <w:numPr>
          <w:ilvl w:val="0"/>
          <w:numId w:val="4"/>
        </w:numPr>
        <w:spacing w:after="0" w:afterAutospacing="0" w:line="276" w:lineRule="auto"/>
        <w:ind w:left="0"/>
        <w:rPr>
          <w:color w:val="1F1F1F"/>
        </w:rPr>
      </w:pPr>
      <w:proofErr w:type="spellStart"/>
      <w:r>
        <w:rPr>
          <w:b/>
          <w:bCs/>
          <w:color w:val="1F1F1F"/>
          <w:bdr w:val="none" w:sz="0" w:space="0" w:color="auto" w:frame="1"/>
        </w:rPr>
        <w:t>Verbeke</w:t>
      </w:r>
      <w:proofErr w:type="spellEnd"/>
      <w:r>
        <w:rPr>
          <w:b/>
          <w:bCs/>
          <w:color w:val="1F1F1F"/>
          <w:bdr w:val="none" w:sz="0" w:space="0" w:color="auto" w:frame="1"/>
        </w:rPr>
        <w:t>, A.</w:t>
      </w:r>
      <w:r>
        <w:rPr>
          <w:color w:val="1F1F1F"/>
        </w:rPr>
        <w:t xml:space="preserve"> (2013). </w:t>
      </w:r>
      <w:r>
        <w:rPr>
          <w:i/>
          <w:iCs/>
          <w:color w:val="1F1F1F"/>
          <w:bdr w:val="none" w:sz="0" w:space="0" w:color="auto" w:frame="1"/>
        </w:rPr>
        <w:t>International Business Strategy</w:t>
      </w:r>
      <w:r>
        <w:rPr>
          <w:color w:val="1F1F1F"/>
        </w:rPr>
        <w:t xml:space="preserve">. 2nd </w:t>
      </w:r>
      <w:proofErr w:type="spellStart"/>
      <w:r>
        <w:rPr>
          <w:color w:val="1F1F1F"/>
        </w:rPr>
        <w:t>edn</w:t>
      </w:r>
      <w:proofErr w:type="spellEnd"/>
      <w:r>
        <w:rPr>
          <w:color w:val="1F1F1F"/>
        </w:rPr>
        <w:t>. Cambridge: Cambridge University Press.</w:t>
      </w:r>
    </w:p>
    <w:p w:rsidR="00394714" w:rsidRDefault="00394714" w:rsidP="00394714">
      <w:pPr>
        <w:pStyle w:val="NormalWeb"/>
        <w:numPr>
          <w:ilvl w:val="0"/>
          <w:numId w:val="5"/>
        </w:numPr>
        <w:spacing w:after="0" w:afterAutospacing="0" w:line="276" w:lineRule="auto"/>
        <w:ind w:left="0"/>
        <w:rPr>
          <w:color w:val="1F1F1F"/>
        </w:rPr>
      </w:pPr>
      <w:r>
        <w:rPr>
          <w:b/>
          <w:bCs/>
          <w:color w:val="1F1F1F"/>
          <w:bdr w:val="none" w:sz="0" w:space="0" w:color="auto" w:frame="1"/>
        </w:rPr>
        <w:t>Dunning, J.H.</w:t>
      </w:r>
      <w:r>
        <w:rPr>
          <w:color w:val="1F1F1F"/>
        </w:rPr>
        <w:t xml:space="preserve"> (1988). The Eclectic Paradigm of International Production: A Restatement and Some Possible Extensions. </w:t>
      </w:r>
      <w:r>
        <w:rPr>
          <w:i/>
          <w:iCs/>
          <w:color w:val="1F1F1F"/>
          <w:bdr w:val="none" w:sz="0" w:space="0" w:color="auto" w:frame="1"/>
        </w:rPr>
        <w:t>Journal of International Business Studies</w:t>
      </w:r>
      <w:r>
        <w:rPr>
          <w:color w:val="1F1F1F"/>
        </w:rPr>
        <w:t>, 19(1), pp.1–31.</w:t>
      </w:r>
    </w:p>
    <w:p w:rsidR="00394714" w:rsidRDefault="00394714" w:rsidP="00394714">
      <w:pPr>
        <w:pStyle w:val="NormalWeb"/>
        <w:numPr>
          <w:ilvl w:val="0"/>
          <w:numId w:val="5"/>
        </w:numPr>
        <w:spacing w:after="0" w:afterAutospacing="0" w:line="276" w:lineRule="auto"/>
        <w:ind w:left="0"/>
        <w:rPr>
          <w:color w:val="1F1F1F"/>
        </w:rPr>
      </w:pPr>
      <w:proofErr w:type="spellStart"/>
      <w:r>
        <w:rPr>
          <w:b/>
          <w:bCs/>
          <w:color w:val="1F1F1F"/>
          <w:bdr w:val="none" w:sz="0" w:space="0" w:color="auto" w:frame="1"/>
        </w:rPr>
        <w:t>Ghemawat</w:t>
      </w:r>
      <w:proofErr w:type="spellEnd"/>
      <w:r>
        <w:rPr>
          <w:b/>
          <w:bCs/>
          <w:color w:val="1F1F1F"/>
          <w:bdr w:val="none" w:sz="0" w:space="0" w:color="auto" w:frame="1"/>
        </w:rPr>
        <w:t>, P.</w:t>
      </w:r>
      <w:r>
        <w:rPr>
          <w:color w:val="1F1F1F"/>
        </w:rPr>
        <w:t xml:space="preserve"> (2001). Distance Still Matters: The Hard Reality of Global Expansion. </w:t>
      </w:r>
      <w:r>
        <w:rPr>
          <w:i/>
          <w:iCs/>
          <w:color w:val="1F1F1F"/>
          <w:bdr w:val="none" w:sz="0" w:space="0" w:color="auto" w:frame="1"/>
        </w:rPr>
        <w:t>Harvard Business Review</w:t>
      </w:r>
      <w:r>
        <w:rPr>
          <w:color w:val="1F1F1F"/>
        </w:rPr>
        <w:t>, 79(8), pp.137–147.</w:t>
      </w:r>
    </w:p>
    <w:p w:rsidR="00394714" w:rsidRDefault="00394714" w:rsidP="00394714">
      <w:pPr>
        <w:pStyle w:val="NormalWeb"/>
        <w:numPr>
          <w:ilvl w:val="0"/>
          <w:numId w:val="5"/>
        </w:numPr>
        <w:spacing w:after="0" w:afterAutospacing="0" w:line="276" w:lineRule="auto"/>
        <w:ind w:left="0"/>
        <w:rPr>
          <w:color w:val="1F1F1F"/>
        </w:rPr>
      </w:pPr>
      <w:r>
        <w:rPr>
          <w:b/>
          <w:bCs/>
          <w:color w:val="1F1F1F"/>
          <w:bdr w:val="none" w:sz="0" w:space="0" w:color="auto" w:frame="1"/>
        </w:rPr>
        <w:t>Hofstede, G.</w:t>
      </w:r>
      <w:r>
        <w:rPr>
          <w:color w:val="1F1F1F"/>
        </w:rPr>
        <w:t xml:space="preserve"> (2011). </w:t>
      </w:r>
      <w:proofErr w:type="spellStart"/>
      <w:r>
        <w:rPr>
          <w:color w:val="1F1F1F"/>
        </w:rPr>
        <w:t>Dimensionalizing</w:t>
      </w:r>
      <w:proofErr w:type="spellEnd"/>
      <w:r>
        <w:rPr>
          <w:color w:val="1F1F1F"/>
        </w:rPr>
        <w:t xml:space="preserve"> Cultures: The Hofstede Model in Context. </w:t>
      </w:r>
      <w:r>
        <w:rPr>
          <w:i/>
          <w:iCs/>
          <w:color w:val="1F1F1F"/>
          <w:bdr w:val="none" w:sz="0" w:space="0" w:color="auto" w:frame="1"/>
        </w:rPr>
        <w:t>Online Readings in Psychology and Culture</w:t>
      </w:r>
      <w:r>
        <w:rPr>
          <w:color w:val="1F1F1F"/>
        </w:rPr>
        <w:t>, 2(1).</w:t>
      </w:r>
    </w:p>
    <w:p w:rsidR="00394714" w:rsidRDefault="00394714" w:rsidP="00394714">
      <w:pPr>
        <w:pStyle w:val="NormalWeb"/>
        <w:numPr>
          <w:ilvl w:val="0"/>
          <w:numId w:val="5"/>
        </w:numPr>
        <w:spacing w:after="0" w:afterAutospacing="0" w:line="276" w:lineRule="auto"/>
        <w:ind w:left="0"/>
        <w:rPr>
          <w:color w:val="1F1F1F"/>
        </w:rPr>
      </w:pPr>
      <w:proofErr w:type="spellStart"/>
      <w:r>
        <w:rPr>
          <w:b/>
          <w:bCs/>
          <w:color w:val="1F1F1F"/>
          <w:bdr w:val="none" w:sz="0" w:space="0" w:color="auto" w:frame="1"/>
        </w:rPr>
        <w:t>Johanson</w:t>
      </w:r>
      <w:proofErr w:type="spellEnd"/>
      <w:r>
        <w:rPr>
          <w:b/>
          <w:bCs/>
          <w:color w:val="1F1F1F"/>
          <w:bdr w:val="none" w:sz="0" w:space="0" w:color="auto" w:frame="1"/>
        </w:rPr>
        <w:t xml:space="preserve">, J. and </w:t>
      </w:r>
      <w:proofErr w:type="spellStart"/>
      <w:r>
        <w:rPr>
          <w:b/>
          <w:bCs/>
          <w:color w:val="1F1F1F"/>
          <w:bdr w:val="none" w:sz="0" w:space="0" w:color="auto" w:frame="1"/>
        </w:rPr>
        <w:t>Vahlne</w:t>
      </w:r>
      <w:proofErr w:type="spellEnd"/>
      <w:r>
        <w:rPr>
          <w:b/>
          <w:bCs/>
          <w:color w:val="1F1F1F"/>
          <w:bdr w:val="none" w:sz="0" w:space="0" w:color="auto" w:frame="1"/>
        </w:rPr>
        <w:t>, J.E.</w:t>
      </w:r>
      <w:r>
        <w:rPr>
          <w:color w:val="1F1F1F"/>
        </w:rPr>
        <w:t xml:space="preserve"> (1977). The Internationalization Process of the Firm—A Model of Knowledge Development and Increasing Foreign Market Commitments. </w:t>
      </w:r>
      <w:r>
        <w:rPr>
          <w:i/>
          <w:iCs/>
          <w:color w:val="1F1F1F"/>
          <w:bdr w:val="none" w:sz="0" w:space="0" w:color="auto" w:frame="1"/>
        </w:rPr>
        <w:t>Journal of International Business Studies</w:t>
      </w:r>
      <w:r>
        <w:rPr>
          <w:color w:val="1F1F1F"/>
        </w:rPr>
        <w:t>, 8(1), pp.23–32.</w:t>
      </w:r>
    </w:p>
    <w:p w:rsidR="00394714" w:rsidRDefault="00394714" w:rsidP="00394714">
      <w:pPr>
        <w:pStyle w:val="NormalWeb"/>
        <w:numPr>
          <w:ilvl w:val="0"/>
          <w:numId w:val="5"/>
        </w:numPr>
        <w:spacing w:after="0" w:afterAutospacing="0" w:line="276" w:lineRule="auto"/>
        <w:ind w:left="0"/>
        <w:rPr>
          <w:color w:val="1F1F1F"/>
        </w:rPr>
      </w:pPr>
      <w:proofErr w:type="spellStart"/>
      <w:r>
        <w:rPr>
          <w:b/>
          <w:bCs/>
          <w:color w:val="1F1F1F"/>
          <w:bdr w:val="none" w:sz="0" w:space="0" w:color="auto" w:frame="1"/>
        </w:rPr>
        <w:t>Lall</w:t>
      </w:r>
      <w:proofErr w:type="spellEnd"/>
      <w:r>
        <w:rPr>
          <w:b/>
          <w:bCs/>
          <w:color w:val="1F1F1F"/>
          <w:bdr w:val="none" w:sz="0" w:space="0" w:color="auto" w:frame="1"/>
        </w:rPr>
        <w:t>, S.</w:t>
      </w:r>
      <w:r>
        <w:rPr>
          <w:color w:val="1F1F1F"/>
        </w:rPr>
        <w:t xml:space="preserve"> (2001). </w:t>
      </w:r>
      <w:r>
        <w:rPr>
          <w:i/>
          <w:iCs/>
          <w:color w:val="1F1F1F"/>
          <w:bdr w:val="none" w:sz="0" w:space="0" w:color="auto" w:frame="1"/>
        </w:rPr>
        <w:t>Competitiveness, Technology and Skills</w:t>
      </w:r>
      <w:r>
        <w:rPr>
          <w:color w:val="1F1F1F"/>
        </w:rPr>
        <w:t>. Cheltenham: Edward Elgar.</w:t>
      </w:r>
    </w:p>
    <w:p w:rsidR="00394714" w:rsidRDefault="00394714" w:rsidP="00394714">
      <w:pPr>
        <w:pStyle w:val="NormalWeb"/>
        <w:numPr>
          <w:ilvl w:val="0"/>
          <w:numId w:val="5"/>
        </w:numPr>
        <w:spacing w:after="0" w:afterAutospacing="0" w:line="276" w:lineRule="auto"/>
        <w:ind w:left="0"/>
        <w:rPr>
          <w:color w:val="1F1F1F"/>
        </w:rPr>
      </w:pPr>
      <w:r>
        <w:rPr>
          <w:b/>
          <w:bCs/>
          <w:color w:val="1F1F1F"/>
          <w:bdr w:val="none" w:sz="0" w:space="0" w:color="auto" w:frame="1"/>
        </w:rPr>
        <w:t xml:space="preserve">Porter, </w:t>
      </w:r>
      <w:r>
        <w:rPr>
          <w:rStyle w:val="citation-226"/>
          <w:b/>
          <w:bCs/>
          <w:color w:val="1F1F1F"/>
          <w:bdr w:val="none" w:sz="0" w:space="0" w:color="auto" w:frame="1"/>
        </w:rPr>
        <w:t>M.E.</w:t>
      </w:r>
      <w:r>
        <w:rPr>
          <w:rStyle w:val="citation-226"/>
          <w:color w:val="1F1F1F"/>
          <w:bdr w:val="none" w:sz="0" w:space="0" w:color="auto" w:frame="1"/>
        </w:rPr>
        <w:t xml:space="preserve"> (1980). </w:t>
      </w:r>
      <w:r>
        <w:rPr>
          <w:rStyle w:val="citation-226"/>
          <w:i/>
          <w:iCs/>
          <w:color w:val="1F1F1F"/>
          <w:bdr w:val="none" w:sz="0" w:space="0" w:color="auto" w:frame="1"/>
        </w:rPr>
        <w:t>Competitive Strategy: Techniques for Analyzing Industries and Competitors</w:t>
      </w:r>
      <w:r>
        <w:rPr>
          <w:rStyle w:val="citation-226"/>
          <w:color w:val="1F1F1F"/>
          <w:bdr w:val="none" w:sz="0" w:space="0" w:color="auto" w:frame="1"/>
        </w:rPr>
        <w:t>. New York: Free Press.</w:t>
      </w:r>
    </w:p>
    <w:p w:rsidR="00394714" w:rsidRDefault="00394714" w:rsidP="00394714">
      <w:pPr>
        <w:pStyle w:val="NormalWeb"/>
        <w:numPr>
          <w:ilvl w:val="0"/>
          <w:numId w:val="5"/>
        </w:numPr>
        <w:spacing w:after="0" w:afterAutospacing="0" w:line="276" w:lineRule="auto"/>
        <w:ind w:left="0"/>
        <w:rPr>
          <w:color w:val="1F1F1F"/>
        </w:rPr>
      </w:pPr>
      <w:r>
        <w:rPr>
          <w:rStyle w:val="citation-224"/>
          <w:b/>
          <w:bCs/>
          <w:color w:val="1F1F1F"/>
          <w:bdr w:val="none" w:sz="0" w:space="0" w:color="auto" w:frame="1"/>
        </w:rPr>
        <w:t>Porter, M.E.</w:t>
      </w:r>
      <w:r>
        <w:rPr>
          <w:rStyle w:val="citation-224"/>
          <w:color w:val="1F1F1F"/>
          <w:bdr w:val="none" w:sz="0" w:space="0" w:color="auto" w:frame="1"/>
        </w:rPr>
        <w:t xml:space="preserve"> (1985). </w:t>
      </w:r>
      <w:r>
        <w:rPr>
          <w:rStyle w:val="citation-224"/>
          <w:i/>
          <w:iCs/>
          <w:color w:val="1F1F1F"/>
          <w:bdr w:val="none" w:sz="0" w:space="0" w:color="auto" w:frame="1"/>
        </w:rPr>
        <w:t>Competitive Advantage: Creating and Sustaining Superior Performance</w:t>
      </w:r>
      <w:r>
        <w:rPr>
          <w:rStyle w:val="citation-224"/>
          <w:color w:val="1F1F1F"/>
          <w:bdr w:val="none" w:sz="0" w:space="0" w:color="auto" w:frame="1"/>
        </w:rPr>
        <w:t>. New York: Free Press.</w:t>
      </w:r>
    </w:p>
    <w:p w:rsidR="00394714" w:rsidRDefault="00394714" w:rsidP="00394714">
      <w:pPr>
        <w:pStyle w:val="NormalWeb"/>
        <w:numPr>
          <w:ilvl w:val="0"/>
          <w:numId w:val="5"/>
        </w:numPr>
        <w:spacing w:after="0" w:afterAutospacing="0" w:line="276" w:lineRule="auto"/>
        <w:ind w:left="0"/>
        <w:rPr>
          <w:color w:val="1F1F1F"/>
        </w:rPr>
      </w:pPr>
      <w:r>
        <w:rPr>
          <w:b/>
          <w:bCs/>
          <w:color w:val="1F1F1F"/>
          <w:bdr w:val="none" w:sz="0" w:space="0" w:color="auto" w:frame="1"/>
        </w:rPr>
        <w:t>Porter, M.E.</w:t>
      </w:r>
      <w:r>
        <w:rPr>
          <w:color w:val="1F1F1F"/>
        </w:rPr>
        <w:t xml:space="preserve"> (1990). </w:t>
      </w:r>
      <w:r>
        <w:rPr>
          <w:i/>
          <w:iCs/>
          <w:color w:val="1F1F1F"/>
          <w:bdr w:val="none" w:sz="0" w:space="0" w:color="auto" w:frame="1"/>
        </w:rPr>
        <w:t>The Competitive Advantage of Nations</w:t>
      </w:r>
      <w:r>
        <w:rPr>
          <w:color w:val="1F1F1F"/>
        </w:rPr>
        <w:t>. New York: Free Press.</w:t>
      </w:r>
    </w:p>
    <w:p w:rsidR="00394714" w:rsidRDefault="00394714" w:rsidP="00394714">
      <w:pPr>
        <w:pStyle w:val="NormalWeb"/>
        <w:numPr>
          <w:ilvl w:val="0"/>
          <w:numId w:val="5"/>
        </w:numPr>
        <w:spacing w:after="0" w:afterAutospacing="0" w:line="276" w:lineRule="auto"/>
        <w:ind w:left="0"/>
        <w:rPr>
          <w:color w:val="1F1F1F"/>
        </w:rPr>
      </w:pPr>
      <w:proofErr w:type="spellStart"/>
      <w:r>
        <w:rPr>
          <w:b/>
          <w:bCs/>
          <w:color w:val="1F1F1F"/>
          <w:bdr w:val="none" w:sz="0" w:space="0" w:color="auto" w:frame="1"/>
        </w:rPr>
        <w:t>Prahalad</w:t>
      </w:r>
      <w:proofErr w:type="spellEnd"/>
      <w:r>
        <w:rPr>
          <w:b/>
          <w:bCs/>
          <w:color w:val="1F1F1F"/>
          <w:bdr w:val="none" w:sz="0" w:space="0" w:color="auto" w:frame="1"/>
        </w:rPr>
        <w:t>, C.K. and Hart, S.L.</w:t>
      </w:r>
      <w:r>
        <w:rPr>
          <w:color w:val="1F1F1F"/>
        </w:rPr>
        <w:t xml:space="preserve"> (2002). The Fortune at the Bottom of the Pyramid. </w:t>
      </w:r>
      <w:proofErr w:type="spellStart"/>
      <w:r>
        <w:rPr>
          <w:i/>
          <w:iCs/>
          <w:color w:val="1F1F1F"/>
          <w:bdr w:val="none" w:sz="0" w:space="0" w:color="auto" w:frame="1"/>
        </w:rPr>
        <w:t>Strategy+Business</w:t>
      </w:r>
      <w:proofErr w:type="spellEnd"/>
      <w:r>
        <w:rPr>
          <w:color w:val="1F1F1F"/>
        </w:rPr>
        <w:t>, (26).</w:t>
      </w:r>
    </w:p>
    <w:p w:rsidR="00394714" w:rsidRDefault="00394714" w:rsidP="00394714">
      <w:pPr>
        <w:pStyle w:val="NormalWeb"/>
        <w:numPr>
          <w:ilvl w:val="0"/>
          <w:numId w:val="5"/>
        </w:numPr>
        <w:spacing w:after="0" w:afterAutospacing="0" w:line="276" w:lineRule="auto"/>
        <w:ind w:left="0"/>
        <w:rPr>
          <w:color w:val="1F1F1F"/>
        </w:rPr>
      </w:pPr>
      <w:r>
        <w:rPr>
          <w:b/>
          <w:bCs/>
          <w:color w:val="1F1F1F"/>
          <w:bdr w:val="none" w:sz="0" w:space="0" w:color="auto" w:frame="1"/>
        </w:rPr>
        <w:t xml:space="preserve">Rugman, A.M. and </w:t>
      </w:r>
      <w:proofErr w:type="spellStart"/>
      <w:r>
        <w:rPr>
          <w:b/>
          <w:bCs/>
          <w:color w:val="1F1F1F"/>
          <w:bdr w:val="none" w:sz="0" w:space="0" w:color="auto" w:frame="1"/>
        </w:rPr>
        <w:t>Verbeke</w:t>
      </w:r>
      <w:proofErr w:type="spellEnd"/>
      <w:r>
        <w:rPr>
          <w:b/>
          <w:bCs/>
          <w:color w:val="1F1F1F"/>
          <w:bdr w:val="none" w:sz="0" w:space="0" w:color="auto" w:frame="1"/>
        </w:rPr>
        <w:t>, A.</w:t>
      </w:r>
      <w:r>
        <w:rPr>
          <w:color w:val="1F1F1F"/>
        </w:rPr>
        <w:t xml:space="preserve"> (2004). A Perspective on Regional and Global Strategies of Multinational Enterprises. </w:t>
      </w:r>
      <w:r>
        <w:rPr>
          <w:i/>
          <w:iCs/>
          <w:color w:val="1F1F1F"/>
          <w:bdr w:val="none" w:sz="0" w:space="0" w:color="auto" w:frame="1"/>
        </w:rPr>
        <w:t>Journal of International Business Studies</w:t>
      </w:r>
      <w:r>
        <w:rPr>
          <w:color w:val="1F1F1F"/>
        </w:rPr>
        <w:t>, 35(1), pp.3–18.</w:t>
      </w:r>
    </w:p>
    <w:p w:rsidR="00394714" w:rsidRDefault="00394714" w:rsidP="00394714">
      <w:pPr>
        <w:pStyle w:val="NormalWeb"/>
        <w:numPr>
          <w:ilvl w:val="0"/>
          <w:numId w:val="6"/>
        </w:numPr>
        <w:spacing w:after="0" w:afterAutospacing="0" w:line="276" w:lineRule="auto"/>
        <w:ind w:left="0"/>
        <w:rPr>
          <w:color w:val="1F1F1F"/>
        </w:rPr>
      </w:pPr>
      <w:r>
        <w:rPr>
          <w:b/>
          <w:bCs/>
          <w:color w:val="1F1F1F"/>
          <w:bdr w:val="none" w:sz="0" w:space="0" w:color="auto" w:frame="1"/>
        </w:rPr>
        <w:lastRenderedPageBreak/>
        <w:t>ACMA</w:t>
      </w:r>
      <w:r>
        <w:rPr>
          <w:color w:val="1F1F1F"/>
        </w:rPr>
        <w:t xml:space="preserve"> (2023). </w:t>
      </w:r>
      <w:r>
        <w:rPr>
          <w:i/>
          <w:iCs/>
          <w:color w:val="1F1F1F"/>
          <w:bdr w:val="none" w:sz="0" w:space="0" w:color="auto" w:frame="1"/>
        </w:rPr>
        <w:t>Indian Auto Component Industry Performance Review 2022-23</w:t>
      </w:r>
      <w:r>
        <w:rPr>
          <w:color w:val="1F1F1F"/>
        </w:rPr>
        <w:t>. New Delhi: Automotive Component Manufacturers Association of India.</w:t>
      </w:r>
    </w:p>
    <w:p w:rsidR="00394714" w:rsidRDefault="00394714" w:rsidP="00394714">
      <w:pPr>
        <w:pStyle w:val="NormalWeb"/>
        <w:numPr>
          <w:ilvl w:val="0"/>
          <w:numId w:val="6"/>
        </w:numPr>
        <w:spacing w:after="0" w:afterAutospacing="0" w:line="276" w:lineRule="auto"/>
        <w:ind w:left="0"/>
        <w:rPr>
          <w:color w:val="1F1F1F"/>
        </w:rPr>
      </w:pPr>
      <w:r>
        <w:rPr>
          <w:b/>
          <w:bCs/>
          <w:color w:val="1F1F1F"/>
          <w:bdr w:val="none" w:sz="0" w:space="0" w:color="auto" w:frame="1"/>
        </w:rPr>
        <w:t>Dixit, S. and Joshi, M.</w:t>
      </w:r>
      <w:r>
        <w:rPr>
          <w:color w:val="1F1F1F"/>
        </w:rPr>
        <w:t xml:space="preserve"> (2011). Enhancing Competitiveness of the Indian Automobile Industry: A Study using Porter's Diamond Model. </w:t>
      </w:r>
      <w:r>
        <w:rPr>
          <w:i/>
          <w:iCs/>
          <w:color w:val="1F1F1F"/>
          <w:bdr w:val="none" w:sz="0" w:space="0" w:color="auto" w:frame="1"/>
        </w:rPr>
        <w:t>Management &amp; Change</w:t>
      </w:r>
      <w:r>
        <w:rPr>
          <w:color w:val="1F1F1F"/>
        </w:rPr>
        <w:t>, 15(1/2).</w:t>
      </w:r>
    </w:p>
    <w:p w:rsidR="00394714" w:rsidRDefault="00394714" w:rsidP="00394714">
      <w:pPr>
        <w:pStyle w:val="NormalWeb"/>
        <w:numPr>
          <w:ilvl w:val="0"/>
          <w:numId w:val="6"/>
        </w:numPr>
        <w:spacing w:after="0" w:afterAutospacing="0" w:line="276" w:lineRule="auto"/>
        <w:ind w:left="0"/>
        <w:rPr>
          <w:color w:val="1F1F1F"/>
        </w:rPr>
      </w:pPr>
      <w:r>
        <w:rPr>
          <w:b/>
          <w:bCs/>
          <w:color w:val="1F1F1F"/>
          <w:bdr w:val="none" w:sz="0" w:space="0" w:color="auto" w:frame="1"/>
        </w:rPr>
        <w:t>Government of India</w:t>
      </w:r>
      <w:r>
        <w:rPr>
          <w:color w:val="1F1F1F"/>
        </w:rPr>
        <w:t xml:space="preserve"> (2021). </w:t>
      </w:r>
      <w:r>
        <w:rPr>
          <w:i/>
          <w:iCs/>
          <w:color w:val="1F1F1F"/>
          <w:bdr w:val="none" w:sz="0" w:space="0" w:color="auto" w:frame="1"/>
        </w:rPr>
        <w:t>Production Linked Incentive (PLI) Scheme for Automobile and Auto Component Industry</w:t>
      </w:r>
      <w:r>
        <w:rPr>
          <w:color w:val="1F1F1F"/>
        </w:rPr>
        <w:t>. New Delhi: Ministry of Heavy Industries.</w:t>
      </w:r>
    </w:p>
    <w:p w:rsidR="00394714" w:rsidRDefault="00394714" w:rsidP="00394714">
      <w:pPr>
        <w:pStyle w:val="NormalWeb"/>
        <w:numPr>
          <w:ilvl w:val="0"/>
          <w:numId w:val="6"/>
        </w:numPr>
        <w:spacing w:after="0" w:afterAutospacing="0" w:line="276" w:lineRule="auto"/>
        <w:ind w:left="0"/>
        <w:rPr>
          <w:color w:val="1F1F1F"/>
        </w:rPr>
      </w:pPr>
      <w:r>
        <w:rPr>
          <w:b/>
          <w:bCs/>
          <w:color w:val="1F1F1F"/>
          <w:bdr w:val="none" w:sz="0" w:space="0" w:color="auto" w:frame="1"/>
        </w:rPr>
        <w:t>Hyundai Motor India</w:t>
      </w:r>
      <w:r>
        <w:rPr>
          <w:color w:val="1F1F1F"/>
        </w:rPr>
        <w:t xml:space="preserve"> (2023). </w:t>
      </w:r>
      <w:r>
        <w:rPr>
          <w:i/>
          <w:iCs/>
          <w:color w:val="1F1F1F"/>
          <w:bdr w:val="none" w:sz="0" w:space="0" w:color="auto" w:frame="1"/>
        </w:rPr>
        <w:t>Annual Report 2022-2023</w:t>
      </w:r>
      <w:r>
        <w:rPr>
          <w:color w:val="1F1F1F"/>
        </w:rPr>
        <w:t>. Chennai: Hyundai Motor India Ltd.</w:t>
      </w:r>
    </w:p>
    <w:p w:rsidR="00394714" w:rsidRDefault="00394714" w:rsidP="00394714">
      <w:pPr>
        <w:pStyle w:val="NormalWeb"/>
        <w:numPr>
          <w:ilvl w:val="0"/>
          <w:numId w:val="6"/>
        </w:numPr>
        <w:spacing w:after="0" w:afterAutospacing="0" w:line="276" w:lineRule="auto"/>
        <w:ind w:left="0"/>
        <w:rPr>
          <w:color w:val="1F1F1F"/>
        </w:rPr>
      </w:pPr>
      <w:r>
        <w:rPr>
          <w:b/>
          <w:bCs/>
          <w:color w:val="1F1F1F"/>
          <w:bdr w:val="none" w:sz="0" w:space="0" w:color="auto" w:frame="1"/>
        </w:rPr>
        <w:t>KPMG</w:t>
      </w:r>
      <w:r>
        <w:rPr>
          <w:color w:val="1F1F1F"/>
        </w:rPr>
        <w:t xml:space="preserve"> (2023). </w:t>
      </w:r>
      <w:r>
        <w:rPr>
          <w:i/>
          <w:iCs/>
          <w:color w:val="1F1F1F"/>
          <w:bdr w:val="none" w:sz="0" w:space="0" w:color="auto" w:frame="1"/>
        </w:rPr>
        <w:t>Automotive Sector: Transitioning to a New Reality</w:t>
      </w:r>
      <w:r>
        <w:rPr>
          <w:color w:val="1F1F1F"/>
        </w:rPr>
        <w:t>. Gurgaon: KPMG India.</w:t>
      </w:r>
    </w:p>
    <w:p w:rsidR="00394714" w:rsidRDefault="00394714" w:rsidP="00394714">
      <w:pPr>
        <w:pStyle w:val="NormalWeb"/>
        <w:numPr>
          <w:ilvl w:val="0"/>
          <w:numId w:val="6"/>
        </w:numPr>
        <w:spacing w:after="0" w:afterAutospacing="0" w:line="276" w:lineRule="auto"/>
        <w:ind w:left="0"/>
        <w:rPr>
          <w:color w:val="1F1F1F"/>
        </w:rPr>
      </w:pPr>
      <w:r>
        <w:rPr>
          <w:b/>
          <w:bCs/>
          <w:color w:val="1F1F1F"/>
          <w:bdr w:val="none" w:sz="0" w:space="0" w:color="auto" w:frame="1"/>
        </w:rPr>
        <w:t>Liker, J.K.</w:t>
      </w:r>
      <w:r>
        <w:rPr>
          <w:color w:val="1F1F1F"/>
        </w:rPr>
        <w:t xml:space="preserve"> (2004). </w:t>
      </w:r>
      <w:r>
        <w:rPr>
          <w:i/>
          <w:iCs/>
          <w:color w:val="1F1F1F"/>
          <w:bdr w:val="none" w:sz="0" w:space="0" w:color="auto" w:frame="1"/>
        </w:rPr>
        <w:t>The Toyota Way: 14 Management Principles from the World's Greatest Manufacturer</w:t>
      </w:r>
      <w:r>
        <w:rPr>
          <w:color w:val="1F1F1F"/>
        </w:rPr>
        <w:t>. New York: McGraw-Hill.</w:t>
      </w:r>
    </w:p>
    <w:p w:rsidR="00394714" w:rsidRDefault="00394714" w:rsidP="00394714">
      <w:pPr>
        <w:pStyle w:val="NormalWeb"/>
        <w:numPr>
          <w:ilvl w:val="0"/>
          <w:numId w:val="6"/>
        </w:numPr>
        <w:spacing w:after="0" w:afterAutospacing="0" w:line="276" w:lineRule="auto"/>
        <w:ind w:left="0"/>
        <w:rPr>
          <w:color w:val="1F1F1F"/>
        </w:rPr>
      </w:pPr>
      <w:proofErr w:type="spellStart"/>
      <w:r>
        <w:rPr>
          <w:b/>
          <w:bCs/>
          <w:color w:val="1F1F1F"/>
          <w:bdr w:val="none" w:sz="0" w:space="0" w:color="auto" w:frame="1"/>
        </w:rPr>
        <w:t>Maruti</w:t>
      </w:r>
      <w:proofErr w:type="spellEnd"/>
      <w:r>
        <w:rPr>
          <w:b/>
          <w:bCs/>
          <w:color w:val="1F1F1F"/>
          <w:bdr w:val="none" w:sz="0" w:space="0" w:color="auto" w:frame="1"/>
        </w:rPr>
        <w:t xml:space="preserve"> Suzuki</w:t>
      </w:r>
      <w:r>
        <w:rPr>
          <w:color w:val="1F1F1F"/>
        </w:rPr>
        <w:t xml:space="preserve"> (2023). </w:t>
      </w:r>
      <w:r>
        <w:rPr>
          <w:i/>
          <w:iCs/>
          <w:color w:val="1F1F1F"/>
          <w:bdr w:val="none" w:sz="0" w:space="0" w:color="auto" w:frame="1"/>
        </w:rPr>
        <w:t>Annual Integrated Report 2022-23</w:t>
      </w:r>
      <w:r>
        <w:rPr>
          <w:color w:val="1F1F1F"/>
        </w:rPr>
        <w:t xml:space="preserve">. New Delhi: </w:t>
      </w:r>
      <w:proofErr w:type="spellStart"/>
      <w:r>
        <w:rPr>
          <w:color w:val="1F1F1F"/>
        </w:rPr>
        <w:t>Maruti</w:t>
      </w:r>
      <w:proofErr w:type="spellEnd"/>
      <w:r>
        <w:rPr>
          <w:color w:val="1F1F1F"/>
        </w:rPr>
        <w:t xml:space="preserve"> Suzuki India Limited.</w:t>
      </w:r>
    </w:p>
    <w:p w:rsidR="00394714" w:rsidRDefault="00394714" w:rsidP="00394714">
      <w:pPr>
        <w:pStyle w:val="NormalWeb"/>
        <w:numPr>
          <w:ilvl w:val="0"/>
          <w:numId w:val="6"/>
        </w:numPr>
        <w:spacing w:after="0" w:afterAutospacing="0" w:line="276" w:lineRule="auto"/>
        <w:ind w:left="0"/>
        <w:rPr>
          <w:color w:val="1F1F1F"/>
        </w:rPr>
      </w:pPr>
      <w:r>
        <w:rPr>
          <w:b/>
          <w:bCs/>
          <w:color w:val="1F1F1F"/>
          <w:bdr w:val="none" w:sz="0" w:space="0" w:color="auto" w:frame="1"/>
        </w:rPr>
        <w:t>Ministry of Road Transport and Highways</w:t>
      </w:r>
      <w:r>
        <w:rPr>
          <w:color w:val="1F1F1F"/>
        </w:rPr>
        <w:t xml:space="preserve"> (2023). </w:t>
      </w:r>
      <w:r>
        <w:rPr>
          <w:i/>
          <w:iCs/>
          <w:color w:val="1F1F1F"/>
          <w:bdr w:val="none" w:sz="0" w:space="0" w:color="auto" w:frame="1"/>
        </w:rPr>
        <w:t>Road Transport Year Book 2022-23</w:t>
      </w:r>
      <w:r>
        <w:rPr>
          <w:color w:val="1F1F1F"/>
        </w:rPr>
        <w:t>. New Delhi: Government of India.</w:t>
      </w:r>
    </w:p>
    <w:p w:rsidR="00394714" w:rsidRDefault="00394714" w:rsidP="00394714">
      <w:pPr>
        <w:pStyle w:val="NormalWeb"/>
        <w:numPr>
          <w:ilvl w:val="0"/>
          <w:numId w:val="6"/>
        </w:numPr>
        <w:spacing w:after="0" w:afterAutospacing="0" w:line="276" w:lineRule="auto"/>
        <w:ind w:left="0"/>
        <w:rPr>
          <w:color w:val="1F1F1F"/>
        </w:rPr>
      </w:pPr>
      <w:r>
        <w:rPr>
          <w:b/>
          <w:bCs/>
          <w:color w:val="1F1F1F"/>
          <w:bdr w:val="none" w:sz="0" w:space="0" w:color="auto" w:frame="1"/>
        </w:rPr>
        <w:t xml:space="preserve">Mukherjee, A. and </w:t>
      </w:r>
      <w:proofErr w:type="spellStart"/>
      <w:r>
        <w:rPr>
          <w:b/>
          <w:bCs/>
          <w:color w:val="1F1F1F"/>
          <w:bdr w:val="none" w:sz="0" w:space="0" w:color="auto" w:frame="1"/>
        </w:rPr>
        <w:t>Sastry</w:t>
      </w:r>
      <w:proofErr w:type="spellEnd"/>
      <w:r>
        <w:rPr>
          <w:b/>
          <w:bCs/>
          <w:color w:val="1F1F1F"/>
          <w:bdr w:val="none" w:sz="0" w:space="0" w:color="auto" w:frame="1"/>
        </w:rPr>
        <w:t>, T.</w:t>
      </w:r>
      <w:r>
        <w:rPr>
          <w:color w:val="1F1F1F"/>
        </w:rPr>
        <w:t xml:space="preserve"> (1996). The Automotive Industry in Emerging Economies: A Comparative Study of South Korea, Brazil and India. </w:t>
      </w:r>
      <w:r>
        <w:rPr>
          <w:i/>
          <w:iCs/>
          <w:color w:val="1F1F1F"/>
          <w:bdr w:val="none" w:sz="0" w:space="0" w:color="auto" w:frame="1"/>
        </w:rPr>
        <w:t>Economic and Political Weekly</w:t>
      </w:r>
      <w:r>
        <w:rPr>
          <w:color w:val="1F1F1F"/>
        </w:rPr>
        <w:t>, 31(48).</w:t>
      </w:r>
    </w:p>
    <w:p w:rsidR="00394714" w:rsidRDefault="00394714" w:rsidP="00394714">
      <w:pPr>
        <w:pStyle w:val="NormalWeb"/>
        <w:numPr>
          <w:ilvl w:val="0"/>
          <w:numId w:val="6"/>
        </w:numPr>
        <w:spacing w:after="0" w:afterAutospacing="0" w:line="276" w:lineRule="auto"/>
        <w:ind w:left="0"/>
        <w:rPr>
          <w:color w:val="1F1F1F"/>
        </w:rPr>
      </w:pPr>
      <w:r>
        <w:rPr>
          <w:b/>
          <w:bCs/>
          <w:color w:val="1F1F1F"/>
          <w:bdr w:val="none" w:sz="0" w:space="0" w:color="auto" w:frame="1"/>
        </w:rPr>
        <w:t>SIAM</w:t>
      </w:r>
      <w:r>
        <w:rPr>
          <w:color w:val="1F1F1F"/>
        </w:rPr>
        <w:t xml:space="preserve"> (2023). </w:t>
      </w:r>
      <w:r>
        <w:rPr>
          <w:i/>
          <w:iCs/>
          <w:color w:val="1F1F1F"/>
          <w:bdr w:val="none" w:sz="0" w:space="0" w:color="auto" w:frame="1"/>
        </w:rPr>
        <w:t>Automobile Industry Data 2022-23</w:t>
      </w:r>
      <w:r>
        <w:rPr>
          <w:color w:val="1F1F1F"/>
        </w:rPr>
        <w:t>. New Delhi: Society of Indian Automobile Manufacturers.</w:t>
      </w:r>
    </w:p>
    <w:p w:rsidR="00394714" w:rsidRDefault="00394714" w:rsidP="00394714">
      <w:pPr>
        <w:pStyle w:val="NormalWeb"/>
        <w:numPr>
          <w:ilvl w:val="0"/>
          <w:numId w:val="6"/>
        </w:numPr>
        <w:spacing w:after="0" w:afterAutospacing="0" w:line="276" w:lineRule="auto"/>
        <w:ind w:left="0"/>
        <w:rPr>
          <w:color w:val="1F1F1F"/>
        </w:rPr>
      </w:pPr>
      <w:r>
        <w:rPr>
          <w:b/>
          <w:bCs/>
          <w:color w:val="1F1F1F"/>
          <w:bdr w:val="none" w:sz="0" w:space="0" w:color="auto" w:frame="1"/>
        </w:rPr>
        <w:t>Tata Motors</w:t>
      </w:r>
      <w:r>
        <w:rPr>
          <w:color w:val="1F1F1F"/>
        </w:rPr>
        <w:t xml:space="preserve"> (2023). </w:t>
      </w:r>
      <w:r>
        <w:rPr>
          <w:i/>
          <w:iCs/>
          <w:color w:val="1F1F1F"/>
          <w:bdr w:val="none" w:sz="0" w:space="0" w:color="auto" w:frame="1"/>
        </w:rPr>
        <w:t>78th Integrated Annual Report 2022-23</w:t>
      </w:r>
      <w:r>
        <w:rPr>
          <w:color w:val="1F1F1F"/>
        </w:rPr>
        <w:t>. Mumbai: Tata Motors Limited.</w:t>
      </w:r>
    </w:p>
    <w:p w:rsidR="00394714" w:rsidRDefault="00394714" w:rsidP="00394714">
      <w:pPr>
        <w:pStyle w:val="NormalWeb"/>
        <w:numPr>
          <w:ilvl w:val="0"/>
          <w:numId w:val="6"/>
        </w:numPr>
        <w:spacing w:after="0" w:afterAutospacing="0" w:line="276" w:lineRule="auto"/>
        <w:ind w:left="0"/>
        <w:rPr>
          <w:color w:val="1F1F1F"/>
        </w:rPr>
      </w:pPr>
      <w:r>
        <w:rPr>
          <w:b/>
          <w:bCs/>
          <w:color w:val="1F1F1F"/>
          <w:bdr w:val="none" w:sz="0" w:space="0" w:color="auto" w:frame="1"/>
        </w:rPr>
        <w:t xml:space="preserve">Toyota </w:t>
      </w:r>
      <w:proofErr w:type="spellStart"/>
      <w:r>
        <w:rPr>
          <w:b/>
          <w:bCs/>
          <w:color w:val="1F1F1F"/>
          <w:bdr w:val="none" w:sz="0" w:space="0" w:color="auto" w:frame="1"/>
        </w:rPr>
        <w:t>Kirloskar</w:t>
      </w:r>
      <w:proofErr w:type="spellEnd"/>
      <w:r>
        <w:rPr>
          <w:b/>
          <w:bCs/>
          <w:color w:val="1F1F1F"/>
          <w:bdr w:val="none" w:sz="0" w:space="0" w:color="auto" w:frame="1"/>
        </w:rPr>
        <w:t xml:space="preserve"> Motor</w:t>
      </w:r>
      <w:r>
        <w:rPr>
          <w:color w:val="1F1F1F"/>
        </w:rPr>
        <w:t xml:space="preserve"> (2023). </w:t>
      </w:r>
      <w:r>
        <w:rPr>
          <w:i/>
          <w:iCs/>
          <w:color w:val="1F1F1F"/>
          <w:bdr w:val="none" w:sz="0" w:space="0" w:color="auto" w:frame="1"/>
        </w:rPr>
        <w:t>Sustainability Report 2022-23</w:t>
      </w:r>
      <w:r>
        <w:rPr>
          <w:color w:val="1F1F1F"/>
        </w:rPr>
        <w:t xml:space="preserve">. Bangalore: Toyota </w:t>
      </w:r>
      <w:proofErr w:type="spellStart"/>
      <w:r>
        <w:rPr>
          <w:color w:val="1F1F1F"/>
        </w:rPr>
        <w:t>Kirloskar</w:t>
      </w:r>
      <w:proofErr w:type="spellEnd"/>
      <w:r>
        <w:rPr>
          <w:color w:val="1F1F1F"/>
        </w:rPr>
        <w:t xml:space="preserve"> Motor </w:t>
      </w:r>
      <w:proofErr w:type="spellStart"/>
      <w:r>
        <w:rPr>
          <w:color w:val="1F1F1F"/>
        </w:rPr>
        <w:t>Pvt</w:t>
      </w:r>
      <w:proofErr w:type="spellEnd"/>
      <w:r>
        <w:rPr>
          <w:color w:val="1F1F1F"/>
        </w:rPr>
        <w:t xml:space="preserve"> Ltd.</w:t>
      </w:r>
    </w:p>
    <w:p w:rsidR="00394714" w:rsidRDefault="00394714" w:rsidP="00394714">
      <w:pPr>
        <w:pStyle w:val="NormalWeb"/>
        <w:numPr>
          <w:ilvl w:val="0"/>
          <w:numId w:val="7"/>
        </w:numPr>
        <w:spacing w:after="0" w:afterAutospacing="0" w:line="276" w:lineRule="auto"/>
        <w:ind w:left="0"/>
        <w:rPr>
          <w:color w:val="1F1F1F"/>
        </w:rPr>
      </w:pPr>
      <w:r>
        <w:rPr>
          <w:b/>
          <w:bCs/>
          <w:color w:val="1F1F1F"/>
          <w:bdr w:val="none" w:sz="0" w:space="0" w:color="auto" w:frame="1"/>
        </w:rPr>
        <w:t>Gibbs, G.</w:t>
      </w:r>
      <w:r>
        <w:rPr>
          <w:color w:val="1F1F1F"/>
        </w:rPr>
        <w:t xml:space="preserve"> (1988). </w:t>
      </w:r>
      <w:r>
        <w:rPr>
          <w:i/>
          <w:iCs/>
          <w:color w:val="1F1F1F"/>
          <w:bdr w:val="none" w:sz="0" w:space="0" w:color="auto" w:frame="1"/>
        </w:rPr>
        <w:t>Learning by Doing: A Guide to Teaching and Learning Methods</w:t>
      </w:r>
      <w:r>
        <w:rPr>
          <w:color w:val="1F1F1F"/>
        </w:rPr>
        <w:t>. Oxford: Further Education Unit.</w:t>
      </w:r>
    </w:p>
    <w:p w:rsidR="00394714" w:rsidRDefault="00394714" w:rsidP="00394714">
      <w:pPr>
        <w:pStyle w:val="NormalWeb"/>
        <w:numPr>
          <w:ilvl w:val="0"/>
          <w:numId w:val="7"/>
        </w:numPr>
        <w:spacing w:after="0" w:afterAutospacing="0" w:line="276" w:lineRule="auto"/>
        <w:ind w:left="0"/>
        <w:rPr>
          <w:color w:val="1F1F1F"/>
        </w:rPr>
      </w:pPr>
      <w:r>
        <w:rPr>
          <w:b/>
          <w:bCs/>
          <w:color w:val="1F1F1F"/>
          <w:bdr w:val="none" w:sz="0" w:space="0" w:color="auto" w:frame="1"/>
        </w:rPr>
        <w:t>Kolb, D.A.</w:t>
      </w:r>
      <w:r>
        <w:rPr>
          <w:color w:val="1F1F1F"/>
        </w:rPr>
        <w:t xml:space="preserve"> (1984). </w:t>
      </w:r>
      <w:r>
        <w:rPr>
          <w:i/>
          <w:iCs/>
          <w:color w:val="1F1F1F"/>
          <w:bdr w:val="none" w:sz="0" w:space="0" w:color="auto" w:frame="1"/>
        </w:rPr>
        <w:t>Experiential Learning: Experience as the Source of Learning and Development</w:t>
      </w:r>
      <w:r>
        <w:rPr>
          <w:color w:val="1F1F1F"/>
        </w:rPr>
        <w:t>. Englewood Cliffs, NJ: Prentice-Hall.</w:t>
      </w:r>
    </w:p>
    <w:p w:rsidR="00394714" w:rsidRDefault="00394714" w:rsidP="00394714">
      <w:pPr>
        <w:pStyle w:val="NormalWeb"/>
        <w:numPr>
          <w:ilvl w:val="0"/>
          <w:numId w:val="7"/>
        </w:numPr>
        <w:spacing w:after="0" w:afterAutospacing="0" w:line="276" w:lineRule="auto"/>
        <w:ind w:left="0"/>
        <w:rPr>
          <w:color w:val="1F1F1F"/>
        </w:rPr>
      </w:pPr>
      <w:proofErr w:type="spellStart"/>
      <w:r>
        <w:rPr>
          <w:b/>
          <w:bCs/>
          <w:color w:val="1F1F1F"/>
          <w:bdr w:val="none" w:sz="0" w:space="0" w:color="auto" w:frame="1"/>
        </w:rPr>
        <w:t>Mezirow</w:t>
      </w:r>
      <w:proofErr w:type="spellEnd"/>
      <w:r>
        <w:rPr>
          <w:b/>
          <w:bCs/>
          <w:color w:val="1F1F1F"/>
          <w:bdr w:val="none" w:sz="0" w:space="0" w:color="auto" w:frame="1"/>
        </w:rPr>
        <w:t>, J.</w:t>
      </w:r>
      <w:r>
        <w:rPr>
          <w:color w:val="1F1F1F"/>
        </w:rPr>
        <w:t xml:space="preserve"> (1991). </w:t>
      </w:r>
      <w:r>
        <w:rPr>
          <w:i/>
          <w:iCs/>
          <w:color w:val="1F1F1F"/>
          <w:bdr w:val="none" w:sz="0" w:space="0" w:color="auto" w:frame="1"/>
        </w:rPr>
        <w:t>Transformative Dimensions of Adult Learning</w:t>
      </w:r>
      <w:r>
        <w:rPr>
          <w:color w:val="1F1F1F"/>
        </w:rPr>
        <w:t xml:space="preserve">. San Francisco, CA: </w:t>
      </w:r>
      <w:proofErr w:type="spellStart"/>
      <w:r>
        <w:rPr>
          <w:color w:val="1F1F1F"/>
        </w:rPr>
        <w:t>Jossey</w:t>
      </w:r>
      <w:proofErr w:type="spellEnd"/>
      <w:r>
        <w:rPr>
          <w:color w:val="1F1F1F"/>
        </w:rPr>
        <w:t>-Bass.</w:t>
      </w:r>
    </w:p>
    <w:p w:rsidR="00394714" w:rsidRDefault="00394714" w:rsidP="00394714">
      <w:pPr>
        <w:pStyle w:val="NormalWeb"/>
        <w:numPr>
          <w:ilvl w:val="0"/>
          <w:numId w:val="7"/>
        </w:numPr>
        <w:spacing w:after="0" w:afterAutospacing="0" w:line="276" w:lineRule="auto"/>
        <w:ind w:left="0"/>
        <w:rPr>
          <w:color w:val="1F1F1F"/>
        </w:rPr>
      </w:pPr>
      <w:proofErr w:type="spellStart"/>
      <w:r>
        <w:rPr>
          <w:b/>
          <w:bCs/>
          <w:color w:val="1F1F1F"/>
          <w:bdr w:val="none" w:sz="0" w:space="0" w:color="auto" w:frame="1"/>
        </w:rPr>
        <w:t>Schön</w:t>
      </w:r>
      <w:proofErr w:type="spellEnd"/>
      <w:r>
        <w:rPr>
          <w:b/>
          <w:bCs/>
          <w:color w:val="1F1F1F"/>
          <w:bdr w:val="none" w:sz="0" w:space="0" w:color="auto" w:frame="1"/>
        </w:rPr>
        <w:t>, D.A.</w:t>
      </w:r>
      <w:r>
        <w:rPr>
          <w:color w:val="1F1F1F"/>
        </w:rPr>
        <w:t xml:space="preserve"> (1983). </w:t>
      </w:r>
      <w:r>
        <w:rPr>
          <w:i/>
          <w:iCs/>
          <w:color w:val="1F1F1F"/>
          <w:bdr w:val="none" w:sz="0" w:space="0" w:color="auto" w:frame="1"/>
        </w:rPr>
        <w:t>The Reflective Practitioner: How Professionals Think in Action</w:t>
      </w:r>
      <w:r>
        <w:rPr>
          <w:color w:val="1F1F1F"/>
        </w:rPr>
        <w:t>. New York: Basic Books.</w:t>
      </w:r>
    </w:p>
    <w:p w:rsidR="00394714" w:rsidRDefault="00394714" w:rsidP="00394714">
      <w:pPr>
        <w:pStyle w:val="NormalWeb"/>
        <w:numPr>
          <w:ilvl w:val="0"/>
          <w:numId w:val="8"/>
        </w:numPr>
        <w:spacing w:after="0" w:afterAutospacing="0" w:line="276" w:lineRule="auto"/>
        <w:ind w:left="0"/>
        <w:rPr>
          <w:color w:val="1F1F1F"/>
        </w:rPr>
      </w:pPr>
      <w:r>
        <w:rPr>
          <w:b/>
          <w:bCs/>
          <w:color w:val="1F1F1F"/>
          <w:bdr w:val="none" w:sz="0" w:space="0" w:color="auto" w:frame="1"/>
        </w:rPr>
        <w:t xml:space="preserve">International </w:t>
      </w:r>
      <w:proofErr w:type="spellStart"/>
      <w:r>
        <w:rPr>
          <w:b/>
          <w:bCs/>
          <w:color w:val="1F1F1F"/>
          <w:bdr w:val="none" w:sz="0" w:space="0" w:color="auto" w:frame="1"/>
        </w:rPr>
        <w:t>Labour</w:t>
      </w:r>
      <w:proofErr w:type="spellEnd"/>
      <w:r>
        <w:rPr>
          <w:b/>
          <w:bCs/>
          <w:color w:val="1F1F1F"/>
          <w:bdr w:val="none" w:sz="0" w:space="0" w:color="auto" w:frame="1"/>
        </w:rPr>
        <w:t xml:space="preserve"> Organization</w:t>
      </w:r>
      <w:r>
        <w:rPr>
          <w:color w:val="1F1F1F"/>
        </w:rPr>
        <w:t xml:space="preserve"> (2023). </w:t>
      </w:r>
      <w:r>
        <w:rPr>
          <w:i/>
          <w:iCs/>
          <w:color w:val="1F1F1F"/>
          <w:bdr w:val="none" w:sz="0" w:space="0" w:color="auto" w:frame="1"/>
        </w:rPr>
        <w:t>Global Wage Report 2022-23</w:t>
      </w:r>
      <w:r>
        <w:rPr>
          <w:color w:val="1F1F1F"/>
        </w:rPr>
        <w:t>. Geneva: ILO.</w:t>
      </w:r>
    </w:p>
    <w:p w:rsidR="00394714" w:rsidRDefault="00394714" w:rsidP="00394714">
      <w:pPr>
        <w:pStyle w:val="NormalWeb"/>
        <w:numPr>
          <w:ilvl w:val="0"/>
          <w:numId w:val="8"/>
        </w:numPr>
        <w:spacing w:after="0" w:afterAutospacing="0" w:line="276" w:lineRule="auto"/>
        <w:ind w:left="0"/>
        <w:rPr>
          <w:color w:val="1F1F1F"/>
        </w:rPr>
      </w:pPr>
      <w:r>
        <w:rPr>
          <w:b/>
          <w:bCs/>
          <w:color w:val="1F1F1F"/>
          <w:bdr w:val="none" w:sz="0" w:space="0" w:color="auto" w:frame="1"/>
        </w:rPr>
        <w:t>UNCTAD</w:t>
      </w:r>
      <w:r>
        <w:rPr>
          <w:color w:val="1F1F1F"/>
        </w:rPr>
        <w:t xml:space="preserve"> (2023). </w:t>
      </w:r>
      <w:r>
        <w:rPr>
          <w:i/>
          <w:iCs/>
          <w:color w:val="1F1F1F"/>
          <w:bdr w:val="none" w:sz="0" w:space="0" w:color="auto" w:frame="1"/>
        </w:rPr>
        <w:t>World Investment Report 2023</w:t>
      </w:r>
      <w:r>
        <w:rPr>
          <w:color w:val="1F1F1F"/>
        </w:rPr>
        <w:t>. Geneva: United Nations Conference on Trade and Development.</w:t>
      </w:r>
    </w:p>
    <w:p w:rsidR="00394714" w:rsidRDefault="00394714" w:rsidP="00394714">
      <w:pPr>
        <w:pStyle w:val="NormalWeb"/>
        <w:numPr>
          <w:ilvl w:val="0"/>
          <w:numId w:val="8"/>
        </w:numPr>
        <w:spacing w:after="0" w:afterAutospacing="0" w:line="276" w:lineRule="auto"/>
        <w:ind w:left="0"/>
        <w:rPr>
          <w:color w:val="1F1F1F"/>
        </w:rPr>
      </w:pPr>
      <w:r>
        <w:rPr>
          <w:b/>
          <w:bCs/>
          <w:color w:val="1F1F1F"/>
          <w:bdr w:val="none" w:sz="0" w:space="0" w:color="auto" w:frame="1"/>
        </w:rPr>
        <w:t>World Bank</w:t>
      </w:r>
      <w:r>
        <w:rPr>
          <w:color w:val="1F1F1F"/>
        </w:rPr>
        <w:t xml:space="preserve"> (2023). </w:t>
      </w:r>
      <w:r>
        <w:rPr>
          <w:i/>
          <w:iCs/>
          <w:color w:val="1F1F1F"/>
          <w:bdr w:val="none" w:sz="0" w:space="0" w:color="auto" w:frame="1"/>
        </w:rPr>
        <w:t>World Development Report 2023: Migrants, Refugees, and Societies</w:t>
      </w:r>
      <w:r>
        <w:rPr>
          <w:color w:val="1F1F1F"/>
        </w:rPr>
        <w:t>. Washington, DC: World Bank.</w:t>
      </w:r>
    </w:p>
    <w:p w:rsidR="00025F5D" w:rsidRPr="00786E87" w:rsidRDefault="00025F5D" w:rsidP="00B4474B">
      <w:pPr>
        <w:spacing w:after="130" w:line="276" w:lineRule="auto"/>
        <w:jc w:val="both"/>
      </w:pPr>
      <w:bookmarkStart w:id="0" w:name="_GoBack"/>
      <w:bookmarkEnd w:id="0"/>
    </w:p>
    <w:sectPr w:rsidR="00025F5D" w:rsidRPr="00786E87">
      <w:headerReference w:type="default" r:id="rId9"/>
      <w:footerReference w:type="default" r:id="rId10"/>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1028A" w:rsidRDefault="0081028A">
      <w:r>
        <w:separator/>
      </w:r>
    </w:p>
  </w:endnote>
  <w:endnote w:type="continuationSeparator" w:id="0">
    <w:p w:rsidR="0081028A" w:rsidRDefault="008102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25F5D" w:rsidRDefault="00786413">
    <w:pPr>
      <w:pBdr>
        <w:top w:val="single" w:sz="4" w:space="6" w:color="2E5FA3"/>
      </w:pBdr>
      <w:jc w:val="center"/>
    </w:pPr>
    <w:r>
      <w:rPr>
        <w:color w:val="666666"/>
        <w:sz w:val="18"/>
        <w:szCs w:val="18"/>
      </w:rPr>
      <w:t xml:space="preserve">Page </w:t>
    </w:r>
    <w:r>
      <w:fldChar w:fldCharType="begin"/>
    </w:r>
    <w:r>
      <w:instrText>PAGE</w:instrText>
    </w:r>
    <w:r>
      <w:fldChar w:fldCharType="separate"/>
    </w:r>
    <w:r w:rsidR="00394714">
      <w:rPr>
        <w:noProof/>
      </w:rPr>
      <w:t>15</w:t>
    </w:r>
    <w:r>
      <w:fldChar w:fldCharType="end"/>
    </w:r>
    <w:r>
      <w:rPr>
        <w:color w:val="666666"/>
        <w:sz w:val="18"/>
        <w:szCs w:val="18"/>
      </w:rPr>
      <w:t xml:space="preserve">  |  LCMB7034 International Business Concepts</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1028A" w:rsidRDefault="0081028A">
      <w:r>
        <w:separator/>
      </w:r>
    </w:p>
  </w:footnote>
  <w:footnote w:type="continuationSeparator" w:id="0">
    <w:p w:rsidR="0081028A" w:rsidRDefault="0081028A">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25F5D" w:rsidRDefault="00786413">
    <w:pPr>
      <w:pBdr>
        <w:bottom w:val="single" w:sz="4" w:space="6" w:color="2E5FA3"/>
      </w:pBdr>
      <w:jc w:val="right"/>
    </w:pPr>
    <w:r>
      <w:rPr>
        <w:color w:val="666666"/>
        <w:sz w:val="18"/>
        <w:szCs w:val="18"/>
      </w:rPr>
      <w:t xml:space="preserve">Toyota </w:t>
    </w:r>
    <w:proofErr w:type="spellStart"/>
    <w:r>
      <w:rPr>
        <w:color w:val="666666"/>
        <w:sz w:val="18"/>
        <w:szCs w:val="18"/>
      </w:rPr>
      <w:t>Kirloskar</w:t>
    </w:r>
    <w:proofErr w:type="spellEnd"/>
    <w:r>
      <w:rPr>
        <w:color w:val="666666"/>
        <w:sz w:val="18"/>
        <w:szCs w:val="18"/>
      </w:rPr>
      <w:t xml:space="preserve"> Motor | Indian Automotive Industry | MBA International Business</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4225D"/>
    <w:multiLevelType w:val="multilevel"/>
    <w:tmpl w:val="2036119E"/>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167064"/>
    <w:multiLevelType w:val="hybridMultilevel"/>
    <w:tmpl w:val="E1040E3C"/>
    <w:lvl w:ilvl="0" w:tplc="4EF4790A">
      <w:start w:val="1"/>
      <w:numFmt w:val="bullet"/>
      <w:lvlText w:val="●"/>
      <w:lvlJc w:val="left"/>
      <w:pPr>
        <w:ind w:left="720" w:hanging="360"/>
      </w:pPr>
    </w:lvl>
    <w:lvl w:ilvl="1" w:tplc="E97483AE">
      <w:start w:val="1"/>
      <w:numFmt w:val="bullet"/>
      <w:lvlText w:val="○"/>
      <w:lvlJc w:val="left"/>
      <w:pPr>
        <w:ind w:left="1440" w:hanging="360"/>
      </w:pPr>
    </w:lvl>
    <w:lvl w:ilvl="2" w:tplc="5274A32C">
      <w:start w:val="1"/>
      <w:numFmt w:val="bullet"/>
      <w:lvlText w:val="■"/>
      <w:lvlJc w:val="left"/>
      <w:pPr>
        <w:ind w:left="2160" w:hanging="360"/>
      </w:pPr>
    </w:lvl>
    <w:lvl w:ilvl="3" w:tplc="471C5A0E">
      <w:start w:val="1"/>
      <w:numFmt w:val="bullet"/>
      <w:lvlText w:val="●"/>
      <w:lvlJc w:val="left"/>
      <w:pPr>
        <w:ind w:left="2880" w:hanging="360"/>
      </w:pPr>
    </w:lvl>
    <w:lvl w:ilvl="4" w:tplc="2F868C2C">
      <w:start w:val="1"/>
      <w:numFmt w:val="bullet"/>
      <w:lvlText w:val="○"/>
      <w:lvlJc w:val="left"/>
      <w:pPr>
        <w:ind w:left="3600" w:hanging="360"/>
      </w:pPr>
    </w:lvl>
    <w:lvl w:ilvl="5" w:tplc="DF182512">
      <w:start w:val="1"/>
      <w:numFmt w:val="bullet"/>
      <w:lvlText w:val="■"/>
      <w:lvlJc w:val="left"/>
      <w:pPr>
        <w:ind w:left="4320" w:hanging="360"/>
      </w:pPr>
    </w:lvl>
    <w:lvl w:ilvl="6" w:tplc="8894038E">
      <w:start w:val="1"/>
      <w:numFmt w:val="bullet"/>
      <w:lvlText w:val="●"/>
      <w:lvlJc w:val="left"/>
      <w:pPr>
        <w:ind w:left="5040" w:hanging="360"/>
      </w:pPr>
    </w:lvl>
    <w:lvl w:ilvl="7" w:tplc="9AD8BCA0">
      <w:start w:val="1"/>
      <w:numFmt w:val="bullet"/>
      <w:lvlText w:val="●"/>
      <w:lvlJc w:val="left"/>
      <w:pPr>
        <w:ind w:left="5760" w:hanging="360"/>
      </w:pPr>
    </w:lvl>
    <w:lvl w:ilvl="8" w:tplc="F416AA06">
      <w:start w:val="1"/>
      <w:numFmt w:val="bullet"/>
      <w:lvlText w:val="●"/>
      <w:lvlJc w:val="left"/>
      <w:pPr>
        <w:ind w:left="6480" w:hanging="360"/>
      </w:pPr>
    </w:lvl>
  </w:abstractNum>
  <w:abstractNum w:abstractNumId="2" w15:restartNumberingAfterBreak="0">
    <w:nsid w:val="101F176B"/>
    <w:multiLevelType w:val="multilevel"/>
    <w:tmpl w:val="1D7EE902"/>
    <w:lvl w:ilvl="0">
      <w:start w:val="3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7694BD5"/>
    <w:multiLevelType w:val="hybridMultilevel"/>
    <w:tmpl w:val="F8126632"/>
    <w:lvl w:ilvl="0" w:tplc="F356F3BC">
      <w:start w:val="1"/>
      <w:numFmt w:val="decimal"/>
      <w:lvlText w:val="%1."/>
      <w:lvlJc w:val="left"/>
      <w:pPr>
        <w:ind w:left="720" w:hanging="360"/>
      </w:pPr>
    </w:lvl>
    <w:lvl w:ilvl="1" w:tplc="35102740">
      <w:numFmt w:val="decimal"/>
      <w:lvlText w:val=""/>
      <w:lvlJc w:val="left"/>
    </w:lvl>
    <w:lvl w:ilvl="2" w:tplc="111A7F10">
      <w:numFmt w:val="decimal"/>
      <w:lvlText w:val=""/>
      <w:lvlJc w:val="left"/>
    </w:lvl>
    <w:lvl w:ilvl="3" w:tplc="E9BC997A">
      <w:numFmt w:val="decimal"/>
      <w:lvlText w:val=""/>
      <w:lvlJc w:val="left"/>
    </w:lvl>
    <w:lvl w:ilvl="4" w:tplc="61C67A54">
      <w:numFmt w:val="decimal"/>
      <w:lvlText w:val=""/>
      <w:lvlJc w:val="left"/>
    </w:lvl>
    <w:lvl w:ilvl="5" w:tplc="6F521B16">
      <w:numFmt w:val="decimal"/>
      <w:lvlText w:val=""/>
      <w:lvlJc w:val="left"/>
    </w:lvl>
    <w:lvl w:ilvl="6" w:tplc="87568B84">
      <w:numFmt w:val="decimal"/>
      <w:lvlText w:val=""/>
      <w:lvlJc w:val="left"/>
    </w:lvl>
    <w:lvl w:ilvl="7" w:tplc="B33EFC96">
      <w:numFmt w:val="decimal"/>
      <w:lvlText w:val=""/>
      <w:lvlJc w:val="left"/>
    </w:lvl>
    <w:lvl w:ilvl="8" w:tplc="9AD09FCC">
      <w:numFmt w:val="decimal"/>
      <w:lvlText w:val=""/>
      <w:lvlJc w:val="left"/>
    </w:lvl>
  </w:abstractNum>
  <w:abstractNum w:abstractNumId="4" w15:restartNumberingAfterBreak="0">
    <w:nsid w:val="35913020"/>
    <w:multiLevelType w:val="hybridMultilevel"/>
    <w:tmpl w:val="0F8E28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6647737"/>
    <w:multiLevelType w:val="multilevel"/>
    <w:tmpl w:val="A2FE8242"/>
    <w:lvl w:ilvl="0">
      <w:start w:val="3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3947A74"/>
    <w:multiLevelType w:val="multilevel"/>
    <w:tmpl w:val="F990D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5650E2C"/>
    <w:multiLevelType w:val="multilevel"/>
    <w:tmpl w:val="9CF026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0611B10"/>
    <w:multiLevelType w:val="multilevel"/>
    <w:tmpl w:val="DADCBC0E"/>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lvlOverride w:ilvl="0">
      <w:startOverride w:val="1"/>
    </w:lvlOverride>
  </w:num>
  <w:num w:numId="2">
    <w:abstractNumId w:val="3"/>
    <w:lvlOverride w:ilvl="0">
      <w:startOverride w:val="1"/>
    </w:lvlOverride>
  </w:num>
  <w:num w:numId="3">
    <w:abstractNumId w:val="4"/>
  </w:num>
  <w:num w:numId="4">
    <w:abstractNumId w:val="7"/>
  </w:num>
  <w:num w:numId="5">
    <w:abstractNumId w:val="8"/>
  </w:num>
  <w:num w:numId="6">
    <w:abstractNumId w:val="0"/>
  </w:num>
  <w:num w:numId="7">
    <w:abstractNumId w:val="2"/>
  </w:num>
  <w:num w:numId="8">
    <w:abstractNumId w:val="5"/>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5F5D"/>
    <w:rsid w:val="00025F5D"/>
    <w:rsid w:val="001A7690"/>
    <w:rsid w:val="00394714"/>
    <w:rsid w:val="006321F5"/>
    <w:rsid w:val="00743CA6"/>
    <w:rsid w:val="00786413"/>
    <w:rsid w:val="00786E87"/>
    <w:rsid w:val="0081028A"/>
    <w:rsid w:val="0083583E"/>
    <w:rsid w:val="008E7CEF"/>
    <w:rsid w:val="00961699"/>
    <w:rsid w:val="00B4474B"/>
    <w:rsid w:val="00C34C62"/>
    <w:rsid w:val="00E170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F8ABA5"/>
  <w15:docId w15:val="{D8AE34BA-66A5-4CC4-9A36-A5FFE06A6B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qFormat/>
    <w:pPr>
      <w:spacing w:before="300" w:after="140"/>
      <w:outlineLvl w:val="0"/>
    </w:pPr>
    <w:rPr>
      <w:b/>
      <w:bCs/>
      <w:color w:val="1F3864"/>
      <w:sz w:val="28"/>
      <w:szCs w:val="28"/>
    </w:rPr>
  </w:style>
  <w:style w:type="paragraph" w:styleId="Heading2">
    <w:name w:val="heading 2"/>
    <w:qFormat/>
    <w:pPr>
      <w:spacing w:before="200" w:after="100"/>
      <w:outlineLvl w:val="1"/>
    </w:pPr>
    <w:rPr>
      <w:b/>
      <w:bCs/>
      <w:color w:val="2E5FA3"/>
    </w:rPr>
  </w:style>
  <w:style w:type="paragraph" w:styleId="Heading3">
    <w:name w:val="heading 3"/>
    <w:qFormat/>
    <w:pPr>
      <w:spacing w:before="160" w:after="80"/>
      <w:outlineLvl w:val="2"/>
    </w:pPr>
    <w:rPr>
      <w:b/>
      <w:bCs/>
      <w:color w:val="2E5FA3"/>
      <w:sz w:val="22"/>
      <w:szCs w:val="22"/>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NormalWeb">
    <w:name w:val="Normal (Web)"/>
    <w:basedOn w:val="Normal"/>
    <w:uiPriority w:val="99"/>
    <w:semiHidden/>
    <w:unhideWhenUsed/>
    <w:rsid w:val="00394714"/>
    <w:pPr>
      <w:spacing w:before="100" w:beforeAutospacing="1" w:after="100" w:afterAutospacing="1"/>
    </w:pPr>
    <w:rPr>
      <w:rFonts w:ascii="Times New Roman" w:eastAsia="Times New Roman" w:hAnsi="Times New Roman" w:cs="Times New Roman"/>
    </w:rPr>
  </w:style>
  <w:style w:type="character" w:customStyle="1" w:styleId="citation-226">
    <w:name w:val="citation-226"/>
    <w:basedOn w:val="DefaultParagraphFont"/>
    <w:rsid w:val="00394714"/>
  </w:style>
  <w:style w:type="character" w:customStyle="1" w:styleId="citation-224">
    <w:name w:val="citation-224"/>
    <w:basedOn w:val="DefaultParagraphFont"/>
    <w:rsid w:val="003947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026616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6379FA-C98F-42D1-9E27-B47534FD60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1219</TotalTime>
  <Pages>15</Pages>
  <Words>5138</Words>
  <Characters>29291</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DHRUV</cp:lastModifiedBy>
  <cp:revision>7</cp:revision>
  <dcterms:created xsi:type="dcterms:W3CDTF">2026-03-19T13:40:00Z</dcterms:created>
  <dcterms:modified xsi:type="dcterms:W3CDTF">2026-03-20T10:57:00Z</dcterms:modified>
</cp:coreProperties>
</file>