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E0AE4" w14:textId="77777777" w:rsidR="00B44EFD" w:rsidRDefault="00000000">
      <w:r>
        <w:rPr>
          <w:noProof/>
        </w:rPr>
        <w:drawing>
          <wp:inline distT="0" distB="0" distL="0" distR="0" wp14:anchorId="21279547" wp14:editId="069699D7">
            <wp:extent cx="2623078" cy="1167542"/>
            <wp:effectExtent l="0" t="0" r="0" b="0"/>
            <wp:docPr id="50927947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23078" cy="1167542"/>
                    </a:xfrm>
                    <a:prstGeom prst="rect">
                      <a:avLst/>
                    </a:prstGeom>
                    <a:ln/>
                  </pic:spPr>
                </pic:pic>
              </a:graphicData>
            </a:graphic>
          </wp:inline>
        </w:drawing>
      </w:r>
    </w:p>
    <w:p w14:paraId="1B64B4FB" w14:textId="77777777" w:rsidR="00B44EFD" w:rsidRDefault="00B44EFD"/>
    <w:p w14:paraId="017FC719" w14:textId="77777777" w:rsidR="00B44EFD" w:rsidRDefault="00B44EFD"/>
    <w:p w14:paraId="1E05A941" w14:textId="77777777" w:rsidR="00B44EFD" w:rsidRDefault="00B44EFD"/>
    <w:p w14:paraId="5A3AEBAB" w14:textId="77777777" w:rsidR="00B44EFD" w:rsidRDefault="00B44EFD"/>
    <w:p w14:paraId="216FE849" w14:textId="77777777" w:rsidR="00B44EFD" w:rsidRDefault="00B44EFD"/>
    <w:p w14:paraId="5D2EFC8E" w14:textId="77777777" w:rsidR="00B44EFD" w:rsidRDefault="00000000">
      <w:pPr>
        <w:jc w:val="both"/>
        <w:rPr>
          <w:sz w:val="28"/>
          <w:szCs w:val="28"/>
        </w:rPr>
      </w:pPr>
      <w:r>
        <w:rPr>
          <w:sz w:val="28"/>
          <w:szCs w:val="28"/>
        </w:rPr>
        <w:t>Name: Benedita Da Silva Amaral Maxanches</w:t>
      </w:r>
    </w:p>
    <w:p w14:paraId="6E9BAABA" w14:textId="35D21A76" w:rsidR="00B44EFD" w:rsidRDefault="00000000">
      <w:pPr>
        <w:jc w:val="both"/>
        <w:rPr>
          <w:sz w:val="28"/>
          <w:szCs w:val="28"/>
        </w:rPr>
      </w:pPr>
      <w:r>
        <w:rPr>
          <w:sz w:val="28"/>
          <w:szCs w:val="28"/>
        </w:rPr>
        <w:t xml:space="preserve">Student ID: </w:t>
      </w:r>
      <w:r w:rsidR="008A351E">
        <w:rPr>
          <w:sz w:val="28"/>
          <w:szCs w:val="28"/>
        </w:rPr>
        <w:t>2544332</w:t>
      </w:r>
    </w:p>
    <w:p w14:paraId="64F184EC" w14:textId="77777777" w:rsidR="00B44EFD" w:rsidRDefault="00000000">
      <w:pPr>
        <w:jc w:val="both"/>
        <w:rPr>
          <w:sz w:val="28"/>
          <w:szCs w:val="28"/>
        </w:rPr>
      </w:pPr>
      <w:r>
        <w:rPr>
          <w:sz w:val="28"/>
          <w:szCs w:val="28"/>
        </w:rPr>
        <w:t>Module Code: LCHS4001</w:t>
      </w:r>
    </w:p>
    <w:p w14:paraId="20854C8B" w14:textId="77777777" w:rsidR="00B44EFD" w:rsidRDefault="00000000">
      <w:pPr>
        <w:jc w:val="both"/>
        <w:rPr>
          <w:sz w:val="28"/>
          <w:szCs w:val="28"/>
        </w:rPr>
      </w:pPr>
      <w:r>
        <w:rPr>
          <w:sz w:val="28"/>
          <w:szCs w:val="28"/>
        </w:rPr>
        <w:t>Module: Academic and Employability skills</w:t>
      </w:r>
    </w:p>
    <w:p w14:paraId="34D63F2C" w14:textId="4ED6AC69" w:rsidR="00B44EFD" w:rsidRDefault="00000000">
      <w:pPr>
        <w:jc w:val="both"/>
        <w:rPr>
          <w:sz w:val="28"/>
          <w:szCs w:val="28"/>
        </w:rPr>
      </w:pPr>
      <w:r>
        <w:rPr>
          <w:sz w:val="28"/>
          <w:szCs w:val="28"/>
        </w:rPr>
        <w:t xml:space="preserve">Lecturer: </w:t>
      </w:r>
      <w:proofErr w:type="spellStart"/>
      <w:r>
        <w:rPr>
          <w:sz w:val="28"/>
          <w:szCs w:val="28"/>
        </w:rPr>
        <w:t>Dilhara</w:t>
      </w:r>
      <w:proofErr w:type="spellEnd"/>
      <w:r>
        <w:rPr>
          <w:sz w:val="28"/>
          <w:szCs w:val="28"/>
        </w:rPr>
        <w:t xml:space="preserve"> </w:t>
      </w:r>
      <w:proofErr w:type="spellStart"/>
      <w:r w:rsidR="008A351E">
        <w:rPr>
          <w:sz w:val="28"/>
          <w:szCs w:val="28"/>
        </w:rPr>
        <w:t>Nadeeshani</w:t>
      </w:r>
      <w:proofErr w:type="spellEnd"/>
      <w:r w:rsidR="008A351E">
        <w:rPr>
          <w:sz w:val="28"/>
          <w:szCs w:val="28"/>
        </w:rPr>
        <w:t xml:space="preserve"> </w:t>
      </w:r>
      <w:proofErr w:type="spellStart"/>
      <w:r w:rsidR="008A351E">
        <w:rPr>
          <w:sz w:val="28"/>
          <w:szCs w:val="28"/>
        </w:rPr>
        <w:t>Mampi</w:t>
      </w:r>
      <w:r w:rsidR="002C5948">
        <w:rPr>
          <w:sz w:val="28"/>
          <w:szCs w:val="28"/>
        </w:rPr>
        <w:t>t</w:t>
      </w:r>
      <w:r w:rsidR="008A351E">
        <w:rPr>
          <w:sz w:val="28"/>
          <w:szCs w:val="28"/>
        </w:rPr>
        <w:t>iya</w:t>
      </w:r>
      <w:proofErr w:type="spellEnd"/>
    </w:p>
    <w:p w14:paraId="1A424A30" w14:textId="77777777" w:rsidR="00B44EFD" w:rsidRDefault="00B44EFD">
      <w:pPr>
        <w:jc w:val="both"/>
        <w:rPr>
          <w:sz w:val="28"/>
          <w:szCs w:val="28"/>
        </w:rPr>
      </w:pPr>
    </w:p>
    <w:p w14:paraId="7C24C6AF" w14:textId="77777777" w:rsidR="00B44EFD" w:rsidRDefault="00B44EFD">
      <w:pPr>
        <w:jc w:val="both"/>
        <w:rPr>
          <w:sz w:val="28"/>
          <w:szCs w:val="28"/>
        </w:rPr>
      </w:pPr>
    </w:p>
    <w:p w14:paraId="29E73112" w14:textId="77777777" w:rsidR="00B44EFD" w:rsidRDefault="00B44EFD">
      <w:pPr>
        <w:jc w:val="both"/>
        <w:rPr>
          <w:sz w:val="28"/>
          <w:szCs w:val="28"/>
        </w:rPr>
      </w:pPr>
    </w:p>
    <w:p w14:paraId="25523F01" w14:textId="77777777" w:rsidR="00B44EFD" w:rsidRDefault="00B44EFD">
      <w:pPr>
        <w:jc w:val="both"/>
        <w:rPr>
          <w:sz w:val="28"/>
          <w:szCs w:val="28"/>
        </w:rPr>
      </w:pPr>
    </w:p>
    <w:p w14:paraId="5F47DD6E" w14:textId="77777777" w:rsidR="00B44EFD" w:rsidRDefault="00B44EFD">
      <w:pPr>
        <w:jc w:val="both"/>
        <w:rPr>
          <w:sz w:val="28"/>
          <w:szCs w:val="28"/>
        </w:rPr>
      </w:pPr>
    </w:p>
    <w:p w14:paraId="6306BD85" w14:textId="77777777" w:rsidR="00B44EFD" w:rsidRDefault="00B44EFD">
      <w:pPr>
        <w:jc w:val="both"/>
        <w:rPr>
          <w:sz w:val="28"/>
          <w:szCs w:val="28"/>
        </w:rPr>
      </w:pPr>
    </w:p>
    <w:p w14:paraId="14A17B20" w14:textId="77777777" w:rsidR="00B44EFD" w:rsidRDefault="00B44EFD">
      <w:pPr>
        <w:jc w:val="both"/>
        <w:rPr>
          <w:sz w:val="28"/>
          <w:szCs w:val="28"/>
        </w:rPr>
      </w:pPr>
    </w:p>
    <w:p w14:paraId="11FD2C02" w14:textId="21A7A3FF" w:rsidR="00B44EFD" w:rsidRDefault="00000000">
      <w:pPr>
        <w:jc w:val="both"/>
        <w:rPr>
          <w:sz w:val="28"/>
          <w:szCs w:val="28"/>
        </w:rPr>
      </w:pPr>
      <w:r>
        <w:rPr>
          <w:sz w:val="28"/>
          <w:szCs w:val="28"/>
        </w:rPr>
        <w:tab/>
      </w:r>
      <w:r>
        <w:rPr>
          <w:sz w:val="28"/>
          <w:szCs w:val="28"/>
        </w:rPr>
        <w:tab/>
      </w:r>
      <w:r>
        <w:rPr>
          <w:sz w:val="28"/>
          <w:szCs w:val="28"/>
        </w:rPr>
        <w:tab/>
      </w:r>
      <w:r>
        <w:rPr>
          <w:sz w:val="28"/>
          <w:szCs w:val="28"/>
        </w:rPr>
        <w:tab/>
        <w:t xml:space="preserve">Submitted on: </w:t>
      </w:r>
      <w:r w:rsidR="002C5948">
        <w:rPr>
          <w:sz w:val="28"/>
          <w:szCs w:val="28"/>
        </w:rPr>
        <w:t xml:space="preserve">August </w:t>
      </w:r>
      <w:r w:rsidR="00D402A2">
        <w:rPr>
          <w:sz w:val="28"/>
          <w:szCs w:val="28"/>
        </w:rPr>
        <w:t>21st</w:t>
      </w:r>
      <w:r w:rsidR="002C5948">
        <w:rPr>
          <w:sz w:val="28"/>
          <w:szCs w:val="28"/>
        </w:rPr>
        <w:t>, 2026</w:t>
      </w:r>
    </w:p>
    <w:p w14:paraId="388DF0BD" w14:textId="77777777" w:rsidR="00B44EFD" w:rsidRDefault="00B44EFD">
      <w:pPr>
        <w:jc w:val="both"/>
        <w:rPr>
          <w:sz w:val="28"/>
          <w:szCs w:val="28"/>
        </w:rPr>
      </w:pPr>
    </w:p>
    <w:p w14:paraId="38595C5A" w14:textId="77777777" w:rsidR="00B44EFD" w:rsidRDefault="00B44EFD">
      <w:pPr>
        <w:jc w:val="both"/>
        <w:rPr>
          <w:sz w:val="28"/>
          <w:szCs w:val="28"/>
        </w:rPr>
      </w:pPr>
    </w:p>
    <w:p w14:paraId="5738AC6E" w14:textId="77777777" w:rsidR="00B44EFD" w:rsidRDefault="00B44EFD">
      <w:pPr>
        <w:jc w:val="both"/>
        <w:rPr>
          <w:sz w:val="28"/>
          <w:szCs w:val="28"/>
        </w:rPr>
      </w:pPr>
    </w:p>
    <w:p w14:paraId="343BD998" w14:textId="77777777" w:rsidR="00B44EFD" w:rsidRDefault="00B44EFD">
      <w:pPr>
        <w:jc w:val="both"/>
        <w:rPr>
          <w:sz w:val="28"/>
          <w:szCs w:val="28"/>
        </w:rPr>
      </w:pPr>
    </w:p>
    <w:p w14:paraId="771769B1" w14:textId="77777777" w:rsidR="00B44EFD" w:rsidRDefault="00B44EFD">
      <w:pPr>
        <w:jc w:val="both"/>
        <w:rPr>
          <w:sz w:val="28"/>
          <w:szCs w:val="28"/>
        </w:rPr>
      </w:pPr>
    </w:p>
    <w:p w14:paraId="583EA475" w14:textId="77777777" w:rsidR="00B44EFD" w:rsidRDefault="00B44EFD">
      <w:pPr>
        <w:jc w:val="both"/>
        <w:rPr>
          <w:sz w:val="28"/>
          <w:szCs w:val="28"/>
        </w:rPr>
      </w:pPr>
    </w:p>
    <w:p w14:paraId="763811C4" w14:textId="77777777" w:rsidR="00B44EFD" w:rsidRDefault="00000000">
      <w:pPr>
        <w:keepNext/>
        <w:keepLines/>
        <w:pBdr>
          <w:top w:val="nil"/>
          <w:left w:val="nil"/>
          <w:bottom w:val="nil"/>
          <w:right w:val="nil"/>
          <w:between w:val="nil"/>
        </w:pBdr>
        <w:spacing w:before="480" w:after="0" w:line="276" w:lineRule="auto"/>
        <w:rPr>
          <w:color w:val="4472C4"/>
          <w:sz w:val="28"/>
          <w:szCs w:val="28"/>
        </w:rPr>
      </w:pPr>
      <w:r>
        <w:rPr>
          <w:color w:val="4471C4"/>
          <w:sz w:val="28"/>
          <w:szCs w:val="28"/>
        </w:rPr>
        <w:lastRenderedPageBreak/>
        <w:t>Table of Contents</w:t>
      </w:r>
    </w:p>
    <w:bookmarkStart w:id="0" w:name="_heading=h.gcls7rhb6kxj" w:colFirst="0" w:colLast="0" w:displacedByCustomXml="next"/>
    <w:bookmarkEnd w:id="0" w:displacedByCustomXml="next"/>
    <w:sdt>
      <w:sdtPr>
        <w:id w:val="1501977494"/>
        <w:docPartObj>
          <w:docPartGallery w:val="Table of Contents"/>
          <w:docPartUnique/>
        </w:docPartObj>
      </w:sdtPr>
      <w:sdtContent>
        <w:p w14:paraId="600E704E" w14:textId="77777777" w:rsidR="00B44EFD" w:rsidRDefault="00000000">
          <w:pPr>
            <w:pBdr>
              <w:top w:val="nil"/>
              <w:left w:val="nil"/>
              <w:bottom w:val="nil"/>
              <w:right w:val="nil"/>
              <w:between w:val="nil"/>
            </w:pBdr>
            <w:tabs>
              <w:tab w:val="right" w:leader="dot" w:pos="9016"/>
            </w:tabs>
            <w:spacing w:before="120" w:after="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51h8fqhposut">
            <w:r w:rsidR="00B44EFD">
              <w:rPr>
                <w:b/>
                <w:bCs/>
                <w:i/>
                <w:iCs/>
                <w:color w:val="000000"/>
                <w:sz w:val="24"/>
                <w:szCs w:val="24"/>
              </w:rPr>
              <w:t>Task 3: Report- An independent research project on Tuberculosis (TB) Specialist Nurse job role within the health and social care sector</w:t>
            </w:r>
            <w:r w:rsidR="00B44EFD">
              <w:rPr>
                <w:b/>
                <w:bCs/>
                <w:i/>
                <w:iCs/>
                <w:color w:val="000000"/>
                <w:sz w:val="24"/>
                <w:szCs w:val="24"/>
              </w:rPr>
              <w:tab/>
              <w:t>3</w:t>
            </w:r>
          </w:hyperlink>
        </w:p>
        <w:p w14:paraId="24F753F4" w14:textId="77777777" w:rsidR="00B44EFD" w:rsidRDefault="00B44EFD">
          <w:pPr>
            <w:pBdr>
              <w:top w:val="nil"/>
              <w:left w:val="nil"/>
              <w:bottom w:val="nil"/>
              <w:right w:val="nil"/>
              <w:between w:val="nil"/>
            </w:pBdr>
            <w:tabs>
              <w:tab w:val="right" w:leader="dot" w:pos="9016"/>
            </w:tabs>
            <w:spacing w:before="120" w:after="0"/>
            <w:rPr>
              <w:rFonts w:ascii="Calibri" w:eastAsia="Calibri" w:hAnsi="Calibri" w:cs="Calibri"/>
              <w:color w:val="000000"/>
              <w:sz w:val="22"/>
              <w:szCs w:val="22"/>
            </w:rPr>
          </w:pPr>
          <w:hyperlink w:anchor="_heading=h.1tgq5le7z9d0">
            <w:r>
              <w:rPr>
                <w:b/>
                <w:bCs/>
                <w:i/>
                <w:iCs/>
                <w:color w:val="000000"/>
                <w:sz w:val="24"/>
                <w:szCs w:val="24"/>
              </w:rPr>
              <w:t>1.0 Introduction</w:t>
            </w:r>
            <w:r>
              <w:rPr>
                <w:b/>
                <w:bCs/>
                <w:i/>
                <w:iCs/>
                <w:color w:val="000000"/>
                <w:sz w:val="24"/>
                <w:szCs w:val="24"/>
              </w:rPr>
              <w:tab/>
              <w:t>3</w:t>
            </w:r>
          </w:hyperlink>
        </w:p>
        <w:p w14:paraId="3F5C7588" w14:textId="77777777" w:rsidR="00B44EFD" w:rsidRDefault="00B44EFD">
          <w:pPr>
            <w:pBdr>
              <w:top w:val="nil"/>
              <w:left w:val="nil"/>
              <w:bottom w:val="nil"/>
              <w:right w:val="nil"/>
              <w:between w:val="nil"/>
            </w:pBdr>
            <w:tabs>
              <w:tab w:val="right" w:leader="dot" w:pos="9016"/>
            </w:tabs>
            <w:spacing w:before="120" w:after="0"/>
            <w:ind w:left="220"/>
            <w:rPr>
              <w:rFonts w:ascii="Calibri" w:eastAsia="Calibri" w:hAnsi="Calibri" w:cs="Calibri"/>
              <w:color w:val="000000"/>
              <w:sz w:val="22"/>
              <w:szCs w:val="22"/>
            </w:rPr>
          </w:pPr>
          <w:hyperlink w:anchor="_heading=h.7eq9a969csc7">
            <w:r>
              <w:rPr>
                <w:b/>
                <w:bCs/>
                <w:color w:val="000000"/>
              </w:rPr>
              <w:t>1.1 Introduction to TB Specialist Nurse</w:t>
            </w:r>
            <w:r>
              <w:rPr>
                <w:b/>
                <w:bCs/>
                <w:color w:val="000000"/>
              </w:rPr>
              <w:tab/>
              <w:t>3</w:t>
            </w:r>
          </w:hyperlink>
        </w:p>
        <w:p w14:paraId="5915BD98" w14:textId="77777777" w:rsidR="00B44EFD" w:rsidRDefault="00B44EFD">
          <w:pPr>
            <w:pBdr>
              <w:top w:val="nil"/>
              <w:left w:val="nil"/>
              <w:bottom w:val="nil"/>
              <w:right w:val="nil"/>
              <w:between w:val="nil"/>
            </w:pBdr>
            <w:tabs>
              <w:tab w:val="right" w:leader="dot" w:pos="9016"/>
            </w:tabs>
            <w:spacing w:before="120" w:after="0"/>
            <w:ind w:left="220"/>
            <w:rPr>
              <w:rFonts w:ascii="Calibri" w:eastAsia="Calibri" w:hAnsi="Calibri" w:cs="Calibri"/>
              <w:color w:val="000000"/>
              <w:sz w:val="22"/>
              <w:szCs w:val="22"/>
            </w:rPr>
          </w:pPr>
          <w:hyperlink w:anchor="_heading=h.y0sfg8i78rlb">
            <w:r>
              <w:rPr>
                <w:b/>
                <w:bCs/>
                <w:color w:val="000000"/>
              </w:rPr>
              <w:t>1.2 Duties and Responsibilities</w:t>
            </w:r>
            <w:r>
              <w:rPr>
                <w:b/>
                <w:bCs/>
                <w:color w:val="000000"/>
              </w:rPr>
              <w:tab/>
              <w:t>3</w:t>
            </w:r>
          </w:hyperlink>
        </w:p>
        <w:p w14:paraId="32174C3B" w14:textId="77777777" w:rsidR="00B44EFD" w:rsidRDefault="00B44EFD">
          <w:pPr>
            <w:pBdr>
              <w:top w:val="nil"/>
              <w:left w:val="nil"/>
              <w:bottom w:val="nil"/>
              <w:right w:val="nil"/>
              <w:between w:val="nil"/>
            </w:pBdr>
            <w:tabs>
              <w:tab w:val="right" w:leader="dot" w:pos="9016"/>
            </w:tabs>
            <w:spacing w:before="120" w:after="0"/>
            <w:rPr>
              <w:rFonts w:ascii="Calibri" w:eastAsia="Calibri" w:hAnsi="Calibri" w:cs="Calibri"/>
              <w:color w:val="000000"/>
              <w:sz w:val="22"/>
              <w:szCs w:val="22"/>
            </w:rPr>
          </w:pPr>
          <w:hyperlink w:anchor="_heading=h.lynoxagwqxhz">
            <w:r>
              <w:rPr>
                <w:b/>
                <w:bCs/>
                <w:i/>
                <w:iCs/>
                <w:color w:val="000000"/>
                <w:sz w:val="24"/>
                <w:szCs w:val="24"/>
              </w:rPr>
              <w:t>2.0 Essential Skills</w:t>
            </w:r>
            <w:r>
              <w:rPr>
                <w:b/>
                <w:bCs/>
                <w:i/>
                <w:iCs/>
                <w:color w:val="000000"/>
                <w:sz w:val="24"/>
                <w:szCs w:val="24"/>
              </w:rPr>
              <w:tab/>
              <w:t>3</w:t>
            </w:r>
          </w:hyperlink>
        </w:p>
        <w:p w14:paraId="42D44F5F" w14:textId="77777777" w:rsidR="00B44EFD" w:rsidRDefault="00B44EFD">
          <w:pPr>
            <w:pBdr>
              <w:top w:val="nil"/>
              <w:left w:val="nil"/>
              <w:bottom w:val="nil"/>
              <w:right w:val="nil"/>
              <w:between w:val="nil"/>
            </w:pBdr>
            <w:tabs>
              <w:tab w:val="right" w:leader="dot" w:pos="9016"/>
            </w:tabs>
            <w:spacing w:before="120" w:after="0"/>
            <w:ind w:left="220"/>
            <w:rPr>
              <w:rFonts w:ascii="Calibri" w:eastAsia="Calibri" w:hAnsi="Calibri" w:cs="Calibri"/>
              <w:color w:val="000000"/>
              <w:sz w:val="22"/>
              <w:szCs w:val="22"/>
            </w:rPr>
          </w:pPr>
          <w:hyperlink w:anchor="_heading=h.6bi3jebqpmaq">
            <w:r>
              <w:rPr>
                <w:b/>
                <w:bCs/>
                <w:color w:val="000000"/>
              </w:rPr>
              <w:t>2.1 Communication Skill</w:t>
            </w:r>
            <w:r>
              <w:rPr>
                <w:b/>
                <w:bCs/>
                <w:color w:val="000000"/>
              </w:rPr>
              <w:tab/>
              <w:t>4</w:t>
            </w:r>
          </w:hyperlink>
        </w:p>
        <w:p w14:paraId="65F5C47A" w14:textId="77777777" w:rsidR="00B44EFD" w:rsidRDefault="00B44EFD">
          <w:pPr>
            <w:pBdr>
              <w:top w:val="nil"/>
              <w:left w:val="nil"/>
              <w:bottom w:val="nil"/>
              <w:right w:val="nil"/>
              <w:between w:val="nil"/>
            </w:pBdr>
            <w:tabs>
              <w:tab w:val="right" w:leader="dot" w:pos="9016"/>
            </w:tabs>
            <w:spacing w:before="120" w:after="0"/>
            <w:ind w:left="220"/>
            <w:rPr>
              <w:rFonts w:ascii="Calibri" w:eastAsia="Calibri" w:hAnsi="Calibri" w:cs="Calibri"/>
              <w:color w:val="000000"/>
              <w:sz w:val="22"/>
              <w:szCs w:val="22"/>
            </w:rPr>
          </w:pPr>
          <w:hyperlink w:anchor="_heading=h.nw7bcercpo86">
            <w:r>
              <w:rPr>
                <w:b/>
                <w:bCs/>
                <w:color w:val="000000"/>
              </w:rPr>
              <w:t>2.2 Critical Thinking Skill</w:t>
            </w:r>
            <w:r>
              <w:rPr>
                <w:b/>
                <w:bCs/>
                <w:color w:val="000000"/>
              </w:rPr>
              <w:tab/>
              <w:t>4</w:t>
            </w:r>
          </w:hyperlink>
        </w:p>
        <w:p w14:paraId="207F7BC7" w14:textId="77777777" w:rsidR="00B44EFD" w:rsidRDefault="00B44EFD">
          <w:pPr>
            <w:pBdr>
              <w:top w:val="nil"/>
              <w:left w:val="nil"/>
              <w:bottom w:val="nil"/>
              <w:right w:val="nil"/>
              <w:between w:val="nil"/>
            </w:pBdr>
            <w:tabs>
              <w:tab w:val="right" w:leader="dot" w:pos="9016"/>
            </w:tabs>
            <w:spacing w:before="120" w:after="0"/>
            <w:ind w:left="220"/>
            <w:rPr>
              <w:rFonts w:ascii="Calibri" w:eastAsia="Calibri" w:hAnsi="Calibri" w:cs="Calibri"/>
              <w:color w:val="000000"/>
              <w:sz w:val="22"/>
              <w:szCs w:val="22"/>
            </w:rPr>
          </w:pPr>
          <w:hyperlink w:anchor="_heading=h.sbrc4kfvo8tn">
            <w:r>
              <w:rPr>
                <w:b/>
                <w:bCs/>
                <w:color w:val="000000"/>
              </w:rPr>
              <w:t>2.3 Teamwork Skill</w:t>
            </w:r>
            <w:r>
              <w:rPr>
                <w:b/>
                <w:bCs/>
                <w:color w:val="000000"/>
              </w:rPr>
              <w:tab/>
              <w:t>4</w:t>
            </w:r>
          </w:hyperlink>
        </w:p>
        <w:p w14:paraId="55BC33A5" w14:textId="77777777" w:rsidR="00B44EFD" w:rsidRDefault="00B44EFD">
          <w:pPr>
            <w:pBdr>
              <w:top w:val="nil"/>
              <w:left w:val="nil"/>
              <w:bottom w:val="nil"/>
              <w:right w:val="nil"/>
              <w:between w:val="nil"/>
            </w:pBdr>
            <w:tabs>
              <w:tab w:val="right" w:leader="dot" w:pos="9016"/>
            </w:tabs>
            <w:spacing w:before="120" w:after="0"/>
            <w:rPr>
              <w:rFonts w:ascii="Calibri" w:eastAsia="Calibri" w:hAnsi="Calibri" w:cs="Calibri"/>
              <w:color w:val="000000"/>
              <w:sz w:val="22"/>
              <w:szCs w:val="22"/>
            </w:rPr>
          </w:pPr>
          <w:hyperlink w:anchor="_heading=h.kn7d7fdkjc1u">
            <w:r>
              <w:rPr>
                <w:b/>
                <w:bCs/>
                <w:i/>
                <w:iCs/>
                <w:color w:val="000000"/>
                <w:sz w:val="24"/>
                <w:szCs w:val="24"/>
              </w:rPr>
              <w:t>3.0 Strategies to Improve Skills</w:t>
            </w:r>
            <w:r>
              <w:rPr>
                <w:b/>
                <w:bCs/>
                <w:i/>
                <w:iCs/>
                <w:color w:val="000000"/>
                <w:sz w:val="24"/>
                <w:szCs w:val="24"/>
              </w:rPr>
              <w:tab/>
              <w:t>5</w:t>
            </w:r>
          </w:hyperlink>
        </w:p>
        <w:p w14:paraId="30161D2E" w14:textId="77777777" w:rsidR="00B44EFD" w:rsidRDefault="00B44EFD">
          <w:pPr>
            <w:pBdr>
              <w:top w:val="nil"/>
              <w:left w:val="nil"/>
              <w:bottom w:val="nil"/>
              <w:right w:val="nil"/>
              <w:between w:val="nil"/>
            </w:pBdr>
            <w:tabs>
              <w:tab w:val="right" w:leader="dot" w:pos="9016"/>
            </w:tabs>
            <w:spacing w:before="120" w:after="0"/>
            <w:ind w:left="220"/>
            <w:rPr>
              <w:rFonts w:ascii="Calibri" w:eastAsia="Calibri" w:hAnsi="Calibri" w:cs="Calibri"/>
              <w:color w:val="000000"/>
              <w:sz w:val="22"/>
              <w:szCs w:val="22"/>
            </w:rPr>
          </w:pPr>
          <w:hyperlink w:anchor="_heading=h.pcc9duso355v">
            <w:r>
              <w:rPr>
                <w:b/>
                <w:bCs/>
                <w:color w:val="000000"/>
              </w:rPr>
              <w:t>3.1 Strategies to improve communication skill</w:t>
            </w:r>
            <w:r>
              <w:rPr>
                <w:b/>
                <w:bCs/>
                <w:color w:val="000000"/>
              </w:rPr>
              <w:tab/>
              <w:t>5</w:t>
            </w:r>
          </w:hyperlink>
        </w:p>
        <w:p w14:paraId="5B6A3830" w14:textId="77777777" w:rsidR="00B44EFD" w:rsidRDefault="00B44EFD">
          <w:pPr>
            <w:pBdr>
              <w:top w:val="nil"/>
              <w:left w:val="nil"/>
              <w:bottom w:val="nil"/>
              <w:right w:val="nil"/>
              <w:between w:val="nil"/>
            </w:pBdr>
            <w:tabs>
              <w:tab w:val="right" w:leader="dot" w:pos="9016"/>
            </w:tabs>
            <w:spacing w:before="120" w:after="0"/>
            <w:ind w:left="220"/>
            <w:rPr>
              <w:rFonts w:ascii="Calibri" w:eastAsia="Calibri" w:hAnsi="Calibri" w:cs="Calibri"/>
              <w:color w:val="000000"/>
              <w:sz w:val="22"/>
              <w:szCs w:val="22"/>
            </w:rPr>
          </w:pPr>
          <w:hyperlink w:anchor="_heading=h.pp6558j680p9">
            <w:r>
              <w:rPr>
                <w:b/>
                <w:bCs/>
                <w:color w:val="000000"/>
              </w:rPr>
              <w:t>3.2 Strategies to improve critical thinking skill</w:t>
            </w:r>
            <w:r>
              <w:rPr>
                <w:b/>
                <w:bCs/>
                <w:color w:val="000000"/>
              </w:rPr>
              <w:tab/>
              <w:t>5</w:t>
            </w:r>
          </w:hyperlink>
        </w:p>
        <w:p w14:paraId="14FA7869" w14:textId="77777777" w:rsidR="00B44EFD" w:rsidRDefault="00B44EFD">
          <w:pPr>
            <w:pBdr>
              <w:top w:val="nil"/>
              <w:left w:val="nil"/>
              <w:bottom w:val="nil"/>
              <w:right w:val="nil"/>
              <w:between w:val="nil"/>
            </w:pBdr>
            <w:tabs>
              <w:tab w:val="right" w:leader="dot" w:pos="9016"/>
            </w:tabs>
            <w:spacing w:before="120" w:after="0"/>
            <w:ind w:left="220"/>
            <w:rPr>
              <w:rFonts w:ascii="Calibri" w:eastAsia="Calibri" w:hAnsi="Calibri" w:cs="Calibri"/>
              <w:color w:val="000000"/>
              <w:sz w:val="22"/>
              <w:szCs w:val="22"/>
            </w:rPr>
          </w:pPr>
          <w:hyperlink w:anchor="_heading=h.vczg4q81id82">
            <w:r>
              <w:rPr>
                <w:b/>
                <w:bCs/>
                <w:color w:val="000000"/>
              </w:rPr>
              <w:t>3.3 Strategies to improve team work skill</w:t>
            </w:r>
            <w:r>
              <w:rPr>
                <w:b/>
                <w:bCs/>
                <w:color w:val="000000"/>
              </w:rPr>
              <w:tab/>
              <w:t>6</w:t>
            </w:r>
          </w:hyperlink>
        </w:p>
        <w:p w14:paraId="67EA07FE" w14:textId="77777777" w:rsidR="00B44EFD" w:rsidRDefault="00B44EFD">
          <w:pPr>
            <w:pBdr>
              <w:top w:val="nil"/>
              <w:left w:val="nil"/>
              <w:bottom w:val="nil"/>
              <w:right w:val="nil"/>
              <w:between w:val="nil"/>
            </w:pBdr>
            <w:tabs>
              <w:tab w:val="right" w:leader="dot" w:pos="9016"/>
            </w:tabs>
            <w:spacing w:before="120" w:after="0"/>
            <w:rPr>
              <w:rFonts w:ascii="Calibri" w:eastAsia="Calibri" w:hAnsi="Calibri" w:cs="Calibri"/>
              <w:color w:val="000000"/>
              <w:sz w:val="22"/>
              <w:szCs w:val="22"/>
            </w:rPr>
          </w:pPr>
          <w:hyperlink w:anchor="_heading=h.b6xmvzklx5xa">
            <w:r>
              <w:rPr>
                <w:b/>
                <w:bCs/>
                <w:i/>
                <w:iCs/>
                <w:color w:val="000000"/>
                <w:sz w:val="24"/>
                <w:szCs w:val="24"/>
              </w:rPr>
              <w:t>4.0 Conclusion</w:t>
            </w:r>
            <w:r>
              <w:rPr>
                <w:b/>
                <w:bCs/>
                <w:i/>
                <w:iCs/>
                <w:color w:val="000000"/>
                <w:sz w:val="24"/>
                <w:szCs w:val="24"/>
              </w:rPr>
              <w:tab/>
              <w:t>6</w:t>
            </w:r>
          </w:hyperlink>
        </w:p>
        <w:p w14:paraId="18418FCA" w14:textId="77777777" w:rsidR="00B44EFD" w:rsidRDefault="00B44EFD">
          <w:pPr>
            <w:pBdr>
              <w:top w:val="nil"/>
              <w:left w:val="nil"/>
              <w:bottom w:val="nil"/>
              <w:right w:val="nil"/>
              <w:between w:val="nil"/>
            </w:pBdr>
            <w:tabs>
              <w:tab w:val="right" w:leader="dot" w:pos="9016"/>
            </w:tabs>
            <w:spacing w:before="120" w:after="0"/>
            <w:rPr>
              <w:rFonts w:ascii="Calibri" w:eastAsia="Calibri" w:hAnsi="Calibri" w:cs="Calibri"/>
              <w:color w:val="000000"/>
              <w:sz w:val="22"/>
              <w:szCs w:val="22"/>
            </w:rPr>
          </w:pPr>
          <w:hyperlink w:anchor="_heading=h.6j1ior2i5cxw">
            <w:r>
              <w:rPr>
                <w:b/>
                <w:bCs/>
                <w:i/>
                <w:iCs/>
                <w:color w:val="000000"/>
                <w:sz w:val="24"/>
                <w:szCs w:val="24"/>
              </w:rPr>
              <w:t>5.0 Reference List</w:t>
            </w:r>
            <w:r>
              <w:rPr>
                <w:b/>
                <w:bCs/>
                <w:i/>
                <w:iCs/>
                <w:color w:val="000000"/>
                <w:sz w:val="24"/>
                <w:szCs w:val="24"/>
              </w:rPr>
              <w:tab/>
              <w:t>7</w:t>
            </w:r>
          </w:hyperlink>
        </w:p>
        <w:p w14:paraId="2635FD2B" w14:textId="77777777" w:rsidR="00B44EFD" w:rsidRDefault="00000000">
          <w:pPr>
            <w:pBdr>
              <w:top w:val="nil"/>
              <w:left w:val="nil"/>
              <w:bottom w:val="nil"/>
              <w:right w:val="nil"/>
              <w:between w:val="nil"/>
            </w:pBdr>
            <w:tabs>
              <w:tab w:val="right" w:leader="dot" w:pos="9015"/>
            </w:tabs>
            <w:spacing w:before="120" w:after="0"/>
            <w:ind w:left="220"/>
            <w:rPr>
              <w:b/>
              <w:bCs/>
              <w:color w:val="0563C1"/>
              <w:u w:val="single"/>
            </w:rPr>
          </w:pPr>
          <w:r>
            <w:fldChar w:fldCharType="end"/>
          </w:r>
        </w:p>
      </w:sdtContent>
    </w:sdt>
    <w:p w14:paraId="003E2AB9" w14:textId="77777777" w:rsidR="00B44EFD" w:rsidRDefault="00B44EFD"/>
    <w:p w14:paraId="6BF9B559" w14:textId="77777777" w:rsidR="00B44EFD" w:rsidRDefault="00B44EFD">
      <w:pPr>
        <w:jc w:val="both"/>
        <w:rPr>
          <w:b/>
          <w:bCs/>
          <w:sz w:val="28"/>
          <w:szCs w:val="28"/>
        </w:rPr>
      </w:pPr>
    </w:p>
    <w:p w14:paraId="65AF15BC" w14:textId="77777777" w:rsidR="00B44EFD" w:rsidRDefault="00B44EFD">
      <w:pPr>
        <w:jc w:val="both"/>
        <w:rPr>
          <w:b/>
          <w:bCs/>
          <w:sz w:val="28"/>
          <w:szCs w:val="28"/>
        </w:rPr>
      </w:pPr>
    </w:p>
    <w:p w14:paraId="08E1C603" w14:textId="77777777" w:rsidR="00B44EFD" w:rsidRDefault="00B44EFD">
      <w:pPr>
        <w:jc w:val="both"/>
        <w:rPr>
          <w:b/>
          <w:bCs/>
          <w:sz w:val="28"/>
          <w:szCs w:val="28"/>
        </w:rPr>
      </w:pPr>
    </w:p>
    <w:p w14:paraId="5876061A" w14:textId="77777777" w:rsidR="00B44EFD" w:rsidRDefault="00B44EFD">
      <w:pPr>
        <w:jc w:val="both"/>
        <w:rPr>
          <w:b/>
          <w:bCs/>
          <w:sz w:val="28"/>
          <w:szCs w:val="28"/>
        </w:rPr>
      </w:pPr>
    </w:p>
    <w:p w14:paraId="42D5094F" w14:textId="77777777" w:rsidR="00B44EFD" w:rsidRDefault="00B44EFD">
      <w:pPr>
        <w:jc w:val="both"/>
        <w:rPr>
          <w:b/>
          <w:bCs/>
          <w:sz w:val="28"/>
          <w:szCs w:val="28"/>
        </w:rPr>
      </w:pPr>
    </w:p>
    <w:p w14:paraId="7D8BFAE1" w14:textId="1BB4CBCE" w:rsidR="00B44EFD" w:rsidRDefault="00B44EFD" w:rsidP="00D9194A">
      <w:pPr>
        <w:rPr>
          <w:b/>
          <w:bCs/>
          <w:sz w:val="28"/>
          <w:szCs w:val="28"/>
        </w:rPr>
      </w:pPr>
      <w:bookmarkStart w:id="1" w:name="_heading=h.51h8fqhposut" w:colFirst="0" w:colLast="0"/>
      <w:bookmarkEnd w:id="1"/>
    </w:p>
    <w:p w14:paraId="214E7D08" w14:textId="77777777" w:rsidR="00D9194A" w:rsidRDefault="00D9194A" w:rsidP="00D9194A">
      <w:pPr>
        <w:rPr>
          <w:b/>
          <w:bCs/>
          <w:sz w:val="28"/>
          <w:szCs w:val="28"/>
        </w:rPr>
      </w:pPr>
    </w:p>
    <w:p w14:paraId="5B914723" w14:textId="77777777" w:rsidR="00D9194A" w:rsidRDefault="00D9194A" w:rsidP="00D9194A">
      <w:pPr>
        <w:rPr>
          <w:b/>
          <w:bCs/>
          <w:sz w:val="28"/>
          <w:szCs w:val="28"/>
        </w:rPr>
      </w:pPr>
    </w:p>
    <w:p w14:paraId="418F5B70" w14:textId="77777777" w:rsidR="00D9194A" w:rsidRDefault="00D9194A" w:rsidP="00D9194A">
      <w:pPr>
        <w:rPr>
          <w:b/>
          <w:bCs/>
          <w:sz w:val="28"/>
          <w:szCs w:val="28"/>
        </w:rPr>
      </w:pPr>
    </w:p>
    <w:p w14:paraId="0DEDEDE5" w14:textId="77777777" w:rsidR="00D9194A" w:rsidRDefault="00D9194A" w:rsidP="00D9194A">
      <w:pPr>
        <w:rPr>
          <w:b/>
          <w:bCs/>
          <w:sz w:val="28"/>
          <w:szCs w:val="28"/>
        </w:rPr>
      </w:pPr>
    </w:p>
    <w:p w14:paraId="7E249600" w14:textId="77777777" w:rsidR="00B44EFD" w:rsidRDefault="00B44EFD">
      <w:pPr>
        <w:pStyle w:val="Heading2"/>
        <w:rPr>
          <w:color w:val="4471C4"/>
        </w:rPr>
      </w:pPr>
    </w:p>
    <w:p w14:paraId="3069067A" w14:textId="77777777" w:rsidR="00D9194A" w:rsidRDefault="00D9194A" w:rsidP="00D9194A"/>
    <w:p w14:paraId="1960916F" w14:textId="77777777" w:rsidR="00D9194A" w:rsidRDefault="00D9194A" w:rsidP="00D9194A"/>
    <w:p w14:paraId="3661835F" w14:textId="77777777" w:rsidR="00D9194A" w:rsidRPr="00D9194A" w:rsidRDefault="00D9194A" w:rsidP="00D9194A"/>
    <w:p w14:paraId="5C9B7F66" w14:textId="77777777" w:rsidR="00B44EFD" w:rsidRDefault="00000000">
      <w:pPr>
        <w:pStyle w:val="Heading1"/>
      </w:pPr>
      <w:bookmarkStart w:id="2" w:name="_heading=h.1tgq5le7z9d0" w:colFirst="0" w:colLast="0"/>
      <w:bookmarkEnd w:id="2"/>
      <w:r>
        <w:lastRenderedPageBreak/>
        <w:t>1.0 Introduction</w:t>
      </w:r>
    </w:p>
    <w:p w14:paraId="54736091" w14:textId="77777777" w:rsidR="00B44EFD" w:rsidRDefault="00000000">
      <w:pPr>
        <w:pStyle w:val="Heading2"/>
      </w:pPr>
      <w:bookmarkStart w:id="3" w:name="_heading=h.7eq9a969csc7" w:colFirst="0" w:colLast="0"/>
      <w:bookmarkEnd w:id="3"/>
      <w:r>
        <w:t>1.1 Introduction to TB Specialist Nurse</w:t>
      </w:r>
    </w:p>
    <w:p w14:paraId="694C85D2" w14:textId="1E84FE6B" w:rsidR="00B44EF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different professional roles within health and social care are important for promoting health</w:t>
      </w:r>
      <w:r w:rsidR="0015435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preventing illnesses and delivering safe, effective and person-centred care (Jobe, Lindberg and Engström, 2020). </w:t>
      </w:r>
      <w:r w:rsidR="0015435C">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Tuberculosis (TB) Specialist Nurse plays a critical role in supporting patients affected by </w:t>
      </w:r>
      <w:r w:rsidR="0015435C">
        <w:rPr>
          <w:rFonts w:ascii="Times New Roman" w:eastAsia="Times New Roman" w:hAnsi="Times New Roman" w:cs="Times New Roman"/>
          <w:sz w:val="24"/>
          <w:szCs w:val="24"/>
        </w:rPr>
        <w:t>TB through</w:t>
      </w:r>
      <w:r>
        <w:rPr>
          <w:rFonts w:ascii="Times New Roman" w:eastAsia="Times New Roman" w:hAnsi="Times New Roman" w:cs="Times New Roman"/>
          <w:sz w:val="24"/>
          <w:szCs w:val="24"/>
        </w:rPr>
        <w:t xml:space="preserve"> clinical treatment</w:t>
      </w:r>
      <w:r w:rsidR="0015435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effective</w:t>
      </w:r>
      <w:r w:rsidR="0015435C">
        <w:rPr>
          <w:rFonts w:ascii="Times New Roman" w:eastAsia="Times New Roman" w:hAnsi="Times New Roman" w:cs="Times New Roman"/>
          <w:sz w:val="24"/>
          <w:szCs w:val="24"/>
        </w:rPr>
        <w:t xml:space="preserve"> communication, </w:t>
      </w:r>
      <w:r>
        <w:rPr>
          <w:rFonts w:ascii="Times New Roman" w:eastAsia="Times New Roman" w:hAnsi="Times New Roman" w:cs="Times New Roman"/>
          <w:sz w:val="24"/>
          <w:szCs w:val="24"/>
        </w:rPr>
        <w:t>decision</w:t>
      </w:r>
      <w:r w:rsidR="0015435C">
        <w:rPr>
          <w:rFonts w:ascii="Times New Roman" w:eastAsia="Times New Roman" w:hAnsi="Times New Roman" w:cs="Times New Roman"/>
          <w:sz w:val="24"/>
          <w:szCs w:val="24"/>
        </w:rPr>
        <w:t xml:space="preserve"> </w:t>
      </w:r>
      <w:r w:rsidR="00D9194A">
        <w:rPr>
          <w:rFonts w:ascii="Times New Roman" w:eastAsia="Times New Roman" w:hAnsi="Times New Roman" w:cs="Times New Roman"/>
          <w:sz w:val="24"/>
          <w:szCs w:val="24"/>
        </w:rPr>
        <w:t>making</w:t>
      </w:r>
      <w:r>
        <w:rPr>
          <w:rFonts w:ascii="Times New Roman" w:eastAsia="Times New Roman" w:hAnsi="Times New Roman" w:cs="Times New Roman"/>
          <w:sz w:val="24"/>
          <w:szCs w:val="24"/>
        </w:rPr>
        <w:t xml:space="preserve"> communication and collaborative working (Bell, 2014). The </w:t>
      </w:r>
      <w:r w:rsidR="004A7188">
        <w:rPr>
          <w:rFonts w:ascii="Times New Roman" w:eastAsia="Times New Roman" w:hAnsi="Times New Roman" w:cs="Times New Roman"/>
          <w:sz w:val="24"/>
          <w:szCs w:val="24"/>
        </w:rPr>
        <w:t>role is</w:t>
      </w:r>
      <w:r>
        <w:rPr>
          <w:rFonts w:ascii="Times New Roman" w:eastAsia="Times New Roman" w:hAnsi="Times New Roman" w:cs="Times New Roman"/>
          <w:sz w:val="24"/>
          <w:szCs w:val="24"/>
        </w:rPr>
        <w:t xml:space="preserve"> </w:t>
      </w:r>
      <w:r w:rsidR="0015435C">
        <w:rPr>
          <w:rFonts w:ascii="Times New Roman" w:eastAsia="Times New Roman" w:hAnsi="Times New Roman" w:cs="Times New Roman"/>
          <w:sz w:val="24"/>
          <w:szCs w:val="24"/>
        </w:rPr>
        <w:t>important it helps</w:t>
      </w:r>
      <w:r>
        <w:rPr>
          <w:rFonts w:ascii="Times New Roman" w:eastAsia="Times New Roman" w:hAnsi="Times New Roman" w:cs="Times New Roman"/>
          <w:sz w:val="24"/>
          <w:szCs w:val="24"/>
        </w:rPr>
        <w:t xml:space="preserve"> prevent the transmission </w:t>
      </w:r>
      <w:r w:rsidR="0015435C">
        <w:rPr>
          <w:rFonts w:ascii="Times New Roman" w:eastAsia="Times New Roman" w:hAnsi="Times New Roman" w:cs="Times New Roman"/>
          <w:sz w:val="24"/>
          <w:szCs w:val="24"/>
        </w:rPr>
        <w:t>of TB</w:t>
      </w:r>
      <w:r>
        <w:rPr>
          <w:rFonts w:ascii="Times New Roman" w:eastAsia="Times New Roman" w:hAnsi="Times New Roman" w:cs="Times New Roman"/>
          <w:sz w:val="24"/>
          <w:szCs w:val="24"/>
        </w:rPr>
        <w:t>, supports treatment</w:t>
      </w:r>
      <w:r w:rsidR="0015435C">
        <w:rPr>
          <w:rFonts w:ascii="Times New Roman" w:eastAsia="Times New Roman" w:hAnsi="Times New Roman" w:cs="Times New Roman"/>
          <w:sz w:val="24"/>
          <w:szCs w:val="24"/>
        </w:rPr>
        <w:t xml:space="preserve"> adherence</w:t>
      </w:r>
      <w:r>
        <w:rPr>
          <w:rFonts w:ascii="Times New Roman" w:eastAsia="Times New Roman" w:hAnsi="Times New Roman" w:cs="Times New Roman"/>
          <w:sz w:val="24"/>
          <w:szCs w:val="24"/>
        </w:rPr>
        <w:t xml:space="preserve"> and improves patient outcomes. Th</w:t>
      </w:r>
      <w:r w:rsidR="0015435C">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report also</w:t>
      </w:r>
      <w:r w:rsidR="0015435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introduc</w:t>
      </w:r>
      <w:r w:rsidR="004A7188">
        <w:rPr>
          <w:rFonts w:ascii="Times New Roman" w:eastAsia="Times New Roman" w:hAnsi="Times New Roman" w:cs="Times New Roman"/>
          <w:sz w:val="24"/>
          <w:szCs w:val="24"/>
        </w:rPr>
        <w:t>es</w:t>
      </w:r>
      <w:r>
        <w:rPr>
          <w:rFonts w:ascii="Times New Roman" w:eastAsia="Times New Roman" w:hAnsi="Times New Roman" w:cs="Times New Roman"/>
          <w:sz w:val="24"/>
          <w:szCs w:val="24"/>
        </w:rPr>
        <w:t xml:space="preserve"> the role</w:t>
      </w:r>
      <w:r w:rsidR="004A7188">
        <w:rPr>
          <w:rFonts w:ascii="Times New Roman" w:eastAsia="Times New Roman" w:hAnsi="Times New Roman" w:cs="Times New Roman"/>
          <w:sz w:val="24"/>
          <w:szCs w:val="24"/>
        </w:rPr>
        <w:t xml:space="preserve"> of a TB specialist Nurse,</w:t>
      </w:r>
      <w:r>
        <w:rPr>
          <w:rFonts w:ascii="Times New Roman" w:eastAsia="Times New Roman" w:hAnsi="Times New Roman" w:cs="Times New Roman"/>
          <w:sz w:val="24"/>
          <w:szCs w:val="24"/>
        </w:rPr>
        <w:t xml:space="preserve"> identif</w:t>
      </w:r>
      <w:r w:rsidR="004A7188">
        <w:rPr>
          <w:rFonts w:ascii="Times New Roman" w:eastAsia="Times New Roman" w:hAnsi="Times New Roman" w:cs="Times New Roman"/>
          <w:sz w:val="24"/>
          <w:szCs w:val="24"/>
        </w:rPr>
        <w:t>ies three essential</w:t>
      </w:r>
      <w:r>
        <w:rPr>
          <w:rFonts w:ascii="Times New Roman" w:eastAsia="Times New Roman" w:hAnsi="Times New Roman" w:cs="Times New Roman"/>
          <w:sz w:val="24"/>
          <w:szCs w:val="24"/>
        </w:rPr>
        <w:t xml:space="preserve"> skills and recommend strategies </w:t>
      </w:r>
      <w:r w:rsidR="004A7188">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develop</w:t>
      </w:r>
      <w:r w:rsidR="004A7188">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these skills. </w:t>
      </w:r>
    </w:p>
    <w:p w14:paraId="37B6BFC0" w14:textId="77777777" w:rsidR="00B44EFD" w:rsidRDefault="00000000">
      <w:pPr>
        <w:pStyle w:val="Heading2"/>
      </w:pPr>
      <w:bookmarkStart w:id="4" w:name="_heading=h.y0sfg8i78rlb" w:colFirst="0" w:colLast="0"/>
      <w:bookmarkEnd w:id="4"/>
      <w:r>
        <w:t>1.2 Duties and Responsibilities</w:t>
      </w:r>
    </w:p>
    <w:p w14:paraId="78E70941" w14:textId="77777777" w:rsidR="00B44EFD" w:rsidRDefault="00B44EFD">
      <w:pPr>
        <w:spacing w:after="0" w:line="240" w:lineRule="auto"/>
        <w:jc w:val="both"/>
        <w:rPr>
          <w:sz w:val="21"/>
          <w:szCs w:val="21"/>
        </w:rPr>
      </w:pPr>
    </w:p>
    <w:p w14:paraId="525B0104" w14:textId="2A51D04E" w:rsidR="00B44EF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duties of a TB Specialist Nurse </w:t>
      </w:r>
      <w:r w:rsidR="001C16C7">
        <w:rPr>
          <w:rFonts w:ascii="Times New Roman" w:eastAsia="Times New Roman" w:hAnsi="Times New Roman" w:cs="Times New Roman"/>
          <w:sz w:val="24"/>
          <w:szCs w:val="24"/>
        </w:rPr>
        <w:t>include conducting</w:t>
      </w:r>
      <w:r>
        <w:rPr>
          <w:rFonts w:ascii="Times New Roman" w:eastAsia="Times New Roman" w:hAnsi="Times New Roman" w:cs="Times New Roman"/>
          <w:sz w:val="24"/>
          <w:szCs w:val="24"/>
        </w:rPr>
        <w:t xml:space="preserve"> health </w:t>
      </w:r>
      <w:r w:rsidR="001C16C7">
        <w:rPr>
          <w:rFonts w:ascii="Times New Roman" w:eastAsia="Times New Roman" w:hAnsi="Times New Roman" w:cs="Times New Roman"/>
          <w:sz w:val="24"/>
          <w:szCs w:val="24"/>
        </w:rPr>
        <w:t>assessments, supporting</w:t>
      </w:r>
      <w:r>
        <w:rPr>
          <w:rFonts w:ascii="Times New Roman" w:eastAsia="Times New Roman" w:hAnsi="Times New Roman" w:cs="Times New Roman"/>
          <w:sz w:val="24"/>
          <w:szCs w:val="24"/>
        </w:rPr>
        <w:t xml:space="preserve"> treatment, del</w:t>
      </w:r>
      <w:r w:rsidR="001C16C7">
        <w:rPr>
          <w:rFonts w:ascii="Times New Roman" w:eastAsia="Times New Roman" w:hAnsi="Times New Roman" w:cs="Times New Roman"/>
          <w:sz w:val="24"/>
          <w:szCs w:val="24"/>
        </w:rPr>
        <w:t>ivering</w:t>
      </w:r>
      <w:r>
        <w:rPr>
          <w:rFonts w:ascii="Times New Roman" w:eastAsia="Times New Roman" w:hAnsi="Times New Roman" w:cs="Times New Roman"/>
          <w:sz w:val="24"/>
          <w:szCs w:val="24"/>
        </w:rPr>
        <w:t xml:space="preserve"> health education and monitoring the health outcomes (Zago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w:t>
      </w:r>
      <w:r w:rsidR="001C16C7">
        <w:rPr>
          <w:rFonts w:ascii="Times New Roman" w:eastAsia="Times New Roman" w:hAnsi="Times New Roman" w:cs="Times New Roman"/>
          <w:sz w:val="24"/>
          <w:szCs w:val="24"/>
        </w:rPr>
        <w:t>N</w:t>
      </w:r>
      <w:r>
        <w:rPr>
          <w:rFonts w:ascii="Times New Roman" w:eastAsia="Times New Roman" w:hAnsi="Times New Roman" w:cs="Times New Roman"/>
          <w:sz w:val="24"/>
          <w:szCs w:val="24"/>
        </w:rPr>
        <w:t>urses</w:t>
      </w:r>
      <w:r w:rsidR="001C16C7">
        <w:rPr>
          <w:rFonts w:ascii="Times New Roman" w:eastAsia="Times New Roman" w:hAnsi="Times New Roman" w:cs="Times New Roman"/>
          <w:sz w:val="24"/>
          <w:szCs w:val="24"/>
        </w:rPr>
        <w:t xml:space="preserve"> collect </w:t>
      </w:r>
      <w:r>
        <w:rPr>
          <w:rFonts w:ascii="Times New Roman" w:eastAsia="Times New Roman" w:hAnsi="Times New Roman" w:cs="Times New Roman"/>
          <w:sz w:val="24"/>
          <w:szCs w:val="24"/>
        </w:rPr>
        <w:t>medical histories, record</w:t>
      </w:r>
      <w:r w:rsidR="001C16C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treatment plan</w:t>
      </w:r>
      <w:r w:rsidR="001C16C7">
        <w:rPr>
          <w:rFonts w:ascii="Times New Roman" w:eastAsia="Times New Roman" w:hAnsi="Times New Roman" w:cs="Times New Roman"/>
          <w:sz w:val="24"/>
          <w:szCs w:val="24"/>
        </w:rPr>
        <w:t>s</w:t>
      </w:r>
      <w:r>
        <w:rPr>
          <w:rFonts w:ascii="Times New Roman" w:eastAsia="Times New Roman" w:hAnsi="Times New Roman" w:cs="Times New Roman"/>
          <w:sz w:val="24"/>
          <w:szCs w:val="24"/>
        </w:rPr>
        <w:t>, monitor</w:t>
      </w:r>
      <w:r w:rsidR="008C7D3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symptoms, administer</w:t>
      </w:r>
      <w:r w:rsidR="008C7D3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medication and identify any adverse drug reactions </w:t>
      </w:r>
      <w:r w:rsidR="008C7D34">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arrang</w:t>
      </w:r>
      <w:r w:rsidR="008C7D34">
        <w:rPr>
          <w:rFonts w:ascii="Times New Roman" w:eastAsia="Times New Roman" w:hAnsi="Times New Roman" w:cs="Times New Roman"/>
          <w:sz w:val="24"/>
          <w:szCs w:val="24"/>
        </w:rPr>
        <w:t xml:space="preserve">e </w:t>
      </w:r>
      <w:r>
        <w:rPr>
          <w:rFonts w:ascii="Times New Roman" w:eastAsia="Times New Roman" w:hAnsi="Times New Roman" w:cs="Times New Roman"/>
          <w:sz w:val="24"/>
          <w:szCs w:val="24"/>
        </w:rPr>
        <w:t xml:space="preserve">follow-up appointments (Han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w:t>
      </w:r>
      <w:r w:rsidR="008C7D34">
        <w:rPr>
          <w:rFonts w:ascii="Times New Roman" w:eastAsia="Times New Roman" w:hAnsi="Times New Roman" w:cs="Times New Roman"/>
          <w:sz w:val="24"/>
          <w:szCs w:val="24"/>
        </w:rPr>
        <w:t>4</w:t>
      </w:r>
      <w:r>
        <w:rPr>
          <w:rFonts w:ascii="Times New Roman" w:eastAsia="Times New Roman" w:hAnsi="Times New Roman" w:cs="Times New Roman"/>
          <w:sz w:val="24"/>
          <w:szCs w:val="24"/>
        </w:rPr>
        <w:t xml:space="preserve">). For example, the duty of the TB Specialist Nurse involves monitoring a patient administered with TB medication and thereby report adverse drug events by escalating the concern to the medical team. The duties are important in health and social care to reduce the TB complications and prevent transmission and treatment failure (Zago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2021).</w:t>
      </w:r>
    </w:p>
    <w:p w14:paraId="0842E0C8" w14:textId="77777777" w:rsidR="00B44EFD" w:rsidRDefault="00000000">
      <w:pPr>
        <w:pStyle w:val="Heading1"/>
      </w:pPr>
      <w:bookmarkStart w:id="5" w:name="_heading=h.lynoxagwqxhz" w:colFirst="0" w:colLast="0"/>
      <w:bookmarkEnd w:id="5"/>
      <w:r>
        <w:t>2.0 Essential Skills</w:t>
      </w:r>
    </w:p>
    <w:p w14:paraId="08B60278" w14:textId="2F71164B" w:rsidR="00B44EF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C7D34">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TB Specialist Nurse </w:t>
      </w:r>
      <w:r w:rsidR="008C7D34">
        <w:rPr>
          <w:rFonts w:ascii="Times New Roman" w:eastAsia="Times New Roman" w:hAnsi="Times New Roman" w:cs="Times New Roman"/>
          <w:sz w:val="24"/>
          <w:szCs w:val="24"/>
        </w:rPr>
        <w:t>requires several skills,</w:t>
      </w:r>
      <w:r>
        <w:rPr>
          <w:rFonts w:ascii="Times New Roman" w:eastAsia="Times New Roman" w:hAnsi="Times New Roman" w:cs="Times New Roman"/>
          <w:sz w:val="24"/>
          <w:szCs w:val="24"/>
        </w:rPr>
        <w:t xml:space="preserve"> includ</w:t>
      </w:r>
      <w:r w:rsidR="008C7D34">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communication, teamwork, critical thinking, empathy, cultural awareness, problem solving and organisation</w:t>
      </w:r>
      <w:r w:rsidR="00BB5FBC">
        <w:rPr>
          <w:rFonts w:ascii="Times New Roman" w:eastAsia="Times New Roman" w:hAnsi="Times New Roman" w:cs="Times New Roman"/>
          <w:sz w:val="24"/>
          <w:szCs w:val="24"/>
        </w:rPr>
        <w:t>al</w:t>
      </w:r>
      <w:r>
        <w:rPr>
          <w:rFonts w:ascii="Times New Roman" w:eastAsia="Times New Roman" w:hAnsi="Times New Roman" w:cs="Times New Roman"/>
          <w:sz w:val="24"/>
          <w:szCs w:val="24"/>
        </w:rPr>
        <w:t xml:space="preserve"> skills.</w:t>
      </w:r>
      <w:r w:rsidR="00BB5FBC">
        <w:rPr>
          <w:rFonts w:ascii="Times New Roman" w:eastAsia="Times New Roman" w:hAnsi="Times New Roman" w:cs="Times New Roman"/>
          <w:sz w:val="24"/>
          <w:szCs w:val="24"/>
        </w:rPr>
        <w:t xml:space="preserve"> There skills help </w:t>
      </w:r>
      <w:r>
        <w:rPr>
          <w:rFonts w:ascii="Times New Roman" w:eastAsia="Times New Roman" w:hAnsi="Times New Roman" w:cs="Times New Roman"/>
          <w:sz w:val="24"/>
          <w:szCs w:val="24"/>
        </w:rPr>
        <w:t>nurse</w:t>
      </w:r>
      <w:r w:rsidR="00BB5FBC">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BB5FBC">
        <w:rPr>
          <w:rFonts w:ascii="Times New Roman" w:eastAsia="Times New Roman" w:hAnsi="Times New Roman" w:cs="Times New Roman"/>
          <w:sz w:val="24"/>
          <w:szCs w:val="24"/>
        </w:rPr>
        <w:t xml:space="preserve">manage </w:t>
      </w:r>
      <w:r>
        <w:rPr>
          <w:rFonts w:ascii="Times New Roman" w:eastAsia="Times New Roman" w:hAnsi="Times New Roman" w:cs="Times New Roman"/>
          <w:sz w:val="24"/>
          <w:szCs w:val="24"/>
        </w:rPr>
        <w:t>complex treatment pathways</w:t>
      </w:r>
      <w:r w:rsidR="00BB5FBC">
        <w:rPr>
          <w:rFonts w:ascii="Times New Roman" w:eastAsia="Times New Roman" w:hAnsi="Times New Roman" w:cs="Times New Roman"/>
          <w:sz w:val="24"/>
          <w:szCs w:val="24"/>
        </w:rPr>
        <w:t xml:space="preserve">, share </w:t>
      </w:r>
      <w:r>
        <w:rPr>
          <w:rFonts w:ascii="Times New Roman" w:eastAsia="Times New Roman" w:hAnsi="Times New Roman" w:cs="Times New Roman"/>
          <w:sz w:val="24"/>
          <w:szCs w:val="24"/>
        </w:rPr>
        <w:t xml:space="preserve">patient information </w:t>
      </w:r>
      <w:r w:rsidR="00BB5FBC">
        <w:rPr>
          <w:rFonts w:ascii="Times New Roman" w:eastAsia="Times New Roman" w:hAnsi="Times New Roman" w:cs="Times New Roman"/>
          <w:sz w:val="24"/>
          <w:szCs w:val="24"/>
        </w:rPr>
        <w:t>accurately and make</w:t>
      </w:r>
      <w:r>
        <w:rPr>
          <w:rFonts w:ascii="Times New Roman" w:eastAsia="Times New Roman" w:hAnsi="Times New Roman" w:cs="Times New Roman"/>
          <w:sz w:val="24"/>
          <w:szCs w:val="24"/>
        </w:rPr>
        <w:t xml:space="preserve"> safe clinical decisions (Breeding, 2016). For example, empathy, teamwork, and cultural awareness also enables the TB Specialist Nurse to support patient</w:t>
      </w:r>
      <w:r w:rsidR="00BB5FBC">
        <w:rPr>
          <w:rFonts w:ascii="Times New Roman" w:eastAsia="Times New Roman" w:hAnsi="Times New Roman" w:cs="Times New Roman"/>
          <w:sz w:val="24"/>
          <w:szCs w:val="24"/>
        </w:rPr>
        <w:t xml:space="preserve">s from diverse </w:t>
      </w:r>
      <w:r>
        <w:rPr>
          <w:rFonts w:ascii="Times New Roman" w:eastAsia="Times New Roman" w:hAnsi="Times New Roman" w:cs="Times New Roman"/>
          <w:sz w:val="24"/>
          <w:szCs w:val="24"/>
        </w:rPr>
        <w:t xml:space="preserve">effectively contributes to multidisciplinary care by collaborating with doctors, public health teams and laboratories. These skills are important to develop ability of the nurse to cater to the needs of diverse patients to promote safe, coordinated and person-centred care (Cottrell, 2021). </w:t>
      </w:r>
    </w:p>
    <w:p w14:paraId="498976B5" w14:textId="77777777" w:rsidR="00B44EFD" w:rsidRDefault="00000000">
      <w:pPr>
        <w:pStyle w:val="Heading2"/>
        <w:rPr>
          <w:color w:val="4471C4"/>
        </w:rPr>
      </w:pPr>
      <w:bookmarkStart w:id="6" w:name="_heading=h.6bi3jebqpmaq" w:colFirst="0" w:colLast="0"/>
      <w:bookmarkEnd w:id="6"/>
      <w:r>
        <w:rPr>
          <w:color w:val="4471C4"/>
        </w:rPr>
        <w:t>2.1 Communication Skill</w:t>
      </w:r>
    </w:p>
    <w:p w14:paraId="399BD1AD" w14:textId="1266BB52" w:rsidR="00B44EFD" w:rsidRDefault="006C0BD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communication is a fundamental skill for a TB Specialist Nurse because </w:t>
      </w:r>
      <w:r w:rsidR="00F436EE">
        <w:rPr>
          <w:rFonts w:ascii="Times New Roman" w:eastAsia="Times New Roman" w:hAnsi="Times New Roman" w:cs="Times New Roman"/>
          <w:sz w:val="24"/>
          <w:szCs w:val="24"/>
        </w:rPr>
        <w:t>it supports</w:t>
      </w:r>
      <w:r>
        <w:rPr>
          <w:rFonts w:ascii="Times New Roman" w:eastAsia="Times New Roman" w:hAnsi="Times New Roman" w:cs="Times New Roman"/>
          <w:sz w:val="24"/>
          <w:szCs w:val="24"/>
        </w:rPr>
        <w:t xml:space="preserve"> exchange of information, boosts understanding, improves treatment adherence in TB treatment pathways (</w:t>
      </w:r>
      <w:proofErr w:type="spellStart"/>
      <w:r>
        <w:rPr>
          <w:rFonts w:ascii="Times New Roman" w:eastAsia="Times New Roman" w:hAnsi="Times New Roman" w:cs="Times New Roman"/>
          <w:sz w:val="24"/>
          <w:szCs w:val="24"/>
        </w:rPr>
        <w:t>Kamenye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Iipinge</w:t>
      </w:r>
      <w:proofErr w:type="spellEnd"/>
      <w:r>
        <w:rPr>
          <w:rFonts w:ascii="Times New Roman" w:eastAsia="Times New Roman" w:hAnsi="Times New Roman" w:cs="Times New Roman"/>
          <w:sz w:val="24"/>
          <w:szCs w:val="24"/>
        </w:rPr>
        <w:t xml:space="preserve"> and Van Dyk, 2016). The nurses are required to communicate </w:t>
      </w:r>
      <w:r>
        <w:rPr>
          <w:rFonts w:ascii="Times New Roman" w:eastAsia="Times New Roman" w:hAnsi="Times New Roman" w:cs="Times New Roman"/>
          <w:sz w:val="24"/>
          <w:szCs w:val="24"/>
        </w:rPr>
        <w:lastRenderedPageBreak/>
        <w:t>effectively and clearly by prioritising the needs of the patients in line with the Nursing and Midwifery Council (NMC, 2018) Code</w:t>
      </w:r>
      <w:r w:rsidR="003E1FB0">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 xml:space="preserve">promote effective practice. For example, the TB Specialist Nurse explains the medication schedule to the patient using simple language avoiding medical jargon, listens to concerns and checks patient’s understanding about medicines. Thus, effective communication must be developed to support patient with understanding about treatment </w:t>
      </w:r>
      <w:r w:rsidR="00AA33E6">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coordinate with multidisciplinary teams to promote safe, effective and person-centred TB care (Bell, 2014). </w:t>
      </w:r>
    </w:p>
    <w:p w14:paraId="29C79E1C" w14:textId="77777777" w:rsidR="00B44EFD" w:rsidRDefault="00000000">
      <w:pPr>
        <w:pStyle w:val="Heading2"/>
      </w:pPr>
      <w:bookmarkStart w:id="7" w:name="_heading=h.nw7bcercpo86" w:colFirst="0" w:colLast="0"/>
      <w:bookmarkEnd w:id="7"/>
      <w:r>
        <w:t>2.2 Critical Thinking Skill</w:t>
      </w:r>
    </w:p>
    <w:p w14:paraId="6A095DDA" w14:textId="41769402" w:rsidR="00B44EFD" w:rsidRDefault="003E1F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w:t>
      </w:r>
      <w:r w:rsidR="00505ED8">
        <w:rPr>
          <w:rFonts w:ascii="Times New Roman" w:eastAsia="Times New Roman" w:hAnsi="Times New Roman" w:cs="Times New Roman"/>
          <w:sz w:val="24"/>
          <w:szCs w:val="24"/>
        </w:rPr>
        <w:t>thinking is</w:t>
      </w:r>
      <w:r>
        <w:rPr>
          <w:rFonts w:ascii="Times New Roman" w:eastAsia="Times New Roman" w:hAnsi="Times New Roman" w:cs="Times New Roman"/>
          <w:sz w:val="24"/>
          <w:szCs w:val="24"/>
        </w:rPr>
        <w:t xml:space="preserve"> essential for clinical decision </w:t>
      </w:r>
      <w:r w:rsidR="00505ED8">
        <w:rPr>
          <w:rFonts w:ascii="Times New Roman" w:eastAsia="Times New Roman" w:hAnsi="Times New Roman" w:cs="Times New Roman"/>
          <w:sz w:val="24"/>
          <w:szCs w:val="24"/>
        </w:rPr>
        <w:t xml:space="preserve">making. It enables the TB specialist Nurse to assess </w:t>
      </w:r>
      <w:r>
        <w:rPr>
          <w:rFonts w:ascii="Times New Roman" w:eastAsia="Times New Roman" w:hAnsi="Times New Roman" w:cs="Times New Roman"/>
          <w:sz w:val="24"/>
          <w:szCs w:val="24"/>
        </w:rPr>
        <w:t xml:space="preserve">patients, </w:t>
      </w:r>
      <w:r w:rsidR="00505ED8">
        <w:rPr>
          <w:rFonts w:ascii="Times New Roman" w:eastAsia="Times New Roman" w:hAnsi="Times New Roman" w:cs="Times New Roman"/>
          <w:sz w:val="24"/>
          <w:szCs w:val="24"/>
        </w:rPr>
        <w:t xml:space="preserve">recognise changes in </w:t>
      </w:r>
      <w:r w:rsidR="00D74149">
        <w:rPr>
          <w:rFonts w:ascii="Times New Roman" w:eastAsia="Times New Roman" w:hAnsi="Times New Roman" w:cs="Times New Roman"/>
          <w:sz w:val="24"/>
          <w:szCs w:val="24"/>
        </w:rPr>
        <w:t>their health</w:t>
      </w:r>
      <w:r>
        <w:rPr>
          <w:rFonts w:ascii="Times New Roman" w:eastAsia="Times New Roman" w:hAnsi="Times New Roman" w:cs="Times New Roman"/>
          <w:sz w:val="24"/>
          <w:szCs w:val="24"/>
        </w:rPr>
        <w:t xml:space="preserve"> conditions, prioriti</w:t>
      </w:r>
      <w:r w:rsidR="00505ED8">
        <w:rPr>
          <w:rFonts w:ascii="Times New Roman" w:eastAsia="Times New Roman" w:hAnsi="Times New Roman" w:cs="Times New Roman"/>
          <w:sz w:val="24"/>
          <w:szCs w:val="24"/>
        </w:rPr>
        <w:t xml:space="preserve">se care and decide when intervention escalation is required </w:t>
      </w:r>
      <w:r>
        <w:rPr>
          <w:rFonts w:ascii="Times New Roman" w:eastAsia="Times New Roman" w:hAnsi="Times New Roman" w:cs="Times New Roman"/>
          <w:sz w:val="24"/>
          <w:szCs w:val="24"/>
        </w:rPr>
        <w:t>(Cottrell, 2023</w:t>
      </w:r>
      <w:r w:rsidR="00D74149">
        <w:rPr>
          <w:rFonts w:ascii="Times New Roman" w:eastAsia="Times New Roman" w:hAnsi="Times New Roman" w:cs="Times New Roman"/>
          <w:sz w:val="24"/>
          <w:szCs w:val="24"/>
        </w:rPr>
        <w:t>). TB</w:t>
      </w:r>
      <w:r w:rsidR="00505ED8">
        <w:rPr>
          <w:rFonts w:ascii="Times New Roman" w:eastAsia="Times New Roman" w:hAnsi="Times New Roman" w:cs="Times New Roman"/>
          <w:sz w:val="24"/>
          <w:szCs w:val="24"/>
        </w:rPr>
        <w:t xml:space="preserve"> treatment can involve complex symptoms, long term medication and </w:t>
      </w:r>
      <w:r w:rsidR="00550DE7">
        <w:rPr>
          <w:rFonts w:ascii="Times New Roman" w:eastAsia="Times New Roman" w:hAnsi="Times New Roman" w:cs="Times New Roman"/>
          <w:sz w:val="24"/>
          <w:szCs w:val="24"/>
        </w:rPr>
        <w:t xml:space="preserve">possible adverse reactions. Nurses must therefore use evidence, clinical knowledge and professional judgement when making decisions. </w:t>
      </w:r>
      <w:r>
        <w:rPr>
          <w:rFonts w:ascii="Times New Roman" w:eastAsia="Times New Roman" w:hAnsi="Times New Roman" w:cs="Times New Roman"/>
          <w:sz w:val="24"/>
          <w:szCs w:val="24"/>
        </w:rPr>
        <w:t xml:space="preserve">For example, TB patients exhibiting worsening symptoms due to medication side effects requires observation and assessment by the TB Specialist Nurse to identify the potential risk factors and thereby use critical thinking to undertake prompt action and escalate the concern to the doctor. Thus, effective critical thinking skill is important in informing clinical judgment and decisions to ensure that timely assessment and intervention is provided to protect patient safety (Reji and Saini, 2022).  </w:t>
      </w:r>
    </w:p>
    <w:p w14:paraId="0462718E" w14:textId="77777777" w:rsidR="00B44EFD" w:rsidRDefault="00000000">
      <w:pPr>
        <w:pStyle w:val="Heading2"/>
      </w:pPr>
      <w:bookmarkStart w:id="8" w:name="_heading=h.sbrc4kfvo8tn" w:colFirst="0" w:colLast="0"/>
      <w:bookmarkEnd w:id="8"/>
      <w:r>
        <w:t>2.3 Teamwork Skill</w:t>
      </w:r>
    </w:p>
    <w:p w14:paraId="34773052" w14:textId="20490D1F" w:rsidR="00C908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Teamwork is another essential skill for</w:t>
      </w:r>
      <w:r w:rsidR="00D74149">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 TB Specialist Nurse </w:t>
      </w:r>
      <w:r w:rsidR="00D74149">
        <w:rPr>
          <w:rFonts w:ascii="Times New Roman" w:eastAsia="Times New Roman" w:hAnsi="Times New Roman" w:cs="Times New Roman"/>
          <w:sz w:val="24"/>
          <w:szCs w:val="24"/>
        </w:rPr>
        <w:t xml:space="preserve">because TB care depends </w:t>
      </w:r>
      <w:r w:rsidR="00D60879">
        <w:rPr>
          <w:rFonts w:ascii="Times New Roman" w:eastAsia="Times New Roman" w:hAnsi="Times New Roman" w:cs="Times New Roman"/>
          <w:sz w:val="24"/>
          <w:szCs w:val="24"/>
        </w:rPr>
        <w:t>on collaboration</w:t>
      </w:r>
      <w:r>
        <w:rPr>
          <w:rFonts w:ascii="Times New Roman" w:eastAsia="Times New Roman" w:hAnsi="Times New Roman" w:cs="Times New Roman"/>
          <w:sz w:val="24"/>
          <w:szCs w:val="24"/>
        </w:rPr>
        <w:t xml:space="preserve"> </w:t>
      </w:r>
      <w:r w:rsidR="00D74149">
        <w:rPr>
          <w:rFonts w:ascii="Times New Roman" w:eastAsia="Times New Roman" w:hAnsi="Times New Roman" w:cs="Times New Roman"/>
          <w:sz w:val="24"/>
          <w:szCs w:val="24"/>
        </w:rPr>
        <w:t xml:space="preserve">between </w:t>
      </w:r>
      <w:r>
        <w:rPr>
          <w:rFonts w:ascii="Times New Roman" w:eastAsia="Times New Roman" w:hAnsi="Times New Roman" w:cs="Times New Roman"/>
          <w:sz w:val="24"/>
          <w:szCs w:val="24"/>
        </w:rPr>
        <w:t>nurses, doctors</w:t>
      </w:r>
      <w:r w:rsidR="00D7414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healthcare assistants as they work closely to provide safe and effective care to the TB patients (Alsaedi, 2025). For example, a TB Specialist Nurse m</w:t>
      </w:r>
      <w:r w:rsidR="00D60879">
        <w:rPr>
          <w:rFonts w:ascii="Times New Roman" w:eastAsia="Times New Roman" w:hAnsi="Times New Roman" w:cs="Times New Roman"/>
          <w:sz w:val="24"/>
          <w:szCs w:val="24"/>
        </w:rPr>
        <w:t>ay</w:t>
      </w:r>
      <w:r>
        <w:rPr>
          <w:rFonts w:ascii="Times New Roman" w:eastAsia="Times New Roman" w:hAnsi="Times New Roman" w:cs="Times New Roman"/>
          <w:sz w:val="24"/>
          <w:szCs w:val="24"/>
        </w:rPr>
        <w:t xml:space="preserve"> communicate test results </w:t>
      </w:r>
      <w:r w:rsidR="00C90875">
        <w:rPr>
          <w:rFonts w:ascii="Times New Roman" w:eastAsia="Times New Roman" w:hAnsi="Times New Roman" w:cs="Times New Roman"/>
          <w:sz w:val="24"/>
          <w:szCs w:val="24"/>
        </w:rPr>
        <w:t>to the medical</w:t>
      </w:r>
      <w:r>
        <w:rPr>
          <w:rFonts w:ascii="Times New Roman" w:eastAsia="Times New Roman" w:hAnsi="Times New Roman" w:cs="Times New Roman"/>
          <w:sz w:val="24"/>
          <w:szCs w:val="24"/>
        </w:rPr>
        <w:t xml:space="preserve"> team</w:t>
      </w:r>
      <w:r w:rsidR="00C9087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coordinate contact tracing with the </w:t>
      </w:r>
      <w:r w:rsidR="00D60879">
        <w:rPr>
          <w:rFonts w:ascii="Times New Roman" w:eastAsia="Times New Roman" w:hAnsi="Times New Roman" w:cs="Times New Roman"/>
          <w:sz w:val="24"/>
          <w:szCs w:val="24"/>
        </w:rPr>
        <w:t xml:space="preserve">public health </w:t>
      </w:r>
      <w:r>
        <w:rPr>
          <w:rFonts w:ascii="Times New Roman" w:eastAsia="Times New Roman" w:hAnsi="Times New Roman" w:cs="Times New Roman"/>
          <w:sz w:val="24"/>
          <w:szCs w:val="24"/>
        </w:rPr>
        <w:t>colleagues</w:t>
      </w:r>
      <w:r w:rsidR="00D60879">
        <w:rPr>
          <w:rFonts w:ascii="Times New Roman" w:eastAsia="Times New Roman" w:hAnsi="Times New Roman" w:cs="Times New Roman"/>
          <w:sz w:val="24"/>
          <w:szCs w:val="24"/>
        </w:rPr>
        <w:t xml:space="preserve"> and share information about medication or follow up appointments</w:t>
      </w:r>
      <w:r>
        <w:rPr>
          <w:rFonts w:ascii="Times New Roman" w:eastAsia="Times New Roman" w:hAnsi="Times New Roman" w:cs="Times New Roman"/>
          <w:sz w:val="24"/>
          <w:szCs w:val="24"/>
        </w:rPr>
        <w:t>.</w:t>
      </w:r>
      <w:r w:rsidR="00D60879">
        <w:rPr>
          <w:rFonts w:ascii="Times New Roman" w:eastAsia="Times New Roman" w:hAnsi="Times New Roman" w:cs="Times New Roman"/>
          <w:sz w:val="24"/>
          <w:szCs w:val="24"/>
        </w:rPr>
        <w:t xml:space="preserve"> The nurse may also attend multidisciplinary</w:t>
      </w:r>
      <w:r>
        <w:rPr>
          <w:rFonts w:ascii="Times New Roman" w:eastAsia="Times New Roman" w:hAnsi="Times New Roman" w:cs="Times New Roman"/>
          <w:sz w:val="24"/>
          <w:szCs w:val="24"/>
        </w:rPr>
        <w:t xml:space="preserve"> team</w:t>
      </w:r>
      <w:r w:rsidR="00D60879">
        <w:rPr>
          <w:rFonts w:ascii="Times New Roman" w:eastAsia="Times New Roman" w:hAnsi="Times New Roman" w:cs="Times New Roman"/>
          <w:sz w:val="24"/>
          <w:szCs w:val="24"/>
        </w:rPr>
        <w:t xml:space="preserve"> meeting to review the patient’s progress </w:t>
      </w:r>
      <w:r>
        <w:rPr>
          <w:rFonts w:ascii="Times New Roman" w:eastAsia="Times New Roman" w:hAnsi="Times New Roman" w:cs="Times New Roman"/>
          <w:sz w:val="24"/>
          <w:szCs w:val="24"/>
        </w:rPr>
        <w:t xml:space="preserve">and </w:t>
      </w:r>
      <w:r w:rsidR="00D60879">
        <w:rPr>
          <w:rFonts w:ascii="Times New Roman" w:eastAsia="Times New Roman" w:hAnsi="Times New Roman" w:cs="Times New Roman"/>
          <w:sz w:val="24"/>
          <w:szCs w:val="24"/>
        </w:rPr>
        <w:t xml:space="preserve">agree on </w:t>
      </w:r>
      <w:r w:rsidR="00C90875">
        <w:rPr>
          <w:rFonts w:ascii="Times New Roman" w:eastAsia="Times New Roman" w:hAnsi="Times New Roman" w:cs="Times New Roman"/>
          <w:sz w:val="24"/>
          <w:szCs w:val="24"/>
        </w:rPr>
        <w:t xml:space="preserve">an </w:t>
      </w:r>
      <w:r w:rsidR="00D60879">
        <w:rPr>
          <w:rFonts w:ascii="Times New Roman" w:eastAsia="Times New Roman" w:hAnsi="Times New Roman" w:cs="Times New Roman"/>
          <w:sz w:val="24"/>
          <w:szCs w:val="24"/>
        </w:rPr>
        <w:t xml:space="preserve">appropriate treatment </w:t>
      </w:r>
      <w:r w:rsidR="00C90875">
        <w:rPr>
          <w:rFonts w:ascii="Times New Roman" w:eastAsia="Times New Roman" w:hAnsi="Times New Roman" w:cs="Times New Roman"/>
          <w:sz w:val="24"/>
          <w:szCs w:val="24"/>
        </w:rPr>
        <w:t>plan (</w:t>
      </w:r>
      <w:r>
        <w:rPr>
          <w:rFonts w:ascii="Times New Roman" w:eastAsia="Times New Roman" w:hAnsi="Times New Roman" w:cs="Times New Roman"/>
          <w:sz w:val="24"/>
          <w:szCs w:val="24"/>
        </w:rPr>
        <w:t xml:space="preserve">Ramos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w:t>
      </w:r>
    </w:p>
    <w:p w14:paraId="6EB7871D" w14:textId="6C82378F" w:rsidR="00B44EFD" w:rsidRDefault="00C908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Lack of these skills could lead to issues of delivering unsafe, ineffective and fragmented TB care which could undermine patient safety by worsening symptoms. The negative outcomes of poor communication and ineffective team working skills for staff and patients would create misunderstanding, weak clinical decision making and reduced treatment adherence that will delay recognising deterioration (Cottrell, 2021). For example, lack of communication with patients would undermine needs assessment conducted by a TB Specialist Nurse and thereby </w:t>
      </w:r>
      <w:r>
        <w:rPr>
          <w:rFonts w:ascii="Times New Roman" w:eastAsia="Times New Roman" w:hAnsi="Times New Roman" w:cs="Times New Roman"/>
          <w:sz w:val="24"/>
          <w:szCs w:val="24"/>
        </w:rPr>
        <w:lastRenderedPageBreak/>
        <w:t xml:space="preserve">negatively affect the patient care. Thus, these skills must be developed to ensure that safe, effective and coordinated care is delivered improving TB nursing practice (Bell, 2014). </w:t>
      </w:r>
    </w:p>
    <w:p w14:paraId="11C749E4" w14:textId="77777777" w:rsidR="00B44EFD" w:rsidRDefault="00B44EFD">
      <w:pPr>
        <w:spacing w:after="0" w:line="240" w:lineRule="auto"/>
        <w:jc w:val="both"/>
        <w:rPr>
          <w:sz w:val="21"/>
          <w:szCs w:val="21"/>
        </w:rPr>
      </w:pPr>
    </w:p>
    <w:p w14:paraId="256A681A" w14:textId="77777777" w:rsidR="00B44EFD" w:rsidRDefault="00000000">
      <w:pPr>
        <w:pStyle w:val="Heading1"/>
        <w:rPr>
          <w:color w:val="4472C4"/>
        </w:rPr>
      </w:pPr>
      <w:bookmarkStart w:id="9" w:name="_heading=h.kn7d7fdkjc1u" w:colFirst="0" w:colLast="0"/>
      <w:bookmarkEnd w:id="9"/>
      <w:r>
        <w:t>3.0 Strategies to Improve Skills</w:t>
      </w:r>
    </w:p>
    <w:p w14:paraId="7E2870BA" w14:textId="77777777" w:rsidR="00B44EFD" w:rsidRDefault="00000000">
      <w:pPr>
        <w:pStyle w:val="Heading2"/>
        <w:rPr>
          <w:color w:val="4471C4"/>
        </w:rPr>
      </w:pPr>
      <w:bookmarkStart w:id="10" w:name="_heading=h.pcc9duso355v" w:colFirst="0" w:colLast="0"/>
      <w:bookmarkEnd w:id="10"/>
      <w:r>
        <w:rPr>
          <w:color w:val="4471C4"/>
        </w:rPr>
        <w:t>3.1 Strategies to improve communication skill</w:t>
      </w:r>
    </w:p>
    <w:p w14:paraId="7079941E" w14:textId="71649C66" w:rsidR="00B44EFD" w:rsidRDefault="00DF3F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effective strategy for improving communication skill is seeking regular feedback from patients, supervisors and colleagues. Feedback can help the nurse to identify weaknesses and make improvements to their approach (</w:t>
      </w:r>
      <w:proofErr w:type="spellStart"/>
      <w:r>
        <w:rPr>
          <w:rFonts w:ascii="Times New Roman" w:eastAsia="Times New Roman" w:hAnsi="Times New Roman" w:cs="Times New Roman"/>
          <w:sz w:val="24"/>
          <w:szCs w:val="24"/>
        </w:rPr>
        <w:t>Noordman</w:t>
      </w:r>
      <w:proofErr w:type="spellEnd"/>
      <w:r>
        <w:rPr>
          <w:rFonts w:ascii="Times New Roman" w:eastAsia="Times New Roman" w:hAnsi="Times New Roman" w:cs="Times New Roman"/>
          <w:sz w:val="24"/>
          <w:szCs w:val="24"/>
        </w:rPr>
        <w:t xml:space="preserve">, van der </w:t>
      </w:r>
      <w:proofErr w:type="spellStart"/>
      <w:r>
        <w:rPr>
          <w:rFonts w:ascii="Times New Roman" w:eastAsia="Times New Roman" w:hAnsi="Times New Roman" w:cs="Times New Roman"/>
          <w:sz w:val="24"/>
          <w:szCs w:val="24"/>
        </w:rPr>
        <w:t>Weijden</w:t>
      </w:r>
      <w:proofErr w:type="spellEnd"/>
      <w:r>
        <w:rPr>
          <w:rFonts w:ascii="Times New Roman" w:eastAsia="Times New Roman" w:hAnsi="Times New Roman" w:cs="Times New Roman"/>
          <w:sz w:val="24"/>
          <w:szCs w:val="24"/>
        </w:rPr>
        <w:t xml:space="preserve"> and van </w:t>
      </w:r>
      <w:proofErr w:type="spellStart"/>
      <w:r>
        <w:rPr>
          <w:rFonts w:ascii="Times New Roman" w:eastAsia="Times New Roman" w:hAnsi="Times New Roman" w:cs="Times New Roman"/>
          <w:sz w:val="24"/>
          <w:szCs w:val="24"/>
        </w:rPr>
        <w:t>Dulmen</w:t>
      </w:r>
      <w:proofErr w:type="spellEnd"/>
      <w:r>
        <w:rPr>
          <w:rFonts w:ascii="Times New Roman" w:eastAsia="Times New Roman" w:hAnsi="Times New Roman" w:cs="Times New Roman"/>
          <w:sz w:val="24"/>
          <w:szCs w:val="24"/>
        </w:rPr>
        <w:t xml:space="preserve">, 2014). It may identify problems such as using complex language, speaking too quickly or failing to check the patient’s understanding. For </w:t>
      </w:r>
      <w:r w:rsidR="00544C1E">
        <w:rPr>
          <w:rFonts w:ascii="Times New Roman" w:eastAsia="Times New Roman" w:hAnsi="Times New Roman" w:cs="Times New Roman"/>
          <w:sz w:val="24"/>
          <w:szCs w:val="24"/>
        </w:rPr>
        <w:t>example, after explaining a treatment plan,</w:t>
      </w:r>
      <w:r>
        <w:rPr>
          <w:rFonts w:ascii="Times New Roman" w:eastAsia="Times New Roman" w:hAnsi="Times New Roman" w:cs="Times New Roman"/>
          <w:sz w:val="24"/>
          <w:szCs w:val="24"/>
        </w:rPr>
        <w:t xml:space="preserve"> a TB Specialist Nurse could </w:t>
      </w:r>
      <w:r w:rsidR="00544C1E">
        <w:rPr>
          <w:rFonts w:ascii="Times New Roman" w:eastAsia="Times New Roman" w:hAnsi="Times New Roman" w:cs="Times New Roman"/>
          <w:sz w:val="24"/>
          <w:szCs w:val="24"/>
        </w:rPr>
        <w:t xml:space="preserve">ask a </w:t>
      </w:r>
      <w:r>
        <w:rPr>
          <w:rFonts w:ascii="Times New Roman" w:eastAsia="Times New Roman" w:hAnsi="Times New Roman" w:cs="Times New Roman"/>
          <w:sz w:val="24"/>
          <w:szCs w:val="24"/>
        </w:rPr>
        <w:t xml:space="preserve">senior colleague </w:t>
      </w:r>
      <w:r w:rsidR="00544C1E">
        <w:rPr>
          <w:rFonts w:ascii="Times New Roman" w:eastAsia="Times New Roman" w:hAnsi="Times New Roman" w:cs="Times New Roman"/>
          <w:sz w:val="24"/>
          <w:szCs w:val="24"/>
        </w:rPr>
        <w:t xml:space="preserve">to observe the interaction and provide constructive feedback. The nurse may attend communication training focused on active listening, health education and communicating with patients who have language or cultural barriers. Regular </w:t>
      </w:r>
      <w:r>
        <w:rPr>
          <w:rFonts w:ascii="Times New Roman" w:eastAsia="Times New Roman" w:hAnsi="Times New Roman" w:cs="Times New Roman"/>
          <w:sz w:val="24"/>
          <w:szCs w:val="24"/>
        </w:rPr>
        <w:t xml:space="preserve">feedback </w:t>
      </w:r>
      <w:r w:rsidR="00AC6CB3">
        <w:rPr>
          <w:rFonts w:ascii="Times New Roman" w:eastAsia="Times New Roman" w:hAnsi="Times New Roman" w:cs="Times New Roman"/>
          <w:sz w:val="24"/>
          <w:szCs w:val="24"/>
        </w:rPr>
        <w:t>encourages</w:t>
      </w:r>
      <w:r w:rsidR="00544C1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continuous</w:t>
      </w:r>
      <w:r w:rsidR="00544C1E">
        <w:rPr>
          <w:rFonts w:ascii="Times New Roman" w:eastAsia="Times New Roman" w:hAnsi="Times New Roman" w:cs="Times New Roman"/>
          <w:sz w:val="24"/>
          <w:szCs w:val="24"/>
        </w:rPr>
        <w:t xml:space="preserve"> professional development and helps nurses provide more </w:t>
      </w:r>
      <w:r>
        <w:rPr>
          <w:rFonts w:ascii="Times New Roman" w:eastAsia="Times New Roman" w:hAnsi="Times New Roman" w:cs="Times New Roman"/>
          <w:sz w:val="24"/>
          <w:szCs w:val="24"/>
        </w:rPr>
        <w:t>person-centred care (Butler, 2024</w:t>
      </w:r>
      <w:r w:rsidR="00D402A2">
        <w:rPr>
          <w:rFonts w:ascii="Times New Roman" w:eastAsia="Times New Roman" w:hAnsi="Times New Roman" w:cs="Times New Roman"/>
          <w:sz w:val="24"/>
          <w:szCs w:val="24"/>
        </w:rPr>
        <w:t>). It</w:t>
      </w:r>
      <w:r w:rsidR="00E661B3">
        <w:rPr>
          <w:rFonts w:ascii="Times New Roman" w:eastAsia="Times New Roman" w:hAnsi="Times New Roman" w:cs="Times New Roman"/>
          <w:sz w:val="24"/>
          <w:szCs w:val="24"/>
        </w:rPr>
        <w:t xml:space="preserve"> can also improve the relationship between the nurse and patient by promoting trust, understanding and openness.</w:t>
      </w:r>
    </w:p>
    <w:p w14:paraId="0334292E" w14:textId="77777777" w:rsidR="00B44EFD" w:rsidRDefault="00000000">
      <w:pPr>
        <w:pStyle w:val="Heading2"/>
      </w:pPr>
      <w:bookmarkStart w:id="11" w:name="_heading=h.pp6558j680p9" w:colFirst="0" w:colLast="0"/>
      <w:bookmarkEnd w:id="11"/>
      <w:r>
        <w:t>3.2 Strategies to improve critical thinking skill</w:t>
      </w:r>
    </w:p>
    <w:p w14:paraId="031C7AF1" w14:textId="77777777" w:rsidR="00B44EF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strategy for improving critical thinking is reflective practice where the TB Specialist Nurse could be encouraged to engage in reflective practice using Gibbs’ reflective model to explore what happened, why decisions were made and what could have been done differently (</w:t>
      </w:r>
      <w:proofErr w:type="spellStart"/>
      <w:r>
        <w:rPr>
          <w:rFonts w:ascii="Times New Roman" w:eastAsia="Times New Roman" w:hAnsi="Times New Roman" w:cs="Times New Roman"/>
          <w:sz w:val="24"/>
          <w:szCs w:val="24"/>
        </w:rPr>
        <w:t>Pegueroles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(Gibbs, 1988). For example, when managing a TB patient experiencing deterioration, a TB Specialist Nurse could review past decisions of escalation and inform the current practice. Thus, using reflection critical thinking skill could be enhanced to support clinical judgment and timely TB care delivery by the TB Specialist Nurse (Amir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w:t>
      </w:r>
    </w:p>
    <w:p w14:paraId="76A52FFD" w14:textId="77777777" w:rsidR="00B44EFD" w:rsidRDefault="00000000">
      <w:pPr>
        <w:pStyle w:val="Heading2"/>
      </w:pPr>
      <w:bookmarkStart w:id="12" w:name="_heading=h.vczg4q81id82" w:colFirst="0" w:colLast="0"/>
      <w:bookmarkEnd w:id="12"/>
      <w:r>
        <w:t xml:space="preserve">3.3 Strategies to improve </w:t>
      </w:r>
      <w:proofErr w:type="gramStart"/>
      <w:r>
        <w:t>team work</w:t>
      </w:r>
      <w:proofErr w:type="gramEnd"/>
      <w:r>
        <w:t xml:space="preserve"> skill</w:t>
      </w:r>
    </w:p>
    <w:p w14:paraId="3A2EF5D7" w14:textId="520C8804" w:rsidR="00B44EF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for improving team working skills by TB Specialist Nurse is fostering collaborative working by practicing active listening to acknowledge and respect different perspectives of the colleagues contributing to the shared goals. NHS England supports effective multidisciplinary teamwork considering it to be important in promoting coordinated and safe care (Bell, 2014). For example, TB Specialist Nurse could engage in constant communication by attending multidisciplinary team meetings with doctors, public health professionals, TB specialists and pharmacists to coordinate TB patient’s treatment and follow-up. Thus, </w:t>
      </w:r>
      <w:r>
        <w:rPr>
          <w:rFonts w:ascii="Times New Roman" w:eastAsia="Times New Roman" w:hAnsi="Times New Roman" w:cs="Times New Roman"/>
          <w:sz w:val="24"/>
          <w:szCs w:val="24"/>
        </w:rPr>
        <w:lastRenderedPageBreak/>
        <w:t xml:space="preserve">collaborative working practices would help TB Specialist Nurse to strengthen teamwork to support coordinated and </w:t>
      </w:r>
      <w:r w:rsidR="00E661B3">
        <w:rPr>
          <w:rFonts w:ascii="Times New Roman" w:eastAsia="Times New Roman" w:hAnsi="Times New Roman" w:cs="Times New Roman"/>
          <w:sz w:val="24"/>
          <w:szCs w:val="24"/>
        </w:rPr>
        <w:t>high-quality</w:t>
      </w:r>
      <w:r>
        <w:rPr>
          <w:rFonts w:ascii="Times New Roman" w:eastAsia="Times New Roman" w:hAnsi="Times New Roman" w:cs="Times New Roman"/>
          <w:sz w:val="24"/>
          <w:szCs w:val="24"/>
        </w:rPr>
        <w:t xml:space="preserve"> TB care (Jobe, Lindberg and Engström, 2020). </w:t>
      </w:r>
    </w:p>
    <w:p w14:paraId="369A11E5" w14:textId="77777777" w:rsidR="00B44EFD" w:rsidRDefault="00B44EFD"/>
    <w:p w14:paraId="4FAD6165" w14:textId="77777777" w:rsidR="00B44EFD" w:rsidRDefault="00000000">
      <w:pPr>
        <w:pStyle w:val="Heading1"/>
      </w:pPr>
      <w:bookmarkStart w:id="13" w:name="_heading=h.b6xmvzklx5xa" w:colFirst="0" w:colLast="0"/>
      <w:bookmarkEnd w:id="13"/>
      <w:r>
        <w:t>4.0 Conclusion</w:t>
      </w:r>
    </w:p>
    <w:p w14:paraId="46360B7E" w14:textId="0321EE35" w:rsidR="00B862E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E661B3">
        <w:rPr>
          <w:rFonts w:ascii="Times New Roman" w:eastAsia="Times New Roman" w:hAnsi="Times New Roman" w:cs="Times New Roman"/>
          <w:sz w:val="24"/>
          <w:szCs w:val="24"/>
        </w:rPr>
        <w:t>T</w:t>
      </w:r>
      <w:r>
        <w:rPr>
          <w:rFonts w:ascii="Times New Roman" w:eastAsia="Times New Roman" w:hAnsi="Times New Roman" w:cs="Times New Roman"/>
          <w:sz w:val="24"/>
          <w:szCs w:val="24"/>
        </w:rPr>
        <w:t>he role of a</w:t>
      </w:r>
      <w:r>
        <w:rPr>
          <w:sz w:val="24"/>
          <w:szCs w:val="24"/>
        </w:rPr>
        <w:t xml:space="preserve"> </w:t>
      </w:r>
      <w:r>
        <w:rPr>
          <w:rFonts w:ascii="Times New Roman" w:eastAsia="Times New Roman" w:hAnsi="Times New Roman" w:cs="Times New Roman"/>
          <w:sz w:val="24"/>
          <w:szCs w:val="24"/>
        </w:rPr>
        <w:t>TB Specialist Nurse is significant in health and social care to deliver safe, effective and person-centred care to the TB patients. The</w:t>
      </w:r>
      <w:r w:rsidR="001157BA">
        <w:rPr>
          <w:rFonts w:ascii="Times New Roman" w:eastAsia="Times New Roman" w:hAnsi="Times New Roman" w:cs="Times New Roman"/>
          <w:sz w:val="24"/>
          <w:szCs w:val="24"/>
        </w:rPr>
        <w:t xml:space="preserve"> nurse is responsible for assessing patients, supporting treatment, providing education, monitoring health outcomes and working with other professionals to prevent transmission and treatment failure. Three key skills </w:t>
      </w:r>
      <w:r w:rsidR="0082699C">
        <w:rPr>
          <w:rFonts w:ascii="Times New Roman" w:eastAsia="Times New Roman" w:hAnsi="Times New Roman" w:cs="Times New Roman"/>
          <w:sz w:val="24"/>
          <w:szCs w:val="24"/>
        </w:rPr>
        <w:t xml:space="preserve">required communication, critical </w:t>
      </w:r>
      <w:r>
        <w:rPr>
          <w:rFonts w:ascii="Times New Roman" w:eastAsia="Times New Roman" w:hAnsi="Times New Roman" w:cs="Times New Roman"/>
          <w:sz w:val="24"/>
          <w:szCs w:val="24"/>
        </w:rPr>
        <w:t>thinking and teamwork</w:t>
      </w:r>
      <w:r w:rsidR="001157BA">
        <w:rPr>
          <w:rFonts w:ascii="Times New Roman" w:eastAsia="Times New Roman" w:hAnsi="Times New Roman" w:cs="Times New Roman"/>
          <w:sz w:val="24"/>
          <w:szCs w:val="24"/>
        </w:rPr>
        <w:t>. Communication</w:t>
      </w:r>
      <w:r w:rsidR="00B862EF">
        <w:rPr>
          <w:rFonts w:ascii="Times New Roman" w:eastAsia="Times New Roman" w:hAnsi="Times New Roman" w:cs="Times New Roman"/>
          <w:sz w:val="24"/>
          <w:szCs w:val="24"/>
        </w:rPr>
        <w:t xml:space="preserve"> supports patients understanding, trust and treatment adherence. Critical thinking enables the nurse to assess patients, recognise deterioration and make safe </w:t>
      </w:r>
      <w:r>
        <w:rPr>
          <w:rFonts w:ascii="Times New Roman" w:eastAsia="Times New Roman" w:hAnsi="Times New Roman" w:cs="Times New Roman"/>
          <w:sz w:val="24"/>
          <w:szCs w:val="24"/>
        </w:rPr>
        <w:t xml:space="preserve">clinical </w:t>
      </w:r>
      <w:r w:rsidR="00B862EF">
        <w:rPr>
          <w:rFonts w:ascii="Times New Roman" w:eastAsia="Times New Roman" w:hAnsi="Times New Roman" w:cs="Times New Roman"/>
          <w:sz w:val="24"/>
          <w:szCs w:val="24"/>
        </w:rPr>
        <w:t xml:space="preserve">decisions. Teamwork supports information sharing and coordinated care across the </w:t>
      </w:r>
      <w:r>
        <w:rPr>
          <w:rFonts w:ascii="Times New Roman" w:eastAsia="Times New Roman" w:hAnsi="Times New Roman" w:cs="Times New Roman"/>
          <w:sz w:val="24"/>
          <w:szCs w:val="24"/>
        </w:rPr>
        <w:t xml:space="preserve">multidisciplinary team. </w:t>
      </w:r>
    </w:p>
    <w:p w14:paraId="497E4C69" w14:textId="7BC7598E" w:rsidR="00B44EFD" w:rsidRDefault="00B862EF">
      <w:pPr>
        <w:spacing w:line="360" w:lineRule="auto"/>
        <w:jc w:val="both"/>
      </w:pPr>
      <w:r>
        <w:rPr>
          <w:rFonts w:ascii="Times New Roman" w:eastAsia="Times New Roman" w:hAnsi="Times New Roman" w:cs="Times New Roman"/>
          <w:sz w:val="24"/>
          <w:szCs w:val="24"/>
        </w:rPr>
        <w:t xml:space="preserve">A lack of these skills could in misunderstandings, delayed clinical decisions, poor treatment adherence </w:t>
      </w:r>
      <w:r w:rsidR="00AC6CB3">
        <w:rPr>
          <w:rFonts w:ascii="Times New Roman" w:eastAsia="Times New Roman" w:hAnsi="Times New Roman" w:cs="Times New Roman"/>
          <w:sz w:val="24"/>
          <w:szCs w:val="24"/>
        </w:rPr>
        <w:t xml:space="preserve">and fragmented </w:t>
      </w:r>
      <w:r w:rsidR="0082699C">
        <w:rPr>
          <w:rFonts w:ascii="Times New Roman" w:eastAsia="Times New Roman" w:hAnsi="Times New Roman" w:cs="Times New Roman"/>
          <w:sz w:val="24"/>
          <w:szCs w:val="24"/>
        </w:rPr>
        <w:t>care. To improve practice, Nurses should seek feedback to develop communication, use reflective practice to strengthen critical thinking and participate in collaborative high-quality care and respond effectively to the diverse needs of patients.</w:t>
      </w:r>
      <w:r>
        <w:rPr>
          <w:rFonts w:ascii="Times New Roman" w:eastAsia="Times New Roman" w:hAnsi="Times New Roman" w:cs="Times New Roman"/>
          <w:sz w:val="24"/>
          <w:szCs w:val="24"/>
        </w:rPr>
        <w:t xml:space="preserve">  </w:t>
      </w:r>
    </w:p>
    <w:p w14:paraId="0D46477E" w14:textId="77777777" w:rsidR="00B44EFD" w:rsidRDefault="00B44EFD"/>
    <w:p w14:paraId="5C315D1A" w14:textId="77777777" w:rsidR="00B44EFD" w:rsidRDefault="00000000">
      <w:pPr>
        <w:rPr>
          <w:sz w:val="21"/>
          <w:szCs w:val="21"/>
        </w:rPr>
      </w:pPr>
      <w:r>
        <w:br w:type="page"/>
      </w:r>
    </w:p>
    <w:p w14:paraId="6CCD8E5A" w14:textId="77777777" w:rsidR="00B44EFD" w:rsidRDefault="00B44EFD">
      <w:pPr>
        <w:pBdr>
          <w:top w:val="nil"/>
          <w:left w:val="nil"/>
          <w:bottom w:val="nil"/>
          <w:right w:val="nil"/>
          <w:between w:val="nil"/>
        </w:pBdr>
        <w:spacing w:after="0" w:line="240" w:lineRule="auto"/>
        <w:ind w:left="720"/>
        <w:rPr>
          <w:color w:val="000000"/>
          <w:sz w:val="21"/>
          <w:szCs w:val="21"/>
        </w:rPr>
      </w:pPr>
    </w:p>
    <w:p w14:paraId="24DAFFB8" w14:textId="77777777" w:rsidR="00B44EFD" w:rsidRDefault="00000000">
      <w:pPr>
        <w:pStyle w:val="Heading1"/>
        <w:rPr>
          <w:color w:val="4472C4"/>
        </w:rPr>
      </w:pPr>
      <w:bookmarkStart w:id="14" w:name="_heading=h.6j1ior2i5cxw" w:colFirst="0" w:colLast="0"/>
      <w:bookmarkEnd w:id="14"/>
      <w:r>
        <w:t>5.0 Reference List</w:t>
      </w:r>
    </w:p>
    <w:p w14:paraId="0090F46A"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Alsaedi, T. (2025) “The relationship between nursing </w:t>
      </w:r>
      <w:proofErr w:type="gramStart"/>
      <w:r>
        <w:rPr>
          <w:rFonts w:ascii="Times New Roman" w:eastAsia="Times New Roman" w:hAnsi="Times New Roman" w:cs="Times New Roman"/>
          <w:sz w:val="24"/>
          <w:szCs w:val="24"/>
        </w:rPr>
        <w:t>team work</w:t>
      </w:r>
      <w:proofErr w:type="gramEnd"/>
      <w:r>
        <w:rPr>
          <w:rFonts w:ascii="Times New Roman" w:eastAsia="Times New Roman" w:hAnsi="Times New Roman" w:cs="Times New Roman"/>
          <w:sz w:val="24"/>
          <w:szCs w:val="24"/>
        </w:rPr>
        <w:t xml:space="preserve"> and tuberculosis patients’ outcomes,” </w:t>
      </w:r>
      <w:r>
        <w:rPr>
          <w:rFonts w:ascii="Times New Roman" w:eastAsia="Times New Roman" w:hAnsi="Times New Roman" w:cs="Times New Roman"/>
          <w:i/>
          <w:iCs/>
          <w:sz w:val="24"/>
          <w:szCs w:val="24"/>
        </w:rPr>
        <w:t>Helwan International Journal for Nursing Research and Practice</w:t>
      </w:r>
      <w:r>
        <w:rPr>
          <w:rFonts w:ascii="Times New Roman" w:eastAsia="Times New Roman" w:hAnsi="Times New Roman" w:cs="Times New Roman"/>
          <w:sz w:val="24"/>
          <w:szCs w:val="24"/>
        </w:rPr>
        <w:t>, 4(10), pp. 285–302. Available at: https://doi.org/10.21608/hijnrp.2025.378756.1326.</w:t>
      </w:r>
    </w:p>
    <w:p w14:paraId="53FD2D52"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Amir, H., Pande, Cahyani, D.D., Langelo, W., Rosita, R., </w:t>
      </w:r>
      <w:proofErr w:type="spellStart"/>
      <w:r>
        <w:rPr>
          <w:rFonts w:ascii="Times New Roman" w:eastAsia="Times New Roman" w:hAnsi="Times New Roman" w:cs="Times New Roman"/>
          <w:sz w:val="24"/>
          <w:szCs w:val="24"/>
        </w:rPr>
        <w:t>Sajodin</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Noprianty</w:t>
      </w:r>
      <w:proofErr w:type="spellEnd"/>
      <w:r>
        <w:rPr>
          <w:rFonts w:ascii="Times New Roman" w:eastAsia="Times New Roman" w:hAnsi="Times New Roman" w:cs="Times New Roman"/>
          <w:sz w:val="24"/>
          <w:szCs w:val="24"/>
        </w:rPr>
        <w:t xml:space="preserve">, R., Astuti, A., </w:t>
      </w:r>
      <w:proofErr w:type="spellStart"/>
      <w:r>
        <w:rPr>
          <w:rFonts w:ascii="Times New Roman" w:eastAsia="Times New Roman" w:hAnsi="Times New Roman" w:cs="Times New Roman"/>
          <w:sz w:val="24"/>
          <w:szCs w:val="24"/>
        </w:rPr>
        <w:t>Suhari</w:t>
      </w:r>
      <w:proofErr w:type="spellEnd"/>
      <w:r>
        <w:rPr>
          <w:rFonts w:ascii="Times New Roman" w:eastAsia="Times New Roman" w:hAnsi="Times New Roman" w:cs="Times New Roman"/>
          <w:sz w:val="24"/>
          <w:szCs w:val="24"/>
        </w:rPr>
        <w:t xml:space="preserve">, S., Wahyuningsih, S., </w:t>
      </w:r>
      <w:proofErr w:type="spellStart"/>
      <w:r>
        <w:rPr>
          <w:rFonts w:ascii="Times New Roman" w:eastAsia="Times New Roman" w:hAnsi="Times New Roman" w:cs="Times New Roman"/>
          <w:sz w:val="24"/>
          <w:szCs w:val="24"/>
        </w:rPr>
        <w:t>Swamilaksita</w:t>
      </w:r>
      <w:proofErr w:type="spellEnd"/>
      <w:r>
        <w:rPr>
          <w:rFonts w:ascii="Times New Roman" w:eastAsia="Times New Roman" w:hAnsi="Times New Roman" w:cs="Times New Roman"/>
          <w:sz w:val="24"/>
          <w:szCs w:val="24"/>
        </w:rPr>
        <w:t xml:space="preserve">, P.D., </w:t>
      </w:r>
      <w:proofErr w:type="spellStart"/>
      <w:r>
        <w:rPr>
          <w:rFonts w:ascii="Times New Roman" w:eastAsia="Times New Roman" w:hAnsi="Times New Roman" w:cs="Times New Roman"/>
          <w:sz w:val="24"/>
          <w:szCs w:val="24"/>
        </w:rPr>
        <w:t>Sudarman</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Syaiful</w:t>
      </w:r>
      <w:proofErr w:type="spellEnd"/>
      <w:r>
        <w:rPr>
          <w:rFonts w:ascii="Times New Roman" w:eastAsia="Times New Roman" w:hAnsi="Times New Roman" w:cs="Times New Roman"/>
          <w:sz w:val="24"/>
          <w:szCs w:val="24"/>
        </w:rPr>
        <w:t>, S. (2023) “Enhancing skill conceptualization, critical thinking, and nursing knowledge through reflective case discussions: A systematic review.,” </w:t>
      </w:r>
      <w:r>
        <w:rPr>
          <w:rFonts w:ascii="Times New Roman" w:eastAsia="Times New Roman" w:hAnsi="Times New Roman" w:cs="Times New Roman"/>
          <w:i/>
          <w:iCs/>
          <w:sz w:val="24"/>
          <w:szCs w:val="24"/>
        </w:rPr>
        <w:t>PubMed</w:t>
      </w:r>
      <w:r>
        <w:rPr>
          <w:rFonts w:ascii="Times New Roman" w:eastAsia="Times New Roman" w:hAnsi="Times New Roman" w:cs="Times New Roman"/>
          <w:sz w:val="24"/>
          <w:szCs w:val="24"/>
        </w:rPr>
        <w:t>, 16(6), pp. 851–855. Available at: https://doi.org/10.25122/jml-2023-0042.</w:t>
      </w:r>
    </w:p>
    <w:p w14:paraId="32C08014"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Bell, C.E. (2014) “The Role of the Tuberculosis Nurse Specialist,” </w:t>
      </w:r>
      <w:r>
        <w:rPr>
          <w:rFonts w:ascii="Times New Roman" w:eastAsia="Times New Roman" w:hAnsi="Times New Roman" w:cs="Times New Roman"/>
          <w:i/>
          <w:iCs/>
          <w:sz w:val="24"/>
          <w:szCs w:val="24"/>
        </w:rPr>
        <w:t>Clinical Tuberculosis</w:t>
      </w:r>
      <w:r>
        <w:rPr>
          <w:rFonts w:ascii="Times New Roman" w:eastAsia="Times New Roman" w:hAnsi="Times New Roman" w:cs="Times New Roman"/>
          <w:sz w:val="24"/>
          <w:szCs w:val="24"/>
        </w:rPr>
        <w:t>. CRC Press.</w:t>
      </w:r>
    </w:p>
    <w:p w14:paraId="1DFE43AD"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Breeding, S.L. (2016) </w:t>
      </w:r>
      <w:r>
        <w:rPr>
          <w:rFonts w:ascii="Times New Roman" w:eastAsia="Times New Roman" w:hAnsi="Times New Roman" w:cs="Times New Roman"/>
          <w:i/>
          <w:iCs/>
          <w:sz w:val="24"/>
          <w:szCs w:val="24"/>
        </w:rPr>
        <w:t>Evaluating Public Health Nurses and clinicians self-perceived competency level in the treatment of tuberculosis</w:t>
      </w:r>
      <w:r>
        <w:rPr>
          <w:rFonts w:ascii="Times New Roman" w:eastAsia="Times New Roman" w:hAnsi="Times New Roman" w:cs="Times New Roman"/>
          <w:sz w:val="24"/>
          <w:szCs w:val="24"/>
        </w:rPr>
        <w:t>. Northern Kentucky University Press.</w:t>
      </w:r>
    </w:p>
    <w:p w14:paraId="3E771778"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Butler, S. (2024) “Feedback in nursing practice: Exploring barriers to and strategies for effective delivery,” </w:t>
      </w:r>
      <w:r>
        <w:rPr>
          <w:rFonts w:ascii="Times New Roman" w:eastAsia="Times New Roman" w:hAnsi="Times New Roman" w:cs="Times New Roman"/>
          <w:i/>
          <w:iCs/>
          <w:sz w:val="24"/>
          <w:szCs w:val="24"/>
        </w:rPr>
        <w:t>Nursing Management</w:t>
      </w:r>
      <w:r>
        <w:rPr>
          <w:rFonts w:ascii="Times New Roman" w:eastAsia="Times New Roman" w:hAnsi="Times New Roman" w:cs="Times New Roman"/>
          <w:sz w:val="24"/>
          <w:szCs w:val="24"/>
        </w:rPr>
        <w:t>, 31(6), pp. 26–30. Available at: https://doi.org/10.7748/nm.2024.e2145.</w:t>
      </w:r>
    </w:p>
    <w:p w14:paraId="79CC2557"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(2021) </w:t>
      </w:r>
      <w:r>
        <w:rPr>
          <w:rFonts w:ascii="Times New Roman" w:eastAsia="Times New Roman" w:hAnsi="Times New Roman" w:cs="Times New Roman"/>
          <w:i/>
          <w:iCs/>
          <w:sz w:val="24"/>
          <w:szCs w:val="24"/>
        </w:rPr>
        <w:t>Skills for success: Personal Development and Employability</w:t>
      </w:r>
      <w:r>
        <w:rPr>
          <w:rFonts w:ascii="Times New Roman" w:eastAsia="Times New Roman" w:hAnsi="Times New Roman" w:cs="Times New Roman"/>
          <w:sz w:val="24"/>
          <w:szCs w:val="24"/>
        </w:rPr>
        <w:t>. 4th ed. Palgrave Macmillan.</w:t>
      </w:r>
    </w:p>
    <w:p w14:paraId="27C17723"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(2023) </w:t>
      </w:r>
      <w:r>
        <w:rPr>
          <w:rFonts w:ascii="Times New Roman" w:eastAsia="Times New Roman" w:hAnsi="Times New Roman" w:cs="Times New Roman"/>
          <w:i/>
          <w:iCs/>
          <w:sz w:val="24"/>
          <w:szCs w:val="24"/>
        </w:rPr>
        <w:t xml:space="preserve">Critical thinking </w:t>
      </w:r>
      <w:proofErr w:type="gramStart"/>
      <w:r>
        <w:rPr>
          <w:rFonts w:ascii="Times New Roman" w:eastAsia="Times New Roman" w:hAnsi="Times New Roman" w:cs="Times New Roman"/>
          <w:i/>
          <w:iCs/>
          <w:sz w:val="24"/>
          <w:szCs w:val="24"/>
        </w:rPr>
        <w:t>skills :</w:t>
      </w:r>
      <w:proofErr w:type="gramEnd"/>
      <w:r>
        <w:rPr>
          <w:rFonts w:ascii="Times New Roman" w:eastAsia="Times New Roman" w:hAnsi="Times New Roman" w:cs="Times New Roman"/>
          <w:i/>
          <w:iCs/>
          <w:sz w:val="24"/>
          <w:szCs w:val="24"/>
        </w:rPr>
        <w:t xml:space="preserve"> Developing effective analysis and argument</w:t>
      </w:r>
      <w:r>
        <w:rPr>
          <w:rFonts w:ascii="Times New Roman" w:eastAsia="Times New Roman" w:hAnsi="Times New Roman" w:cs="Times New Roman"/>
          <w:sz w:val="24"/>
          <w:szCs w:val="24"/>
        </w:rPr>
        <w:t>. 2nd ed. Palgrave Macmillan.</w:t>
      </w:r>
    </w:p>
    <w:p w14:paraId="44044F5C"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Gibbs, G. (1988) </w:t>
      </w:r>
      <w:r>
        <w:rPr>
          <w:rFonts w:ascii="Times New Roman" w:eastAsia="Times New Roman" w:hAnsi="Times New Roman" w:cs="Times New Roman"/>
          <w:i/>
          <w:iCs/>
          <w:sz w:val="24"/>
          <w:szCs w:val="24"/>
        </w:rPr>
        <w:t>Learning by doing: A guide to teaching and learning methods.</w:t>
      </w:r>
      <w:r>
        <w:rPr>
          <w:rFonts w:ascii="Times New Roman" w:eastAsia="Times New Roman" w:hAnsi="Times New Roman" w:cs="Times New Roman"/>
          <w:sz w:val="24"/>
          <w:szCs w:val="24"/>
        </w:rPr>
        <w:t> FEU.</w:t>
      </w:r>
    </w:p>
    <w:p w14:paraId="7465477F"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Han, Y., Chen, J., Xu, Y., Huang, P. and Hou, L. (2024) “Nurse-led medication management as a critical component of transitional care for preventing drug-related problems,” </w:t>
      </w:r>
      <w:r>
        <w:rPr>
          <w:rFonts w:ascii="Times New Roman" w:eastAsia="Times New Roman" w:hAnsi="Times New Roman" w:cs="Times New Roman"/>
          <w:i/>
          <w:iCs/>
          <w:sz w:val="24"/>
          <w:szCs w:val="24"/>
        </w:rPr>
        <w:t>Aging Clinical and Experimental Research</w:t>
      </w:r>
      <w:r>
        <w:rPr>
          <w:rFonts w:ascii="Times New Roman" w:eastAsia="Times New Roman" w:hAnsi="Times New Roman" w:cs="Times New Roman"/>
          <w:sz w:val="24"/>
          <w:szCs w:val="24"/>
        </w:rPr>
        <w:t>, 36(1). Available at: https://doi.org/10.1007/s40520-024-02799-3.</w:t>
      </w:r>
    </w:p>
    <w:p w14:paraId="6C74D37D"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Jobe, I., Lindberg, B. and Engström, Å. (2020) “Health and social care professionals’ experiences of collaborative planning—Applying the person</w:t>
      </w:r>
      <w:r>
        <w:rPr>
          <w:rFonts w:ascii="Cambria Math" w:eastAsia="Cambria Math" w:hAnsi="Cambria Math" w:cs="Cambria Math"/>
          <w:sz w:val="24"/>
          <w:szCs w:val="24"/>
        </w:rPr>
        <w:t>‐</w:t>
      </w:r>
      <w:r>
        <w:rPr>
          <w:rFonts w:ascii="Times New Roman" w:eastAsia="Times New Roman" w:hAnsi="Times New Roman" w:cs="Times New Roman"/>
          <w:sz w:val="24"/>
          <w:szCs w:val="24"/>
        </w:rPr>
        <w:t>centred practice framework,” </w:t>
      </w:r>
      <w:r>
        <w:rPr>
          <w:rFonts w:ascii="Times New Roman" w:eastAsia="Times New Roman" w:hAnsi="Times New Roman" w:cs="Times New Roman"/>
          <w:i/>
          <w:iCs/>
          <w:sz w:val="24"/>
          <w:szCs w:val="24"/>
        </w:rPr>
        <w:t>Nursing Open</w:t>
      </w:r>
      <w:r>
        <w:rPr>
          <w:rFonts w:ascii="Times New Roman" w:eastAsia="Times New Roman" w:hAnsi="Times New Roman" w:cs="Times New Roman"/>
          <w:sz w:val="24"/>
          <w:szCs w:val="24"/>
        </w:rPr>
        <w:t>, 7(6). Available at: https://doi.org/10.1002/nop2.597.</w:t>
      </w:r>
    </w:p>
    <w:p w14:paraId="58E24218" w14:textId="77777777" w:rsidR="00B44EFD" w:rsidRDefault="00000000">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Kamenye</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Iipinge</w:t>
      </w:r>
      <w:proofErr w:type="spellEnd"/>
      <w:r>
        <w:rPr>
          <w:rFonts w:ascii="Times New Roman" w:eastAsia="Times New Roman" w:hAnsi="Times New Roman" w:cs="Times New Roman"/>
          <w:sz w:val="24"/>
          <w:szCs w:val="24"/>
        </w:rPr>
        <w:t>, S. and Van Dyk, A. (2016) “Communication guidelines for the nurses caring for patients diagnosed with tuberculosis,” </w:t>
      </w:r>
      <w:r>
        <w:rPr>
          <w:rFonts w:ascii="Times New Roman" w:eastAsia="Times New Roman" w:hAnsi="Times New Roman" w:cs="Times New Roman"/>
          <w:i/>
          <w:iCs/>
          <w:sz w:val="24"/>
          <w:szCs w:val="24"/>
        </w:rPr>
        <w:t>International Journal of Health</w:t>
      </w:r>
      <w:r>
        <w:rPr>
          <w:rFonts w:ascii="Times New Roman" w:eastAsia="Times New Roman" w:hAnsi="Times New Roman" w:cs="Times New Roman"/>
          <w:sz w:val="24"/>
          <w:szCs w:val="24"/>
        </w:rPr>
        <w:t>, 4(2), pp. 155–160. Available at: https://doi.org/10.14419/ijh.v4i2.6848.</w:t>
      </w:r>
    </w:p>
    <w:p w14:paraId="7B0E6AE8"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NMC (2018) “The code professional standards of practice and behaviour for nurses and midwives nursing and Midwifery Council,” </w:t>
      </w:r>
      <w:r>
        <w:rPr>
          <w:rFonts w:ascii="Times New Roman" w:eastAsia="Times New Roman" w:hAnsi="Times New Roman" w:cs="Times New Roman"/>
          <w:i/>
          <w:iCs/>
          <w:sz w:val="24"/>
          <w:szCs w:val="24"/>
        </w:rPr>
        <w:t>Nursing and Midwifery Council</w:t>
      </w:r>
      <w:r>
        <w:rPr>
          <w:rFonts w:ascii="Times New Roman" w:eastAsia="Times New Roman" w:hAnsi="Times New Roman" w:cs="Times New Roman"/>
          <w:sz w:val="24"/>
          <w:szCs w:val="24"/>
        </w:rPr>
        <w:t>. London: Nursing and Midwifery Council. Available at: https://www.nmc.org.uk/globalassets/sitedocuments/nmc-publications/nmc-code.pdf (Accessed: August 12, 2026).</w:t>
      </w:r>
    </w:p>
    <w:p w14:paraId="73283E77" w14:textId="77777777" w:rsidR="00B44EFD" w:rsidRDefault="00000000">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Noordman</w:t>
      </w:r>
      <w:proofErr w:type="spellEnd"/>
      <w:r>
        <w:rPr>
          <w:rFonts w:ascii="Times New Roman" w:eastAsia="Times New Roman" w:hAnsi="Times New Roman" w:cs="Times New Roman"/>
          <w:sz w:val="24"/>
          <w:szCs w:val="24"/>
        </w:rPr>
        <w:t xml:space="preserve">, J., van der Weijden, T. and van </w:t>
      </w:r>
      <w:proofErr w:type="spellStart"/>
      <w:r>
        <w:rPr>
          <w:rFonts w:ascii="Times New Roman" w:eastAsia="Times New Roman" w:hAnsi="Times New Roman" w:cs="Times New Roman"/>
          <w:sz w:val="24"/>
          <w:szCs w:val="24"/>
        </w:rPr>
        <w:t>Dulmen</w:t>
      </w:r>
      <w:proofErr w:type="spellEnd"/>
      <w:r>
        <w:rPr>
          <w:rFonts w:ascii="Times New Roman" w:eastAsia="Times New Roman" w:hAnsi="Times New Roman" w:cs="Times New Roman"/>
          <w:sz w:val="24"/>
          <w:szCs w:val="24"/>
        </w:rPr>
        <w:t xml:space="preserve">, S. (2014) “Effects of video-feedback on the communication, clinical competence and motivational interviewing skills of practice nurses: A pre-test </w:t>
      </w:r>
      <w:proofErr w:type="spellStart"/>
      <w:r>
        <w:rPr>
          <w:rFonts w:ascii="Times New Roman" w:eastAsia="Times New Roman" w:hAnsi="Times New Roman" w:cs="Times New Roman"/>
          <w:sz w:val="24"/>
          <w:szCs w:val="24"/>
        </w:rPr>
        <w:t>posttest</w:t>
      </w:r>
      <w:proofErr w:type="spellEnd"/>
      <w:r>
        <w:rPr>
          <w:rFonts w:ascii="Times New Roman" w:eastAsia="Times New Roman" w:hAnsi="Times New Roman" w:cs="Times New Roman"/>
          <w:sz w:val="24"/>
          <w:szCs w:val="24"/>
        </w:rPr>
        <w:t xml:space="preserve"> control group study,” </w:t>
      </w:r>
      <w:r>
        <w:rPr>
          <w:rFonts w:ascii="Times New Roman" w:eastAsia="Times New Roman" w:hAnsi="Times New Roman" w:cs="Times New Roman"/>
          <w:i/>
          <w:iCs/>
          <w:sz w:val="24"/>
          <w:szCs w:val="24"/>
        </w:rPr>
        <w:t>Journal of Advanced Nursing</w:t>
      </w:r>
      <w:r>
        <w:rPr>
          <w:rFonts w:ascii="Times New Roman" w:eastAsia="Times New Roman" w:hAnsi="Times New Roman" w:cs="Times New Roman"/>
          <w:sz w:val="24"/>
          <w:szCs w:val="24"/>
        </w:rPr>
        <w:t>, 70(10), pp. 2272–2283. Available at: https://doi.org/10.1111/jan.12376.</w:t>
      </w:r>
    </w:p>
    <w:p w14:paraId="69F1428E" w14:textId="77777777" w:rsidR="00B44EFD" w:rsidRDefault="00000000">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Pegueroles</w:t>
      </w:r>
      <w:proofErr w:type="spellEnd"/>
      <w:r>
        <w:rPr>
          <w:rFonts w:ascii="Times New Roman" w:eastAsia="Times New Roman" w:hAnsi="Times New Roman" w:cs="Times New Roman"/>
          <w:sz w:val="24"/>
          <w:szCs w:val="24"/>
        </w:rPr>
        <w:t xml:space="preserve">, A.F., Martín, D.R., </w:t>
      </w:r>
      <w:proofErr w:type="spellStart"/>
      <w:r>
        <w:rPr>
          <w:rFonts w:ascii="Times New Roman" w:eastAsia="Times New Roman" w:hAnsi="Times New Roman" w:cs="Times New Roman"/>
          <w:sz w:val="24"/>
          <w:szCs w:val="24"/>
        </w:rPr>
        <w:t>Pozón</w:t>
      </w:r>
      <w:proofErr w:type="spellEnd"/>
      <w:r>
        <w:rPr>
          <w:rFonts w:ascii="Times New Roman" w:eastAsia="Times New Roman" w:hAnsi="Times New Roman" w:cs="Times New Roman"/>
          <w:sz w:val="24"/>
          <w:szCs w:val="24"/>
        </w:rPr>
        <w:t>, S.R. and Pérez, E.Z. (2021) “Critical thinking in nursing clinical practice, education and research: From attitudes to virtue,” </w:t>
      </w:r>
      <w:r>
        <w:rPr>
          <w:rFonts w:ascii="Times New Roman" w:eastAsia="Times New Roman" w:hAnsi="Times New Roman" w:cs="Times New Roman"/>
          <w:i/>
          <w:iCs/>
          <w:sz w:val="24"/>
          <w:szCs w:val="24"/>
        </w:rPr>
        <w:t>Nursing Philosophy</w:t>
      </w:r>
      <w:r>
        <w:rPr>
          <w:rFonts w:ascii="Times New Roman" w:eastAsia="Times New Roman" w:hAnsi="Times New Roman" w:cs="Times New Roman"/>
          <w:sz w:val="24"/>
          <w:szCs w:val="24"/>
        </w:rPr>
        <w:t>, 22(1), pp. 1–7. Available at: https://doi.org/10.1111/nup.12332.</w:t>
      </w:r>
    </w:p>
    <w:p w14:paraId="67932E01"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Ramos, J.P., Vieira, M., Pimentel, C., Argel, M., Barbosa, P. and Duarte, R. (2023) “Building bridges: Multidisciplinary teams in tuberculosis prevention and care,” </w:t>
      </w:r>
      <w:r>
        <w:rPr>
          <w:rFonts w:ascii="Times New Roman" w:eastAsia="Times New Roman" w:hAnsi="Times New Roman" w:cs="Times New Roman"/>
          <w:i/>
          <w:iCs/>
          <w:sz w:val="24"/>
          <w:szCs w:val="24"/>
        </w:rPr>
        <w:t>Breathe</w:t>
      </w:r>
      <w:r>
        <w:rPr>
          <w:rFonts w:ascii="Times New Roman" w:eastAsia="Times New Roman" w:hAnsi="Times New Roman" w:cs="Times New Roman"/>
          <w:sz w:val="24"/>
          <w:szCs w:val="24"/>
        </w:rPr>
        <w:t>, 19(3). Available at: https://doi.org/10.1183/20734735.0092-2023.</w:t>
      </w:r>
    </w:p>
    <w:p w14:paraId="1458D633" w14:textId="77777777" w:rsidR="00B44EFD" w:rsidRDefault="00000000">
      <w:pPr>
        <w:spacing w:after="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Reji ,</w:t>
      </w:r>
      <w:proofErr w:type="gramEnd"/>
      <w:r>
        <w:rPr>
          <w:rFonts w:ascii="Times New Roman" w:eastAsia="Times New Roman" w:hAnsi="Times New Roman" w:cs="Times New Roman"/>
          <w:sz w:val="24"/>
          <w:szCs w:val="24"/>
        </w:rPr>
        <w:t xml:space="preserve"> R.K. and Saini, S.K. (2022) “Critical thinking and decision making: Essential skills in nursing,” </w:t>
      </w:r>
      <w:r>
        <w:rPr>
          <w:rFonts w:ascii="Times New Roman" w:eastAsia="Times New Roman" w:hAnsi="Times New Roman" w:cs="Times New Roman"/>
          <w:i/>
          <w:iCs/>
          <w:sz w:val="24"/>
          <w:szCs w:val="24"/>
        </w:rPr>
        <w:t>International Journal of Research in Pharmaceutical Sciences</w:t>
      </w:r>
      <w:r>
        <w:rPr>
          <w:rFonts w:ascii="Times New Roman" w:eastAsia="Times New Roman" w:hAnsi="Times New Roman" w:cs="Times New Roman"/>
          <w:sz w:val="24"/>
          <w:szCs w:val="24"/>
        </w:rPr>
        <w:t>, 13(1), pp. 61–67. Available at: https://doi.org/10.26452/ijrps.v13i1.21.</w:t>
      </w:r>
    </w:p>
    <w:p w14:paraId="2F1E2357" w14:textId="77777777" w:rsidR="00B44EFD"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Zago, P.T.N., </w:t>
      </w:r>
      <w:proofErr w:type="spellStart"/>
      <w:r>
        <w:rPr>
          <w:rFonts w:ascii="Times New Roman" w:eastAsia="Times New Roman" w:hAnsi="Times New Roman" w:cs="Times New Roman"/>
          <w:sz w:val="24"/>
          <w:szCs w:val="24"/>
        </w:rPr>
        <w:t>Maffacciolli</w:t>
      </w:r>
      <w:proofErr w:type="spellEnd"/>
      <w:r>
        <w:rPr>
          <w:rFonts w:ascii="Times New Roman" w:eastAsia="Times New Roman" w:hAnsi="Times New Roman" w:cs="Times New Roman"/>
          <w:sz w:val="24"/>
          <w:szCs w:val="24"/>
        </w:rPr>
        <w:t>, R., Mattioni, F.C., Dalla-Nora, C.R. and Rocha, C.M.F. (2021) “Nursing actions promoting adherence to tuberculosis treatment: Scoping review,” </w:t>
      </w:r>
      <w:r>
        <w:rPr>
          <w:rFonts w:ascii="Times New Roman" w:eastAsia="Times New Roman" w:hAnsi="Times New Roman" w:cs="Times New Roman"/>
          <w:i/>
          <w:iCs/>
          <w:sz w:val="24"/>
          <w:szCs w:val="24"/>
        </w:rPr>
        <w:t>Revista da Escola de Enfermagem da USP</w:t>
      </w:r>
      <w:r>
        <w:rPr>
          <w:rFonts w:ascii="Times New Roman" w:eastAsia="Times New Roman" w:hAnsi="Times New Roman" w:cs="Times New Roman"/>
          <w:sz w:val="24"/>
          <w:szCs w:val="24"/>
        </w:rPr>
        <w:t>, 55. Available at: https://doi.org/10.1590/1980-220x-reeusp-2020-0300.</w:t>
      </w:r>
    </w:p>
    <w:p w14:paraId="323E9F04" w14:textId="77777777" w:rsidR="00B44EFD" w:rsidRDefault="00B44EFD"/>
    <w:p w14:paraId="27673133" w14:textId="77777777" w:rsidR="00B44EFD" w:rsidRDefault="00B44EFD"/>
    <w:p w14:paraId="3CD735B6" w14:textId="77777777" w:rsidR="00B44EFD" w:rsidRDefault="00B44EFD"/>
    <w:p w14:paraId="27346C33" w14:textId="77777777" w:rsidR="00B44EFD" w:rsidRDefault="00B44EFD">
      <w:pPr>
        <w:rPr>
          <w:color w:val="FF0000"/>
        </w:rPr>
      </w:pPr>
    </w:p>
    <w:sectPr w:rsidR="00B44EFD">
      <w:headerReference w:type="even" r:id="rId8"/>
      <w:headerReference w:type="default" r:id="rId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E1464" w14:textId="77777777" w:rsidR="00B64895" w:rsidRDefault="00B64895">
      <w:pPr>
        <w:spacing w:after="0" w:line="240" w:lineRule="auto"/>
      </w:pPr>
      <w:r>
        <w:separator/>
      </w:r>
    </w:p>
  </w:endnote>
  <w:endnote w:type="continuationSeparator" w:id="0">
    <w:p w14:paraId="09D61091" w14:textId="77777777" w:rsidR="00B64895" w:rsidRDefault="00B64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Quattrocento Sans">
    <w:charset w:val="00"/>
    <w:family w:val="swiss"/>
    <w:pitch w:val="variable"/>
    <w:sig w:usb0="800000BF" w:usb1="4000005B" w:usb2="00000000" w:usb3="00000000" w:csb0="00000001" w:csb1="00000000"/>
    <w:embedRegular r:id="rId1" w:fontKey="{A00A7E27-5E60-4FA3-A823-6FB022F8F89D}"/>
    <w:embedBold r:id="rId2" w:fontKey="{8764C7A4-ABE9-4851-B85D-B24CE4BF94DB}"/>
    <w:embedBoldItalic r:id="rId3" w:fontKey="{FF7CF292-8832-4208-8489-BE15F292967E}"/>
  </w:font>
  <w:font w:name="Calibri">
    <w:panose1 w:val="020F0502020204030204"/>
    <w:charset w:val="00"/>
    <w:family w:val="swiss"/>
    <w:pitch w:val="variable"/>
    <w:sig w:usb0="E4002EFF" w:usb1="C200247B" w:usb2="00000009" w:usb3="00000000" w:csb0="000001FF" w:csb1="00000000"/>
    <w:embedRegular r:id="rId4" w:fontKey="{E85FA46A-B119-4492-A61E-3BA0F3E4E235}"/>
    <w:embedBold r:id="rId5" w:fontKey="{A73BA6B2-0269-44B7-9E22-6D450786CB36}"/>
    <w:embedBoldItalic r:id="rId6" w:fontKey="{191E3FE7-9835-4F9E-9FDC-054477817C03}"/>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7" w:fontKey="{0783164B-272E-4D39-8011-EC36C2332F0D}"/>
    <w:embedBold r:id="rId8" w:fontKey="{A4F2AA2E-A85B-45A8-852E-69D7A5B2509C}"/>
  </w:font>
  <w:font w:name="Calibri Light">
    <w:panose1 w:val="020F0302020204030204"/>
    <w:charset w:val="00"/>
    <w:family w:val="swiss"/>
    <w:pitch w:val="variable"/>
    <w:sig w:usb0="E4002EFF" w:usb1="C200247B" w:usb2="00000009" w:usb3="00000000" w:csb0="000001FF" w:csb1="00000000"/>
    <w:embedRegular r:id="rId9" w:fontKey="{EFF5795A-2BEB-4AEF-81BD-04C80CCF852F}"/>
  </w:font>
  <w:font w:name="Tahoma">
    <w:panose1 w:val="020B0604030504040204"/>
    <w:charset w:val="00"/>
    <w:family w:val="swiss"/>
    <w:pitch w:val="variable"/>
    <w:sig w:usb0="E1002EFF" w:usb1="C000605B" w:usb2="00000029" w:usb3="00000000" w:csb0="000101FF" w:csb1="00000000"/>
    <w:embedRegular r:id="rId10" w:fontKey="{A1B0037B-9D99-4870-8FC7-FBD8D8DE28E1}"/>
  </w:font>
  <w:font w:name="Georgia">
    <w:panose1 w:val="02040502050405020303"/>
    <w:charset w:val="00"/>
    <w:family w:val="roman"/>
    <w:pitch w:val="variable"/>
    <w:sig w:usb0="00000287" w:usb1="00000000" w:usb2="00000000" w:usb3="00000000" w:csb0="0000009F" w:csb1="00000000"/>
    <w:embedItalic r:id="rId11" w:fontKey="{BD791261-9EF8-4523-8CEE-738EBA0ADD5C}"/>
  </w:font>
  <w:font w:name="Cambria Math">
    <w:panose1 w:val="02040503050406030204"/>
    <w:charset w:val="00"/>
    <w:family w:val="roman"/>
    <w:pitch w:val="variable"/>
    <w:sig w:usb0="E00006FF" w:usb1="420024FF" w:usb2="02000000" w:usb3="00000000" w:csb0="0000019F" w:csb1="00000000"/>
    <w:embedRegular r:id="rId12" w:fontKey="{7421A599-783D-4564-9BF9-5F05ECA0B571}"/>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BE017" w14:textId="77777777" w:rsidR="00B64895" w:rsidRDefault="00B64895">
      <w:pPr>
        <w:spacing w:after="0" w:line="240" w:lineRule="auto"/>
      </w:pPr>
      <w:r>
        <w:separator/>
      </w:r>
    </w:p>
  </w:footnote>
  <w:footnote w:type="continuationSeparator" w:id="0">
    <w:p w14:paraId="76BAC5AF" w14:textId="77777777" w:rsidR="00B64895" w:rsidRDefault="00B648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A9AFC" w14:textId="77777777" w:rsidR="00B44EFD"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62487A08" w14:textId="77777777" w:rsidR="00B44EFD" w:rsidRDefault="00B44EFD">
    <w:pPr>
      <w:pBdr>
        <w:top w:val="nil"/>
        <w:left w:val="nil"/>
        <w:bottom w:val="nil"/>
        <w:right w:val="nil"/>
        <w:between w:val="nil"/>
      </w:pBdr>
      <w:tabs>
        <w:tab w:val="center" w:pos="4513"/>
        <w:tab w:val="right" w:pos="9026"/>
      </w:tabs>
      <w:spacing w:after="0" w:line="240" w:lineRule="auto"/>
      <w:ind w:right="360"/>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255C4" w14:textId="77777777" w:rsidR="00B44EFD"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9194A">
      <w:rPr>
        <w:noProof/>
        <w:color w:val="000000"/>
      </w:rPr>
      <w:t>2</w:t>
    </w:r>
    <w:r>
      <w:rPr>
        <w:color w:val="000000"/>
      </w:rPr>
      <w:fldChar w:fldCharType="end"/>
    </w:r>
  </w:p>
  <w:p w14:paraId="184116C0" w14:textId="77777777" w:rsidR="00B44EFD" w:rsidRDefault="00B44EFD">
    <w:pPr>
      <w:pBdr>
        <w:top w:val="nil"/>
        <w:left w:val="nil"/>
        <w:bottom w:val="nil"/>
        <w:right w:val="nil"/>
        <w:between w:val="nil"/>
      </w:pBdr>
      <w:tabs>
        <w:tab w:val="center" w:pos="4513"/>
        <w:tab w:val="right" w:pos="9026"/>
      </w:tabs>
      <w:spacing w:after="0" w:line="240" w:lineRule="auto"/>
      <w:ind w:right="360"/>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4EFD"/>
    <w:rsid w:val="001157BA"/>
    <w:rsid w:val="0015435C"/>
    <w:rsid w:val="0016766D"/>
    <w:rsid w:val="001C16C7"/>
    <w:rsid w:val="00207656"/>
    <w:rsid w:val="002C5948"/>
    <w:rsid w:val="003E1FB0"/>
    <w:rsid w:val="003F3E6B"/>
    <w:rsid w:val="004A7188"/>
    <w:rsid w:val="00505ED8"/>
    <w:rsid w:val="00544C1E"/>
    <w:rsid w:val="00550DE7"/>
    <w:rsid w:val="005914A6"/>
    <w:rsid w:val="006C0BDA"/>
    <w:rsid w:val="0082699C"/>
    <w:rsid w:val="008A351E"/>
    <w:rsid w:val="008C7D34"/>
    <w:rsid w:val="00AA33E6"/>
    <w:rsid w:val="00AC6CB3"/>
    <w:rsid w:val="00B3461C"/>
    <w:rsid w:val="00B44EFD"/>
    <w:rsid w:val="00B64895"/>
    <w:rsid w:val="00B862EF"/>
    <w:rsid w:val="00BB5FBC"/>
    <w:rsid w:val="00C90875"/>
    <w:rsid w:val="00D402A2"/>
    <w:rsid w:val="00D60879"/>
    <w:rsid w:val="00D74149"/>
    <w:rsid w:val="00D75106"/>
    <w:rsid w:val="00D9194A"/>
    <w:rsid w:val="00DF3FA7"/>
    <w:rsid w:val="00E14C90"/>
    <w:rsid w:val="00E661B3"/>
    <w:rsid w:val="00E86ED9"/>
    <w:rsid w:val="00F43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FFA71"/>
  <w15:docId w15:val="{5515AB12-1E94-4F0B-AEEB-3CAF9A10B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Quattrocento Sans" w:eastAsia="Quattrocento Sans" w:hAnsi="Quattrocento Sans" w:cs="Quattrocento Sans"/>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b/>
      <w:bCs/>
      <w:color w:val="2F5496"/>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F5496"/>
      <w:sz w:val="28"/>
      <w:szCs w:val="28"/>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w:eastAsia="Calibri" w:hAnsi="Calibri" w:cs="Calibri"/>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rPr>
  </w:style>
  <w:style w:type="paragraph" w:styleId="TOC4">
    <w:name w:val="toc 4"/>
    <w:basedOn w:val="Normal"/>
    <w:next w:val="Normal"/>
    <w:autoRedefine/>
    <w:uiPriority w:val="39"/>
    <w:semiHidden/>
    <w:unhideWhenUsed/>
    <w:rsid w:val="00184A9A"/>
    <w:pPr>
      <w:spacing w:after="0"/>
      <w:ind w:left="660"/>
    </w:pPr>
    <w:rPr>
      <w:rFonts w:cstheme="minorHAnsi"/>
    </w:rPr>
  </w:style>
  <w:style w:type="paragraph" w:styleId="TOC5">
    <w:name w:val="toc 5"/>
    <w:basedOn w:val="Normal"/>
    <w:next w:val="Normal"/>
    <w:autoRedefine/>
    <w:uiPriority w:val="39"/>
    <w:semiHidden/>
    <w:unhideWhenUsed/>
    <w:rsid w:val="00184A9A"/>
    <w:pPr>
      <w:spacing w:after="0"/>
      <w:ind w:left="880"/>
    </w:pPr>
    <w:rPr>
      <w:rFonts w:cstheme="minorHAnsi"/>
    </w:rPr>
  </w:style>
  <w:style w:type="paragraph" w:styleId="TOC6">
    <w:name w:val="toc 6"/>
    <w:basedOn w:val="Normal"/>
    <w:next w:val="Normal"/>
    <w:autoRedefine/>
    <w:uiPriority w:val="39"/>
    <w:semiHidden/>
    <w:unhideWhenUsed/>
    <w:rsid w:val="00184A9A"/>
    <w:pPr>
      <w:spacing w:after="0"/>
      <w:ind w:left="1100"/>
    </w:pPr>
    <w:rPr>
      <w:rFonts w:cstheme="minorHAnsi"/>
    </w:rPr>
  </w:style>
  <w:style w:type="paragraph" w:styleId="TOC7">
    <w:name w:val="toc 7"/>
    <w:basedOn w:val="Normal"/>
    <w:next w:val="Normal"/>
    <w:autoRedefine/>
    <w:uiPriority w:val="39"/>
    <w:semiHidden/>
    <w:unhideWhenUsed/>
    <w:rsid w:val="00184A9A"/>
    <w:pPr>
      <w:spacing w:after="0"/>
      <w:ind w:left="1320"/>
    </w:pPr>
    <w:rPr>
      <w:rFonts w:cstheme="minorHAnsi"/>
    </w:rPr>
  </w:style>
  <w:style w:type="paragraph" w:styleId="TOC8">
    <w:name w:val="toc 8"/>
    <w:basedOn w:val="Normal"/>
    <w:next w:val="Normal"/>
    <w:autoRedefine/>
    <w:uiPriority w:val="39"/>
    <w:semiHidden/>
    <w:unhideWhenUsed/>
    <w:rsid w:val="00184A9A"/>
    <w:pPr>
      <w:spacing w:after="0"/>
      <w:ind w:left="1540"/>
    </w:pPr>
    <w:rPr>
      <w:rFonts w:cstheme="minorHAnsi"/>
    </w:rPr>
  </w:style>
  <w:style w:type="paragraph" w:styleId="TOC9">
    <w:name w:val="toc 9"/>
    <w:basedOn w:val="Normal"/>
    <w:next w:val="Normal"/>
    <w:autoRedefine/>
    <w:uiPriority w:val="39"/>
    <w:semiHidden/>
    <w:unhideWhenUsed/>
    <w:rsid w:val="00184A9A"/>
    <w:pPr>
      <w:spacing w:after="0"/>
      <w:ind w:left="1760"/>
    </w:pPr>
    <w:rPr>
      <w:rFonts w:cstheme="minorHAnsi"/>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C45D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5D39"/>
    <w:rPr>
      <w:rFonts w:ascii="Tahoma" w:hAnsi="Tahoma" w:cs="Tahoma"/>
      <w:sz w:val="16"/>
      <w:szCs w:val="1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6WfIqkkpVXoPNDFv2uwI01vLb2g==">CgMxLjAyDmguZ2NsczdyaGI2a3hqMg5oLjUxaDhmcWhwb3N1dDIOaC4xdGdxNWxlN3o5ZDAyDmguN2VxOWE5Njljc2M3Mg5oLnkwc2ZnOGk3OHJsYjIOaC5seW5veGFnd3F4aHoyDmguNmJpM2plYnFwbWFxMg5oLm53N2JjZXJjcG84NjIOaC5zYnJjNGtmdm84dG4yDmgua243ZDdmZGtqYzF1Mg5oLnBjYzlkdXNvMzU1djIOaC5wcDY1NThqNjgwcDkyDmgudmN6ZzRxODFpZDgyMg5oLmI2eG12emtseDV4YTIOaC42ajFpb3IyaTVjeHc4AHIhMUZ4X1VTTkJwQkxyVXRRNDNOVTBDX21PUUh2TWJLeER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8</Pages>
  <Words>2172</Words>
  <Characters>12387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Benedita Maxanches</cp:lastModifiedBy>
  <cp:revision>8</cp:revision>
  <dcterms:created xsi:type="dcterms:W3CDTF">2025-11-19T18:30:00Z</dcterms:created>
  <dcterms:modified xsi:type="dcterms:W3CDTF">2026-08-21T08:16:00Z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